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drawings/drawing3.xml" ContentType="application/vnd.openxmlformats-officedocument.drawingml.chartshapes+xml"/>
  <Override PartName="/word/charts/chart5.xml" ContentType="application/vnd.openxmlformats-officedocument.drawingml.chart+xml"/>
  <Override PartName="/word/drawings/drawing4.xml" ContentType="application/vnd.openxmlformats-officedocument.drawingml.chartshapes+xml"/>
  <Override PartName="/word/charts/chart6.xml" ContentType="application/vnd.openxmlformats-officedocument.drawingml.chart+xml"/>
  <Override PartName="/word/drawings/drawing5.xml" ContentType="application/vnd.openxmlformats-officedocument.drawingml.chartshapes+xml"/>
  <Override PartName="/word/charts/chart7.xml" ContentType="application/vnd.openxmlformats-officedocument.drawingml.chart+xml"/>
  <Override PartName="/word/drawings/drawing6.xml" ContentType="application/vnd.openxmlformats-officedocument.drawingml.chartshapes+xml"/>
  <Override PartName="/word/charts/chart8.xml" ContentType="application/vnd.openxmlformats-officedocument.drawingml.chart+xml"/>
  <Override PartName="/word/drawings/drawing7.xml" ContentType="application/vnd.openxmlformats-officedocument.drawingml.chartshapes+xml"/>
  <Override PartName="/word/charts/chart9.xml" ContentType="application/vnd.openxmlformats-officedocument.drawingml.chart+xml"/>
  <Override PartName="/word/drawings/drawing8.xml" ContentType="application/vnd.openxmlformats-officedocument.drawingml.chartshapes+xml"/>
  <Override PartName="/word/charts/chart10.xml" ContentType="application/vnd.openxmlformats-officedocument.drawingml.chart+xml"/>
  <Override PartName="/word/drawings/drawing9.xml" ContentType="application/vnd.openxmlformats-officedocument.drawingml.chartshapes+xml"/>
  <Override PartName="/word/charts/chart11.xml" ContentType="application/vnd.openxmlformats-officedocument.drawingml.chart+xml"/>
  <Override PartName="/word/drawings/drawing10.xml" ContentType="application/vnd.openxmlformats-officedocument.drawingml.chartshapes+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44B0" w:rsidRDefault="00074701" w:rsidP="003A2F1E">
      <w:r>
        <w:t xml:space="preserve"> </w:t>
      </w:r>
      <w:r w:rsidR="00B2770D">
        <w:t xml:space="preserve">  </w:t>
      </w:r>
    </w:p>
    <w:p w:rsidR="007145E3" w:rsidRPr="00FF5F9F" w:rsidRDefault="007145E3" w:rsidP="003A2F1E">
      <w:pPr>
        <w:rPr>
          <w:rFonts w:ascii="Georgia" w:hAnsi="Georgia"/>
        </w:rPr>
      </w:pPr>
    </w:p>
    <w:p w:rsidR="007145E3" w:rsidRPr="00FF5F9F" w:rsidRDefault="007145E3" w:rsidP="003A2F1E">
      <w:pPr>
        <w:rPr>
          <w:rFonts w:ascii="Georgia" w:hAnsi="Georgia"/>
        </w:rPr>
      </w:pPr>
    </w:p>
    <w:p w:rsidR="007145E3" w:rsidRDefault="007145E3" w:rsidP="003A2F1E">
      <w:pPr>
        <w:rPr>
          <w:rFonts w:ascii="Georgia" w:hAnsi="Georgia"/>
        </w:rPr>
      </w:pPr>
    </w:p>
    <w:p w:rsidR="007145E3" w:rsidRPr="00FF5F9F" w:rsidRDefault="007145E3" w:rsidP="003A2F1E">
      <w:pPr>
        <w:rPr>
          <w:rFonts w:ascii="Georgia" w:hAnsi="Georgia"/>
        </w:rPr>
      </w:pPr>
    </w:p>
    <w:p w:rsidR="007145E3" w:rsidRPr="00E76BDB" w:rsidRDefault="007145E3" w:rsidP="007145E3">
      <w:pPr>
        <w:spacing w:before="240"/>
        <w:jc w:val="center"/>
        <w:rPr>
          <w:rFonts w:ascii="Calibri" w:hAnsi="Calibri"/>
          <w:b/>
          <w:smallCaps/>
          <w:color w:val="1F497D"/>
          <w:sz w:val="118"/>
          <w:szCs w:val="118"/>
        </w:rPr>
      </w:pPr>
      <w:r w:rsidRPr="00E76BDB">
        <w:rPr>
          <w:rFonts w:ascii="Calibri" w:hAnsi="Calibri"/>
          <w:b/>
          <w:smallCaps/>
          <w:color w:val="1F497D"/>
          <w:sz w:val="118"/>
          <w:szCs w:val="118"/>
        </w:rPr>
        <w:t>Zpráva o realizaci</w:t>
      </w:r>
    </w:p>
    <w:p w:rsidR="007145E3" w:rsidRPr="00E76BDB" w:rsidRDefault="007145E3" w:rsidP="007145E3">
      <w:pPr>
        <w:spacing w:before="240"/>
        <w:jc w:val="center"/>
        <w:rPr>
          <w:rFonts w:ascii="Calibri" w:hAnsi="Calibri"/>
          <w:b/>
          <w:smallCaps/>
          <w:color w:val="1F497D"/>
          <w:sz w:val="32"/>
          <w:szCs w:val="32"/>
        </w:rPr>
      </w:pPr>
    </w:p>
    <w:p w:rsidR="007145E3" w:rsidRPr="00E76BDB" w:rsidRDefault="007145E3" w:rsidP="007145E3">
      <w:pPr>
        <w:spacing w:before="240"/>
        <w:jc w:val="center"/>
        <w:rPr>
          <w:rFonts w:ascii="Calibri" w:hAnsi="Calibri"/>
          <w:b/>
          <w:color w:val="1F497D"/>
          <w:sz w:val="72"/>
          <w:szCs w:val="72"/>
        </w:rPr>
      </w:pPr>
      <w:r w:rsidRPr="00E76BDB">
        <w:rPr>
          <w:rFonts w:ascii="Calibri" w:hAnsi="Calibri"/>
          <w:b/>
          <w:color w:val="1F497D"/>
          <w:sz w:val="72"/>
          <w:szCs w:val="72"/>
        </w:rPr>
        <w:t>Integrovaného operačního programu</w:t>
      </w:r>
    </w:p>
    <w:p w:rsidR="007145E3" w:rsidRPr="00E76BDB" w:rsidRDefault="007145E3" w:rsidP="007145E3">
      <w:pPr>
        <w:spacing w:before="240"/>
        <w:jc w:val="center"/>
        <w:rPr>
          <w:rFonts w:ascii="Calibri" w:hAnsi="Calibri"/>
          <w:b/>
          <w:color w:val="1F497D"/>
          <w:sz w:val="44"/>
          <w:szCs w:val="44"/>
        </w:rPr>
      </w:pPr>
    </w:p>
    <w:p w:rsidR="007145E3" w:rsidRPr="00E76BDB" w:rsidRDefault="007145E3" w:rsidP="007145E3">
      <w:pPr>
        <w:spacing w:before="240"/>
        <w:jc w:val="center"/>
        <w:rPr>
          <w:rFonts w:ascii="Calibri" w:hAnsi="Calibri"/>
          <w:b/>
          <w:color w:val="1F497D"/>
          <w:sz w:val="56"/>
          <w:szCs w:val="56"/>
        </w:rPr>
      </w:pPr>
      <w:r w:rsidRPr="00E76BDB">
        <w:rPr>
          <w:rFonts w:ascii="Calibri" w:hAnsi="Calibri"/>
          <w:b/>
          <w:color w:val="1F497D"/>
          <w:sz w:val="56"/>
          <w:szCs w:val="56"/>
        </w:rPr>
        <w:t>za období</w:t>
      </w:r>
    </w:p>
    <w:p w:rsidR="007145E3" w:rsidRPr="00E76BDB" w:rsidRDefault="004A3B60" w:rsidP="007145E3">
      <w:pPr>
        <w:spacing w:before="240"/>
        <w:jc w:val="center"/>
        <w:rPr>
          <w:rFonts w:ascii="Calibri" w:hAnsi="Calibri"/>
          <w:b/>
          <w:color w:val="4F81BD"/>
          <w:sz w:val="56"/>
          <w:szCs w:val="56"/>
        </w:rPr>
      </w:pPr>
      <w:r>
        <w:rPr>
          <w:rFonts w:ascii="Calibri" w:hAnsi="Calibri"/>
          <w:b/>
          <w:color w:val="1F497D"/>
          <w:sz w:val="56"/>
          <w:szCs w:val="56"/>
        </w:rPr>
        <w:t>1</w:t>
      </w:r>
      <w:r w:rsidR="00260CA3">
        <w:rPr>
          <w:rFonts w:ascii="Calibri" w:hAnsi="Calibri"/>
          <w:b/>
          <w:color w:val="1F497D"/>
          <w:sz w:val="56"/>
          <w:szCs w:val="56"/>
        </w:rPr>
        <w:t>7</w:t>
      </w:r>
      <w:r>
        <w:rPr>
          <w:rFonts w:ascii="Calibri" w:hAnsi="Calibri"/>
          <w:b/>
          <w:color w:val="1F497D"/>
          <w:sz w:val="56"/>
          <w:szCs w:val="56"/>
        </w:rPr>
        <w:t xml:space="preserve">. </w:t>
      </w:r>
      <w:r w:rsidR="00260CA3">
        <w:rPr>
          <w:rFonts w:ascii="Calibri" w:hAnsi="Calibri"/>
          <w:b/>
          <w:color w:val="1F497D"/>
          <w:sz w:val="56"/>
          <w:szCs w:val="56"/>
        </w:rPr>
        <w:t>4. 2015</w:t>
      </w:r>
      <w:r w:rsidR="00C45953">
        <w:rPr>
          <w:rFonts w:ascii="Calibri" w:hAnsi="Calibri"/>
          <w:b/>
          <w:color w:val="1F497D"/>
          <w:sz w:val="56"/>
          <w:szCs w:val="56"/>
        </w:rPr>
        <w:t xml:space="preserve"> - </w:t>
      </w:r>
      <w:r w:rsidR="00260CA3">
        <w:rPr>
          <w:rFonts w:ascii="Calibri" w:hAnsi="Calibri"/>
          <w:b/>
          <w:color w:val="1F497D"/>
          <w:sz w:val="56"/>
          <w:szCs w:val="56"/>
        </w:rPr>
        <w:t>30</w:t>
      </w:r>
      <w:r>
        <w:rPr>
          <w:rFonts w:ascii="Calibri" w:hAnsi="Calibri"/>
          <w:b/>
          <w:color w:val="1F497D"/>
          <w:sz w:val="56"/>
          <w:szCs w:val="56"/>
        </w:rPr>
        <w:t xml:space="preserve">. </w:t>
      </w:r>
      <w:r w:rsidR="00260CA3">
        <w:rPr>
          <w:rFonts w:ascii="Calibri" w:hAnsi="Calibri"/>
          <w:b/>
          <w:color w:val="1F497D"/>
          <w:sz w:val="56"/>
          <w:szCs w:val="56"/>
        </w:rPr>
        <w:t>9</w:t>
      </w:r>
      <w:r>
        <w:rPr>
          <w:rFonts w:ascii="Calibri" w:hAnsi="Calibri"/>
          <w:b/>
          <w:color w:val="1F497D"/>
          <w:sz w:val="56"/>
          <w:szCs w:val="56"/>
        </w:rPr>
        <w:t>. 201</w:t>
      </w:r>
      <w:r w:rsidR="008F3EFA">
        <w:rPr>
          <w:rFonts w:ascii="Calibri" w:hAnsi="Calibri"/>
          <w:b/>
          <w:color w:val="1F497D"/>
          <w:sz w:val="56"/>
          <w:szCs w:val="56"/>
        </w:rPr>
        <w:t>5</w:t>
      </w:r>
    </w:p>
    <w:p w:rsidR="007145E3" w:rsidRPr="00FF5F9F" w:rsidRDefault="007145E3" w:rsidP="007145E3">
      <w:pPr>
        <w:jc w:val="center"/>
        <w:rPr>
          <w:rFonts w:ascii="Georgia" w:hAnsi="Georgia"/>
        </w:rPr>
      </w:pPr>
    </w:p>
    <w:p w:rsidR="007145E3" w:rsidRPr="00FF5F9F" w:rsidRDefault="007145E3" w:rsidP="007145E3">
      <w:pPr>
        <w:jc w:val="center"/>
        <w:rPr>
          <w:rFonts w:ascii="Georgia" w:hAnsi="Georgia"/>
        </w:rPr>
      </w:pPr>
    </w:p>
    <w:p w:rsidR="007145E3" w:rsidRPr="00FF5F9F" w:rsidRDefault="007145E3" w:rsidP="007145E3">
      <w:pPr>
        <w:jc w:val="center"/>
        <w:rPr>
          <w:rFonts w:ascii="Georgia" w:hAnsi="Georgia"/>
        </w:rPr>
      </w:pPr>
    </w:p>
    <w:p w:rsidR="007145E3" w:rsidRPr="00FF5F9F" w:rsidRDefault="007145E3" w:rsidP="007145E3">
      <w:pPr>
        <w:jc w:val="center"/>
        <w:rPr>
          <w:rFonts w:ascii="Georgia" w:hAnsi="Georgia"/>
        </w:rPr>
      </w:pPr>
    </w:p>
    <w:p w:rsidR="00D644B0" w:rsidRDefault="001F1D25" w:rsidP="007145E3">
      <w:pPr>
        <w:jc w:val="center"/>
        <w:rPr>
          <w:rFonts w:ascii="Georgia" w:hAnsi="Georgia"/>
          <w:noProof/>
        </w:rPr>
      </w:pPr>
      <w:r>
        <w:rPr>
          <w:rFonts w:ascii="Georgia" w:hAnsi="Georgia"/>
          <w:noProof/>
        </w:rPr>
        <w:drawing>
          <wp:inline distT="0" distB="0" distL="0" distR="0" wp14:anchorId="78D9E01B" wp14:editId="5977553B">
            <wp:extent cx="1914525" cy="1285875"/>
            <wp:effectExtent l="19050" t="0" r="9525" b="0"/>
            <wp:docPr id="13" name="obrázek 2" descr="výře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výřez2"/>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914525" cy="1285875"/>
                    </a:xfrm>
                    <a:prstGeom prst="rect">
                      <a:avLst/>
                    </a:prstGeom>
                    <a:noFill/>
                    <a:ln w="9525">
                      <a:noFill/>
                      <a:miter lim="800000"/>
                      <a:headEnd/>
                      <a:tailEnd/>
                    </a:ln>
                  </pic:spPr>
                </pic:pic>
              </a:graphicData>
            </a:graphic>
          </wp:inline>
        </w:drawing>
      </w:r>
    </w:p>
    <w:p w:rsidR="007145E3" w:rsidRDefault="007145E3" w:rsidP="007145E3">
      <w:pPr>
        <w:jc w:val="center"/>
        <w:rPr>
          <w:rFonts w:ascii="Georgia" w:hAnsi="Georgia"/>
          <w:noProof/>
        </w:rPr>
      </w:pPr>
    </w:p>
    <w:p w:rsidR="007145E3" w:rsidRDefault="007145E3" w:rsidP="007145E3">
      <w:pPr>
        <w:jc w:val="center"/>
        <w:rPr>
          <w:rFonts w:ascii="Georgia" w:hAnsi="Georgia"/>
          <w:noProof/>
        </w:rPr>
      </w:pPr>
    </w:p>
    <w:p w:rsidR="007145E3" w:rsidRDefault="007145E3" w:rsidP="007145E3">
      <w:pPr>
        <w:jc w:val="center"/>
        <w:rPr>
          <w:rFonts w:ascii="Georgia" w:hAnsi="Georgia"/>
          <w:noProof/>
        </w:rPr>
      </w:pPr>
    </w:p>
    <w:p w:rsidR="007145E3" w:rsidRDefault="007145E3" w:rsidP="007145E3">
      <w:pPr>
        <w:jc w:val="center"/>
        <w:rPr>
          <w:rFonts w:ascii="Georgia" w:hAnsi="Georgia"/>
          <w:noProof/>
        </w:rPr>
      </w:pPr>
    </w:p>
    <w:p w:rsidR="007145E3" w:rsidRDefault="007145E3" w:rsidP="007145E3">
      <w:pPr>
        <w:jc w:val="center"/>
        <w:rPr>
          <w:rFonts w:ascii="Georgia" w:hAnsi="Georgia"/>
          <w:noProof/>
        </w:rPr>
      </w:pPr>
    </w:p>
    <w:p w:rsidR="007145E3" w:rsidRDefault="007145E3" w:rsidP="007145E3">
      <w:pPr>
        <w:jc w:val="center"/>
        <w:rPr>
          <w:rFonts w:ascii="Georgia" w:hAnsi="Georgia"/>
          <w:noProof/>
        </w:rPr>
      </w:pPr>
    </w:p>
    <w:p w:rsidR="007145E3" w:rsidRPr="00E76BDB" w:rsidRDefault="007145E3" w:rsidP="007145E3">
      <w:pPr>
        <w:jc w:val="center"/>
        <w:rPr>
          <w:rFonts w:ascii="Calibri" w:hAnsi="Calibri"/>
          <w:b/>
          <w:color w:val="4F81BD"/>
          <w:sz w:val="28"/>
          <w:szCs w:val="28"/>
        </w:rPr>
        <w:sectPr w:rsidR="007145E3" w:rsidRPr="00E76BDB" w:rsidSect="00356E21">
          <w:headerReference w:type="default" r:id="rId10"/>
          <w:footerReference w:type="even" r:id="rId11"/>
          <w:footerReference w:type="default" r:id="rId12"/>
          <w:headerReference w:type="first" r:id="rId13"/>
          <w:pgSz w:w="11907" w:h="16840" w:code="9"/>
          <w:pgMar w:top="1418" w:right="1418" w:bottom="1418" w:left="1418" w:header="708" w:footer="708" w:gutter="0"/>
          <w:cols w:space="708"/>
          <w:titlePg/>
        </w:sectPr>
      </w:pPr>
      <w:r w:rsidRPr="003F7530">
        <w:rPr>
          <w:rFonts w:ascii="Calibri" w:hAnsi="Calibri"/>
          <w:b/>
          <w:color w:val="4F81BD"/>
          <w:sz w:val="28"/>
          <w:szCs w:val="28"/>
        </w:rPr>
        <w:t xml:space="preserve">Určeno pro </w:t>
      </w:r>
      <w:r w:rsidR="00996824" w:rsidRPr="003F7530">
        <w:rPr>
          <w:rFonts w:ascii="Calibri" w:hAnsi="Calibri"/>
          <w:b/>
          <w:color w:val="4F81BD"/>
          <w:sz w:val="28"/>
          <w:szCs w:val="28"/>
        </w:rPr>
        <w:t>1</w:t>
      </w:r>
      <w:r w:rsidR="00260CA3">
        <w:rPr>
          <w:rFonts w:ascii="Calibri" w:hAnsi="Calibri"/>
          <w:b/>
          <w:color w:val="4F81BD"/>
          <w:sz w:val="28"/>
          <w:szCs w:val="28"/>
        </w:rPr>
        <w:t>6</w:t>
      </w:r>
      <w:r w:rsidRPr="003F7530">
        <w:rPr>
          <w:rFonts w:ascii="Calibri" w:hAnsi="Calibri"/>
          <w:b/>
          <w:color w:val="4F81BD"/>
          <w:sz w:val="28"/>
          <w:szCs w:val="28"/>
        </w:rPr>
        <w:t xml:space="preserve">. zasedání Monitorovacího výboru IOP dne </w:t>
      </w:r>
      <w:r w:rsidR="00260CA3">
        <w:rPr>
          <w:rFonts w:ascii="Calibri" w:hAnsi="Calibri"/>
          <w:b/>
          <w:color w:val="4F81BD"/>
          <w:sz w:val="28"/>
          <w:szCs w:val="28"/>
        </w:rPr>
        <w:t>19</w:t>
      </w:r>
      <w:r w:rsidR="00996824" w:rsidRPr="003F7530">
        <w:rPr>
          <w:rFonts w:ascii="Calibri" w:hAnsi="Calibri"/>
          <w:b/>
          <w:color w:val="4F81BD"/>
          <w:sz w:val="28"/>
          <w:szCs w:val="28"/>
        </w:rPr>
        <w:t>.</w:t>
      </w:r>
      <w:r w:rsidR="007870B3">
        <w:rPr>
          <w:rFonts w:ascii="Calibri" w:hAnsi="Calibri"/>
          <w:b/>
          <w:color w:val="4F81BD"/>
          <w:sz w:val="28"/>
          <w:szCs w:val="28"/>
        </w:rPr>
        <w:t xml:space="preserve"> </w:t>
      </w:r>
      <w:r w:rsidR="00260CA3">
        <w:rPr>
          <w:rFonts w:ascii="Calibri" w:hAnsi="Calibri"/>
          <w:b/>
          <w:color w:val="4F81BD"/>
          <w:sz w:val="28"/>
          <w:szCs w:val="28"/>
        </w:rPr>
        <w:t>11</w:t>
      </w:r>
      <w:r w:rsidR="004A3B60">
        <w:rPr>
          <w:rFonts w:ascii="Calibri" w:hAnsi="Calibri"/>
          <w:b/>
          <w:color w:val="4F81BD"/>
          <w:sz w:val="28"/>
          <w:szCs w:val="28"/>
        </w:rPr>
        <w:t>.</w:t>
      </w:r>
      <w:r w:rsidR="007870B3">
        <w:rPr>
          <w:rFonts w:ascii="Calibri" w:hAnsi="Calibri"/>
          <w:b/>
          <w:color w:val="4F81BD"/>
          <w:sz w:val="28"/>
          <w:szCs w:val="28"/>
        </w:rPr>
        <w:t xml:space="preserve"> </w:t>
      </w:r>
      <w:r w:rsidRPr="003F7530">
        <w:rPr>
          <w:rFonts w:ascii="Calibri" w:hAnsi="Calibri"/>
          <w:b/>
          <w:color w:val="4F81BD"/>
          <w:sz w:val="28"/>
          <w:szCs w:val="28"/>
        </w:rPr>
        <w:t>201</w:t>
      </w:r>
      <w:r w:rsidR="008F3EFA">
        <w:rPr>
          <w:rFonts w:ascii="Calibri" w:hAnsi="Calibri"/>
          <w:b/>
          <w:color w:val="4F81BD"/>
          <w:sz w:val="28"/>
          <w:szCs w:val="28"/>
        </w:rPr>
        <w:t>5</w:t>
      </w:r>
    </w:p>
    <w:p w:rsidR="00D644B0" w:rsidRDefault="00D644B0">
      <w:pPr>
        <w:jc w:val="center"/>
        <w:rPr>
          <w:rFonts w:ascii="Calibri" w:hAnsi="Calibri"/>
          <w:b/>
          <w:sz w:val="28"/>
          <w:szCs w:val="28"/>
        </w:rPr>
      </w:pPr>
    </w:p>
    <w:p w:rsidR="00D644B0" w:rsidRDefault="00D644B0">
      <w:pPr>
        <w:jc w:val="center"/>
        <w:rPr>
          <w:rFonts w:ascii="Calibri" w:hAnsi="Calibri"/>
          <w:b/>
          <w:sz w:val="28"/>
          <w:szCs w:val="28"/>
        </w:rPr>
      </w:pPr>
    </w:p>
    <w:p w:rsidR="00D644B0" w:rsidRDefault="00D644B0">
      <w:pPr>
        <w:jc w:val="center"/>
        <w:rPr>
          <w:rFonts w:ascii="Calibri" w:hAnsi="Calibri"/>
          <w:b/>
          <w:sz w:val="28"/>
          <w:szCs w:val="28"/>
        </w:rPr>
      </w:pPr>
    </w:p>
    <w:p w:rsidR="00D644B0" w:rsidRDefault="00D644B0">
      <w:pPr>
        <w:jc w:val="center"/>
        <w:rPr>
          <w:rFonts w:ascii="Calibri" w:hAnsi="Calibri"/>
          <w:b/>
          <w:sz w:val="28"/>
          <w:szCs w:val="28"/>
        </w:rPr>
      </w:pPr>
    </w:p>
    <w:p w:rsidR="00D644B0" w:rsidRDefault="00D644B0">
      <w:pPr>
        <w:jc w:val="cente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7D6357" w:rsidRDefault="007D6357">
      <w:pPr>
        <w:rPr>
          <w:b/>
          <w:sz w:val="28"/>
          <w:szCs w:val="28"/>
        </w:rPr>
        <w:sectPr w:rsidR="007D6357" w:rsidSect="00356E21">
          <w:headerReference w:type="default" r:id="rId14"/>
          <w:footerReference w:type="default" r:id="rId15"/>
          <w:pgSz w:w="11907" w:h="16840" w:code="9"/>
          <w:pgMar w:top="1418" w:right="1418" w:bottom="1418" w:left="1418" w:header="708" w:footer="708" w:gutter="0"/>
          <w:cols w:space="708"/>
        </w:sectPr>
      </w:pPr>
    </w:p>
    <w:p w:rsidR="00D644B0" w:rsidRPr="0048588A" w:rsidRDefault="00D644B0">
      <w:pPr>
        <w:rPr>
          <w:b/>
          <w:color w:val="1F497D"/>
          <w:sz w:val="28"/>
          <w:szCs w:val="28"/>
        </w:rPr>
      </w:pPr>
      <w:r w:rsidRPr="0048588A">
        <w:rPr>
          <w:b/>
          <w:color w:val="1F497D"/>
          <w:sz w:val="28"/>
          <w:szCs w:val="28"/>
        </w:rPr>
        <w:lastRenderedPageBreak/>
        <w:t>OBSAH</w:t>
      </w:r>
    </w:p>
    <w:p w:rsidR="00D644B0" w:rsidRDefault="00D644B0">
      <w:pPr>
        <w:rPr>
          <w:b/>
          <w:sz w:val="28"/>
          <w:szCs w:val="28"/>
        </w:rPr>
      </w:pPr>
    </w:p>
    <w:p w:rsidR="0052665E" w:rsidRDefault="00E52A88">
      <w:pPr>
        <w:pStyle w:val="Obsah1"/>
        <w:rPr>
          <w:rFonts w:asciiTheme="minorHAnsi" w:eastAsiaTheme="minorEastAsia" w:hAnsiTheme="minorHAnsi" w:cstheme="minorBidi"/>
          <w:noProof/>
          <w:sz w:val="22"/>
          <w:szCs w:val="22"/>
        </w:rPr>
      </w:pPr>
      <w:r w:rsidRPr="00C23412">
        <w:rPr>
          <w:b/>
          <w:sz w:val="28"/>
          <w:szCs w:val="28"/>
        </w:rPr>
        <w:fldChar w:fldCharType="begin"/>
      </w:r>
      <w:r w:rsidR="00D644B0" w:rsidRPr="00C23412">
        <w:rPr>
          <w:b/>
          <w:sz w:val="28"/>
          <w:szCs w:val="28"/>
        </w:rPr>
        <w:instrText xml:space="preserve"> TOC \o "1-3" \h \z \u </w:instrText>
      </w:r>
      <w:r w:rsidRPr="00C23412">
        <w:rPr>
          <w:b/>
          <w:sz w:val="28"/>
          <w:szCs w:val="28"/>
        </w:rPr>
        <w:fldChar w:fldCharType="separate"/>
      </w:r>
      <w:hyperlink w:anchor="_Toc433873458" w:history="1">
        <w:r w:rsidR="0052665E" w:rsidRPr="002F734D">
          <w:rPr>
            <w:rStyle w:val="Hypertextovodkaz"/>
            <w:noProof/>
            <w:kern w:val="32"/>
          </w:rPr>
          <w:t>ÚVOD</w:t>
        </w:r>
        <w:r w:rsidR="0052665E">
          <w:rPr>
            <w:noProof/>
            <w:webHidden/>
          </w:rPr>
          <w:tab/>
        </w:r>
        <w:r w:rsidR="0052665E">
          <w:rPr>
            <w:noProof/>
            <w:webHidden/>
          </w:rPr>
          <w:tab/>
        </w:r>
        <w:r w:rsidR="0052665E">
          <w:rPr>
            <w:noProof/>
            <w:webHidden/>
          </w:rPr>
          <w:fldChar w:fldCharType="begin"/>
        </w:r>
        <w:r w:rsidR="0052665E">
          <w:rPr>
            <w:noProof/>
            <w:webHidden/>
          </w:rPr>
          <w:instrText xml:space="preserve"> PAGEREF _Toc433873458 \h </w:instrText>
        </w:r>
        <w:r w:rsidR="0052665E">
          <w:rPr>
            <w:noProof/>
            <w:webHidden/>
          </w:rPr>
        </w:r>
        <w:r w:rsidR="0052665E">
          <w:rPr>
            <w:noProof/>
            <w:webHidden/>
          </w:rPr>
          <w:fldChar w:fldCharType="separate"/>
        </w:r>
        <w:r w:rsidR="0052665E">
          <w:rPr>
            <w:noProof/>
            <w:webHidden/>
          </w:rPr>
          <w:t>7</w:t>
        </w:r>
        <w:r w:rsidR="0052665E">
          <w:rPr>
            <w:noProof/>
            <w:webHidden/>
          </w:rPr>
          <w:fldChar w:fldCharType="end"/>
        </w:r>
      </w:hyperlink>
    </w:p>
    <w:p w:rsidR="0052665E" w:rsidRDefault="00497984">
      <w:pPr>
        <w:pStyle w:val="Obsah1"/>
        <w:rPr>
          <w:rFonts w:asciiTheme="minorHAnsi" w:eastAsiaTheme="minorEastAsia" w:hAnsiTheme="minorHAnsi" w:cstheme="minorBidi"/>
          <w:noProof/>
          <w:sz w:val="22"/>
          <w:szCs w:val="22"/>
        </w:rPr>
      </w:pPr>
      <w:hyperlink w:anchor="_Toc433873459" w:history="1">
        <w:r w:rsidR="0052665E" w:rsidRPr="002F734D">
          <w:rPr>
            <w:rStyle w:val="Hypertextovodkaz"/>
            <w:noProof/>
            <w:kern w:val="32"/>
          </w:rPr>
          <w:t>1 IDENTIFIKACE PROGRAMU</w:t>
        </w:r>
        <w:r w:rsidR="0052665E">
          <w:rPr>
            <w:noProof/>
            <w:webHidden/>
          </w:rPr>
          <w:tab/>
        </w:r>
        <w:r w:rsidR="0052665E">
          <w:rPr>
            <w:noProof/>
            <w:webHidden/>
          </w:rPr>
          <w:fldChar w:fldCharType="begin"/>
        </w:r>
        <w:r w:rsidR="0052665E">
          <w:rPr>
            <w:noProof/>
            <w:webHidden/>
          </w:rPr>
          <w:instrText xml:space="preserve"> PAGEREF _Toc433873459 \h </w:instrText>
        </w:r>
        <w:r w:rsidR="0052665E">
          <w:rPr>
            <w:noProof/>
            <w:webHidden/>
          </w:rPr>
        </w:r>
        <w:r w:rsidR="0052665E">
          <w:rPr>
            <w:noProof/>
            <w:webHidden/>
          </w:rPr>
          <w:fldChar w:fldCharType="separate"/>
        </w:r>
        <w:r w:rsidR="0052665E">
          <w:rPr>
            <w:noProof/>
            <w:webHidden/>
          </w:rPr>
          <w:t>8</w:t>
        </w:r>
        <w:r w:rsidR="0052665E">
          <w:rPr>
            <w:noProof/>
            <w:webHidden/>
          </w:rPr>
          <w:fldChar w:fldCharType="end"/>
        </w:r>
      </w:hyperlink>
    </w:p>
    <w:p w:rsidR="0052665E" w:rsidRDefault="00497984">
      <w:pPr>
        <w:pStyle w:val="Obsah2"/>
        <w:tabs>
          <w:tab w:val="right" w:leader="dot" w:pos="9061"/>
        </w:tabs>
        <w:rPr>
          <w:rFonts w:asciiTheme="minorHAnsi" w:eastAsiaTheme="minorEastAsia" w:hAnsiTheme="minorHAnsi" w:cstheme="minorBidi"/>
          <w:noProof/>
          <w:sz w:val="22"/>
          <w:szCs w:val="22"/>
        </w:rPr>
      </w:pPr>
      <w:hyperlink w:anchor="_Toc433873460" w:history="1">
        <w:r w:rsidR="0052665E" w:rsidRPr="002F734D">
          <w:rPr>
            <w:rStyle w:val="Hypertextovodkaz"/>
            <w:noProof/>
          </w:rPr>
          <w:t>2.1 Souhrnné tabulky o pokroku v realizaci IOP</w:t>
        </w:r>
        <w:r w:rsidR="0052665E">
          <w:rPr>
            <w:noProof/>
            <w:webHidden/>
          </w:rPr>
          <w:tab/>
        </w:r>
        <w:r w:rsidR="0052665E">
          <w:rPr>
            <w:noProof/>
            <w:webHidden/>
          </w:rPr>
          <w:fldChar w:fldCharType="begin"/>
        </w:r>
        <w:r w:rsidR="0052665E">
          <w:rPr>
            <w:noProof/>
            <w:webHidden/>
          </w:rPr>
          <w:instrText xml:space="preserve"> PAGEREF _Toc433873460 \h </w:instrText>
        </w:r>
        <w:r w:rsidR="0052665E">
          <w:rPr>
            <w:noProof/>
            <w:webHidden/>
          </w:rPr>
        </w:r>
        <w:r w:rsidR="0052665E">
          <w:rPr>
            <w:noProof/>
            <w:webHidden/>
          </w:rPr>
          <w:fldChar w:fldCharType="separate"/>
        </w:r>
        <w:r w:rsidR="0052665E">
          <w:rPr>
            <w:noProof/>
            <w:webHidden/>
          </w:rPr>
          <w:t>10</w:t>
        </w:r>
        <w:r w:rsidR="0052665E">
          <w:rPr>
            <w:noProof/>
            <w:webHidden/>
          </w:rPr>
          <w:fldChar w:fldCharType="end"/>
        </w:r>
      </w:hyperlink>
    </w:p>
    <w:p w:rsidR="0052665E" w:rsidRDefault="00497984">
      <w:pPr>
        <w:pStyle w:val="Obsah2"/>
        <w:tabs>
          <w:tab w:val="right" w:leader="dot" w:pos="9061"/>
        </w:tabs>
        <w:rPr>
          <w:rFonts w:asciiTheme="minorHAnsi" w:eastAsiaTheme="minorEastAsia" w:hAnsiTheme="minorHAnsi" w:cstheme="minorBidi"/>
          <w:noProof/>
          <w:sz w:val="22"/>
          <w:szCs w:val="22"/>
        </w:rPr>
      </w:pPr>
      <w:hyperlink w:anchor="_Toc433873461" w:history="1">
        <w:r w:rsidR="0052665E" w:rsidRPr="002F734D">
          <w:rPr>
            <w:rStyle w:val="Hypertextovodkaz"/>
            <w:noProof/>
          </w:rPr>
          <w:t>2.2 Pokrok v plnění indikátorů na úrovni programu</w:t>
        </w:r>
        <w:r w:rsidR="0052665E">
          <w:rPr>
            <w:noProof/>
            <w:webHidden/>
          </w:rPr>
          <w:tab/>
        </w:r>
        <w:r w:rsidR="0052665E">
          <w:rPr>
            <w:noProof/>
            <w:webHidden/>
          </w:rPr>
          <w:fldChar w:fldCharType="begin"/>
        </w:r>
        <w:r w:rsidR="0052665E">
          <w:rPr>
            <w:noProof/>
            <w:webHidden/>
          </w:rPr>
          <w:instrText xml:space="preserve"> PAGEREF _Toc433873461 \h </w:instrText>
        </w:r>
        <w:r w:rsidR="0052665E">
          <w:rPr>
            <w:noProof/>
            <w:webHidden/>
          </w:rPr>
        </w:r>
        <w:r w:rsidR="0052665E">
          <w:rPr>
            <w:noProof/>
            <w:webHidden/>
          </w:rPr>
          <w:fldChar w:fldCharType="separate"/>
        </w:r>
        <w:r w:rsidR="0052665E">
          <w:rPr>
            <w:noProof/>
            <w:webHidden/>
          </w:rPr>
          <w:t>15</w:t>
        </w:r>
        <w:r w:rsidR="0052665E">
          <w:rPr>
            <w:noProof/>
            <w:webHidden/>
          </w:rPr>
          <w:fldChar w:fldCharType="end"/>
        </w:r>
      </w:hyperlink>
    </w:p>
    <w:p w:rsidR="0052665E" w:rsidRDefault="00497984">
      <w:pPr>
        <w:pStyle w:val="Obsah2"/>
        <w:tabs>
          <w:tab w:val="right" w:leader="dot" w:pos="9061"/>
        </w:tabs>
        <w:rPr>
          <w:rFonts w:asciiTheme="minorHAnsi" w:eastAsiaTheme="minorEastAsia" w:hAnsiTheme="minorHAnsi" w:cstheme="minorBidi"/>
          <w:noProof/>
          <w:sz w:val="22"/>
          <w:szCs w:val="22"/>
        </w:rPr>
      </w:pPr>
      <w:hyperlink w:anchor="_Toc433873462" w:history="1">
        <w:r w:rsidR="0052665E" w:rsidRPr="002F734D">
          <w:rPr>
            <w:rStyle w:val="Hypertextovodkaz"/>
            <w:noProof/>
          </w:rPr>
          <w:t>2.3 Hlavní aktivity za období 17. 4. 2015 – 30. 9. 2015</w:t>
        </w:r>
        <w:r w:rsidR="0052665E">
          <w:rPr>
            <w:noProof/>
            <w:webHidden/>
          </w:rPr>
          <w:tab/>
        </w:r>
        <w:r w:rsidR="0052665E">
          <w:rPr>
            <w:noProof/>
            <w:webHidden/>
          </w:rPr>
          <w:fldChar w:fldCharType="begin"/>
        </w:r>
        <w:r w:rsidR="0052665E">
          <w:rPr>
            <w:noProof/>
            <w:webHidden/>
          </w:rPr>
          <w:instrText xml:space="preserve"> PAGEREF _Toc433873462 \h </w:instrText>
        </w:r>
        <w:r w:rsidR="0052665E">
          <w:rPr>
            <w:noProof/>
            <w:webHidden/>
          </w:rPr>
        </w:r>
        <w:r w:rsidR="0052665E">
          <w:rPr>
            <w:noProof/>
            <w:webHidden/>
          </w:rPr>
          <w:fldChar w:fldCharType="separate"/>
        </w:r>
        <w:r w:rsidR="0052665E">
          <w:rPr>
            <w:noProof/>
            <w:webHidden/>
          </w:rPr>
          <w:t>15</w:t>
        </w:r>
        <w:r w:rsidR="0052665E">
          <w:rPr>
            <w:noProof/>
            <w:webHidden/>
          </w:rPr>
          <w:fldChar w:fldCharType="end"/>
        </w:r>
      </w:hyperlink>
    </w:p>
    <w:p w:rsidR="0052665E" w:rsidRDefault="00497984">
      <w:pPr>
        <w:pStyle w:val="Obsah3"/>
        <w:tabs>
          <w:tab w:val="right" w:leader="dot" w:pos="9061"/>
        </w:tabs>
        <w:rPr>
          <w:rFonts w:asciiTheme="minorHAnsi" w:eastAsiaTheme="minorEastAsia" w:hAnsiTheme="minorHAnsi" w:cstheme="minorBidi"/>
          <w:noProof/>
          <w:sz w:val="22"/>
          <w:szCs w:val="22"/>
        </w:rPr>
      </w:pPr>
      <w:hyperlink w:anchor="_Toc433873463" w:history="1">
        <w:r w:rsidR="0052665E" w:rsidRPr="002F734D">
          <w:rPr>
            <w:rStyle w:val="Hypertextovodkaz"/>
            <w:noProof/>
          </w:rPr>
          <w:t>2.3.1 Důležité mezníky IOP za období 17. 4. 2015 – 30. 9. 2015</w:t>
        </w:r>
        <w:r w:rsidR="0052665E">
          <w:rPr>
            <w:noProof/>
            <w:webHidden/>
          </w:rPr>
          <w:tab/>
        </w:r>
        <w:r w:rsidR="0052665E">
          <w:rPr>
            <w:noProof/>
            <w:webHidden/>
          </w:rPr>
          <w:fldChar w:fldCharType="begin"/>
        </w:r>
        <w:r w:rsidR="0052665E">
          <w:rPr>
            <w:noProof/>
            <w:webHidden/>
          </w:rPr>
          <w:instrText xml:space="preserve"> PAGEREF _Toc433873463 \h </w:instrText>
        </w:r>
        <w:r w:rsidR="0052665E">
          <w:rPr>
            <w:noProof/>
            <w:webHidden/>
          </w:rPr>
        </w:r>
        <w:r w:rsidR="0052665E">
          <w:rPr>
            <w:noProof/>
            <w:webHidden/>
          </w:rPr>
          <w:fldChar w:fldCharType="separate"/>
        </w:r>
        <w:r w:rsidR="0052665E">
          <w:rPr>
            <w:noProof/>
            <w:webHidden/>
          </w:rPr>
          <w:t>15</w:t>
        </w:r>
        <w:r w:rsidR="0052665E">
          <w:rPr>
            <w:noProof/>
            <w:webHidden/>
          </w:rPr>
          <w:fldChar w:fldCharType="end"/>
        </w:r>
      </w:hyperlink>
    </w:p>
    <w:p w:rsidR="0052665E" w:rsidRDefault="00497984">
      <w:pPr>
        <w:pStyle w:val="Obsah3"/>
        <w:tabs>
          <w:tab w:val="right" w:leader="dot" w:pos="9061"/>
        </w:tabs>
        <w:rPr>
          <w:rFonts w:asciiTheme="minorHAnsi" w:eastAsiaTheme="minorEastAsia" w:hAnsiTheme="minorHAnsi" w:cstheme="minorBidi"/>
          <w:noProof/>
          <w:sz w:val="22"/>
          <w:szCs w:val="22"/>
        </w:rPr>
      </w:pPr>
      <w:hyperlink w:anchor="_Toc433873464" w:history="1">
        <w:r w:rsidR="0052665E" w:rsidRPr="002F734D">
          <w:rPr>
            <w:rStyle w:val="Hypertextovodkaz"/>
            <w:noProof/>
          </w:rPr>
          <w:t>2.3.2 Přehled probíhajících a nově vyhlášených výzev v období od 17. 4. 2015 – 30. 9. 2015</w:t>
        </w:r>
        <w:r w:rsidR="0052665E">
          <w:rPr>
            <w:noProof/>
            <w:webHidden/>
          </w:rPr>
          <w:tab/>
        </w:r>
        <w:r w:rsidR="0052665E">
          <w:rPr>
            <w:noProof/>
            <w:webHidden/>
          </w:rPr>
          <w:fldChar w:fldCharType="begin"/>
        </w:r>
        <w:r w:rsidR="0052665E">
          <w:rPr>
            <w:noProof/>
            <w:webHidden/>
          </w:rPr>
          <w:instrText xml:space="preserve"> PAGEREF _Toc433873464 \h </w:instrText>
        </w:r>
        <w:r w:rsidR="0052665E">
          <w:rPr>
            <w:noProof/>
            <w:webHidden/>
          </w:rPr>
        </w:r>
        <w:r w:rsidR="0052665E">
          <w:rPr>
            <w:noProof/>
            <w:webHidden/>
          </w:rPr>
          <w:fldChar w:fldCharType="separate"/>
        </w:r>
        <w:r w:rsidR="0052665E">
          <w:rPr>
            <w:noProof/>
            <w:webHidden/>
          </w:rPr>
          <w:t>16</w:t>
        </w:r>
        <w:r w:rsidR="0052665E">
          <w:rPr>
            <w:noProof/>
            <w:webHidden/>
          </w:rPr>
          <w:fldChar w:fldCharType="end"/>
        </w:r>
      </w:hyperlink>
    </w:p>
    <w:p w:rsidR="0052665E" w:rsidRDefault="00497984">
      <w:pPr>
        <w:pStyle w:val="Obsah3"/>
        <w:tabs>
          <w:tab w:val="right" w:leader="dot" w:pos="9061"/>
        </w:tabs>
        <w:rPr>
          <w:rFonts w:asciiTheme="minorHAnsi" w:eastAsiaTheme="minorEastAsia" w:hAnsiTheme="minorHAnsi" w:cstheme="minorBidi"/>
          <w:noProof/>
          <w:sz w:val="22"/>
          <w:szCs w:val="22"/>
        </w:rPr>
      </w:pPr>
      <w:hyperlink w:anchor="_Toc433873465" w:history="1">
        <w:r w:rsidR="0052665E" w:rsidRPr="002F734D">
          <w:rPr>
            <w:rStyle w:val="Hypertextovodkaz"/>
            <w:noProof/>
          </w:rPr>
          <w:t>2.3.3 Změny a dodatky důležitých dokumentů IOP</w:t>
        </w:r>
        <w:r w:rsidR="0052665E">
          <w:rPr>
            <w:noProof/>
            <w:webHidden/>
          </w:rPr>
          <w:tab/>
        </w:r>
        <w:r w:rsidR="0052665E">
          <w:rPr>
            <w:noProof/>
            <w:webHidden/>
          </w:rPr>
          <w:fldChar w:fldCharType="begin"/>
        </w:r>
        <w:r w:rsidR="0052665E">
          <w:rPr>
            <w:noProof/>
            <w:webHidden/>
          </w:rPr>
          <w:instrText xml:space="preserve"> PAGEREF _Toc433873465 \h </w:instrText>
        </w:r>
        <w:r w:rsidR="0052665E">
          <w:rPr>
            <w:noProof/>
            <w:webHidden/>
          </w:rPr>
        </w:r>
        <w:r w:rsidR="0052665E">
          <w:rPr>
            <w:noProof/>
            <w:webHidden/>
          </w:rPr>
          <w:fldChar w:fldCharType="separate"/>
        </w:r>
        <w:r w:rsidR="0052665E">
          <w:rPr>
            <w:noProof/>
            <w:webHidden/>
          </w:rPr>
          <w:t>16</w:t>
        </w:r>
        <w:r w:rsidR="0052665E">
          <w:rPr>
            <w:noProof/>
            <w:webHidden/>
          </w:rPr>
          <w:fldChar w:fldCharType="end"/>
        </w:r>
      </w:hyperlink>
    </w:p>
    <w:p w:rsidR="0052665E" w:rsidRDefault="00497984">
      <w:pPr>
        <w:pStyle w:val="Obsah2"/>
        <w:tabs>
          <w:tab w:val="right" w:leader="dot" w:pos="9061"/>
        </w:tabs>
        <w:rPr>
          <w:rFonts w:asciiTheme="minorHAnsi" w:eastAsiaTheme="minorEastAsia" w:hAnsiTheme="minorHAnsi" w:cstheme="minorBidi"/>
          <w:noProof/>
          <w:sz w:val="22"/>
          <w:szCs w:val="22"/>
        </w:rPr>
      </w:pPr>
      <w:hyperlink w:anchor="_Toc433873466" w:history="1">
        <w:r w:rsidR="0052665E" w:rsidRPr="002F734D">
          <w:rPr>
            <w:rStyle w:val="Hypertextovodkaz"/>
            <w:noProof/>
          </w:rPr>
          <w:t>2.4 Hlavní problémy, které se vyskytly při realizaci programu, a přijatá opatření</w:t>
        </w:r>
        <w:r w:rsidR="0052665E">
          <w:rPr>
            <w:noProof/>
            <w:webHidden/>
          </w:rPr>
          <w:tab/>
        </w:r>
        <w:r w:rsidR="0052665E">
          <w:rPr>
            <w:noProof/>
            <w:webHidden/>
          </w:rPr>
          <w:fldChar w:fldCharType="begin"/>
        </w:r>
        <w:r w:rsidR="0052665E">
          <w:rPr>
            <w:noProof/>
            <w:webHidden/>
          </w:rPr>
          <w:instrText xml:space="preserve"> PAGEREF _Toc433873466 \h </w:instrText>
        </w:r>
        <w:r w:rsidR="0052665E">
          <w:rPr>
            <w:noProof/>
            <w:webHidden/>
          </w:rPr>
        </w:r>
        <w:r w:rsidR="0052665E">
          <w:rPr>
            <w:noProof/>
            <w:webHidden/>
          </w:rPr>
          <w:fldChar w:fldCharType="separate"/>
        </w:r>
        <w:r w:rsidR="0052665E">
          <w:rPr>
            <w:noProof/>
            <w:webHidden/>
          </w:rPr>
          <w:t>17</w:t>
        </w:r>
        <w:r w:rsidR="0052665E">
          <w:rPr>
            <w:noProof/>
            <w:webHidden/>
          </w:rPr>
          <w:fldChar w:fldCharType="end"/>
        </w:r>
      </w:hyperlink>
    </w:p>
    <w:p w:rsidR="0052665E" w:rsidRDefault="00497984">
      <w:pPr>
        <w:pStyle w:val="Obsah3"/>
        <w:tabs>
          <w:tab w:val="right" w:leader="dot" w:pos="9061"/>
        </w:tabs>
        <w:rPr>
          <w:rFonts w:asciiTheme="minorHAnsi" w:eastAsiaTheme="minorEastAsia" w:hAnsiTheme="minorHAnsi" w:cstheme="minorBidi"/>
          <w:noProof/>
          <w:sz w:val="22"/>
          <w:szCs w:val="22"/>
        </w:rPr>
      </w:pPr>
      <w:hyperlink w:anchor="_Toc433873467" w:history="1">
        <w:r w:rsidR="0052665E" w:rsidRPr="002F734D">
          <w:rPr>
            <w:rStyle w:val="Hypertextovodkaz"/>
            <w:noProof/>
          </w:rPr>
          <w:t>2.4.1 Riziko nedočerpání alokace programu</w:t>
        </w:r>
        <w:r w:rsidR="0052665E">
          <w:rPr>
            <w:noProof/>
            <w:webHidden/>
          </w:rPr>
          <w:tab/>
        </w:r>
        <w:r w:rsidR="0052665E">
          <w:rPr>
            <w:noProof/>
            <w:webHidden/>
          </w:rPr>
          <w:fldChar w:fldCharType="begin"/>
        </w:r>
        <w:r w:rsidR="0052665E">
          <w:rPr>
            <w:noProof/>
            <w:webHidden/>
          </w:rPr>
          <w:instrText xml:space="preserve"> PAGEREF _Toc433873467 \h </w:instrText>
        </w:r>
        <w:r w:rsidR="0052665E">
          <w:rPr>
            <w:noProof/>
            <w:webHidden/>
          </w:rPr>
        </w:r>
        <w:r w:rsidR="0052665E">
          <w:rPr>
            <w:noProof/>
            <w:webHidden/>
          </w:rPr>
          <w:fldChar w:fldCharType="separate"/>
        </w:r>
        <w:r w:rsidR="0052665E">
          <w:rPr>
            <w:noProof/>
            <w:webHidden/>
          </w:rPr>
          <w:t>17</w:t>
        </w:r>
        <w:r w:rsidR="0052665E">
          <w:rPr>
            <w:noProof/>
            <w:webHidden/>
          </w:rPr>
          <w:fldChar w:fldCharType="end"/>
        </w:r>
      </w:hyperlink>
    </w:p>
    <w:p w:rsidR="0052665E" w:rsidRDefault="00497984">
      <w:pPr>
        <w:pStyle w:val="Obsah3"/>
        <w:tabs>
          <w:tab w:val="right" w:leader="dot" w:pos="9061"/>
        </w:tabs>
        <w:rPr>
          <w:rFonts w:asciiTheme="minorHAnsi" w:eastAsiaTheme="minorEastAsia" w:hAnsiTheme="minorHAnsi" w:cstheme="minorBidi"/>
          <w:noProof/>
          <w:sz w:val="22"/>
          <w:szCs w:val="22"/>
        </w:rPr>
      </w:pPr>
      <w:hyperlink w:anchor="_Toc433873468" w:history="1">
        <w:r w:rsidR="0052665E" w:rsidRPr="002F734D">
          <w:rPr>
            <w:rStyle w:val="Hypertextovodkaz"/>
            <w:noProof/>
          </w:rPr>
          <w:t>2.4.2 Řešení chybovosti IOP ve Výroční kontrolní zprávě za rok 2013</w:t>
        </w:r>
        <w:r w:rsidR="0052665E">
          <w:rPr>
            <w:noProof/>
            <w:webHidden/>
          </w:rPr>
          <w:tab/>
        </w:r>
        <w:r w:rsidR="0052665E">
          <w:rPr>
            <w:noProof/>
            <w:webHidden/>
          </w:rPr>
          <w:fldChar w:fldCharType="begin"/>
        </w:r>
        <w:r w:rsidR="0052665E">
          <w:rPr>
            <w:noProof/>
            <w:webHidden/>
          </w:rPr>
          <w:instrText xml:space="preserve"> PAGEREF _Toc433873468 \h </w:instrText>
        </w:r>
        <w:r w:rsidR="0052665E">
          <w:rPr>
            <w:noProof/>
            <w:webHidden/>
          </w:rPr>
        </w:r>
        <w:r w:rsidR="0052665E">
          <w:rPr>
            <w:noProof/>
            <w:webHidden/>
          </w:rPr>
          <w:fldChar w:fldCharType="separate"/>
        </w:r>
        <w:r w:rsidR="0052665E">
          <w:rPr>
            <w:noProof/>
            <w:webHidden/>
          </w:rPr>
          <w:t>19</w:t>
        </w:r>
        <w:r w:rsidR="0052665E">
          <w:rPr>
            <w:noProof/>
            <w:webHidden/>
          </w:rPr>
          <w:fldChar w:fldCharType="end"/>
        </w:r>
      </w:hyperlink>
    </w:p>
    <w:p w:rsidR="0052665E" w:rsidRDefault="00497984">
      <w:pPr>
        <w:pStyle w:val="Obsah3"/>
        <w:tabs>
          <w:tab w:val="right" w:leader="dot" w:pos="9061"/>
        </w:tabs>
        <w:rPr>
          <w:rFonts w:asciiTheme="minorHAnsi" w:eastAsiaTheme="minorEastAsia" w:hAnsiTheme="minorHAnsi" w:cstheme="minorBidi"/>
          <w:noProof/>
          <w:sz w:val="22"/>
          <w:szCs w:val="22"/>
        </w:rPr>
      </w:pPr>
      <w:hyperlink w:anchor="_Toc433873469" w:history="1">
        <w:r w:rsidR="0052665E" w:rsidRPr="002F734D">
          <w:rPr>
            <w:rStyle w:val="Hypertextovodkaz"/>
            <w:noProof/>
          </w:rPr>
          <w:t>2.4.3 Spící a rizikové projekty IOP</w:t>
        </w:r>
        <w:r w:rsidR="0052665E">
          <w:rPr>
            <w:noProof/>
            <w:webHidden/>
          </w:rPr>
          <w:tab/>
        </w:r>
        <w:r w:rsidR="0052665E">
          <w:rPr>
            <w:noProof/>
            <w:webHidden/>
          </w:rPr>
          <w:fldChar w:fldCharType="begin"/>
        </w:r>
        <w:r w:rsidR="0052665E">
          <w:rPr>
            <w:noProof/>
            <w:webHidden/>
          </w:rPr>
          <w:instrText xml:space="preserve"> PAGEREF _Toc433873469 \h </w:instrText>
        </w:r>
        <w:r w:rsidR="0052665E">
          <w:rPr>
            <w:noProof/>
            <w:webHidden/>
          </w:rPr>
        </w:r>
        <w:r w:rsidR="0052665E">
          <w:rPr>
            <w:noProof/>
            <w:webHidden/>
          </w:rPr>
          <w:fldChar w:fldCharType="separate"/>
        </w:r>
        <w:r w:rsidR="0052665E">
          <w:rPr>
            <w:noProof/>
            <w:webHidden/>
          </w:rPr>
          <w:t>19</w:t>
        </w:r>
        <w:r w:rsidR="0052665E">
          <w:rPr>
            <w:noProof/>
            <w:webHidden/>
          </w:rPr>
          <w:fldChar w:fldCharType="end"/>
        </w:r>
      </w:hyperlink>
    </w:p>
    <w:p w:rsidR="0052665E" w:rsidRDefault="00497984">
      <w:pPr>
        <w:pStyle w:val="Obsah3"/>
        <w:tabs>
          <w:tab w:val="right" w:leader="dot" w:pos="9061"/>
        </w:tabs>
        <w:rPr>
          <w:rFonts w:asciiTheme="minorHAnsi" w:eastAsiaTheme="minorEastAsia" w:hAnsiTheme="minorHAnsi" w:cstheme="minorBidi"/>
          <w:noProof/>
          <w:sz w:val="22"/>
          <w:szCs w:val="22"/>
        </w:rPr>
      </w:pPr>
      <w:hyperlink w:anchor="_Toc433873470" w:history="1">
        <w:r w:rsidR="0052665E" w:rsidRPr="002F734D">
          <w:rPr>
            <w:rStyle w:val="Hypertextovodkaz"/>
            <w:noProof/>
          </w:rPr>
          <w:t>2.4.4 Česká pošta</w:t>
        </w:r>
        <w:r w:rsidR="0052665E">
          <w:rPr>
            <w:noProof/>
            <w:webHidden/>
          </w:rPr>
          <w:tab/>
        </w:r>
        <w:r w:rsidR="0052665E">
          <w:rPr>
            <w:noProof/>
            <w:webHidden/>
          </w:rPr>
          <w:fldChar w:fldCharType="begin"/>
        </w:r>
        <w:r w:rsidR="0052665E">
          <w:rPr>
            <w:noProof/>
            <w:webHidden/>
          </w:rPr>
          <w:instrText xml:space="preserve"> PAGEREF _Toc433873470 \h </w:instrText>
        </w:r>
        <w:r w:rsidR="0052665E">
          <w:rPr>
            <w:noProof/>
            <w:webHidden/>
          </w:rPr>
        </w:r>
        <w:r w:rsidR="0052665E">
          <w:rPr>
            <w:noProof/>
            <w:webHidden/>
          </w:rPr>
          <w:fldChar w:fldCharType="separate"/>
        </w:r>
        <w:r w:rsidR="0052665E">
          <w:rPr>
            <w:noProof/>
            <w:webHidden/>
          </w:rPr>
          <w:t>20</w:t>
        </w:r>
        <w:r w:rsidR="0052665E">
          <w:rPr>
            <w:noProof/>
            <w:webHidden/>
          </w:rPr>
          <w:fldChar w:fldCharType="end"/>
        </w:r>
      </w:hyperlink>
    </w:p>
    <w:p w:rsidR="0052665E" w:rsidRDefault="00497984">
      <w:pPr>
        <w:pStyle w:val="Obsah3"/>
        <w:tabs>
          <w:tab w:val="right" w:leader="dot" w:pos="9061"/>
        </w:tabs>
        <w:rPr>
          <w:rFonts w:asciiTheme="minorHAnsi" w:eastAsiaTheme="minorEastAsia" w:hAnsiTheme="minorHAnsi" w:cstheme="minorBidi"/>
          <w:noProof/>
          <w:sz w:val="22"/>
          <w:szCs w:val="22"/>
        </w:rPr>
      </w:pPr>
      <w:hyperlink w:anchor="_Toc433873471" w:history="1">
        <w:r w:rsidR="0052665E" w:rsidRPr="002F734D">
          <w:rPr>
            <w:rStyle w:val="Hypertextovodkaz"/>
            <w:noProof/>
          </w:rPr>
          <w:t>2.4.5 Administrativní kapacity pro ukončení programu</w:t>
        </w:r>
        <w:r w:rsidR="0052665E">
          <w:rPr>
            <w:noProof/>
            <w:webHidden/>
          </w:rPr>
          <w:tab/>
        </w:r>
        <w:r w:rsidR="0052665E">
          <w:rPr>
            <w:noProof/>
            <w:webHidden/>
          </w:rPr>
          <w:fldChar w:fldCharType="begin"/>
        </w:r>
        <w:r w:rsidR="0052665E">
          <w:rPr>
            <w:noProof/>
            <w:webHidden/>
          </w:rPr>
          <w:instrText xml:space="preserve"> PAGEREF _Toc433873471 \h </w:instrText>
        </w:r>
        <w:r w:rsidR="0052665E">
          <w:rPr>
            <w:noProof/>
            <w:webHidden/>
          </w:rPr>
        </w:r>
        <w:r w:rsidR="0052665E">
          <w:rPr>
            <w:noProof/>
            <w:webHidden/>
          </w:rPr>
          <w:fldChar w:fldCharType="separate"/>
        </w:r>
        <w:r w:rsidR="0052665E">
          <w:rPr>
            <w:noProof/>
            <w:webHidden/>
          </w:rPr>
          <w:t>21</w:t>
        </w:r>
        <w:r w:rsidR="0052665E">
          <w:rPr>
            <w:noProof/>
            <w:webHidden/>
          </w:rPr>
          <w:fldChar w:fldCharType="end"/>
        </w:r>
      </w:hyperlink>
    </w:p>
    <w:p w:rsidR="0052665E" w:rsidRDefault="00497984">
      <w:pPr>
        <w:pStyle w:val="Obsah3"/>
        <w:tabs>
          <w:tab w:val="right" w:leader="dot" w:pos="9061"/>
        </w:tabs>
        <w:rPr>
          <w:rFonts w:asciiTheme="minorHAnsi" w:eastAsiaTheme="minorEastAsia" w:hAnsiTheme="minorHAnsi" w:cstheme="minorBidi"/>
          <w:noProof/>
          <w:sz w:val="22"/>
          <w:szCs w:val="22"/>
        </w:rPr>
      </w:pPr>
      <w:hyperlink w:anchor="_Toc433873472" w:history="1">
        <w:r w:rsidR="0052665E" w:rsidRPr="002F734D">
          <w:rPr>
            <w:rStyle w:val="Hypertextovodkaz"/>
            <w:noProof/>
          </w:rPr>
          <w:t>2.4.6 Krizové řízení a plnění usnesení  vlády č. 124/2015</w:t>
        </w:r>
        <w:r w:rsidR="0052665E">
          <w:rPr>
            <w:noProof/>
            <w:webHidden/>
          </w:rPr>
          <w:tab/>
        </w:r>
        <w:r w:rsidR="0052665E">
          <w:rPr>
            <w:noProof/>
            <w:webHidden/>
          </w:rPr>
          <w:fldChar w:fldCharType="begin"/>
        </w:r>
        <w:r w:rsidR="0052665E">
          <w:rPr>
            <w:noProof/>
            <w:webHidden/>
          </w:rPr>
          <w:instrText xml:space="preserve"> PAGEREF _Toc433873472 \h </w:instrText>
        </w:r>
        <w:r w:rsidR="0052665E">
          <w:rPr>
            <w:noProof/>
            <w:webHidden/>
          </w:rPr>
        </w:r>
        <w:r w:rsidR="0052665E">
          <w:rPr>
            <w:noProof/>
            <w:webHidden/>
          </w:rPr>
          <w:fldChar w:fldCharType="separate"/>
        </w:r>
        <w:r w:rsidR="0052665E">
          <w:rPr>
            <w:noProof/>
            <w:webHidden/>
          </w:rPr>
          <w:t>21</w:t>
        </w:r>
        <w:r w:rsidR="0052665E">
          <w:rPr>
            <w:noProof/>
            <w:webHidden/>
          </w:rPr>
          <w:fldChar w:fldCharType="end"/>
        </w:r>
      </w:hyperlink>
    </w:p>
    <w:p w:rsidR="0052665E" w:rsidRDefault="00497984">
      <w:pPr>
        <w:pStyle w:val="Obsah3"/>
        <w:tabs>
          <w:tab w:val="right" w:leader="dot" w:pos="9061"/>
        </w:tabs>
        <w:rPr>
          <w:rFonts w:asciiTheme="minorHAnsi" w:eastAsiaTheme="minorEastAsia" w:hAnsiTheme="minorHAnsi" w:cstheme="minorBidi"/>
          <w:noProof/>
          <w:sz w:val="22"/>
          <w:szCs w:val="22"/>
        </w:rPr>
      </w:pPr>
      <w:hyperlink w:anchor="_Toc433873473" w:history="1">
        <w:r w:rsidR="0052665E" w:rsidRPr="002F734D">
          <w:rPr>
            <w:rStyle w:val="Hypertextovodkaz"/>
            <w:noProof/>
          </w:rPr>
          <w:t>2.4.7 Metodika finančních toků v souvislosti s výkonem auditu AO</w:t>
        </w:r>
        <w:r w:rsidR="0052665E">
          <w:rPr>
            <w:noProof/>
            <w:webHidden/>
          </w:rPr>
          <w:tab/>
        </w:r>
        <w:r w:rsidR="0052665E">
          <w:rPr>
            <w:noProof/>
            <w:webHidden/>
          </w:rPr>
          <w:fldChar w:fldCharType="begin"/>
        </w:r>
        <w:r w:rsidR="0052665E">
          <w:rPr>
            <w:noProof/>
            <w:webHidden/>
          </w:rPr>
          <w:instrText xml:space="preserve"> PAGEREF _Toc433873473 \h </w:instrText>
        </w:r>
        <w:r w:rsidR="0052665E">
          <w:rPr>
            <w:noProof/>
            <w:webHidden/>
          </w:rPr>
        </w:r>
        <w:r w:rsidR="0052665E">
          <w:rPr>
            <w:noProof/>
            <w:webHidden/>
          </w:rPr>
          <w:fldChar w:fldCharType="separate"/>
        </w:r>
        <w:r w:rsidR="0052665E">
          <w:rPr>
            <w:noProof/>
            <w:webHidden/>
          </w:rPr>
          <w:t>21</w:t>
        </w:r>
        <w:r w:rsidR="0052665E">
          <w:rPr>
            <w:noProof/>
            <w:webHidden/>
          </w:rPr>
          <w:fldChar w:fldCharType="end"/>
        </w:r>
      </w:hyperlink>
    </w:p>
    <w:p w:rsidR="0052665E" w:rsidRDefault="00497984">
      <w:pPr>
        <w:pStyle w:val="Obsah3"/>
        <w:tabs>
          <w:tab w:val="right" w:leader="dot" w:pos="9061"/>
        </w:tabs>
        <w:rPr>
          <w:rFonts w:asciiTheme="minorHAnsi" w:eastAsiaTheme="minorEastAsia" w:hAnsiTheme="minorHAnsi" w:cstheme="minorBidi"/>
          <w:noProof/>
          <w:sz w:val="22"/>
          <w:szCs w:val="22"/>
        </w:rPr>
      </w:pPr>
      <w:hyperlink w:anchor="_Toc433873474" w:history="1">
        <w:r w:rsidR="0052665E" w:rsidRPr="002F734D">
          <w:rPr>
            <w:rStyle w:val="Hypertextovodkaz"/>
            <w:noProof/>
          </w:rPr>
          <w:t>2. 4. 8 Varovný dopis EK k 10 projektům v oblasti intervence 2.1</w:t>
        </w:r>
        <w:r w:rsidR="0052665E">
          <w:rPr>
            <w:noProof/>
            <w:webHidden/>
          </w:rPr>
          <w:tab/>
        </w:r>
        <w:r w:rsidR="0052665E">
          <w:rPr>
            <w:noProof/>
            <w:webHidden/>
          </w:rPr>
          <w:fldChar w:fldCharType="begin"/>
        </w:r>
        <w:r w:rsidR="0052665E">
          <w:rPr>
            <w:noProof/>
            <w:webHidden/>
          </w:rPr>
          <w:instrText xml:space="preserve"> PAGEREF _Toc433873474 \h </w:instrText>
        </w:r>
        <w:r w:rsidR="0052665E">
          <w:rPr>
            <w:noProof/>
            <w:webHidden/>
          </w:rPr>
        </w:r>
        <w:r w:rsidR="0052665E">
          <w:rPr>
            <w:noProof/>
            <w:webHidden/>
          </w:rPr>
          <w:fldChar w:fldCharType="separate"/>
        </w:r>
        <w:r w:rsidR="0052665E">
          <w:rPr>
            <w:noProof/>
            <w:webHidden/>
          </w:rPr>
          <w:t>22</w:t>
        </w:r>
        <w:r w:rsidR="0052665E">
          <w:rPr>
            <w:noProof/>
            <w:webHidden/>
          </w:rPr>
          <w:fldChar w:fldCharType="end"/>
        </w:r>
      </w:hyperlink>
    </w:p>
    <w:p w:rsidR="0052665E" w:rsidRDefault="00497984">
      <w:pPr>
        <w:pStyle w:val="Obsah3"/>
        <w:tabs>
          <w:tab w:val="right" w:leader="dot" w:pos="9061"/>
        </w:tabs>
        <w:rPr>
          <w:rFonts w:asciiTheme="minorHAnsi" w:eastAsiaTheme="minorEastAsia" w:hAnsiTheme="minorHAnsi" w:cstheme="minorBidi"/>
          <w:noProof/>
          <w:sz w:val="22"/>
          <w:szCs w:val="22"/>
        </w:rPr>
      </w:pPr>
      <w:hyperlink w:anchor="_Toc433873475" w:history="1">
        <w:r w:rsidR="0052665E" w:rsidRPr="002F734D">
          <w:rPr>
            <w:rStyle w:val="Hypertextovodkaz"/>
            <w:noProof/>
          </w:rPr>
          <w:t>2. 4. 9 Přerušení plateb pro oblast intervence 5.1</w:t>
        </w:r>
        <w:r w:rsidR="0052665E">
          <w:rPr>
            <w:noProof/>
            <w:webHidden/>
          </w:rPr>
          <w:tab/>
        </w:r>
        <w:r w:rsidR="0052665E">
          <w:rPr>
            <w:noProof/>
            <w:webHidden/>
          </w:rPr>
          <w:fldChar w:fldCharType="begin"/>
        </w:r>
        <w:r w:rsidR="0052665E">
          <w:rPr>
            <w:noProof/>
            <w:webHidden/>
          </w:rPr>
          <w:instrText xml:space="preserve"> PAGEREF _Toc433873475 \h </w:instrText>
        </w:r>
        <w:r w:rsidR="0052665E">
          <w:rPr>
            <w:noProof/>
            <w:webHidden/>
          </w:rPr>
        </w:r>
        <w:r w:rsidR="0052665E">
          <w:rPr>
            <w:noProof/>
            <w:webHidden/>
          </w:rPr>
          <w:fldChar w:fldCharType="separate"/>
        </w:r>
        <w:r w:rsidR="0052665E">
          <w:rPr>
            <w:noProof/>
            <w:webHidden/>
          </w:rPr>
          <w:t>22</w:t>
        </w:r>
        <w:r w:rsidR="0052665E">
          <w:rPr>
            <w:noProof/>
            <w:webHidden/>
          </w:rPr>
          <w:fldChar w:fldCharType="end"/>
        </w:r>
      </w:hyperlink>
    </w:p>
    <w:p w:rsidR="0052665E" w:rsidRDefault="00497984">
      <w:pPr>
        <w:pStyle w:val="Obsah3"/>
        <w:tabs>
          <w:tab w:val="right" w:leader="dot" w:pos="9061"/>
        </w:tabs>
        <w:rPr>
          <w:rFonts w:asciiTheme="minorHAnsi" w:eastAsiaTheme="minorEastAsia" w:hAnsiTheme="minorHAnsi" w:cstheme="minorBidi"/>
          <w:noProof/>
          <w:sz w:val="22"/>
          <w:szCs w:val="22"/>
        </w:rPr>
      </w:pPr>
      <w:hyperlink w:anchor="_Toc433873476" w:history="1">
        <w:r w:rsidR="0052665E" w:rsidRPr="002F734D">
          <w:rPr>
            <w:rStyle w:val="Hypertextovodkaz"/>
            <w:noProof/>
          </w:rPr>
          <w:t>2. 4. 10 Horizontální audit ICT projektů</w:t>
        </w:r>
        <w:r w:rsidR="0052665E">
          <w:rPr>
            <w:noProof/>
            <w:webHidden/>
          </w:rPr>
          <w:tab/>
        </w:r>
        <w:r w:rsidR="0052665E">
          <w:rPr>
            <w:noProof/>
            <w:webHidden/>
          </w:rPr>
          <w:fldChar w:fldCharType="begin"/>
        </w:r>
        <w:r w:rsidR="0052665E">
          <w:rPr>
            <w:noProof/>
            <w:webHidden/>
          </w:rPr>
          <w:instrText xml:space="preserve"> PAGEREF _Toc433873476 \h </w:instrText>
        </w:r>
        <w:r w:rsidR="0052665E">
          <w:rPr>
            <w:noProof/>
            <w:webHidden/>
          </w:rPr>
        </w:r>
        <w:r w:rsidR="0052665E">
          <w:rPr>
            <w:noProof/>
            <w:webHidden/>
          </w:rPr>
          <w:fldChar w:fldCharType="separate"/>
        </w:r>
        <w:r w:rsidR="0052665E">
          <w:rPr>
            <w:noProof/>
            <w:webHidden/>
          </w:rPr>
          <w:t>22</w:t>
        </w:r>
        <w:r w:rsidR="0052665E">
          <w:rPr>
            <w:noProof/>
            <w:webHidden/>
          </w:rPr>
          <w:fldChar w:fldCharType="end"/>
        </w:r>
      </w:hyperlink>
    </w:p>
    <w:p w:rsidR="0052665E" w:rsidRDefault="00497984">
      <w:pPr>
        <w:pStyle w:val="Obsah3"/>
        <w:tabs>
          <w:tab w:val="right" w:leader="dot" w:pos="9061"/>
        </w:tabs>
        <w:rPr>
          <w:rFonts w:asciiTheme="minorHAnsi" w:eastAsiaTheme="minorEastAsia" w:hAnsiTheme="minorHAnsi" w:cstheme="minorBidi"/>
          <w:noProof/>
          <w:sz w:val="22"/>
          <w:szCs w:val="22"/>
        </w:rPr>
      </w:pPr>
      <w:hyperlink w:anchor="_Toc433873477" w:history="1">
        <w:r w:rsidR="0052665E" w:rsidRPr="002F734D">
          <w:rPr>
            <w:rStyle w:val="Hypertextovodkaz"/>
            <w:noProof/>
          </w:rPr>
          <w:t>2. 4. 11 Vysoké množství externích kontrol u ŘO IOP a u některých příjemců</w:t>
        </w:r>
        <w:r w:rsidR="0052665E">
          <w:rPr>
            <w:noProof/>
            <w:webHidden/>
          </w:rPr>
          <w:tab/>
        </w:r>
        <w:r w:rsidR="0052665E">
          <w:rPr>
            <w:noProof/>
            <w:webHidden/>
          </w:rPr>
          <w:fldChar w:fldCharType="begin"/>
        </w:r>
        <w:r w:rsidR="0052665E">
          <w:rPr>
            <w:noProof/>
            <w:webHidden/>
          </w:rPr>
          <w:instrText xml:space="preserve"> PAGEREF _Toc433873477 \h </w:instrText>
        </w:r>
        <w:r w:rsidR="0052665E">
          <w:rPr>
            <w:noProof/>
            <w:webHidden/>
          </w:rPr>
        </w:r>
        <w:r w:rsidR="0052665E">
          <w:rPr>
            <w:noProof/>
            <w:webHidden/>
          </w:rPr>
          <w:fldChar w:fldCharType="separate"/>
        </w:r>
        <w:r w:rsidR="0052665E">
          <w:rPr>
            <w:noProof/>
            <w:webHidden/>
          </w:rPr>
          <w:t>23</w:t>
        </w:r>
        <w:r w:rsidR="0052665E">
          <w:rPr>
            <w:noProof/>
            <w:webHidden/>
          </w:rPr>
          <w:fldChar w:fldCharType="end"/>
        </w:r>
      </w:hyperlink>
    </w:p>
    <w:p w:rsidR="0052665E" w:rsidRDefault="00497984">
      <w:pPr>
        <w:pStyle w:val="Obsah2"/>
        <w:tabs>
          <w:tab w:val="right" w:leader="dot" w:pos="9061"/>
        </w:tabs>
        <w:rPr>
          <w:rFonts w:asciiTheme="minorHAnsi" w:eastAsiaTheme="minorEastAsia" w:hAnsiTheme="minorHAnsi" w:cstheme="minorBidi"/>
          <w:noProof/>
          <w:sz w:val="22"/>
          <w:szCs w:val="22"/>
        </w:rPr>
      </w:pPr>
      <w:hyperlink w:anchor="_Toc433873478" w:history="1">
        <w:r w:rsidR="0052665E" w:rsidRPr="002F734D">
          <w:rPr>
            <w:rStyle w:val="Hypertextovodkaz"/>
            <w:noProof/>
          </w:rPr>
          <w:t>2.5 Velké projekty IOP</w:t>
        </w:r>
        <w:r w:rsidR="0052665E">
          <w:rPr>
            <w:noProof/>
            <w:webHidden/>
          </w:rPr>
          <w:tab/>
        </w:r>
        <w:r w:rsidR="0052665E">
          <w:rPr>
            <w:noProof/>
            <w:webHidden/>
          </w:rPr>
          <w:fldChar w:fldCharType="begin"/>
        </w:r>
        <w:r w:rsidR="0052665E">
          <w:rPr>
            <w:noProof/>
            <w:webHidden/>
          </w:rPr>
          <w:instrText xml:space="preserve"> PAGEREF _Toc433873478 \h </w:instrText>
        </w:r>
        <w:r w:rsidR="0052665E">
          <w:rPr>
            <w:noProof/>
            <w:webHidden/>
          </w:rPr>
        </w:r>
        <w:r w:rsidR="0052665E">
          <w:rPr>
            <w:noProof/>
            <w:webHidden/>
          </w:rPr>
          <w:fldChar w:fldCharType="separate"/>
        </w:r>
        <w:r w:rsidR="0052665E">
          <w:rPr>
            <w:noProof/>
            <w:webHidden/>
          </w:rPr>
          <w:t>23</w:t>
        </w:r>
        <w:r w:rsidR="0052665E">
          <w:rPr>
            <w:noProof/>
            <w:webHidden/>
          </w:rPr>
          <w:fldChar w:fldCharType="end"/>
        </w:r>
      </w:hyperlink>
    </w:p>
    <w:p w:rsidR="0052665E" w:rsidRDefault="00497984">
      <w:pPr>
        <w:pStyle w:val="Obsah2"/>
        <w:tabs>
          <w:tab w:val="left" w:pos="880"/>
          <w:tab w:val="right" w:leader="dot" w:pos="9061"/>
        </w:tabs>
        <w:rPr>
          <w:rFonts w:asciiTheme="minorHAnsi" w:eastAsiaTheme="minorEastAsia" w:hAnsiTheme="minorHAnsi" w:cstheme="minorBidi"/>
          <w:noProof/>
          <w:sz w:val="22"/>
          <w:szCs w:val="22"/>
        </w:rPr>
      </w:pPr>
      <w:hyperlink w:anchor="_Toc433873479" w:history="1">
        <w:r w:rsidR="0052665E" w:rsidRPr="002F734D">
          <w:rPr>
            <w:rStyle w:val="Hypertextovodkaz"/>
            <w:noProof/>
          </w:rPr>
          <w:t>2.6</w:t>
        </w:r>
        <w:r w:rsidR="0052665E">
          <w:rPr>
            <w:rFonts w:asciiTheme="minorHAnsi" w:eastAsiaTheme="minorEastAsia" w:hAnsiTheme="minorHAnsi" w:cstheme="minorBidi"/>
            <w:noProof/>
            <w:sz w:val="22"/>
            <w:szCs w:val="22"/>
          </w:rPr>
          <w:tab/>
        </w:r>
        <w:r w:rsidR="0052665E" w:rsidRPr="002F734D">
          <w:rPr>
            <w:rStyle w:val="Hypertextovodkaz"/>
            <w:noProof/>
          </w:rPr>
          <w:t>Opatření přijatá k závěrům z minulého jednání monitorovacího výboru</w:t>
        </w:r>
        <w:r w:rsidR="0052665E">
          <w:rPr>
            <w:noProof/>
            <w:webHidden/>
          </w:rPr>
          <w:tab/>
        </w:r>
        <w:r w:rsidR="0052665E">
          <w:rPr>
            <w:noProof/>
            <w:webHidden/>
          </w:rPr>
          <w:fldChar w:fldCharType="begin"/>
        </w:r>
        <w:r w:rsidR="0052665E">
          <w:rPr>
            <w:noProof/>
            <w:webHidden/>
          </w:rPr>
          <w:instrText xml:space="preserve"> PAGEREF _Toc433873479 \h </w:instrText>
        </w:r>
        <w:r w:rsidR="0052665E">
          <w:rPr>
            <w:noProof/>
            <w:webHidden/>
          </w:rPr>
        </w:r>
        <w:r w:rsidR="0052665E">
          <w:rPr>
            <w:noProof/>
            <w:webHidden/>
          </w:rPr>
          <w:fldChar w:fldCharType="separate"/>
        </w:r>
        <w:r w:rsidR="0052665E">
          <w:rPr>
            <w:noProof/>
            <w:webHidden/>
          </w:rPr>
          <w:t>24</w:t>
        </w:r>
        <w:r w:rsidR="0052665E">
          <w:rPr>
            <w:noProof/>
            <w:webHidden/>
          </w:rPr>
          <w:fldChar w:fldCharType="end"/>
        </w:r>
      </w:hyperlink>
    </w:p>
    <w:p w:rsidR="0052665E" w:rsidRDefault="00497984">
      <w:pPr>
        <w:pStyle w:val="Obsah2"/>
        <w:tabs>
          <w:tab w:val="left" w:pos="880"/>
          <w:tab w:val="right" w:leader="dot" w:pos="9061"/>
        </w:tabs>
        <w:rPr>
          <w:rFonts w:asciiTheme="minorHAnsi" w:eastAsiaTheme="minorEastAsia" w:hAnsiTheme="minorHAnsi" w:cstheme="minorBidi"/>
          <w:noProof/>
          <w:sz w:val="22"/>
          <w:szCs w:val="22"/>
        </w:rPr>
      </w:pPr>
      <w:hyperlink w:anchor="_Toc433873480" w:history="1">
        <w:r w:rsidR="0052665E" w:rsidRPr="002F734D">
          <w:rPr>
            <w:rStyle w:val="Hypertextovodkaz"/>
            <w:noProof/>
          </w:rPr>
          <w:t>2.7</w:t>
        </w:r>
        <w:r w:rsidR="0052665E">
          <w:rPr>
            <w:rFonts w:asciiTheme="minorHAnsi" w:eastAsiaTheme="minorEastAsia" w:hAnsiTheme="minorHAnsi" w:cstheme="minorBidi"/>
            <w:noProof/>
            <w:sz w:val="22"/>
            <w:szCs w:val="22"/>
          </w:rPr>
          <w:tab/>
        </w:r>
        <w:r w:rsidR="0052665E" w:rsidRPr="002F734D">
          <w:rPr>
            <w:rStyle w:val="Hypertextovodkaz"/>
            <w:noProof/>
          </w:rPr>
          <w:t xml:space="preserve">Analýza rizik ve vztahu k dočerpání programu </w:t>
        </w:r>
        <w:r w:rsidR="0052665E">
          <w:rPr>
            <w:noProof/>
            <w:webHidden/>
          </w:rPr>
          <w:tab/>
        </w:r>
        <w:r w:rsidR="0052665E">
          <w:rPr>
            <w:noProof/>
            <w:webHidden/>
          </w:rPr>
          <w:fldChar w:fldCharType="begin"/>
        </w:r>
        <w:r w:rsidR="0052665E">
          <w:rPr>
            <w:noProof/>
            <w:webHidden/>
          </w:rPr>
          <w:instrText xml:space="preserve"> PAGEREF _Toc433873480 \h </w:instrText>
        </w:r>
        <w:r w:rsidR="0052665E">
          <w:rPr>
            <w:noProof/>
            <w:webHidden/>
          </w:rPr>
        </w:r>
        <w:r w:rsidR="0052665E">
          <w:rPr>
            <w:noProof/>
            <w:webHidden/>
          </w:rPr>
          <w:fldChar w:fldCharType="separate"/>
        </w:r>
        <w:r w:rsidR="0052665E">
          <w:rPr>
            <w:noProof/>
            <w:webHidden/>
          </w:rPr>
          <w:t>24</w:t>
        </w:r>
        <w:r w:rsidR="0052665E">
          <w:rPr>
            <w:noProof/>
            <w:webHidden/>
          </w:rPr>
          <w:fldChar w:fldCharType="end"/>
        </w:r>
      </w:hyperlink>
    </w:p>
    <w:p w:rsidR="0052665E" w:rsidRDefault="00497984">
      <w:pPr>
        <w:pStyle w:val="Obsah3"/>
        <w:tabs>
          <w:tab w:val="right" w:leader="dot" w:pos="9061"/>
        </w:tabs>
        <w:rPr>
          <w:rFonts w:asciiTheme="minorHAnsi" w:eastAsiaTheme="minorEastAsia" w:hAnsiTheme="minorHAnsi" w:cstheme="minorBidi"/>
          <w:noProof/>
          <w:sz w:val="22"/>
          <w:szCs w:val="22"/>
        </w:rPr>
      </w:pPr>
      <w:hyperlink w:anchor="_Toc433873481" w:history="1">
        <w:r w:rsidR="0052665E" w:rsidRPr="002F734D">
          <w:rPr>
            <w:rStyle w:val="Hypertextovodkaz"/>
            <w:noProof/>
          </w:rPr>
          <w:t>2.7.1 Analýza rizik ve vztahu k dočerpání programu</w:t>
        </w:r>
        <w:r w:rsidR="0052665E">
          <w:rPr>
            <w:noProof/>
            <w:webHidden/>
          </w:rPr>
          <w:tab/>
        </w:r>
        <w:r w:rsidR="0052665E">
          <w:rPr>
            <w:noProof/>
            <w:webHidden/>
          </w:rPr>
          <w:fldChar w:fldCharType="begin"/>
        </w:r>
        <w:r w:rsidR="0052665E">
          <w:rPr>
            <w:noProof/>
            <w:webHidden/>
          </w:rPr>
          <w:instrText xml:space="preserve"> PAGEREF _Toc433873481 \h </w:instrText>
        </w:r>
        <w:r w:rsidR="0052665E">
          <w:rPr>
            <w:noProof/>
            <w:webHidden/>
          </w:rPr>
        </w:r>
        <w:r w:rsidR="0052665E">
          <w:rPr>
            <w:noProof/>
            <w:webHidden/>
          </w:rPr>
          <w:fldChar w:fldCharType="separate"/>
        </w:r>
        <w:r w:rsidR="0052665E">
          <w:rPr>
            <w:noProof/>
            <w:webHidden/>
          </w:rPr>
          <w:t>26</w:t>
        </w:r>
        <w:r w:rsidR="0052665E">
          <w:rPr>
            <w:noProof/>
            <w:webHidden/>
          </w:rPr>
          <w:fldChar w:fldCharType="end"/>
        </w:r>
      </w:hyperlink>
    </w:p>
    <w:p w:rsidR="0052665E" w:rsidRDefault="00497984">
      <w:pPr>
        <w:pStyle w:val="Obsah3"/>
        <w:tabs>
          <w:tab w:val="right" w:leader="dot" w:pos="9061"/>
        </w:tabs>
        <w:rPr>
          <w:rFonts w:asciiTheme="minorHAnsi" w:eastAsiaTheme="minorEastAsia" w:hAnsiTheme="minorHAnsi" w:cstheme="minorBidi"/>
          <w:noProof/>
          <w:sz w:val="22"/>
          <w:szCs w:val="22"/>
        </w:rPr>
      </w:pPr>
      <w:hyperlink w:anchor="_Toc433873482" w:history="1">
        <w:r w:rsidR="0052665E" w:rsidRPr="002F734D">
          <w:rPr>
            <w:rStyle w:val="Hypertextovodkaz"/>
            <w:noProof/>
          </w:rPr>
          <w:t>2.7.2 Predikce vývoje čerpání IOP</w:t>
        </w:r>
        <w:r w:rsidR="0052665E">
          <w:rPr>
            <w:noProof/>
            <w:webHidden/>
          </w:rPr>
          <w:tab/>
        </w:r>
        <w:r w:rsidR="0052665E">
          <w:rPr>
            <w:noProof/>
            <w:webHidden/>
          </w:rPr>
          <w:fldChar w:fldCharType="begin"/>
        </w:r>
        <w:r w:rsidR="0052665E">
          <w:rPr>
            <w:noProof/>
            <w:webHidden/>
          </w:rPr>
          <w:instrText xml:space="preserve"> PAGEREF _Toc433873482 \h </w:instrText>
        </w:r>
        <w:r w:rsidR="0052665E">
          <w:rPr>
            <w:noProof/>
            <w:webHidden/>
          </w:rPr>
        </w:r>
        <w:r w:rsidR="0052665E">
          <w:rPr>
            <w:noProof/>
            <w:webHidden/>
          </w:rPr>
          <w:fldChar w:fldCharType="separate"/>
        </w:r>
        <w:r w:rsidR="0052665E">
          <w:rPr>
            <w:noProof/>
            <w:webHidden/>
          </w:rPr>
          <w:t>27</w:t>
        </w:r>
        <w:r w:rsidR="0052665E">
          <w:rPr>
            <w:noProof/>
            <w:webHidden/>
          </w:rPr>
          <w:fldChar w:fldCharType="end"/>
        </w:r>
      </w:hyperlink>
    </w:p>
    <w:p w:rsidR="0052665E" w:rsidRDefault="00497984">
      <w:pPr>
        <w:pStyle w:val="Obsah2"/>
        <w:tabs>
          <w:tab w:val="right" w:leader="dot" w:pos="9061"/>
        </w:tabs>
        <w:rPr>
          <w:rFonts w:asciiTheme="minorHAnsi" w:eastAsiaTheme="minorEastAsia" w:hAnsiTheme="minorHAnsi" w:cstheme="minorBidi"/>
          <w:noProof/>
          <w:sz w:val="22"/>
          <w:szCs w:val="22"/>
        </w:rPr>
      </w:pPr>
      <w:hyperlink w:anchor="_Toc433873483" w:history="1">
        <w:r w:rsidR="0052665E" w:rsidRPr="002F734D">
          <w:rPr>
            <w:rStyle w:val="Hypertextovodkaz"/>
            <w:noProof/>
          </w:rPr>
          <w:t>2.8 Analýza rizik ve vztahu k budoucímu pokroku implementace programu</w:t>
        </w:r>
        <w:r w:rsidR="0052665E">
          <w:rPr>
            <w:noProof/>
            <w:webHidden/>
          </w:rPr>
          <w:tab/>
        </w:r>
        <w:r w:rsidR="0052665E">
          <w:rPr>
            <w:noProof/>
            <w:webHidden/>
          </w:rPr>
          <w:fldChar w:fldCharType="begin"/>
        </w:r>
        <w:r w:rsidR="0052665E">
          <w:rPr>
            <w:noProof/>
            <w:webHidden/>
          </w:rPr>
          <w:instrText xml:space="preserve"> PAGEREF _Toc433873483 \h </w:instrText>
        </w:r>
        <w:r w:rsidR="0052665E">
          <w:rPr>
            <w:noProof/>
            <w:webHidden/>
          </w:rPr>
        </w:r>
        <w:r w:rsidR="0052665E">
          <w:rPr>
            <w:noProof/>
            <w:webHidden/>
          </w:rPr>
          <w:fldChar w:fldCharType="separate"/>
        </w:r>
        <w:r w:rsidR="0052665E">
          <w:rPr>
            <w:noProof/>
            <w:webHidden/>
          </w:rPr>
          <w:t>30</w:t>
        </w:r>
        <w:r w:rsidR="0052665E">
          <w:rPr>
            <w:noProof/>
            <w:webHidden/>
          </w:rPr>
          <w:fldChar w:fldCharType="end"/>
        </w:r>
      </w:hyperlink>
    </w:p>
    <w:p w:rsidR="0052665E" w:rsidRDefault="00497984">
      <w:pPr>
        <w:pStyle w:val="Obsah2"/>
        <w:tabs>
          <w:tab w:val="right" w:leader="dot" w:pos="9061"/>
        </w:tabs>
        <w:rPr>
          <w:rFonts w:asciiTheme="minorHAnsi" w:eastAsiaTheme="minorEastAsia" w:hAnsiTheme="minorHAnsi" w:cstheme="minorBidi"/>
          <w:noProof/>
          <w:sz w:val="22"/>
          <w:szCs w:val="22"/>
        </w:rPr>
      </w:pPr>
      <w:hyperlink w:anchor="_Toc433873484" w:history="1">
        <w:r w:rsidR="0052665E" w:rsidRPr="002F734D">
          <w:rPr>
            <w:rStyle w:val="Hypertextovodkaz"/>
            <w:noProof/>
          </w:rPr>
          <w:t>2.9 Předpokládaný harmonogram vyhlašování výzev</w:t>
        </w:r>
        <w:r w:rsidR="0052665E">
          <w:rPr>
            <w:noProof/>
            <w:webHidden/>
          </w:rPr>
          <w:tab/>
        </w:r>
        <w:r w:rsidR="0052665E">
          <w:rPr>
            <w:noProof/>
            <w:webHidden/>
          </w:rPr>
          <w:fldChar w:fldCharType="begin"/>
        </w:r>
        <w:r w:rsidR="0052665E">
          <w:rPr>
            <w:noProof/>
            <w:webHidden/>
          </w:rPr>
          <w:instrText xml:space="preserve"> PAGEREF _Toc433873484 \h </w:instrText>
        </w:r>
        <w:r w:rsidR="0052665E">
          <w:rPr>
            <w:noProof/>
            <w:webHidden/>
          </w:rPr>
        </w:r>
        <w:r w:rsidR="0052665E">
          <w:rPr>
            <w:noProof/>
            <w:webHidden/>
          </w:rPr>
          <w:fldChar w:fldCharType="separate"/>
        </w:r>
        <w:r w:rsidR="0052665E">
          <w:rPr>
            <w:noProof/>
            <w:webHidden/>
          </w:rPr>
          <w:t>34</w:t>
        </w:r>
        <w:r w:rsidR="0052665E">
          <w:rPr>
            <w:noProof/>
            <w:webHidden/>
          </w:rPr>
          <w:fldChar w:fldCharType="end"/>
        </w:r>
      </w:hyperlink>
    </w:p>
    <w:p w:rsidR="0052665E" w:rsidRDefault="00497984">
      <w:pPr>
        <w:pStyle w:val="Obsah2"/>
        <w:tabs>
          <w:tab w:val="right" w:leader="dot" w:pos="9061"/>
        </w:tabs>
        <w:rPr>
          <w:rFonts w:asciiTheme="minorHAnsi" w:eastAsiaTheme="minorEastAsia" w:hAnsiTheme="minorHAnsi" w:cstheme="minorBidi"/>
          <w:noProof/>
          <w:sz w:val="22"/>
          <w:szCs w:val="22"/>
        </w:rPr>
      </w:pPr>
      <w:hyperlink w:anchor="_Toc433873485" w:history="1">
        <w:r w:rsidR="0052665E" w:rsidRPr="002F734D">
          <w:rPr>
            <w:rStyle w:val="Hypertextovodkaz"/>
            <w:noProof/>
          </w:rPr>
          <w:t>2.10 Přehled schválených projektů</w:t>
        </w:r>
        <w:r w:rsidR="0052665E">
          <w:rPr>
            <w:noProof/>
            <w:webHidden/>
          </w:rPr>
          <w:tab/>
        </w:r>
        <w:r w:rsidR="0052665E">
          <w:rPr>
            <w:noProof/>
            <w:webHidden/>
          </w:rPr>
          <w:fldChar w:fldCharType="begin"/>
        </w:r>
        <w:r w:rsidR="0052665E">
          <w:rPr>
            <w:noProof/>
            <w:webHidden/>
          </w:rPr>
          <w:instrText xml:space="preserve"> PAGEREF _Toc433873485 \h </w:instrText>
        </w:r>
        <w:r w:rsidR="0052665E">
          <w:rPr>
            <w:noProof/>
            <w:webHidden/>
          </w:rPr>
        </w:r>
        <w:r w:rsidR="0052665E">
          <w:rPr>
            <w:noProof/>
            <w:webHidden/>
          </w:rPr>
          <w:fldChar w:fldCharType="separate"/>
        </w:r>
        <w:r w:rsidR="0052665E">
          <w:rPr>
            <w:noProof/>
            <w:webHidden/>
          </w:rPr>
          <w:t>34</w:t>
        </w:r>
        <w:r w:rsidR="0052665E">
          <w:rPr>
            <w:noProof/>
            <w:webHidden/>
          </w:rPr>
          <w:fldChar w:fldCharType="end"/>
        </w:r>
      </w:hyperlink>
    </w:p>
    <w:p w:rsidR="0052665E" w:rsidRDefault="00497984">
      <w:pPr>
        <w:pStyle w:val="Obsah2"/>
        <w:tabs>
          <w:tab w:val="right" w:leader="dot" w:pos="9061"/>
        </w:tabs>
        <w:rPr>
          <w:rFonts w:asciiTheme="minorHAnsi" w:eastAsiaTheme="minorEastAsia" w:hAnsiTheme="minorHAnsi" w:cstheme="minorBidi"/>
          <w:noProof/>
          <w:sz w:val="22"/>
          <w:szCs w:val="22"/>
        </w:rPr>
      </w:pPr>
      <w:hyperlink w:anchor="_Toc433873486" w:history="1">
        <w:r w:rsidR="0052665E" w:rsidRPr="002F734D">
          <w:rPr>
            <w:rStyle w:val="Hypertextovodkaz"/>
            <w:noProof/>
          </w:rPr>
          <w:t>2.11 Pokrok v realizaci finančních nástrojů</w:t>
        </w:r>
        <w:r w:rsidR="0052665E">
          <w:rPr>
            <w:noProof/>
            <w:webHidden/>
          </w:rPr>
          <w:tab/>
        </w:r>
        <w:r w:rsidR="0052665E">
          <w:rPr>
            <w:noProof/>
            <w:webHidden/>
          </w:rPr>
          <w:fldChar w:fldCharType="begin"/>
        </w:r>
        <w:r w:rsidR="0052665E">
          <w:rPr>
            <w:noProof/>
            <w:webHidden/>
          </w:rPr>
          <w:instrText xml:space="preserve"> PAGEREF _Toc433873486 \h </w:instrText>
        </w:r>
        <w:r w:rsidR="0052665E">
          <w:rPr>
            <w:noProof/>
            <w:webHidden/>
          </w:rPr>
        </w:r>
        <w:r w:rsidR="0052665E">
          <w:rPr>
            <w:noProof/>
            <w:webHidden/>
          </w:rPr>
          <w:fldChar w:fldCharType="separate"/>
        </w:r>
        <w:r w:rsidR="0052665E">
          <w:rPr>
            <w:noProof/>
            <w:webHidden/>
          </w:rPr>
          <w:t>37</w:t>
        </w:r>
        <w:r w:rsidR="0052665E">
          <w:rPr>
            <w:noProof/>
            <w:webHidden/>
          </w:rPr>
          <w:fldChar w:fldCharType="end"/>
        </w:r>
      </w:hyperlink>
    </w:p>
    <w:p w:rsidR="0052665E" w:rsidRDefault="00497984">
      <w:pPr>
        <w:pStyle w:val="Obsah1"/>
        <w:rPr>
          <w:rFonts w:asciiTheme="minorHAnsi" w:eastAsiaTheme="minorEastAsia" w:hAnsiTheme="minorHAnsi" w:cstheme="minorBidi"/>
          <w:noProof/>
          <w:sz w:val="22"/>
          <w:szCs w:val="22"/>
        </w:rPr>
      </w:pPr>
      <w:hyperlink w:anchor="_Toc433873487" w:history="1">
        <w:r w:rsidR="0052665E" w:rsidRPr="002F734D">
          <w:rPr>
            <w:rStyle w:val="Hypertextovodkaz"/>
            <w:noProof/>
            <w:kern w:val="32"/>
          </w:rPr>
          <w:t>3 POKROK NA ÚROVNI PRIORITNÍCH OS</w:t>
        </w:r>
        <w:r w:rsidR="0052665E">
          <w:rPr>
            <w:noProof/>
            <w:webHidden/>
          </w:rPr>
          <w:tab/>
        </w:r>
        <w:r w:rsidR="0052665E">
          <w:rPr>
            <w:noProof/>
            <w:webHidden/>
          </w:rPr>
          <w:fldChar w:fldCharType="begin"/>
        </w:r>
        <w:r w:rsidR="0052665E">
          <w:rPr>
            <w:noProof/>
            <w:webHidden/>
          </w:rPr>
          <w:instrText xml:space="preserve"> PAGEREF _Toc433873487 \h </w:instrText>
        </w:r>
        <w:r w:rsidR="0052665E">
          <w:rPr>
            <w:noProof/>
            <w:webHidden/>
          </w:rPr>
        </w:r>
        <w:r w:rsidR="0052665E">
          <w:rPr>
            <w:noProof/>
            <w:webHidden/>
          </w:rPr>
          <w:fldChar w:fldCharType="separate"/>
        </w:r>
        <w:r w:rsidR="0052665E">
          <w:rPr>
            <w:noProof/>
            <w:webHidden/>
          </w:rPr>
          <w:t>38</w:t>
        </w:r>
        <w:r w:rsidR="0052665E">
          <w:rPr>
            <w:noProof/>
            <w:webHidden/>
          </w:rPr>
          <w:fldChar w:fldCharType="end"/>
        </w:r>
      </w:hyperlink>
    </w:p>
    <w:p w:rsidR="0052665E" w:rsidRDefault="00497984">
      <w:pPr>
        <w:pStyle w:val="Obsah2"/>
        <w:tabs>
          <w:tab w:val="right" w:leader="dot" w:pos="9061"/>
        </w:tabs>
        <w:rPr>
          <w:rFonts w:asciiTheme="minorHAnsi" w:eastAsiaTheme="minorEastAsia" w:hAnsiTheme="minorHAnsi" w:cstheme="minorBidi"/>
          <w:noProof/>
          <w:sz w:val="22"/>
          <w:szCs w:val="22"/>
        </w:rPr>
      </w:pPr>
      <w:hyperlink w:anchor="_Toc433873488" w:history="1">
        <w:r w:rsidR="0052665E" w:rsidRPr="002F734D">
          <w:rPr>
            <w:rStyle w:val="Hypertextovodkaz"/>
            <w:noProof/>
          </w:rPr>
          <w:t>3.1 Prioritní osa 1a, 1b – Modernizace veřejné správy</w:t>
        </w:r>
        <w:r w:rsidR="0052665E">
          <w:rPr>
            <w:noProof/>
            <w:webHidden/>
          </w:rPr>
          <w:tab/>
        </w:r>
        <w:r w:rsidR="0052665E">
          <w:rPr>
            <w:noProof/>
            <w:webHidden/>
          </w:rPr>
          <w:fldChar w:fldCharType="begin"/>
        </w:r>
        <w:r w:rsidR="0052665E">
          <w:rPr>
            <w:noProof/>
            <w:webHidden/>
          </w:rPr>
          <w:instrText xml:space="preserve"> PAGEREF _Toc433873488 \h </w:instrText>
        </w:r>
        <w:r w:rsidR="0052665E">
          <w:rPr>
            <w:noProof/>
            <w:webHidden/>
          </w:rPr>
        </w:r>
        <w:r w:rsidR="0052665E">
          <w:rPr>
            <w:noProof/>
            <w:webHidden/>
          </w:rPr>
          <w:fldChar w:fldCharType="separate"/>
        </w:r>
        <w:r w:rsidR="0052665E">
          <w:rPr>
            <w:noProof/>
            <w:webHidden/>
          </w:rPr>
          <w:t>38</w:t>
        </w:r>
        <w:r w:rsidR="0052665E">
          <w:rPr>
            <w:noProof/>
            <w:webHidden/>
          </w:rPr>
          <w:fldChar w:fldCharType="end"/>
        </w:r>
      </w:hyperlink>
    </w:p>
    <w:p w:rsidR="0052665E" w:rsidRDefault="00497984">
      <w:pPr>
        <w:pStyle w:val="Obsah3"/>
        <w:tabs>
          <w:tab w:val="right" w:leader="dot" w:pos="9061"/>
        </w:tabs>
        <w:rPr>
          <w:rFonts w:asciiTheme="minorHAnsi" w:eastAsiaTheme="minorEastAsia" w:hAnsiTheme="minorHAnsi" w:cstheme="minorBidi"/>
          <w:noProof/>
          <w:sz w:val="22"/>
          <w:szCs w:val="22"/>
        </w:rPr>
      </w:pPr>
      <w:hyperlink w:anchor="_Toc433873489" w:history="1">
        <w:r w:rsidR="0052665E" w:rsidRPr="002F734D">
          <w:rPr>
            <w:rStyle w:val="Hypertextovodkaz"/>
            <w:noProof/>
          </w:rPr>
          <w:t>3.1.1 Zaměření prioritních os/oblastí intervence</w:t>
        </w:r>
        <w:r w:rsidR="0052665E">
          <w:rPr>
            <w:noProof/>
            <w:webHidden/>
          </w:rPr>
          <w:tab/>
        </w:r>
        <w:r w:rsidR="0052665E">
          <w:rPr>
            <w:noProof/>
            <w:webHidden/>
          </w:rPr>
          <w:fldChar w:fldCharType="begin"/>
        </w:r>
        <w:r w:rsidR="0052665E">
          <w:rPr>
            <w:noProof/>
            <w:webHidden/>
          </w:rPr>
          <w:instrText xml:space="preserve"> PAGEREF _Toc433873489 \h </w:instrText>
        </w:r>
        <w:r w:rsidR="0052665E">
          <w:rPr>
            <w:noProof/>
            <w:webHidden/>
          </w:rPr>
        </w:r>
        <w:r w:rsidR="0052665E">
          <w:rPr>
            <w:noProof/>
            <w:webHidden/>
          </w:rPr>
          <w:fldChar w:fldCharType="separate"/>
        </w:r>
        <w:r w:rsidR="0052665E">
          <w:rPr>
            <w:noProof/>
            <w:webHidden/>
          </w:rPr>
          <w:t>38</w:t>
        </w:r>
        <w:r w:rsidR="0052665E">
          <w:rPr>
            <w:noProof/>
            <w:webHidden/>
          </w:rPr>
          <w:fldChar w:fldCharType="end"/>
        </w:r>
      </w:hyperlink>
    </w:p>
    <w:p w:rsidR="0052665E" w:rsidRDefault="00497984">
      <w:pPr>
        <w:pStyle w:val="Obsah3"/>
        <w:tabs>
          <w:tab w:val="right" w:leader="dot" w:pos="9061"/>
        </w:tabs>
        <w:rPr>
          <w:rFonts w:asciiTheme="minorHAnsi" w:eastAsiaTheme="minorEastAsia" w:hAnsiTheme="minorHAnsi" w:cstheme="minorBidi"/>
          <w:noProof/>
          <w:sz w:val="22"/>
          <w:szCs w:val="22"/>
        </w:rPr>
      </w:pPr>
      <w:hyperlink w:anchor="_Toc433873490" w:history="1">
        <w:r w:rsidR="0052665E" w:rsidRPr="002F734D">
          <w:rPr>
            <w:rStyle w:val="Hypertextovodkaz"/>
            <w:noProof/>
          </w:rPr>
          <w:t>3.1.2 Pokrok v realizaci prioritních os/oblastí intervence</w:t>
        </w:r>
        <w:r w:rsidR="0052665E">
          <w:rPr>
            <w:noProof/>
            <w:webHidden/>
          </w:rPr>
          <w:tab/>
        </w:r>
        <w:r w:rsidR="0052665E">
          <w:rPr>
            <w:noProof/>
            <w:webHidden/>
          </w:rPr>
          <w:fldChar w:fldCharType="begin"/>
        </w:r>
        <w:r w:rsidR="0052665E">
          <w:rPr>
            <w:noProof/>
            <w:webHidden/>
          </w:rPr>
          <w:instrText xml:space="preserve"> PAGEREF _Toc433873490 \h </w:instrText>
        </w:r>
        <w:r w:rsidR="0052665E">
          <w:rPr>
            <w:noProof/>
            <w:webHidden/>
          </w:rPr>
        </w:r>
        <w:r w:rsidR="0052665E">
          <w:rPr>
            <w:noProof/>
            <w:webHidden/>
          </w:rPr>
          <w:fldChar w:fldCharType="separate"/>
        </w:r>
        <w:r w:rsidR="0052665E">
          <w:rPr>
            <w:noProof/>
            <w:webHidden/>
          </w:rPr>
          <w:t>39</w:t>
        </w:r>
        <w:r w:rsidR="0052665E">
          <w:rPr>
            <w:noProof/>
            <w:webHidden/>
          </w:rPr>
          <w:fldChar w:fldCharType="end"/>
        </w:r>
      </w:hyperlink>
    </w:p>
    <w:p w:rsidR="0052665E" w:rsidRDefault="00497984">
      <w:pPr>
        <w:pStyle w:val="Obsah3"/>
        <w:tabs>
          <w:tab w:val="right" w:leader="dot" w:pos="9061"/>
        </w:tabs>
        <w:rPr>
          <w:rFonts w:asciiTheme="minorHAnsi" w:eastAsiaTheme="minorEastAsia" w:hAnsiTheme="minorHAnsi" w:cstheme="minorBidi"/>
          <w:noProof/>
          <w:sz w:val="22"/>
          <w:szCs w:val="22"/>
        </w:rPr>
      </w:pPr>
      <w:hyperlink w:anchor="_Toc433873491" w:history="1">
        <w:r w:rsidR="0052665E" w:rsidRPr="002F734D">
          <w:rPr>
            <w:rStyle w:val="Hypertextovodkaz"/>
            <w:noProof/>
          </w:rPr>
          <w:t>3.1.3 Naplňování indikátorů</w:t>
        </w:r>
        <w:r w:rsidR="0052665E">
          <w:rPr>
            <w:noProof/>
            <w:webHidden/>
          </w:rPr>
          <w:tab/>
        </w:r>
        <w:r w:rsidR="0052665E">
          <w:rPr>
            <w:noProof/>
            <w:webHidden/>
          </w:rPr>
          <w:fldChar w:fldCharType="begin"/>
        </w:r>
        <w:r w:rsidR="0052665E">
          <w:rPr>
            <w:noProof/>
            <w:webHidden/>
          </w:rPr>
          <w:instrText xml:space="preserve"> PAGEREF _Toc433873491 \h </w:instrText>
        </w:r>
        <w:r w:rsidR="0052665E">
          <w:rPr>
            <w:noProof/>
            <w:webHidden/>
          </w:rPr>
        </w:r>
        <w:r w:rsidR="0052665E">
          <w:rPr>
            <w:noProof/>
            <w:webHidden/>
          </w:rPr>
          <w:fldChar w:fldCharType="separate"/>
        </w:r>
        <w:r w:rsidR="0052665E">
          <w:rPr>
            <w:noProof/>
            <w:webHidden/>
          </w:rPr>
          <w:t>40</w:t>
        </w:r>
        <w:r w:rsidR="0052665E">
          <w:rPr>
            <w:noProof/>
            <w:webHidden/>
          </w:rPr>
          <w:fldChar w:fldCharType="end"/>
        </w:r>
      </w:hyperlink>
    </w:p>
    <w:p w:rsidR="0052665E" w:rsidRDefault="00497984">
      <w:pPr>
        <w:pStyle w:val="Obsah3"/>
        <w:tabs>
          <w:tab w:val="right" w:leader="dot" w:pos="9061"/>
        </w:tabs>
        <w:rPr>
          <w:rFonts w:asciiTheme="minorHAnsi" w:eastAsiaTheme="minorEastAsia" w:hAnsiTheme="minorHAnsi" w:cstheme="minorBidi"/>
          <w:noProof/>
          <w:sz w:val="22"/>
          <w:szCs w:val="22"/>
        </w:rPr>
      </w:pPr>
      <w:hyperlink w:anchor="_Toc433873492" w:history="1">
        <w:r w:rsidR="0052665E" w:rsidRPr="002F734D">
          <w:rPr>
            <w:rStyle w:val="Hypertextovodkaz"/>
            <w:noProof/>
          </w:rPr>
          <w:t>3.1.4 Problémy a přijatá opatření</w:t>
        </w:r>
        <w:r w:rsidR="0052665E">
          <w:rPr>
            <w:noProof/>
            <w:webHidden/>
          </w:rPr>
          <w:tab/>
        </w:r>
        <w:r w:rsidR="0052665E">
          <w:rPr>
            <w:noProof/>
            <w:webHidden/>
          </w:rPr>
          <w:fldChar w:fldCharType="begin"/>
        </w:r>
        <w:r w:rsidR="0052665E">
          <w:rPr>
            <w:noProof/>
            <w:webHidden/>
          </w:rPr>
          <w:instrText xml:space="preserve"> PAGEREF _Toc433873492 \h </w:instrText>
        </w:r>
        <w:r w:rsidR="0052665E">
          <w:rPr>
            <w:noProof/>
            <w:webHidden/>
          </w:rPr>
        </w:r>
        <w:r w:rsidR="0052665E">
          <w:rPr>
            <w:noProof/>
            <w:webHidden/>
          </w:rPr>
          <w:fldChar w:fldCharType="separate"/>
        </w:r>
        <w:r w:rsidR="0052665E">
          <w:rPr>
            <w:noProof/>
            <w:webHidden/>
          </w:rPr>
          <w:t>42</w:t>
        </w:r>
        <w:r w:rsidR="0052665E">
          <w:rPr>
            <w:noProof/>
            <w:webHidden/>
          </w:rPr>
          <w:fldChar w:fldCharType="end"/>
        </w:r>
      </w:hyperlink>
    </w:p>
    <w:p w:rsidR="0052665E" w:rsidRDefault="00497984">
      <w:pPr>
        <w:pStyle w:val="Obsah3"/>
        <w:tabs>
          <w:tab w:val="right" w:leader="dot" w:pos="9061"/>
        </w:tabs>
        <w:rPr>
          <w:rFonts w:asciiTheme="minorHAnsi" w:eastAsiaTheme="minorEastAsia" w:hAnsiTheme="minorHAnsi" w:cstheme="minorBidi"/>
          <w:noProof/>
          <w:sz w:val="22"/>
          <w:szCs w:val="22"/>
        </w:rPr>
      </w:pPr>
      <w:hyperlink w:anchor="_Toc433873493" w:history="1">
        <w:r w:rsidR="0052665E" w:rsidRPr="002F734D">
          <w:rPr>
            <w:rStyle w:val="Hypertextovodkaz"/>
            <w:noProof/>
          </w:rPr>
          <w:t>3.1.5 Příklad projektu</w:t>
        </w:r>
        <w:r w:rsidR="0052665E">
          <w:rPr>
            <w:noProof/>
            <w:webHidden/>
          </w:rPr>
          <w:tab/>
        </w:r>
        <w:r w:rsidR="0052665E">
          <w:rPr>
            <w:noProof/>
            <w:webHidden/>
          </w:rPr>
          <w:fldChar w:fldCharType="begin"/>
        </w:r>
        <w:r w:rsidR="0052665E">
          <w:rPr>
            <w:noProof/>
            <w:webHidden/>
          </w:rPr>
          <w:instrText xml:space="preserve"> PAGEREF _Toc433873493 \h </w:instrText>
        </w:r>
        <w:r w:rsidR="0052665E">
          <w:rPr>
            <w:noProof/>
            <w:webHidden/>
          </w:rPr>
        </w:r>
        <w:r w:rsidR="0052665E">
          <w:rPr>
            <w:noProof/>
            <w:webHidden/>
          </w:rPr>
          <w:fldChar w:fldCharType="separate"/>
        </w:r>
        <w:r w:rsidR="0052665E">
          <w:rPr>
            <w:noProof/>
            <w:webHidden/>
          </w:rPr>
          <w:t>43</w:t>
        </w:r>
        <w:r w:rsidR="0052665E">
          <w:rPr>
            <w:noProof/>
            <w:webHidden/>
          </w:rPr>
          <w:fldChar w:fldCharType="end"/>
        </w:r>
      </w:hyperlink>
    </w:p>
    <w:p w:rsidR="0052665E" w:rsidRDefault="00497984">
      <w:pPr>
        <w:pStyle w:val="Obsah2"/>
        <w:tabs>
          <w:tab w:val="right" w:leader="dot" w:pos="9061"/>
        </w:tabs>
        <w:rPr>
          <w:rFonts w:asciiTheme="minorHAnsi" w:eastAsiaTheme="minorEastAsia" w:hAnsiTheme="minorHAnsi" w:cstheme="minorBidi"/>
          <w:noProof/>
          <w:sz w:val="22"/>
          <w:szCs w:val="22"/>
        </w:rPr>
      </w:pPr>
      <w:hyperlink w:anchor="_Toc433873494" w:history="1">
        <w:r w:rsidR="0052665E" w:rsidRPr="002F734D">
          <w:rPr>
            <w:rStyle w:val="Hypertextovodkaz"/>
            <w:noProof/>
          </w:rPr>
          <w:t>3.2 Prioritní osa 2 – Zavádění ICT v územní veřejné správě</w:t>
        </w:r>
        <w:r w:rsidR="0052665E">
          <w:rPr>
            <w:noProof/>
            <w:webHidden/>
          </w:rPr>
          <w:tab/>
        </w:r>
        <w:r w:rsidR="0052665E">
          <w:rPr>
            <w:noProof/>
            <w:webHidden/>
          </w:rPr>
          <w:fldChar w:fldCharType="begin"/>
        </w:r>
        <w:r w:rsidR="0052665E">
          <w:rPr>
            <w:noProof/>
            <w:webHidden/>
          </w:rPr>
          <w:instrText xml:space="preserve"> PAGEREF _Toc433873494 \h </w:instrText>
        </w:r>
        <w:r w:rsidR="0052665E">
          <w:rPr>
            <w:noProof/>
            <w:webHidden/>
          </w:rPr>
        </w:r>
        <w:r w:rsidR="0052665E">
          <w:rPr>
            <w:noProof/>
            <w:webHidden/>
          </w:rPr>
          <w:fldChar w:fldCharType="separate"/>
        </w:r>
        <w:r w:rsidR="0052665E">
          <w:rPr>
            <w:noProof/>
            <w:webHidden/>
          </w:rPr>
          <w:t>44</w:t>
        </w:r>
        <w:r w:rsidR="0052665E">
          <w:rPr>
            <w:noProof/>
            <w:webHidden/>
          </w:rPr>
          <w:fldChar w:fldCharType="end"/>
        </w:r>
      </w:hyperlink>
    </w:p>
    <w:p w:rsidR="0052665E" w:rsidRDefault="00497984">
      <w:pPr>
        <w:pStyle w:val="Obsah3"/>
        <w:tabs>
          <w:tab w:val="right" w:leader="dot" w:pos="9061"/>
        </w:tabs>
        <w:rPr>
          <w:rFonts w:asciiTheme="minorHAnsi" w:eastAsiaTheme="minorEastAsia" w:hAnsiTheme="minorHAnsi" w:cstheme="minorBidi"/>
          <w:noProof/>
          <w:sz w:val="22"/>
          <w:szCs w:val="22"/>
        </w:rPr>
      </w:pPr>
      <w:hyperlink w:anchor="_Toc433873495" w:history="1">
        <w:r w:rsidR="0052665E" w:rsidRPr="002F734D">
          <w:rPr>
            <w:rStyle w:val="Hypertextovodkaz"/>
            <w:noProof/>
          </w:rPr>
          <w:t>3.2.1 Zaměření prioritních os/oblastí intervence</w:t>
        </w:r>
        <w:r w:rsidR="0052665E">
          <w:rPr>
            <w:noProof/>
            <w:webHidden/>
          </w:rPr>
          <w:tab/>
        </w:r>
        <w:r w:rsidR="0052665E">
          <w:rPr>
            <w:noProof/>
            <w:webHidden/>
          </w:rPr>
          <w:fldChar w:fldCharType="begin"/>
        </w:r>
        <w:r w:rsidR="0052665E">
          <w:rPr>
            <w:noProof/>
            <w:webHidden/>
          </w:rPr>
          <w:instrText xml:space="preserve"> PAGEREF _Toc433873495 \h </w:instrText>
        </w:r>
        <w:r w:rsidR="0052665E">
          <w:rPr>
            <w:noProof/>
            <w:webHidden/>
          </w:rPr>
        </w:r>
        <w:r w:rsidR="0052665E">
          <w:rPr>
            <w:noProof/>
            <w:webHidden/>
          </w:rPr>
          <w:fldChar w:fldCharType="separate"/>
        </w:r>
        <w:r w:rsidR="0052665E">
          <w:rPr>
            <w:noProof/>
            <w:webHidden/>
          </w:rPr>
          <w:t>44</w:t>
        </w:r>
        <w:r w:rsidR="0052665E">
          <w:rPr>
            <w:noProof/>
            <w:webHidden/>
          </w:rPr>
          <w:fldChar w:fldCharType="end"/>
        </w:r>
      </w:hyperlink>
    </w:p>
    <w:p w:rsidR="0052665E" w:rsidRDefault="00497984">
      <w:pPr>
        <w:pStyle w:val="Obsah3"/>
        <w:tabs>
          <w:tab w:val="right" w:leader="dot" w:pos="9061"/>
        </w:tabs>
        <w:rPr>
          <w:rFonts w:asciiTheme="minorHAnsi" w:eastAsiaTheme="minorEastAsia" w:hAnsiTheme="minorHAnsi" w:cstheme="minorBidi"/>
          <w:noProof/>
          <w:sz w:val="22"/>
          <w:szCs w:val="22"/>
        </w:rPr>
      </w:pPr>
      <w:hyperlink w:anchor="_Toc433873496" w:history="1">
        <w:r w:rsidR="0052665E" w:rsidRPr="002F734D">
          <w:rPr>
            <w:rStyle w:val="Hypertextovodkaz"/>
            <w:noProof/>
          </w:rPr>
          <w:t>3.2.2 Pokrok v realizaci prioritních os/oblastí intervence</w:t>
        </w:r>
        <w:r w:rsidR="0052665E">
          <w:rPr>
            <w:noProof/>
            <w:webHidden/>
          </w:rPr>
          <w:tab/>
        </w:r>
        <w:r w:rsidR="0052665E">
          <w:rPr>
            <w:noProof/>
            <w:webHidden/>
          </w:rPr>
          <w:fldChar w:fldCharType="begin"/>
        </w:r>
        <w:r w:rsidR="0052665E">
          <w:rPr>
            <w:noProof/>
            <w:webHidden/>
          </w:rPr>
          <w:instrText xml:space="preserve"> PAGEREF _Toc433873496 \h </w:instrText>
        </w:r>
        <w:r w:rsidR="0052665E">
          <w:rPr>
            <w:noProof/>
            <w:webHidden/>
          </w:rPr>
        </w:r>
        <w:r w:rsidR="0052665E">
          <w:rPr>
            <w:noProof/>
            <w:webHidden/>
          </w:rPr>
          <w:fldChar w:fldCharType="separate"/>
        </w:r>
        <w:r w:rsidR="0052665E">
          <w:rPr>
            <w:noProof/>
            <w:webHidden/>
          </w:rPr>
          <w:t>45</w:t>
        </w:r>
        <w:r w:rsidR="0052665E">
          <w:rPr>
            <w:noProof/>
            <w:webHidden/>
          </w:rPr>
          <w:fldChar w:fldCharType="end"/>
        </w:r>
      </w:hyperlink>
    </w:p>
    <w:p w:rsidR="0052665E" w:rsidRDefault="00497984">
      <w:pPr>
        <w:pStyle w:val="Obsah3"/>
        <w:tabs>
          <w:tab w:val="right" w:leader="dot" w:pos="9061"/>
        </w:tabs>
        <w:rPr>
          <w:rFonts w:asciiTheme="minorHAnsi" w:eastAsiaTheme="minorEastAsia" w:hAnsiTheme="minorHAnsi" w:cstheme="minorBidi"/>
          <w:noProof/>
          <w:sz w:val="22"/>
          <w:szCs w:val="22"/>
        </w:rPr>
      </w:pPr>
      <w:hyperlink w:anchor="_Toc433873497" w:history="1">
        <w:r w:rsidR="0052665E" w:rsidRPr="002F734D">
          <w:rPr>
            <w:rStyle w:val="Hypertextovodkaz"/>
            <w:noProof/>
          </w:rPr>
          <w:t>3.2.3 Naplňování indikátorů</w:t>
        </w:r>
        <w:r w:rsidR="0052665E">
          <w:rPr>
            <w:noProof/>
            <w:webHidden/>
          </w:rPr>
          <w:tab/>
        </w:r>
        <w:r w:rsidR="0052665E">
          <w:rPr>
            <w:noProof/>
            <w:webHidden/>
          </w:rPr>
          <w:fldChar w:fldCharType="begin"/>
        </w:r>
        <w:r w:rsidR="0052665E">
          <w:rPr>
            <w:noProof/>
            <w:webHidden/>
          </w:rPr>
          <w:instrText xml:space="preserve"> PAGEREF _Toc433873497 \h </w:instrText>
        </w:r>
        <w:r w:rsidR="0052665E">
          <w:rPr>
            <w:noProof/>
            <w:webHidden/>
          </w:rPr>
        </w:r>
        <w:r w:rsidR="0052665E">
          <w:rPr>
            <w:noProof/>
            <w:webHidden/>
          </w:rPr>
          <w:fldChar w:fldCharType="separate"/>
        </w:r>
        <w:r w:rsidR="0052665E">
          <w:rPr>
            <w:noProof/>
            <w:webHidden/>
          </w:rPr>
          <w:t>46</w:t>
        </w:r>
        <w:r w:rsidR="0052665E">
          <w:rPr>
            <w:noProof/>
            <w:webHidden/>
          </w:rPr>
          <w:fldChar w:fldCharType="end"/>
        </w:r>
      </w:hyperlink>
    </w:p>
    <w:p w:rsidR="0052665E" w:rsidRDefault="00497984">
      <w:pPr>
        <w:pStyle w:val="Obsah3"/>
        <w:tabs>
          <w:tab w:val="right" w:leader="dot" w:pos="9061"/>
        </w:tabs>
        <w:rPr>
          <w:rFonts w:asciiTheme="minorHAnsi" w:eastAsiaTheme="minorEastAsia" w:hAnsiTheme="minorHAnsi" w:cstheme="minorBidi"/>
          <w:noProof/>
          <w:sz w:val="22"/>
          <w:szCs w:val="22"/>
        </w:rPr>
      </w:pPr>
      <w:hyperlink w:anchor="_Toc433873498" w:history="1">
        <w:r w:rsidR="0052665E" w:rsidRPr="002F734D">
          <w:rPr>
            <w:rStyle w:val="Hypertextovodkaz"/>
            <w:noProof/>
          </w:rPr>
          <w:t>3.2.4 Problémy a přijatá opatření</w:t>
        </w:r>
        <w:r w:rsidR="0052665E">
          <w:rPr>
            <w:noProof/>
            <w:webHidden/>
          </w:rPr>
          <w:tab/>
        </w:r>
        <w:r w:rsidR="0052665E">
          <w:rPr>
            <w:noProof/>
            <w:webHidden/>
          </w:rPr>
          <w:fldChar w:fldCharType="begin"/>
        </w:r>
        <w:r w:rsidR="0052665E">
          <w:rPr>
            <w:noProof/>
            <w:webHidden/>
          </w:rPr>
          <w:instrText xml:space="preserve"> PAGEREF _Toc433873498 \h </w:instrText>
        </w:r>
        <w:r w:rsidR="0052665E">
          <w:rPr>
            <w:noProof/>
            <w:webHidden/>
          </w:rPr>
        </w:r>
        <w:r w:rsidR="0052665E">
          <w:rPr>
            <w:noProof/>
            <w:webHidden/>
          </w:rPr>
          <w:fldChar w:fldCharType="separate"/>
        </w:r>
        <w:r w:rsidR="0052665E">
          <w:rPr>
            <w:noProof/>
            <w:webHidden/>
          </w:rPr>
          <w:t>48</w:t>
        </w:r>
        <w:r w:rsidR="0052665E">
          <w:rPr>
            <w:noProof/>
            <w:webHidden/>
          </w:rPr>
          <w:fldChar w:fldCharType="end"/>
        </w:r>
      </w:hyperlink>
    </w:p>
    <w:p w:rsidR="0052665E" w:rsidRDefault="00497984">
      <w:pPr>
        <w:pStyle w:val="Obsah2"/>
        <w:tabs>
          <w:tab w:val="right" w:leader="dot" w:pos="9061"/>
        </w:tabs>
        <w:rPr>
          <w:rFonts w:asciiTheme="minorHAnsi" w:eastAsiaTheme="minorEastAsia" w:hAnsiTheme="minorHAnsi" w:cstheme="minorBidi"/>
          <w:noProof/>
          <w:sz w:val="22"/>
          <w:szCs w:val="22"/>
        </w:rPr>
      </w:pPr>
      <w:hyperlink w:anchor="_Toc433873499" w:history="1">
        <w:r w:rsidR="0052665E" w:rsidRPr="002F734D">
          <w:rPr>
            <w:rStyle w:val="Hypertextovodkaz"/>
            <w:noProof/>
          </w:rPr>
          <w:t>3.3 Prioritní osa 3 – Zvýšení kvality a dostupnosti veřejných služeb</w:t>
        </w:r>
        <w:r w:rsidR="0052665E">
          <w:rPr>
            <w:noProof/>
            <w:webHidden/>
          </w:rPr>
          <w:tab/>
        </w:r>
        <w:r w:rsidR="0052665E">
          <w:rPr>
            <w:noProof/>
            <w:webHidden/>
          </w:rPr>
          <w:fldChar w:fldCharType="begin"/>
        </w:r>
        <w:r w:rsidR="0052665E">
          <w:rPr>
            <w:noProof/>
            <w:webHidden/>
          </w:rPr>
          <w:instrText xml:space="preserve"> PAGEREF _Toc433873499 \h </w:instrText>
        </w:r>
        <w:r w:rsidR="0052665E">
          <w:rPr>
            <w:noProof/>
            <w:webHidden/>
          </w:rPr>
        </w:r>
        <w:r w:rsidR="0052665E">
          <w:rPr>
            <w:noProof/>
            <w:webHidden/>
          </w:rPr>
          <w:fldChar w:fldCharType="separate"/>
        </w:r>
        <w:r w:rsidR="0052665E">
          <w:rPr>
            <w:noProof/>
            <w:webHidden/>
          </w:rPr>
          <w:t>48</w:t>
        </w:r>
        <w:r w:rsidR="0052665E">
          <w:rPr>
            <w:noProof/>
            <w:webHidden/>
          </w:rPr>
          <w:fldChar w:fldCharType="end"/>
        </w:r>
      </w:hyperlink>
    </w:p>
    <w:p w:rsidR="0052665E" w:rsidRDefault="00497984">
      <w:pPr>
        <w:pStyle w:val="Obsah3"/>
        <w:tabs>
          <w:tab w:val="right" w:leader="dot" w:pos="9061"/>
        </w:tabs>
        <w:rPr>
          <w:rFonts w:asciiTheme="minorHAnsi" w:eastAsiaTheme="minorEastAsia" w:hAnsiTheme="minorHAnsi" w:cstheme="minorBidi"/>
          <w:noProof/>
          <w:sz w:val="22"/>
          <w:szCs w:val="22"/>
        </w:rPr>
      </w:pPr>
      <w:hyperlink w:anchor="_Toc433873500" w:history="1">
        <w:r w:rsidR="0052665E" w:rsidRPr="002F734D">
          <w:rPr>
            <w:rStyle w:val="Hypertextovodkaz"/>
            <w:noProof/>
          </w:rPr>
          <w:t>3.3.1 Zaměření prioritních os/oblastí intervence</w:t>
        </w:r>
        <w:r w:rsidR="0052665E">
          <w:rPr>
            <w:noProof/>
            <w:webHidden/>
          </w:rPr>
          <w:tab/>
        </w:r>
        <w:r w:rsidR="0052665E">
          <w:rPr>
            <w:noProof/>
            <w:webHidden/>
          </w:rPr>
          <w:fldChar w:fldCharType="begin"/>
        </w:r>
        <w:r w:rsidR="0052665E">
          <w:rPr>
            <w:noProof/>
            <w:webHidden/>
          </w:rPr>
          <w:instrText xml:space="preserve"> PAGEREF _Toc433873500 \h </w:instrText>
        </w:r>
        <w:r w:rsidR="0052665E">
          <w:rPr>
            <w:noProof/>
            <w:webHidden/>
          </w:rPr>
        </w:r>
        <w:r w:rsidR="0052665E">
          <w:rPr>
            <w:noProof/>
            <w:webHidden/>
          </w:rPr>
          <w:fldChar w:fldCharType="separate"/>
        </w:r>
        <w:r w:rsidR="0052665E">
          <w:rPr>
            <w:noProof/>
            <w:webHidden/>
          </w:rPr>
          <w:t>48</w:t>
        </w:r>
        <w:r w:rsidR="0052665E">
          <w:rPr>
            <w:noProof/>
            <w:webHidden/>
          </w:rPr>
          <w:fldChar w:fldCharType="end"/>
        </w:r>
      </w:hyperlink>
    </w:p>
    <w:p w:rsidR="0052665E" w:rsidRDefault="00497984">
      <w:pPr>
        <w:pStyle w:val="Obsah3"/>
        <w:tabs>
          <w:tab w:val="right" w:leader="dot" w:pos="9061"/>
        </w:tabs>
        <w:rPr>
          <w:rFonts w:asciiTheme="minorHAnsi" w:eastAsiaTheme="minorEastAsia" w:hAnsiTheme="minorHAnsi" w:cstheme="minorBidi"/>
          <w:noProof/>
          <w:sz w:val="22"/>
          <w:szCs w:val="22"/>
        </w:rPr>
      </w:pPr>
      <w:hyperlink w:anchor="_Toc433873501" w:history="1">
        <w:r w:rsidR="0052665E" w:rsidRPr="002F734D">
          <w:rPr>
            <w:rStyle w:val="Hypertextovodkaz"/>
            <w:noProof/>
          </w:rPr>
          <w:t>3.3.2 Pokrok v realizaci prioritních os/oblastí intervence</w:t>
        </w:r>
        <w:r w:rsidR="0052665E">
          <w:rPr>
            <w:noProof/>
            <w:webHidden/>
          </w:rPr>
          <w:tab/>
        </w:r>
        <w:r w:rsidR="0052665E">
          <w:rPr>
            <w:noProof/>
            <w:webHidden/>
          </w:rPr>
          <w:fldChar w:fldCharType="begin"/>
        </w:r>
        <w:r w:rsidR="0052665E">
          <w:rPr>
            <w:noProof/>
            <w:webHidden/>
          </w:rPr>
          <w:instrText xml:space="preserve"> PAGEREF _Toc433873501 \h </w:instrText>
        </w:r>
        <w:r w:rsidR="0052665E">
          <w:rPr>
            <w:noProof/>
            <w:webHidden/>
          </w:rPr>
        </w:r>
        <w:r w:rsidR="0052665E">
          <w:rPr>
            <w:noProof/>
            <w:webHidden/>
          </w:rPr>
          <w:fldChar w:fldCharType="separate"/>
        </w:r>
        <w:r w:rsidR="0052665E">
          <w:rPr>
            <w:noProof/>
            <w:webHidden/>
          </w:rPr>
          <w:t>50</w:t>
        </w:r>
        <w:r w:rsidR="0052665E">
          <w:rPr>
            <w:noProof/>
            <w:webHidden/>
          </w:rPr>
          <w:fldChar w:fldCharType="end"/>
        </w:r>
      </w:hyperlink>
    </w:p>
    <w:p w:rsidR="0052665E" w:rsidRDefault="00497984">
      <w:pPr>
        <w:pStyle w:val="Obsah3"/>
        <w:tabs>
          <w:tab w:val="right" w:leader="dot" w:pos="9061"/>
        </w:tabs>
        <w:rPr>
          <w:rFonts w:asciiTheme="minorHAnsi" w:eastAsiaTheme="minorEastAsia" w:hAnsiTheme="minorHAnsi" w:cstheme="minorBidi"/>
          <w:noProof/>
          <w:sz w:val="22"/>
          <w:szCs w:val="22"/>
        </w:rPr>
      </w:pPr>
      <w:hyperlink w:anchor="_Toc433873502" w:history="1">
        <w:r w:rsidR="0052665E" w:rsidRPr="002F734D">
          <w:rPr>
            <w:rStyle w:val="Hypertextovodkaz"/>
            <w:noProof/>
          </w:rPr>
          <w:t>3.3.3 Naplňování indikátorů</w:t>
        </w:r>
        <w:r w:rsidR="0052665E">
          <w:rPr>
            <w:noProof/>
            <w:webHidden/>
          </w:rPr>
          <w:tab/>
        </w:r>
        <w:r w:rsidR="0052665E">
          <w:rPr>
            <w:noProof/>
            <w:webHidden/>
          </w:rPr>
          <w:fldChar w:fldCharType="begin"/>
        </w:r>
        <w:r w:rsidR="0052665E">
          <w:rPr>
            <w:noProof/>
            <w:webHidden/>
          </w:rPr>
          <w:instrText xml:space="preserve"> PAGEREF _Toc433873502 \h </w:instrText>
        </w:r>
        <w:r w:rsidR="0052665E">
          <w:rPr>
            <w:noProof/>
            <w:webHidden/>
          </w:rPr>
        </w:r>
        <w:r w:rsidR="0052665E">
          <w:rPr>
            <w:noProof/>
            <w:webHidden/>
          </w:rPr>
          <w:fldChar w:fldCharType="separate"/>
        </w:r>
        <w:r w:rsidR="0052665E">
          <w:rPr>
            <w:noProof/>
            <w:webHidden/>
          </w:rPr>
          <w:t>53</w:t>
        </w:r>
        <w:r w:rsidR="0052665E">
          <w:rPr>
            <w:noProof/>
            <w:webHidden/>
          </w:rPr>
          <w:fldChar w:fldCharType="end"/>
        </w:r>
      </w:hyperlink>
    </w:p>
    <w:p w:rsidR="0052665E" w:rsidRDefault="00497984">
      <w:pPr>
        <w:pStyle w:val="Obsah3"/>
        <w:tabs>
          <w:tab w:val="right" w:leader="dot" w:pos="9061"/>
        </w:tabs>
        <w:rPr>
          <w:rFonts w:asciiTheme="minorHAnsi" w:eastAsiaTheme="minorEastAsia" w:hAnsiTheme="minorHAnsi" w:cstheme="minorBidi"/>
          <w:noProof/>
          <w:sz w:val="22"/>
          <w:szCs w:val="22"/>
        </w:rPr>
      </w:pPr>
      <w:hyperlink w:anchor="_Toc433873503" w:history="1">
        <w:r w:rsidR="0052665E" w:rsidRPr="002F734D">
          <w:rPr>
            <w:rStyle w:val="Hypertextovodkaz"/>
            <w:noProof/>
          </w:rPr>
          <w:t>3.3.4 Problémy a přijatá opatření</w:t>
        </w:r>
        <w:r w:rsidR="0052665E">
          <w:rPr>
            <w:noProof/>
            <w:webHidden/>
          </w:rPr>
          <w:tab/>
        </w:r>
        <w:r w:rsidR="0052665E">
          <w:rPr>
            <w:noProof/>
            <w:webHidden/>
          </w:rPr>
          <w:fldChar w:fldCharType="begin"/>
        </w:r>
        <w:r w:rsidR="0052665E">
          <w:rPr>
            <w:noProof/>
            <w:webHidden/>
          </w:rPr>
          <w:instrText xml:space="preserve"> PAGEREF _Toc433873503 \h </w:instrText>
        </w:r>
        <w:r w:rsidR="0052665E">
          <w:rPr>
            <w:noProof/>
            <w:webHidden/>
          </w:rPr>
        </w:r>
        <w:r w:rsidR="0052665E">
          <w:rPr>
            <w:noProof/>
            <w:webHidden/>
          </w:rPr>
          <w:fldChar w:fldCharType="separate"/>
        </w:r>
        <w:r w:rsidR="0052665E">
          <w:rPr>
            <w:noProof/>
            <w:webHidden/>
          </w:rPr>
          <w:t>61</w:t>
        </w:r>
        <w:r w:rsidR="0052665E">
          <w:rPr>
            <w:noProof/>
            <w:webHidden/>
          </w:rPr>
          <w:fldChar w:fldCharType="end"/>
        </w:r>
      </w:hyperlink>
    </w:p>
    <w:p w:rsidR="0052665E" w:rsidRDefault="00497984">
      <w:pPr>
        <w:pStyle w:val="Obsah3"/>
        <w:tabs>
          <w:tab w:val="right" w:leader="dot" w:pos="9061"/>
        </w:tabs>
        <w:rPr>
          <w:rFonts w:asciiTheme="minorHAnsi" w:eastAsiaTheme="minorEastAsia" w:hAnsiTheme="minorHAnsi" w:cstheme="minorBidi"/>
          <w:noProof/>
          <w:sz w:val="22"/>
          <w:szCs w:val="22"/>
        </w:rPr>
      </w:pPr>
      <w:hyperlink w:anchor="_Toc433873504" w:history="1">
        <w:r w:rsidR="0052665E" w:rsidRPr="002F734D">
          <w:rPr>
            <w:rStyle w:val="Hypertextovodkaz"/>
            <w:noProof/>
          </w:rPr>
          <w:t>3.3.5 Příklad projektu</w:t>
        </w:r>
        <w:r w:rsidR="0052665E">
          <w:rPr>
            <w:noProof/>
            <w:webHidden/>
          </w:rPr>
          <w:tab/>
        </w:r>
        <w:r w:rsidR="0052665E">
          <w:rPr>
            <w:noProof/>
            <w:webHidden/>
          </w:rPr>
          <w:fldChar w:fldCharType="begin"/>
        </w:r>
        <w:r w:rsidR="0052665E">
          <w:rPr>
            <w:noProof/>
            <w:webHidden/>
          </w:rPr>
          <w:instrText xml:space="preserve"> PAGEREF _Toc433873504 \h </w:instrText>
        </w:r>
        <w:r w:rsidR="0052665E">
          <w:rPr>
            <w:noProof/>
            <w:webHidden/>
          </w:rPr>
        </w:r>
        <w:r w:rsidR="0052665E">
          <w:rPr>
            <w:noProof/>
            <w:webHidden/>
          </w:rPr>
          <w:fldChar w:fldCharType="separate"/>
        </w:r>
        <w:r w:rsidR="0052665E">
          <w:rPr>
            <w:noProof/>
            <w:webHidden/>
          </w:rPr>
          <w:t>64</w:t>
        </w:r>
        <w:r w:rsidR="0052665E">
          <w:rPr>
            <w:noProof/>
            <w:webHidden/>
          </w:rPr>
          <w:fldChar w:fldCharType="end"/>
        </w:r>
      </w:hyperlink>
    </w:p>
    <w:p w:rsidR="0052665E" w:rsidRDefault="00497984">
      <w:pPr>
        <w:pStyle w:val="Obsah2"/>
        <w:tabs>
          <w:tab w:val="right" w:leader="dot" w:pos="9061"/>
        </w:tabs>
        <w:rPr>
          <w:rFonts w:asciiTheme="minorHAnsi" w:eastAsiaTheme="minorEastAsia" w:hAnsiTheme="minorHAnsi" w:cstheme="minorBidi"/>
          <w:noProof/>
          <w:sz w:val="22"/>
          <w:szCs w:val="22"/>
        </w:rPr>
      </w:pPr>
      <w:hyperlink w:anchor="_Toc433873505" w:history="1">
        <w:r w:rsidR="0052665E" w:rsidRPr="002F734D">
          <w:rPr>
            <w:rStyle w:val="Hypertextovodkaz"/>
            <w:noProof/>
          </w:rPr>
          <w:t>3.4 Prioritní osa 4a, 4b – Národní podpora cestovního ruchu</w:t>
        </w:r>
        <w:r w:rsidR="0052665E">
          <w:rPr>
            <w:noProof/>
            <w:webHidden/>
          </w:rPr>
          <w:tab/>
        </w:r>
        <w:r w:rsidR="0052665E">
          <w:rPr>
            <w:noProof/>
            <w:webHidden/>
          </w:rPr>
          <w:fldChar w:fldCharType="begin"/>
        </w:r>
        <w:r w:rsidR="0052665E">
          <w:rPr>
            <w:noProof/>
            <w:webHidden/>
          </w:rPr>
          <w:instrText xml:space="preserve"> PAGEREF _Toc433873505 \h </w:instrText>
        </w:r>
        <w:r w:rsidR="0052665E">
          <w:rPr>
            <w:noProof/>
            <w:webHidden/>
          </w:rPr>
        </w:r>
        <w:r w:rsidR="0052665E">
          <w:rPr>
            <w:noProof/>
            <w:webHidden/>
          </w:rPr>
          <w:fldChar w:fldCharType="separate"/>
        </w:r>
        <w:r w:rsidR="0052665E">
          <w:rPr>
            <w:noProof/>
            <w:webHidden/>
          </w:rPr>
          <w:t>68</w:t>
        </w:r>
        <w:r w:rsidR="0052665E">
          <w:rPr>
            <w:noProof/>
            <w:webHidden/>
          </w:rPr>
          <w:fldChar w:fldCharType="end"/>
        </w:r>
      </w:hyperlink>
    </w:p>
    <w:p w:rsidR="0052665E" w:rsidRDefault="00497984">
      <w:pPr>
        <w:pStyle w:val="Obsah3"/>
        <w:tabs>
          <w:tab w:val="right" w:leader="dot" w:pos="9061"/>
        </w:tabs>
        <w:rPr>
          <w:rFonts w:asciiTheme="minorHAnsi" w:eastAsiaTheme="minorEastAsia" w:hAnsiTheme="minorHAnsi" w:cstheme="minorBidi"/>
          <w:noProof/>
          <w:sz w:val="22"/>
          <w:szCs w:val="22"/>
        </w:rPr>
      </w:pPr>
      <w:hyperlink w:anchor="_Toc433873506" w:history="1">
        <w:r w:rsidR="0052665E" w:rsidRPr="002F734D">
          <w:rPr>
            <w:rStyle w:val="Hypertextovodkaz"/>
            <w:noProof/>
          </w:rPr>
          <w:t>3.4.1 Zaměření prioritních os/oblastí intervence</w:t>
        </w:r>
        <w:r w:rsidR="0052665E">
          <w:rPr>
            <w:noProof/>
            <w:webHidden/>
          </w:rPr>
          <w:tab/>
        </w:r>
        <w:r w:rsidR="0052665E">
          <w:rPr>
            <w:noProof/>
            <w:webHidden/>
          </w:rPr>
          <w:fldChar w:fldCharType="begin"/>
        </w:r>
        <w:r w:rsidR="0052665E">
          <w:rPr>
            <w:noProof/>
            <w:webHidden/>
          </w:rPr>
          <w:instrText xml:space="preserve"> PAGEREF _Toc433873506 \h </w:instrText>
        </w:r>
        <w:r w:rsidR="0052665E">
          <w:rPr>
            <w:noProof/>
            <w:webHidden/>
          </w:rPr>
        </w:r>
        <w:r w:rsidR="0052665E">
          <w:rPr>
            <w:noProof/>
            <w:webHidden/>
          </w:rPr>
          <w:fldChar w:fldCharType="separate"/>
        </w:r>
        <w:r w:rsidR="0052665E">
          <w:rPr>
            <w:noProof/>
            <w:webHidden/>
          </w:rPr>
          <w:t>68</w:t>
        </w:r>
        <w:r w:rsidR="0052665E">
          <w:rPr>
            <w:noProof/>
            <w:webHidden/>
          </w:rPr>
          <w:fldChar w:fldCharType="end"/>
        </w:r>
      </w:hyperlink>
    </w:p>
    <w:p w:rsidR="0052665E" w:rsidRDefault="00497984">
      <w:pPr>
        <w:pStyle w:val="Obsah3"/>
        <w:tabs>
          <w:tab w:val="right" w:leader="dot" w:pos="9061"/>
        </w:tabs>
        <w:rPr>
          <w:rFonts w:asciiTheme="minorHAnsi" w:eastAsiaTheme="minorEastAsia" w:hAnsiTheme="minorHAnsi" w:cstheme="minorBidi"/>
          <w:noProof/>
          <w:sz w:val="22"/>
          <w:szCs w:val="22"/>
        </w:rPr>
      </w:pPr>
      <w:hyperlink w:anchor="_Toc433873507" w:history="1">
        <w:r w:rsidR="0052665E" w:rsidRPr="002F734D">
          <w:rPr>
            <w:rStyle w:val="Hypertextovodkaz"/>
            <w:noProof/>
          </w:rPr>
          <w:t>3.4.2 Pokrok v realizaci prioritních os/oblastí intervence</w:t>
        </w:r>
        <w:r w:rsidR="0052665E">
          <w:rPr>
            <w:noProof/>
            <w:webHidden/>
          </w:rPr>
          <w:tab/>
        </w:r>
        <w:r w:rsidR="0052665E">
          <w:rPr>
            <w:noProof/>
            <w:webHidden/>
          </w:rPr>
          <w:fldChar w:fldCharType="begin"/>
        </w:r>
        <w:r w:rsidR="0052665E">
          <w:rPr>
            <w:noProof/>
            <w:webHidden/>
          </w:rPr>
          <w:instrText xml:space="preserve"> PAGEREF _Toc433873507 \h </w:instrText>
        </w:r>
        <w:r w:rsidR="0052665E">
          <w:rPr>
            <w:noProof/>
            <w:webHidden/>
          </w:rPr>
        </w:r>
        <w:r w:rsidR="0052665E">
          <w:rPr>
            <w:noProof/>
            <w:webHidden/>
          </w:rPr>
          <w:fldChar w:fldCharType="separate"/>
        </w:r>
        <w:r w:rsidR="0052665E">
          <w:rPr>
            <w:noProof/>
            <w:webHidden/>
          </w:rPr>
          <w:t>69</w:t>
        </w:r>
        <w:r w:rsidR="0052665E">
          <w:rPr>
            <w:noProof/>
            <w:webHidden/>
          </w:rPr>
          <w:fldChar w:fldCharType="end"/>
        </w:r>
      </w:hyperlink>
    </w:p>
    <w:p w:rsidR="0052665E" w:rsidRDefault="00497984">
      <w:pPr>
        <w:pStyle w:val="Obsah3"/>
        <w:tabs>
          <w:tab w:val="right" w:leader="dot" w:pos="9061"/>
        </w:tabs>
        <w:rPr>
          <w:rFonts w:asciiTheme="minorHAnsi" w:eastAsiaTheme="minorEastAsia" w:hAnsiTheme="minorHAnsi" w:cstheme="minorBidi"/>
          <w:noProof/>
          <w:sz w:val="22"/>
          <w:szCs w:val="22"/>
        </w:rPr>
      </w:pPr>
      <w:hyperlink w:anchor="_Toc433873508" w:history="1">
        <w:r w:rsidR="0052665E" w:rsidRPr="002F734D">
          <w:rPr>
            <w:rStyle w:val="Hypertextovodkaz"/>
            <w:noProof/>
          </w:rPr>
          <w:t>3.4.3 Naplňování indikátorů</w:t>
        </w:r>
        <w:r w:rsidR="0052665E">
          <w:rPr>
            <w:noProof/>
            <w:webHidden/>
          </w:rPr>
          <w:tab/>
        </w:r>
        <w:r w:rsidR="0052665E">
          <w:rPr>
            <w:noProof/>
            <w:webHidden/>
          </w:rPr>
          <w:fldChar w:fldCharType="begin"/>
        </w:r>
        <w:r w:rsidR="0052665E">
          <w:rPr>
            <w:noProof/>
            <w:webHidden/>
          </w:rPr>
          <w:instrText xml:space="preserve"> PAGEREF _Toc433873508 \h </w:instrText>
        </w:r>
        <w:r w:rsidR="0052665E">
          <w:rPr>
            <w:noProof/>
            <w:webHidden/>
          </w:rPr>
        </w:r>
        <w:r w:rsidR="0052665E">
          <w:rPr>
            <w:noProof/>
            <w:webHidden/>
          </w:rPr>
          <w:fldChar w:fldCharType="separate"/>
        </w:r>
        <w:r w:rsidR="0052665E">
          <w:rPr>
            <w:noProof/>
            <w:webHidden/>
          </w:rPr>
          <w:t>70</w:t>
        </w:r>
        <w:r w:rsidR="0052665E">
          <w:rPr>
            <w:noProof/>
            <w:webHidden/>
          </w:rPr>
          <w:fldChar w:fldCharType="end"/>
        </w:r>
      </w:hyperlink>
    </w:p>
    <w:p w:rsidR="0052665E" w:rsidRDefault="00497984">
      <w:pPr>
        <w:pStyle w:val="Obsah3"/>
        <w:tabs>
          <w:tab w:val="right" w:leader="dot" w:pos="9061"/>
        </w:tabs>
        <w:rPr>
          <w:rFonts w:asciiTheme="minorHAnsi" w:eastAsiaTheme="minorEastAsia" w:hAnsiTheme="minorHAnsi" w:cstheme="minorBidi"/>
          <w:noProof/>
          <w:sz w:val="22"/>
          <w:szCs w:val="22"/>
        </w:rPr>
      </w:pPr>
      <w:hyperlink w:anchor="_Toc433873509" w:history="1">
        <w:r w:rsidR="0052665E" w:rsidRPr="002F734D">
          <w:rPr>
            <w:rStyle w:val="Hypertextovodkaz"/>
            <w:noProof/>
          </w:rPr>
          <w:t>3.4.4 Problémy a přijatá opatření</w:t>
        </w:r>
        <w:r w:rsidR="0052665E">
          <w:rPr>
            <w:noProof/>
            <w:webHidden/>
          </w:rPr>
          <w:tab/>
        </w:r>
        <w:r w:rsidR="0052665E">
          <w:rPr>
            <w:noProof/>
            <w:webHidden/>
          </w:rPr>
          <w:fldChar w:fldCharType="begin"/>
        </w:r>
        <w:r w:rsidR="0052665E">
          <w:rPr>
            <w:noProof/>
            <w:webHidden/>
          </w:rPr>
          <w:instrText xml:space="preserve"> PAGEREF _Toc433873509 \h </w:instrText>
        </w:r>
        <w:r w:rsidR="0052665E">
          <w:rPr>
            <w:noProof/>
            <w:webHidden/>
          </w:rPr>
        </w:r>
        <w:r w:rsidR="0052665E">
          <w:rPr>
            <w:noProof/>
            <w:webHidden/>
          </w:rPr>
          <w:fldChar w:fldCharType="separate"/>
        </w:r>
        <w:r w:rsidR="0052665E">
          <w:rPr>
            <w:noProof/>
            <w:webHidden/>
          </w:rPr>
          <w:t>72</w:t>
        </w:r>
        <w:r w:rsidR="0052665E">
          <w:rPr>
            <w:noProof/>
            <w:webHidden/>
          </w:rPr>
          <w:fldChar w:fldCharType="end"/>
        </w:r>
      </w:hyperlink>
    </w:p>
    <w:p w:rsidR="0052665E" w:rsidRDefault="00497984">
      <w:pPr>
        <w:pStyle w:val="Obsah2"/>
        <w:tabs>
          <w:tab w:val="right" w:leader="dot" w:pos="9061"/>
        </w:tabs>
        <w:rPr>
          <w:rFonts w:asciiTheme="minorHAnsi" w:eastAsiaTheme="minorEastAsia" w:hAnsiTheme="minorHAnsi" w:cstheme="minorBidi"/>
          <w:noProof/>
          <w:sz w:val="22"/>
          <w:szCs w:val="22"/>
        </w:rPr>
      </w:pPr>
      <w:hyperlink w:anchor="_Toc433873510" w:history="1">
        <w:r w:rsidR="0052665E" w:rsidRPr="002F734D">
          <w:rPr>
            <w:rStyle w:val="Hypertextovodkaz"/>
            <w:noProof/>
          </w:rPr>
          <w:t>3.5 Prioritní osa 5 – Národní podpora územního rozvoje</w:t>
        </w:r>
        <w:r w:rsidR="0052665E">
          <w:rPr>
            <w:noProof/>
            <w:webHidden/>
          </w:rPr>
          <w:tab/>
        </w:r>
        <w:r w:rsidR="0052665E">
          <w:rPr>
            <w:noProof/>
            <w:webHidden/>
          </w:rPr>
          <w:fldChar w:fldCharType="begin"/>
        </w:r>
        <w:r w:rsidR="0052665E">
          <w:rPr>
            <w:noProof/>
            <w:webHidden/>
          </w:rPr>
          <w:instrText xml:space="preserve"> PAGEREF _Toc433873510 \h </w:instrText>
        </w:r>
        <w:r w:rsidR="0052665E">
          <w:rPr>
            <w:noProof/>
            <w:webHidden/>
          </w:rPr>
        </w:r>
        <w:r w:rsidR="0052665E">
          <w:rPr>
            <w:noProof/>
            <w:webHidden/>
          </w:rPr>
          <w:fldChar w:fldCharType="separate"/>
        </w:r>
        <w:r w:rsidR="0052665E">
          <w:rPr>
            <w:noProof/>
            <w:webHidden/>
          </w:rPr>
          <w:t>74</w:t>
        </w:r>
        <w:r w:rsidR="0052665E">
          <w:rPr>
            <w:noProof/>
            <w:webHidden/>
          </w:rPr>
          <w:fldChar w:fldCharType="end"/>
        </w:r>
      </w:hyperlink>
    </w:p>
    <w:p w:rsidR="0052665E" w:rsidRDefault="00497984">
      <w:pPr>
        <w:pStyle w:val="Obsah3"/>
        <w:tabs>
          <w:tab w:val="right" w:leader="dot" w:pos="9061"/>
        </w:tabs>
        <w:rPr>
          <w:rFonts w:asciiTheme="minorHAnsi" w:eastAsiaTheme="minorEastAsia" w:hAnsiTheme="minorHAnsi" w:cstheme="minorBidi"/>
          <w:noProof/>
          <w:sz w:val="22"/>
          <w:szCs w:val="22"/>
        </w:rPr>
      </w:pPr>
      <w:hyperlink w:anchor="_Toc433873511" w:history="1">
        <w:r w:rsidR="0052665E" w:rsidRPr="002F734D">
          <w:rPr>
            <w:rStyle w:val="Hypertextovodkaz"/>
            <w:noProof/>
          </w:rPr>
          <w:t>3.5.1 Zaměření prioritních os/oblastí intervence</w:t>
        </w:r>
        <w:r w:rsidR="0052665E">
          <w:rPr>
            <w:noProof/>
            <w:webHidden/>
          </w:rPr>
          <w:tab/>
        </w:r>
        <w:r w:rsidR="0052665E">
          <w:rPr>
            <w:noProof/>
            <w:webHidden/>
          </w:rPr>
          <w:fldChar w:fldCharType="begin"/>
        </w:r>
        <w:r w:rsidR="0052665E">
          <w:rPr>
            <w:noProof/>
            <w:webHidden/>
          </w:rPr>
          <w:instrText xml:space="preserve"> PAGEREF _Toc433873511 \h </w:instrText>
        </w:r>
        <w:r w:rsidR="0052665E">
          <w:rPr>
            <w:noProof/>
            <w:webHidden/>
          </w:rPr>
        </w:r>
        <w:r w:rsidR="0052665E">
          <w:rPr>
            <w:noProof/>
            <w:webHidden/>
          </w:rPr>
          <w:fldChar w:fldCharType="separate"/>
        </w:r>
        <w:r w:rsidR="0052665E">
          <w:rPr>
            <w:noProof/>
            <w:webHidden/>
          </w:rPr>
          <w:t>74</w:t>
        </w:r>
        <w:r w:rsidR="0052665E">
          <w:rPr>
            <w:noProof/>
            <w:webHidden/>
          </w:rPr>
          <w:fldChar w:fldCharType="end"/>
        </w:r>
      </w:hyperlink>
    </w:p>
    <w:p w:rsidR="0052665E" w:rsidRDefault="00497984">
      <w:pPr>
        <w:pStyle w:val="Obsah3"/>
        <w:tabs>
          <w:tab w:val="right" w:leader="dot" w:pos="9061"/>
        </w:tabs>
        <w:rPr>
          <w:rFonts w:asciiTheme="minorHAnsi" w:eastAsiaTheme="minorEastAsia" w:hAnsiTheme="minorHAnsi" w:cstheme="minorBidi"/>
          <w:noProof/>
          <w:sz w:val="22"/>
          <w:szCs w:val="22"/>
        </w:rPr>
      </w:pPr>
      <w:hyperlink w:anchor="_Toc433873512" w:history="1">
        <w:r w:rsidR="0052665E" w:rsidRPr="002F734D">
          <w:rPr>
            <w:rStyle w:val="Hypertextovodkaz"/>
            <w:noProof/>
          </w:rPr>
          <w:t>3.5.2 Pokrok v realizaci prioritních os/oblastí intervence</w:t>
        </w:r>
        <w:r w:rsidR="0052665E">
          <w:rPr>
            <w:noProof/>
            <w:webHidden/>
          </w:rPr>
          <w:tab/>
        </w:r>
        <w:r w:rsidR="0052665E">
          <w:rPr>
            <w:noProof/>
            <w:webHidden/>
          </w:rPr>
          <w:fldChar w:fldCharType="begin"/>
        </w:r>
        <w:r w:rsidR="0052665E">
          <w:rPr>
            <w:noProof/>
            <w:webHidden/>
          </w:rPr>
          <w:instrText xml:space="preserve"> PAGEREF _Toc433873512 \h </w:instrText>
        </w:r>
        <w:r w:rsidR="0052665E">
          <w:rPr>
            <w:noProof/>
            <w:webHidden/>
          </w:rPr>
        </w:r>
        <w:r w:rsidR="0052665E">
          <w:rPr>
            <w:noProof/>
            <w:webHidden/>
          </w:rPr>
          <w:fldChar w:fldCharType="separate"/>
        </w:r>
        <w:r w:rsidR="0052665E">
          <w:rPr>
            <w:noProof/>
            <w:webHidden/>
          </w:rPr>
          <w:t>75</w:t>
        </w:r>
        <w:r w:rsidR="0052665E">
          <w:rPr>
            <w:noProof/>
            <w:webHidden/>
          </w:rPr>
          <w:fldChar w:fldCharType="end"/>
        </w:r>
      </w:hyperlink>
    </w:p>
    <w:p w:rsidR="0052665E" w:rsidRDefault="00497984">
      <w:pPr>
        <w:pStyle w:val="Obsah3"/>
        <w:tabs>
          <w:tab w:val="right" w:leader="dot" w:pos="9061"/>
        </w:tabs>
        <w:rPr>
          <w:rFonts w:asciiTheme="minorHAnsi" w:eastAsiaTheme="minorEastAsia" w:hAnsiTheme="minorHAnsi" w:cstheme="minorBidi"/>
          <w:noProof/>
          <w:sz w:val="22"/>
          <w:szCs w:val="22"/>
        </w:rPr>
      </w:pPr>
      <w:hyperlink w:anchor="_Toc433873513" w:history="1">
        <w:r w:rsidR="0052665E" w:rsidRPr="002F734D">
          <w:rPr>
            <w:rStyle w:val="Hypertextovodkaz"/>
            <w:noProof/>
          </w:rPr>
          <w:t>3.5.3 Naplňování indikátorů</w:t>
        </w:r>
        <w:r w:rsidR="0052665E">
          <w:rPr>
            <w:noProof/>
            <w:webHidden/>
          </w:rPr>
          <w:tab/>
        </w:r>
        <w:r w:rsidR="0052665E">
          <w:rPr>
            <w:noProof/>
            <w:webHidden/>
          </w:rPr>
          <w:fldChar w:fldCharType="begin"/>
        </w:r>
        <w:r w:rsidR="0052665E">
          <w:rPr>
            <w:noProof/>
            <w:webHidden/>
          </w:rPr>
          <w:instrText xml:space="preserve"> PAGEREF _Toc433873513 \h </w:instrText>
        </w:r>
        <w:r w:rsidR="0052665E">
          <w:rPr>
            <w:noProof/>
            <w:webHidden/>
          </w:rPr>
        </w:r>
        <w:r w:rsidR="0052665E">
          <w:rPr>
            <w:noProof/>
            <w:webHidden/>
          </w:rPr>
          <w:fldChar w:fldCharType="separate"/>
        </w:r>
        <w:r w:rsidR="0052665E">
          <w:rPr>
            <w:noProof/>
            <w:webHidden/>
          </w:rPr>
          <w:t>78</w:t>
        </w:r>
        <w:r w:rsidR="0052665E">
          <w:rPr>
            <w:noProof/>
            <w:webHidden/>
          </w:rPr>
          <w:fldChar w:fldCharType="end"/>
        </w:r>
      </w:hyperlink>
    </w:p>
    <w:p w:rsidR="0052665E" w:rsidRDefault="00497984">
      <w:pPr>
        <w:pStyle w:val="Obsah3"/>
        <w:tabs>
          <w:tab w:val="right" w:leader="dot" w:pos="9061"/>
        </w:tabs>
        <w:rPr>
          <w:rFonts w:asciiTheme="minorHAnsi" w:eastAsiaTheme="minorEastAsia" w:hAnsiTheme="minorHAnsi" w:cstheme="minorBidi"/>
          <w:noProof/>
          <w:sz w:val="22"/>
          <w:szCs w:val="22"/>
        </w:rPr>
      </w:pPr>
      <w:hyperlink w:anchor="_Toc433873514" w:history="1">
        <w:r w:rsidR="0052665E" w:rsidRPr="002F734D">
          <w:rPr>
            <w:rStyle w:val="Hypertextovodkaz"/>
            <w:noProof/>
          </w:rPr>
          <w:t>3.5.4 Problémy a přijatá opatření</w:t>
        </w:r>
        <w:r w:rsidR="0052665E">
          <w:rPr>
            <w:noProof/>
            <w:webHidden/>
          </w:rPr>
          <w:tab/>
        </w:r>
        <w:r w:rsidR="0052665E">
          <w:rPr>
            <w:noProof/>
            <w:webHidden/>
          </w:rPr>
          <w:fldChar w:fldCharType="begin"/>
        </w:r>
        <w:r w:rsidR="0052665E">
          <w:rPr>
            <w:noProof/>
            <w:webHidden/>
          </w:rPr>
          <w:instrText xml:space="preserve"> PAGEREF _Toc433873514 \h </w:instrText>
        </w:r>
        <w:r w:rsidR="0052665E">
          <w:rPr>
            <w:noProof/>
            <w:webHidden/>
          </w:rPr>
        </w:r>
        <w:r w:rsidR="0052665E">
          <w:rPr>
            <w:noProof/>
            <w:webHidden/>
          </w:rPr>
          <w:fldChar w:fldCharType="separate"/>
        </w:r>
        <w:r w:rsidR="0052665E">
          <w:rPr>
            <w:noProof/>
            <w:webHidden/>
          </w:rPr>
          <w:t>83</w:t>
        </w:r>
        <w:r w:rsidR="0052665E">
          <w:rPr>
            <w:noProof/>
            <w:webHidden/>
          </w:rPr>
          <w:fldChar w:fldCharType="end"/>
        </w:r>
      </w:hyperlink>
    </w:p>
    <w:p w:rsidR="0052665E" w:rsidRDefault="00497984">
      <w:pPr>
        <w:pStyle w:val="Obsah3"/>
        <w:tabs>
          <w:tab w:val="right" w:leader="dot" w:pos="9061"/>
        </w:tabs>
        <w:rPr>
          <w:rFonts w:asciiTheme="minorHAnsi" w:eastAsiaTheme="minorEastAsia" w:hAnsiTheme="minorHAnsi" w:cstheme="minorBidi"/>
          <w:noProof/>
          <w:sz w:val="22"/>
          <w:szCs w:val="22"/>
        </w:rPr>
      </w:pPr>
      <w:hyperlink w:anchor="_Toc433873515" w:history="1">
        <w:r w:rsidR="0052665E" w:rsidRPr="002F734D">
          <w:rPr>
            <w:rStyle w:val="Hypertextovodkaz"/>
            <w:noProof/>
          </w:rPr>
          <w:t>3.5.5 Příklad projektu</w:t>
        </w:r>
        <w:r w:rsidR="0052665E">
          <w:rPr>
            <w:noProof/>
            <w:webHidden/>
          </w:rPr>
          <w:tab/>
        </w:r>
        <w:r w:rsidR="0052665E">
          <w:rPr>
            <w:noProof/>
            <w:webHidden/>
          </w:rPr>
          <w:fldChar w:fldCharType="begin"/>
        </w:r>
        <w:r w:rsidR="0052665E">
          <w:rPr>
            <w:noProof/>
            <w:webHidden/>
          </w:rPr>
          <w:instrText xml:space="preserve"> PAGEREF _Toc433873515 \h </w:instrText>
        </w:r>
        <w:r w:rsidR="0052665E">
          <w:rPr>
            <w:noProof/>
            <w:webHidden/>
          </w:rPr>
        </w:r>
        <w:r w:rsidR="0052665E">
          <w:rPr>
            <w:noProof/>
            <w:webHidden/>
          </w:rPr>
          <w:fldChar w:fldCharType="separate"/>
        </w:r>
        <w:r w:rsidR="0052665E">
          <w:rPr>
            <w:noProof/>
            <w:webHidden/>
          </w:rPr>
          <w:t>84</w:t>
        </w:r>
        <w:r w:rsidR="0052665E">
          <w:rPr>
            <w:noProof/>
            <w:webHidden/>
          </w:rPr>
          <w:fldChar w:fldCharType="end"/>
        </w:r>
      </w:hyperlink>
    </w:p>
    <w:p w:rsidR="0052665E" w:rsidRDefault="00497984">
      <w:pPr>
        <w:pStyle w:val="Obsah2"/>
        <w:tabs>
          <w:tab w:val="right" w:leader="dot" w:pos="9061"/>
        </w:tabs>
        <w:rPr>
          <w:rFonts w:asciiTheme="minorHAnsi" w:eastAsiaTheme="minorEastAsia" w:hAnsiTheme="minorHAnsi" w:cstheme="minorBidi"/>
          <w:noProof/>
          <w:sz w:val="22"/>
          <w:szCs w:val="22"/>
        </w:rPr>
      </w:pPr>
      <w:hyperlink w:anchor="_Toc433873516" w:history="1">
        <w:r w:rsidR="0052665E" w:rsidRPr="002F734D">
          <w:rPr>
            <w:rStyle w:val="Hypertextovodkaz"/>
            <w:noProof/>
          </w:rPr>
          <w:t>3.6 Prioritní osa 6a, 6b – Technická pomoc</w:t>
        </w:r>
        <w:r w:rsidR="0052665E">
          <w:rPr>
            <w:noProof/>
            <w:webHidden/>
          </w:rPr>
          <w:tab/>
        </w:r>
        <w:r w:rsidR="0052665E">
          <w:rPr>
            <w:noProof/>
            <w:webHidden/>
          </w:rPr>
          <w:fldChar w:fldCharType="begin"/>
        </w:r>
        <w:r w:rsidR="0052665E">
          <w:rPr>
            <w:noProof/>
            <w:webHidden/>
          </w:rPr>
          <w:instrText xml:space="preserve"> PAGEREF _Toc433873516 \h </w:instrText>
        </w:r>
        <w:r w:rsidR="0052665E">
          <w:rPr>
            <w:noProof/>
            <w:webHidden/>
          </w:rPr>
        </w:r>
        <w:r w:rsidR="0052665E">
          <w:rPr>
            <w:noProof/>
            <w:webHidden/>
          </w:rPr>
          <w:fldChar w:fldCharType="separate"/>
        </w:r>
        <w:r w:rsidR="0052665E">
          <w:rPr>
            <w:noProof/>
            <w:webHidden/>
          </w:rPr>
          <w:t>86</w:t>
        </w:r>
        <w:r w:rsidR="0052665E">
          <w:rPr>
            <w:noProof/>
            <w:webHidden/>
          </w:rPr>
          <w:fldChar w:fldCharType="end"/>
        </w:r>
      </w:hyperlink>
    </w:p>
    <w:p w:rsidR="0052665E" w:rsidRDefault="00497984">
      <w:pPr>
        <w:pStyle w:val="Obsah3"/>
        <w:tabs>
          <w:tab w:val="right" w:leader="dot" w:pos="9061"/>
        </w:tabs>
        <w:rPr>
          <w:rFonts w:asciiTheme="minorHAnsi" w:eastAsiaTheme="minorEastAsia" w:hAnsiTheme="minorHAnsi" w:cstheme="minorBidi"/>
          <w:noProof/>
          <w:sz w:val="22"/>
          <w:szCs w:val="22"/>
        </w:rPr>
      </w:pPr>
      <w:hyperlink w:anchor="_Toc433873517" w:history="1">
        <w:r w:rsidR="0052665E" w:rsidRPr="002F734D">
          <w:rPr>
            <w:rStyle w:val="Hypertextovodkaz"/>
            <w:noProof/>
          </w:rPr>
          <w:t>3.6.1 Zaměření prioritních os/oblastí intervence</w:t>
        </w:r>
        <w:r w:rsidR="0052665E">
          <w:rPr>
            <w:noProof/>
            <w:webHidden/>
          </w:rPr>
          <w:tab/>
        </w:r>
        <w:r w:rsidR="0052665E">
          <w:rPr>
            <w:noProof/>
            <w:webHidden/>
          </w:rPr>
          <w:fldChar w:fldCharType="begin"/>
        </w:r>
        <w:r w:rsidR="0052665E">
          <w:rPr>
            <w:noProof/>
            <w:webHidden/>
          </w:rPr>
          <w:instrText xml:space="preserve"> PAGEREF _Toc433873517 \h </w:instrText>
        </w:r>
        <w:r w:rsidR="0052665E">
          <w:rPr>
            <w:noProof/>
            <w:webHidden/>
          </w:rPr>
        </w:r>
        <w:r w:rsidR="0052665E">
          <w:rPr>
            <w:noProof/>
            <w:webHidden/>
          </w:rPr>
          <w:fldChar w:fldCharType="separate"/>
        </w:r>
        <w:r w:rsidR="0052665E">
          <w:rPr>
            <w:noProof/>
            <w:webHidden/>
          </w:rPr>
          <w:t>86</w:t>
        </w:r>
        <w:r w:rsidR="0052665E">
          <w:rPr>
            <w:noProof/>
            <w:webHidden/>
          </w:rPr>
          <w:fldChar w:fldCharType="end"/>
        </w:r>
      </w:hyperlink>
    </w:p>
    <w:p w:rsidR="0052665E" w:rsidRDefault="00497984">
      <w:pPr>
        <w:pStyle w:val="Obsah3"/>
        <w:tabs>
          <w:tab w:val="right" w:leader="dot" w:pos="9061"/>
        </w:tabs>
        <w:rPr>
          <w:rFonts w:asciiTheme="minorHAnsi" w:eastAsiaTheme="minorEastAsia" w:hAnsiTheme="minorHAnsi" w:cstheme="minorBidi"/>
          <w:noProof/>
          <w:sz w:val="22"/>
          <w:szCs w:val="22"/>
        </w:rPr>
      </w:pPr>
      <w:hyperlink w:anchor="_Toc433873518" w:history="1">
        <w:r w:rsidR="0052665E" w:rsidRPr="002F734D">
          <w:rPr>
            <w:rStyle w:val="Hypertextovodkaz"/>
            <w:noProof/>
          </w:rPr>
          <w:t>3.6.2 Pokrok v realizaci prioritních os/oblastí intervence</w:t>
        </w:r>
        <w:r w:rsidR="0052665E">
          <w:rPr>
            <w:noProof/>
            <w:webHidden/>
          </w:rPr>
          <w:tab/>
        </w:r>
        <w:r w:rsidR="0052665E">
          <w:rPr>
            <w:noProof/>
            <w:webHidden/>
          </w:rPr>
          <w:fldChar w:fldCharType="begin"/>
        </w:r>
        <w:r w:rsidR="0052665E">
          <w:rPr>
            <w:noProof/>
            <w:webHidden/>
          </w:rPr>
          <w:instrText xml:space="preserve"> PAGEREF _Toc433873518 \h </w:instrText>
        </w:r>
        <w:r w:rsidR="0052665E">
          <w:rPr>
            <w:noProof/>
            <w:webHidden/>
          </w:rPr>
        </w:r>
        <w:r w:rsidR="0052665E">
          <w:rPr>
            <w:noProof/>
            <w:webHidden/>
          </w:rPr>
          <w:fldChar w:fldCharType="separate"/>
        </w:r>
        <w:r w:rsidR="0052665E">
          <w:rPr>
            <w:noProof/>
            <w:webHidden/>
          </w:rPr>
          <w:t>87</w:t>
        </w:r>
        <w:r w:rsidR="0052665E">
          <w:rPr>
            <w:noProof/>
            <w:webHidden/>
          </w:rPr>
          <w:fldChar w:fldCharType="end"/>
        </w:r>
      </w:hyperlink>
    </w:p>
    <w:p w:rsidR="0052665E" w:rsidRDefault="00497984">
      <w:pPr>
        <w:pStyle w:val="Obsah3"/>
        <w:tabs>
          <w:tab w:val="right" w:leader="dot" w:pos="9061"/>
        </w:tabs>
        <w:rPr>
          <w:rFonts w:asciiTheme="minorHAnsi" w:eastAsiaTheme="minorEastAsia" w:hAnsiTheme="minorHAnsi" w:cstheme="minorBidi"/>
          <w:noProof/>
          <w:sz w:val="22"/>
          <w:szCs w:val="22"/>
        </w:rPr>
      </w:pPr>
      <w:hyperlink w:anchor="_Toc433873519" w:history="1">
        <w:r w:rsidR="0052665E" w:rsidRPr="002F734D">
          <w:rPr>
            <w:rStyle w:val="Hypertextovodkaz"/>
            <w:noProof/>
          </w:rPr>
          <w:t>3.6.3 Naplňování indikátorů</w:t>
        </w:r>
        <w:r w:rsidR="0052665E">
          <w:rPr>
            <w:noProof/>
            <w:webHidden/>
          </w:rPr>
          <w:tab/>
        </w:r>
        <w:r w:rsidR="0052665E">
          <w:rPr>
            <w:noProof/>
            <w:webHidden/>
          </w:rPr>
          <w:fldChar w:fldCharType="begin"/>
        </w:r>
        <w:r w:rsidR="0052665E">
          <w:rPr>
            <w:noProof/>
            <w:webHidden/>
          </w:rPr>
          <w:instrText xml:space="preserve"> PAGEREF _Toc433873519 \h </w:instrText>
        </w:r>
        <w:r w:rsidR="0052665E">
          <w:rPr>
            <w:noProof/>
            <w:webHidden/>
          </w:rPr>
        </w:r>
        <w:r w:rsidR="0052665E">
          <w:rPr>
            <w:noProof/>
            <w:webHidden/>
          </w:rPr>
          <w:fldChar w:fldCharType="separate"/>
        </w:r>
        <w:r w:rsidR="0052665E">
          <w:rPr>
            <w:noProof/>
            <w:webHidden/>
          </w:rPr>
          <w:t>89</w:t>
        </w:r>
        <w:r w:rsidR="0052665E">
          <w:rPr>
            <w:noProof/>
            <w:webHidden/>
          </w:rPr>
          <w:fldChar w:fldCharType="end"/>
        </w:r>
      </w:hyperlink>
    </w:p>
    <w:p w:rsidR="0052665E" w:rsidRDefault="00497984">
      <w:pPr>
        <w:pStyle w:val="Obsah3"/>
        <w:tabs>
          <w:tab w:val="right" w:leader="dot" w:pos="9061"/>
        </w:tabs>
        <w:rPr>
          <w:rFonts w:asciiTheme="minorHAnsi" w:eastAsiaTheme="minorEastAsia" w:hAnsiTheme="minorHAnsi" w:cstheme="minorBidi"/>
          <w:noProof/>
          <w:sz w:val="22"/>
          <w:szCs w:val="22"/>
        </w:rPr>
      </w:pPr>
      <w:hyperlink w:anchor="_Toc433873520" w:history="1">
        <w:r w:rsidR="0052665E" w:rsidRPr="002F734D">
          <w:rPr>
            <w:rStyle w:val="Hypertextovodkaz"/>
            <w:noProof/>
          </w:rPr>
          <w:t>3.6.4 Problémy a přijatá opatření</w:t>
        </w:r>
        <w:r w:rsidR="0052665E">
          <w:rPr>
            <w:noProof/>
            <w:webHidden/>
          </w:rPr>
          <w:tab/>
        </w:r>
        <w:r w:rsidR="0052665E">
          <w:rPr>
            <w:noProof/>
            <w:webHidden/>
          </w:rPr>
          <w:fldChar w:fldCharType="begin"/>
        </w:r>
        <w:r w:rsidR="0052665E">
          <w:rPr>
            <w:noProof/>
            <w:webHidden/>
          </w:rPr>
          <w:instrText xml:space="preserve"> PAGEREF _Toc433873520 \h </w:instrText>
        </w:r>
        <w:r w:rsidR="0052665E">
          <w:rPr>
            <w:noProof/>
            <w:webHidden/>
          </w:rPr>
        </w:r>
        <w:r w:rsidR="0052665E">
          <w:rPr>
            <w:noProof/>
            <w:webHidden/>
          </w:rPr>
          <w:fldChar w:fldCharType="separate"/>
        </w:r>
        <w:r w:rsidR="0052665E">
          <w:rPr>
            <w:noProof/>
            <w:webHidden/>
          </w:rPr>
          <w:t>90</w:t>
        </w:r>
        <w:r w:rsidR="0052665E">
          <w:rPr>
            <w:noProof/>
            <w:webHidden/>
          </w:rPr>
          <w:fldChar w:fldCharType="end"/>
        </w:r>
      </w:hyperlink>
    </w:p>
    <w:p w:rsidR="0052665E" w:rsidRDefault="00497984">
      <w:pPr>
        <w:pStyle w:val="Obsah1"/>
        <w:rPr>
          <w:rFonts w:asciiTheme="minorHAnsi" w:eastAsiaTheme="minorEastAsia" w:hAnsiTheme="minorHAnsi" w:cstheme="minorBidi"/>
          <w:noProof/>
          <w:sz w:val="22"/>
          <w:szCs w:val="22"/>
        </w:rPr>
      </w:pPr>
      <w:hyperlink w:anchor="_Toc433873521" w:history="1">
        <w:r w:rsidR="0052665E" w:rsidRPr="002F734D">
          <w:rPr>
            <w:rStyle w:val="Hypertextovodkaz"/>
            <w:noProof/>
            <w:kern w:val="32"/>
          </w:rPr>
          <w:t>4 ADMINISTRATIVNÍ ZAJIŠTĚNÍ PROGRAMU</w:t>
        </w:r>
        <w:r w:rsidR="0052665E">
          <w:rPr>
            <w:noProof/>
            <w:webHidden/>
          </w:rPr>
          <w:tab/>
        </w:r>
        <w:r w:rsidR="0052665E">
          <w:rPr>
            <w:noProof/>
            <w:webHidden/>
          </w:rPr>
          <w:fldChar w:fldCharType="begin"/>
        </w:r>
        <w:r w:rsidR="0052665E">
          <w:rPr>
            <w:noProof/>
            <w:webHidden/>
          </w:rPr>
          <w:instrText xml:space="preserve"> PAGEREF _Toc433873521 \h </w:instrText>
        </w:r>
        <w:r w:rsidR="0052665E">
          <w:rPr>
            <w:noProof/>
            <w:webHidden/>
          </w:rPr>
        </w:r>
        <w:r w:rsidR="0052665E">
          <w:rPr>
            <w:noProof/>
            <w:webHidden/>
          </w:rPr>
          <w:fldChar w:fldCharType="separate"/>
        </w:r>
        <w:r w:rsidR="0052665E">
          <w:rPr>
            <w:noProof/>
            <w:webHidden/>
          </w:rPr>
          <w:t>91</w:t>
        </w:r>
        <w:r w:rsidR="0052665E">
          <w:rPr>
            <w:noProof/>
            <w:webHidden/>
          </w:rPr>
          <w:fldChar w:fldCharType="end"/>
        </w:r>
      </w:hyperlink>
    </w:p>
    <w:p w:rsidR="0052665E" w:rsidRDefault="00497984">
      <w:pPr>
        <w:pStyle w:val="Obsah2"/>
        <w:tabs>
          <w:tab w:val="right" w:leader="dot" w:pos="9061"/>
        </w:tabs>
        <w:rPr>
          <w:rFonts w:asciiTheme="minorHAnsi" w:eastAsiaTheme="minorEastAsia" w:hAnsiTheme="minorHAnsi" w:cstheme="minorBidi"/>
          <w:noProof/>
          <w:sz w:val="22"/>
          <w:szCs w:val="22"/>
        </w:rPr>
      </w:pPr>
      <w:hyperlink w:anchor="_Toc433873522" w:history="1">
        <w:r w:rsidR="0052665E" w:rsidRPr="002F734D">
          <w:rPr>
            <w:rStyle w:val="Hypertextovodkaz"/>
            <w:noProof/>
          </w:rPr>
          <w:t>4.1 Informace o provádění a výsledcích auditů a finančních kontrol</w:t>
        </w:r>
        <w:r w:rsidR="0052665E">
          <w:rPr>
            <w:noProof/>
            <w:webHidden/>
          </w:rPr>
          <w:tab/>
        </w:r>
        <w:r w:rsidR="0052665E">
          <w:rPr>
            <w:noProof/>
            <w:webHidden/>
          </w:rPr>
          <w:fldChar w:fldCharType="begin"/>
        </w:r>
        <w:r w:rsidR="0052665E">
          <w:rPr>
            <w:noProof/>
            <w:webHidden/>
          </w:rPr>
          <w:instrText xml:space="preserve"> PAGEREF _Toc433873522 \h </w:instrText>
        </w:r>
        <w:r w:rsidR="0052665E">
          <w:rPr>
            <w:noProof/>
            <w:webHidden/>
          </w:rPr>
        </w:r>
        <w:r w:rsidR="0052665E">
          <w:rPr>
            <w:noProof/>
            <w:webHidden/>
          </w:rPr>
          <w:fldChar w:fldCharType="separate"/>
        </w:r>
        <w:r w:rsidR="0052665E">
          <w:rPr>
            <w:noProof/>
            <w:webHidden/>
          </w:rPr>
          <w:t>91</w:t>
        </w:r>
        <w:r w:rsidR="0052665E">
          <w:rPr>
            <w:noProof/>
            <w:webHidden/>
          </w:rPr>
          <w:fldChar w:fldCharType="end"/>
        </w:r>
      </w:hyperlink>
    </w:p>
    <w:p w:rsidR="0052665E" w:rsidRDefault="00497984">
      <w:pPr>
        <w:pStyle w:val="Obsah2"/>
        <w:tabs>
          <w:tab w:val="right" w:leader="dot" w:pos="9061"/>
        </w:tabs>
        <w:rPr>
          <w:rFonts w:asciiTheme="minorHAnsi" w:eastAsiaTheme="minorEastAsia" w:hAnsiTheme="minorHAnsi" w:cstheme="minorBidi"/>
          <w:noProof/>
          <w:sz w:val="22"/>
          <w:szCs w:val="22"/>
        </w:rPr>
      </w:pPr>
      <w:hyperlink w:anchor="_Toc433873523" w:history="1">
        <w:r w:rsidR="0052665E" w:rsidRPr="002F734D">
          <w:rPr>
            <w:rStyle w:val="Hypertextovodkaz"/>
            <w:noProof/>
          </w:rPr>
          <w:t>4.2 Realizace komunikačního plánu a aktivit v oblasti publicity</w:t>
        </w:r>
        <w:r w:rsidR="0052665E">
          <w:rPr>
            <w:noProof/>
            <w:webHidden/>
          </w:rPr>
          <w:tab/>
        </w:r>
        <w:r w:rsidR="0052665E">
          <w:rPr>
            <w:noProof/>
            <w:webHidden/>
          </w:rPr>
          <w:fldChar w:fldCharType="begin"/>
        </w:r>
        <w:r w:rsidR="0052665E">
          <w:rPr>
            <w:noProof/>
            <w:webHidden/>
          </w:rPr>
          <w:instrText xml:space="preserve"> PAGEREF _Toc433873523 \h </w:instrText>
        </w:r>
        <w:r w:rsidR="0052665E">
          <w:rPr>
            <w:noProof/>
            <w:webHidden/>
          </w:rPr>
        </w:r>
        <w:r w:rsidR="0052665E">
          <w:rPr>
            <w:noProof/>
            <w:webHidden/>
          </w:rPr>
          <w:fldChar w:fldCharType="separate"/>
        </w:r>
        <w:r w:rsidR="0052665E">
          <w:rPr>
            <w:noProof/>
            <w:webHidden/>
          </w:rPr>
          <w:t>96</w:t>
        </w:r>
        <w:r w:rsidR="0052665E">
          <w:rPr>
            <w:noProof/>
            <w:webHidden/>
          </w:rPr>
          <w:fldChar w:fldCharType="end"/>
        </w:r>
      </w:hyperlink>
    </w:p>
    <w:p w:rsidR="0052665E" w:rsidRDefault="00497984">
      <w:pPr>
        <w:pStyle w:val="Obsah2"/>
        <w:tabs>
          <w:tab w:val="right" w:leader="dot" w:pos="9061"/>
        </w:tabs>
        <w:rPr>
          <w:rFonts w:asciiTheme="minorHAnsi" w:eastAsiaTheme="minorEastAsia" w:hAnsiTheme="minorHAnsi" w:cstheme="minorBidi"/>
          <w:noProof/>
          <w:sz w:val="22"/>
          <w:szCs w:val="22"/>
        </w:rPr>
      </w:pPr>
      <w:hyperlink w:anchor="_Toc433873524" w:history="1">
        <w:r w:rsidR="0052665E" w:rsidRPr="002F734D">
          <w:rPr>
            <w:rStyle w:val="Hypertextovodkaz"/>
            <w:noProof/>
          </w:rPr>
          <w:t>4.3 Provedené evaluace a studie</w:t>
        </w:r>
        <w:r w:rsidR="0052665E">
          <w:rPr>
            <w:noProof/>
            <w:webHidden/>
          </w:rPr>
          <w:tab/>
        </w:r>
        <w:r w:rsidR="0052665E">
          <w:rPr>
            <w:noProof/>
            <w:webHidden/>
          </w:rPr>
          <w:fldChar w:fldCharType="begin"/>
        </w:r>
        <w:r w:rsidR="0052665E">
          <w:rPr>
            <w:noProof/>
            <w:webHidden/>
          </w:rPr>
          <w:instrText xml:space="preserve"> PAGEREF _Toc433873524 \h </w:instrText>
        </w:r>
        <w:r w:rsidR="0052665E">
          <w:rPr>
            <w:noProof/>
            <w:webHidden/>
          </w:rPr>
        </w:r>
        <w:r w:rsidR="0052665E">
          <w:rPr>
            <w:noProof/>
            <w:webHidden/>
          </w:rPr>
          <w:fldChar w:fldCharType="separate"/>
        </w:r>
        <w:r w:rsidR="0052665E">
          <w:rPr>
            <w:noProof/>
            <w:webHidden/>
          </w:rPr>
          <w:t>98</w:t>
        </w:r>
        <w:r w:rsidR="0052665E">
          <w:rPr>
            <w:noProof/>
            <w:webHidden/>
          </w:rPr>
          <w:fldChar w:fldCharType="end"/>
        </w:r>
      </w:hyperlink>
    </w:p>
    <w:p w:rsidR="0052665E" w:rsidRDefault="00497984">
      <w:pPr>
        <w:pStyle w:val="Obsah3"/>
        <w:tabs>
          <w:tab w:val="right" w:leader="dot" w:pos="9061"/>
        </w:tabs>
        <w:rPr>
          <w:rFonts w:asciiTheme="minorHAnsi" w:eastAsiaTheme="minorEastAsia" w:hAnsiTheme="minorHAnsi" w:cstheme="minorBidi"/>
          <w:noProof/>
          <w:sz w:val="22"/>
          <w:szCs w:val="22"/>
        </w:rPr>
      </w:pPr>
      <w:hyperlink w:anchor="_Toc433873525" w:history="1">
        <w:r w:rsidR="0052665E" w:rsidRPr="002F734D">
          <w:rPr>
            <w:rStyle w:val="Hypertextovodkaz"/>
            <w:noProof/>
          </w:rPr>
          <w:t>4.3.1 Evaluace řídícího orgánu</w:t>
        </w:r>
        <w:r w:rsidR="0052665E">
          <w:rPr>
            <w:noProof/>
            <w:webHidden/>
          </w:rPr>
          <w:tab/>
        </w:r>
        <w:r w:rsidR="0052665E">
          <w:rPr>
            <w:noProof/>
            <w:webHidden/>
          </w:rPr>
          <w:fldChar w:fldCharType="begin"/>
        </w:r>
        <w:r w:rsidR="0052665E">
          <w:rPr>
            <w:noProof/>
            <w:webHidden/>
          </w:rPr>
          <w:instrText xml:space="preserve"> PAGEREF _Toc433873525 \h </w:instrText>
        </w:r>
        <w:r w:rsidR="0052665E">
          <w:rPr>
            <w:noProof/>
            <w:webHidden/>
          </w:rPr>
        </w:r>
        <w:r w:rsidR="0052665E">
          <w:rPr>
            <w:noProof/>
            <w:webHidden/>
          </w:rPr>
          <w:fldChar w:fldCharType="separate"/>
        </w:r>
        <w:r w:rsidR="0052665E">
          <w:rPr>
            <w:noProof/>
            <w:webHidden/>
          </w:rPr>
          <w:t>98</w:t>
        </w:r>
        <w:r w:rsidR="0052665E">
          <w:rPr>
            <w:noProof/>
            <w:webHidden/>
          </w:rPr>
          <w:fldChar w:fldCharType="end"/>
        </w:r>
      </w:hyperlink>
    </w:p>
    <w:p w:rsidR="0052665E" w:rsidRDefault="00497984">
      <w:pPr>
        <w:pStyle w:val="Obsah3"/>
        <w:tabs>
          <w:tab w:val="right" w:leader="dot" w:pos="9061"/>
        </w:tabs>
        <w:rPr>
          <w:rFonts w:asciiTheme="minorHAnsi" w:eastAsiaTheme="minorEastAsia" w:hAnsiTheme="minorHAnsi" w:cstheme="minorBidi"/>
          <w:noProof/>
          <w:sz w:val="22"/>
          <w:szCs w:val="22"/>
        </w:rPr>
      </w:pPr>
      <w:hyperlink w:anchor="_Toc433873526" w:history="1">
        <w:r w:rsidR="0052665E" w:rsidRPr="002F734D">
          <w:rPr>
            <w:rStyle w:val="Hypertextovodkaz"/>
            <w:noProof/>
          </w:rPr>
          <w:t>4.3.2 Evaluace a studie zprostředkujících subjektů</w:t>
        </w:r>
        <w:r w:rsidR="0052665E">
          <w:rPr>
            <w:noProof/>
            <w:webHidden/>
          </w:rPr>
          <w:tab/>
        </w:r>
        <w:r w:rsidR="0052665E">
          <w:rPr>
            <w:noProof/>
            <w:webHidden/>
          </w:rPr>
          <w:fldChar w:fldCharType="begin"/>
        </w:r>
        <w:r w:rsidR="0052665E">
          <w:rPr>
            <w:noProof/>
            <w:webHidden/>
          </w:rPr>
          <w:instrText xml:space="preserve"> PAGEREF _Toc433873526 \h </w:instrText>
        </w:r>
        <w:r w:rsidR="0052665E">
          <w:rPr>
            <w:noProof/>
            <w:webHidden/>
          </w:rPr>
        </w:r>
        <w:r w:rsidR="0052665E">
          <w:rPr>
            <w:noProof/>
            <w:webHidden/>
          </w:rPr>
          <w:fldChar w:fldCharType="separate"/>
        </w:r>
        <w:r w:rsidR="0052665E">
          <w:rPr>
            <w:noProof/>
            <w:webHidden/>
          </w:rPr>
          <w:t>99</w:t>
        </w:r>
        <w:r w:rsidR="0052665E">
          <w:rPr>
            <w:noProof/>
            <w:webHidden/>
          </w:rPr>
          <w:fldChar w:fldCharType="end"/>
        </w:r>
      </w:hyperlink>
    </w:p>
    <w:p w:rsidR="0052665E" w:rsidRDefault="00497984">
      <w:pPr>
        <w:pStyle w:val="Obsah2"/>
        <w:tabs>
          <w:tab w:val="right" w:leader="dot" w:pos="9061"/>
        </w:tabs>
        <w:rPr>
          <w:rFonts w:asciiTheme="minorHAnsi" w:eastAsiaTheme="minorEastAsia" w:hAnsiTheme="minorHAnsi" w:cstheme="minorBidi"/>
          <w:noProof/>
          <w:sz w:val="22"/>
          <w:szCs w:val="22"/>
        </w:rPr>
      </w:pPr>
      <w:hyperlink w:anchor="_Toc433873527" w:history="1">
        <w:r w:rsidR="0052665E" w:rsidRPr="002F734D">
          <w:rPr>
            <w:rStyle w:val="Hypertextovodkaz"/>
            <w:noProof/>
          </w:rPr>
          <w:t>4.4 Ostatní aktivity řídícího orgánu a monitorovacího výboru</w:t>
        </w:r>
        <w:r w:rsidR="0052665E">
          <w:rPr>
            <w:noProof/>
            <w:webHidden/>
          </w:rPr>
          <w:tab/>
        </w:r>
        <w:r w:rsidR="0052665E">
          <w:rPr>
            <w:noProof/>
            <w:webHidden/>
          </w:rPr>
          <w:fldChar w:fldCharType="begin"/>
        </w:r>
        <w:r w:rsidR="0052665E">
          <w:rPr>
            <w:noProof/>
            <w:webHidden/>
          </w:rPr>
          <w:instrText xml:space="preserve"> PAGEREF _Toc433873527 \h </w:instrText>
        </w:r>
        <w:r w:rsidR="0052665E">
          <w:rPr>
            <w:noProof/>
            <w:webHidden/>
          </w:rPr>
        </w:r>
        <w:r w:rsidR="0052665E">
          <w:rPr>
            <w:noProof/>
            <w:webHidden/>
          </w:rPr>
          <w:fldChar w:fldCharType="separate"/>
        </w:r>
        <w:r w:rsidR="0052665E">
          <w:rPr>
            <w:noProof/>
            <w:webHidden/>
          </w:rPr>
          <w:t>100</w:t>
        </w:r>
        <w:r w:rsidR="0052665E">
          <w:rPr>
            <w:noProof/>
            <w:webHidden/>
          </w:rPr>
          <w:fldChar w:fldCharType="end"/>
        </w:r>
      </w:hyperlink>
    </w:p>
    <w:p w:rsidR="0052665E" w:rsidRDefault="00497984">
      <w:pPr>
        <w:pStyle w:val="Obsah3"/>
        <w:tabs>
          <w:tab w:val="right" w:leader="dot" w:pos="9061"/>
        </w:tabs>
        <w:rPr>
          <w:rFonts w:asciiTheme="minorHAnsi" w:eastAsiaTheme="minorEastAsia" w:hAnsiTheme="minorHAnsi" w:cstheme="minorBidi"/>
          <w:noProof/>
          <w:sz w:val="22"/>
          <w:szCs w:val="22"/>
        </w:rPr>
      </w:pPr>
      <w:hyperlink w:anchor="_Toc433873528" w:history="1">
        <w:r w:rsidR="0052665E" w:rsidRPr="002F734D">
          <w:rPr>
            <w:rStyle w:val="Hypertextovodkaz"/>
            <w:noProof/>
          </w:rPr>
          <w:t>4.4.1 Aktivity řídícího orgánu</w:t>
        </w:r>
        <w:r w:rsidR="0052665E">
          <w:rPr>
            <w:noProof/>
            <w:webHidden/>
          </w:rPr>
          <w:tab/>
        </w:r>
        <w:r w:rsidR="0052665E">
          <w:rPr>
            <w:noProof/>
            <w:webHidden/>
          </w:rPr>
          <w:fldChar w:fldCharType="begin"/>
        </w:r>
        <w:r w:rsidR="0052665E">
          <w:rPr>
            <w:noProof/>
            <w:webHidden/>
          </w:rPr>
          <w:instrText xml:space="preserve"> PAGEREF _Toc433873528 \h </w:instrText>
        </w:r>
        <w:r w:rsidR="0052665E">
          <w:rPr>
            <w:noProof/>
            <w:webHidden/>
          </w:rPr>
        </w:r>
        <w:r w:rsidR="0052665E">
          <w:rPr>
            <w:noProof/>
            <w:webHidden/>
          </w:rPr>
          <w:fldChar w:fldCharType="separate"/>
        </w:r>
        <w:r w:rsidR="0052665E">
          <w:rPr>
            <w:noProof/>
            <w:webHidden/>
          </w:rPr>
          <w:t>100</w:t>
        </w:r>
        <w:r w:rsidR="0052665E">
          <w:rPr>
            <w:noProof/>
            <w:webHidden/>
          </w:rPr>
          <w:fldChar w:fldCharType="end"/>
        </w:r>
      </w:hyperlink>
    </w:p>
    <w:p w:rsidR="0052665E" w:rsidRDefault="00497984">
      <w:pPr>
        <w:pStyle w:val="Obsah3"/>
        <w:tabs>
          <w:tab w:val="right" w:leader="dot" w:pos="9061"/>
        </w:tabs>
        <w:rPr>
          <w:rFonts w:asciiTheme="minorHAnsi" w:eastAsiaTheme="minorEastAsia" w:hAnsiTheme="minorHAnsi" w:cstheme="minorBidi"/>
          <w:noProof/>
          <w:sz w:val="22"/>
          <w:szCs w:val="22"/>
        </w:rPr>
      </w:pPr>
      <w:hyperlink w:anchor="_Toc433873529" w:history="1">
        <w:r w:rsidR="0052665E" w:rsidRPr="002F734D">
          <w:rPr>
            <w:rStyle w:val="Hypertextovodkaz"/>
            <w:noProof/>
          </w:rPr>
          <w:t>4.4.2 Aktivity monitorovacího výboru</w:t>
        </w:r>
        <w:r w:rsidR="0052665E">
          <w:rPr>
            <w:noProof/>
            <w:webHidden/>
          </w:rPr>
          <w:tab/>
        </w:r>
        <w:r w:rsidR="0052665E">
          <w:rPr>
            <w:noProof/>
            <w:webHidden/>
          </w:rPr>
          <w:fldChar w:fldCharType="begin"/>
        </w:r>
        <w:r w:rsidR="0052665E">
          <w:rPr>
            <w:noProof/>
            <w:webHidden/>
          </w:rPr>
          <w:instrText xml:space="preserve"> PAGEREF _Toc433873529 \h </w:instrText>
        </w:r>
        <w:r w:rsidR="0052665E">
          <w:rPr>
            <w:noProof/>
            <w:webHidden/>
          </w:rPr>
        </w:r>
        <w:r w:rsidR="0052665E">
          <w:rPr>
            <w:noProof/>
            <w:webHidden/>
          </w:rPr>
          <w:fldChar w:fldCharType="separate"/>
        </w:r>
        <w:r w:rsidR="0052665E">
          <w:rPr>
            <w:noProof/>
            <w:webHidden/>
          </w:rPr>
          <w:t>101</w:t>
        </w:r>
        <w:r w:rsidR="0052665E">
          <w:rPr>
            <w:noProof/>
            <w:webHidden/>
          </w:rPr>
          <w:fldChar w:fldCharType="end"/>
        </w:r>
      </w:hyperlink>
    </w:p>
    <w:p w:rsidR="0052665E" w:rsidRDefault="00497984">
      <w:pPr>
        <w:pStyle w:val="Obsah3"/>
        <w:tabs>
          <w:tab w:val="right" w:leader="dot" w:pos="9061"/>
        </w:tabs>
        <w:rPr>
          <w:rFonts w:asciiTheme="minorHAnsi" w:eastAsiaTheme="minorEastAsia" w:hAnsiTheme="minorHAnsi" w:cstheme="minorBidi"/>
          <w:noProof/>
          <w:sz w:val="22"/>
          <w:szCs w:val="22"/>
        </w:rPr>
      </w:pPr>
      <w:hyperlink w:anchor="_Toc433873530" w:history="1">
        <w:r w:rsidR="0052665E" w:rsidRPr="002F734D">
          <w:rPr>
            <w:rStyle w:val="Hypertextovodkaz"/>
            <w:noProof/>
          </w:rPr>
          <w:t>4.4.3 Aktivity pracovních skupin</w:t>
        </w:r>
        <w:r w:rsidR="0052665E">
          <w:rPr>
            <w:noProof/>
            <w:webHidden/>
          </w:rPr>
          <w:tab/>
        </w:r>
        <w:r w:rsidR="0052665E">
          <w:rPr>
            <w:noProof/>
            <w:webHidden/>
          </w:rPr>
          <w:fldChar w:fldCharType="begin"/>
        </w:r>
        <w:r w:rsidR="0052665E">
          <w:rPr>
            <w:noProof/>
            <w:webHidden/>
          </w:rPr>
          <w:instrText xml:space="preserve"> PAGEREF _Toc433873530 \h </w:instrText>
        </w:r>
        <w:r w:rsidR="0052665E">
          <w:rPr>
            <w:noProof/>
            <w:webHidden/>
          </w:rPr>
        </w:r>
        <w:r w:rsidR="0052665E">
          <w:rPr>
            <w:noProof/>
            <w:webHidden/>
          </w:rPr>
          <w:fldChar w:fldCharType="separate"/>
        </w:r>
        <w:r w:rsidR="0052665E">
          <w:rPr>
            <w:noProof/>
            <w:webHidden/>
          </w:rPr>
          <w:t>101</w:t>
        </w:r>
        <w:r w:rsidR="0052665E">
          <w:rPr>
            <w:noProof/>
            <w:webHidden/>
          </w:rPr>
          <w:fldChar w:fldCharType="end"/>
        </w:r>
      </w:hyperlink>
    </w:p>
    <w:p w:rsidR="0052665E" w:rsidRDefault="00497984">
      <w:pPr>
        <w:pStyle w:val="Obsah2"/>
        <w:tabs>
          <w:tab w:val="right" w:leader="dot" w:pos="9061"/>
        </w:tabs>
        <w:rPr>
          <w:rFonts w:asciiTheme="minorHAnsi" w:eastAsiaTheme="minorEastAsia" w:hAnsiTheme="minorHAnsi" w:cstheme="minorBidi"/>
          <w:noProof/>
          <w:sz w:val="22"/>
          <w:szCs w:val="22"/>
        </w:rPr>
      </w:pPr>
      <w:hyperlink w:anchor="_Toc433873531" w:history="1">
        <w:r w:rsidR="0052665E" w:rsidRPr="002F734D">
          <w:rPr>
            <w:rStyle w:val="Hypertextovodkaz"/>
            <w:noProof/>
          </w:rPr>
          <w:t>4.5 Administrativní kapacita subjektů implementační struktury programu</w:t>
        </w:r>
        <w:r w:rsidR="0052665E">
          <w:rPr>
            <w:noProof/>
            <w:webHidden/>
          </w:rPr>
          <w:tab/>
        </w:r>
        <w:r w:rsidR="0052665E">
          <w:rPr>
            <w:noProof/>
            <w:webHidden/>
          </w:rPr>
          <w:fldChar w:fldCharType="begin"/>
        </w:r>
        <w:r w:rsidR="0052665E">
          <w:rPr>
            <w:noProof/>
            <w:webHidden/>
          </w:rPr>
          <w:instrText xml:space="preserve"> PAGEREF _Toc433873531 \h </w:instrText>
        </w:r>
        <w:r w:rsidR="0052665E">
          <w:rPr>
            <w:noProof/>
            <w:webHidden/>
          </w:rPr>
        </w:r>
        <w:r w:rsidR="0052665E">
          <w:rPr>
            <w:noProof/>
            <w:webHidden/>
          </w:rPr>
          <w:fldChar w:fldCharType="separate"/>
        </w:r>
        <w:r w:rsidR="0052665E">
          <w:rPr>
            <w:noProof/>
            <w:webHidden/>
          </w:rPr>
          <w:t>102</w:t>
        </w:r>
        <w:r w:rsidR="0052665E">
          <w:rPr>
            <w:noProof/>
            <w:webHidden/>
          </w:rPr>
          <w:fldChar w:fldCharType="end"/>
        </w:r>
      </w:hyperlink>
    </w:p>
    <w:p w:rsidR="0052665E" w:rsidRDefault="00497984">
      <w:pPr>
        <w:pStyle w:val="Obsah1"/>
        <w:rPr>
          <w:rFonts w:asciiTheme="minorHAnsi" w:eastAsiaTheme="minorEastAsia" w:hAnsiTheme="minorHAnsi" w:cstheme="minorBidi"/>
          <w:noProof/>
          <w:sz w:val="22"/>
          <w:szCs w:val="22"/>
        </w:rPr>
      </w:pPr>
      <w:hyperlink w:anchor="_Toc433873532" w:history="1">
        <w:r w:rsidR="0052665E" w:rsidRPr="002F734D">
          <w:rPr>
            <w:rStyle w:val="Hypertextovodkaz"/>
            <w:noProof/>
            <w:kern w:val="32"/>
          </w:rPr>
          <w:t>5 HLAVNÍ ZÁVĚRY</w:t>
        </w:r>
        <w:r w:rsidR="0052665E">
          <w:rPr>
            <w:noProof/>
            <w:webHidden/>
          </w:rPr>
          <w:tab/>
        </w:r>
        <w:r w:rsidR="0052665E">
          <w:rPr>
            <w:noProof/>
            <w:webHidden/>
          </w:rPr>
          <w:fldChar w:fldCharType="begin"/>
        </w:r>
        <w:r w:rsidR="0052665E">
          <w:rPr>
            <w:noProof/>
            <w:webHidden/>
          </w:rPr>
          <w:instrText xml:space="preserve"> PAGEREF _Toc433873532 \h </w:instrText>
        </w:r>
        <w:r w:rsidR="0052665E">
          <w:rPr>
            <w:noProof/>
            <w:webHidden/>
          </w:rPr>
        </w:r>
        <w:r w:rsidR="0052665E">
          <w:rPr>
            <w:noProof/>
            <w:webHidden/>
          </w:rPr>
          <w:fldChar w:fldCharType="separate"/>
        </w:r>
        <w:r w:rsidR="0052665E">
          <w:rPr>
            <w:noProof/>
            <w:webHidden/>
          </w:rPr>
          <w:t>107</w:t>
        </w:r>
        <w:r w:rsidR="0052665E">
          <w:rPr>
            <w:noProof/>
            <w:webHidden/>
          </w:rPr>
          <w:fldChar w:fldCharType="end"/>
        </w:r>
      </w:hyperlink>
    </w:p>
    <w:p w:rsidR="0052665E" w:rsidRDefault="00497984">
      <w:pPr>
        <w:pStyle w:val="Obsah1"/>
        <w:rPr>
          <w:rFonts w:asciiTheme="minorHAnsi" w:eastAsiaTheme="minorEastAsia" w:hAnsiTheme="minorHAnsi" w:cstheme="minorBidi"/>
          <w:noProof/>
          <w:sz w:val="22"/>
          <w:szCs w:val="22"/>
        </w:rPr>
      </w:pPr>
      <w:hyperlink w:anchor="_Toc433873533" w:history="1">
        <w:r w:rsidR="0052665E" w:rsidRPr="002F734D">
          <w:rPr>
            <w:rStyle w:val="Hypertextovodkaz"/>
            <w:noProof/>
            <w:kern w:val="32"/>
          </w:rPr>
          <w:t>SEZNAM ZKRATEK</w:t>
        </w:r>
        <w:r w:rsidR="0052665E">
          <w:rPr>
            <w:noProof/>
            <w:webHidden/>
          </w:rPr>
          <w:tab/>
        </w:r>
        <w:r w:rsidR="0052665E">
          <w:rPr>
            <w:noProof/>
            <w:webHidden/>
          </w:rPr>
          <w:fldChar w:fldCharType="begin"/>
        </w:r>
        <w:r w:rsidR="0052665E">
          <w:rPr>
            <w:noProof/>
            <w:webHidden/>
          </w:rPr>
          <w:instrText xml:space="preserve"> PAGEREF _Toc433873533 \h </w:instrText>
        </w:r>
        <w:r w:rsidR="0052665E">
          <w:rPr>
            <w:noProof/>
            <w:webHidden/>
          </w:rPr>
        </w:r>
        <w:r w:rsidR="0052665E">
          <w:rPr>
            <w:noProof/>
            <w:webHidden/>
          </w:rPr>
          <w:fldChar w:fldCharType="separate"/>
        </w:r>
        <w:r w:rsidR="0052665E">
          <w:rPr>
            <w:noProof/>
            <w:webHidden/>
          </w:rPr>
          <w:t>108</w:t>
        </w:r>
        <w:r w:rsidR="0052665E">
          <w:rPr>
            <w:noProof/>
            <w:webHidden/>
          </w:rPr>
          <w:fldChar w:fldCharType="end"/>
        </w:r>
      </w:hyperlink>
    </w:p>
    <w:p w:rsidR="0052665E" w:rsidRDefault="00497984">
      <w:pPr>
        <w:pStyle w:val="Obsah1"/>
        <w:rPr>
          <w:rFonts w:asciiTheme="minorHAnsi" w:eastAsiaTheme="minorEastAsia" w:hAnsiTheme="minorHAnsi" w:cstheme="minorBidi"/>
          <w:noProof/>
          <w:sz w:val="22"/>
          <w:szCs w:val="22"/>
        </w:rPr>
      </w:pPr>
      <w:hyperlink w:anchor="_Toc433873534" w:history="1">
        <w:r w:rsidR="0052665E" w:rsidRPr="002F734D">
          <w:rPr>
            <w:rStyle w:val="Hypertextovodkaz"/>
            <w:noProof/>
            <w:kern w:val="32"/>
          </w:rPr>
          <w:t>PŘÍLOHY</w:t>
        </w:r>
        <w:r w:rsidR="0052665E">
          <w:rPr>
            <w:noProof/>
            <w:webHidden/>
          </w:rPr>
          <w:tab/>
        </w:r>
        <w:r w:rsidR="0052665E">
          <w:rPr>
            <w:noProof/>
            <w:webHidden/>
          </w:rPr>
          <w:tab/>
        </w:r>
        <w:r w:rsidR="0052665E">
          <w:rPr>
            <w:noProof/>
            <w:webHidden/>
          </w:rPr>
          <w:fldChar w:fldCharType="begin"/>
        </w:r>
        <w:r w:rsidR="0052665E">
          <w:rPr>
            <w:noProof/>
            <w:webHidden/>
          </w:rPr>
          <w:instrText xml:space="preserve"> PAGEREF _Toc433873534 \h </w:instrText>
        </w:r>
        <w:r w:rsidR="0052665E">
          <w:rPr>
            <w:noProof/>
            <w:webHidden/>
          </w:rPr>
        </w:r>
        <w:r w:rsidR="0052665E">
          <w:rPr>
            <w:noProof/>
            <w:webHidden/>
          </w:rPr>
          <w:fldChar w:fldCharType="separate"/>
        </w:r>
        <w:r w:rsidR="0052665E">
          <w:rPr>
            <w:noProof/>
            <w:webHidden/>
          </w:rPr>
          <w:t>111</w:t>
        </w:r>
        <w:r w:rsidR="0052665E">
          <w:rPr>
            <w:noProof/>
            <w:webHidden/>
          </w:rPr>
          <w:fldChar w:fldCharType="end"/>
        </w:r>
      </w:hyperlink>
    </w:p>
    <w:p w:rsidR="0052665E" w:rsidRDefault="00497984">
      <w:pPr>
        <w:pStyle w:val="Obsah2"/>
        <w:tabs>
          <w:tab w:val="right" w:leader="dot" w:pos="9061"/>
        </w:tabs>
        <w:rPr>
          <w:rFonts w:asciiTheme="minorHAnsi" w:eastAsiaTheme="minorEastAsia" w:hAnsiTheme="minorHAnsi" w:cstheme="minorBidi"/>
          <w:noProof/>
          <w:sz w:val="22"/>
          <w:szCs w:val="22"/>
        </w:rPr>
      </w:pPr>
      <w:hyperlink w:anchor="_Toc433873535" w:history="1">
        <w:r w:rsidR="0052665E" w:rsidRPr="002F734D">
          <w:rPr>
            <w:rStyle w:val="Hypertextovodkaz"/>
            <w:noProof/>
          </w:rPr>
          <w:t>Příloha č. 1 – Aktivity v oblasti publicity za období 17. 4. 2015 – 30. 9. 2015</w:t>
        </w:r>
        <w:r w:rsidR="0052665E">
          <w:rPr>
            <w:noProof/>
            <w:webHidden/>
          </w:rPr>
          <w:tab/>
        </w:r>
        <w:r w:rsidR="0052665E">
          <w:rPr>
            <w:noProof/>
            <w:webHidden/>
          </w:rPr>
          <w:fldChar w:fldCharType="begin"/>
        </w:r>
        <w:r w:rsidR="0052665E">
          <w:rPr>
            <w:noProof/>
            <w:webHidden/>
          </w:rPr>
          <w:instrText xml:space="preserve"> PAGEREF _Toc433873535 \h </w:instrText>
        </w:r>
        <w:r w:rsidR="0052665E">
          <w:rPr>
            <w:noProof/>
            <w:webHidden/>
          </w:rPr>
        </w:r>
        <w:r w:rsidR="0052665E">
          <w:rPr>
            <w:noProof/>
            <w:webHidden/>
          </w:rPr>
          <w:fldChar w:fldCharType="separate"/>
        </w:r>
        <w:r w:rsidR="0052665E">
          <w:rPr>
            <w:noProof/>
            <w:webHidden/>
          </w:rPr>
          <w:t>112</w:t>
        </w:r>
        <w:r w:rsidR="0052665E">
          <w:rPr>
            <w:noProof/>
            <w:webHidden/>
          </w:rPr>
          <w:fldChar w:fldCharType="end"/>
        </w:r>
      </w:hyperlink>
    </w:p>
    <w:p w:rsidR="0052665E" w:rsidRDefault="00497984">
      <w:pPr>
        <w:pStyle w:val="Obsah2"/>
        <w:tabs>
          <w:tab w:val="right" w:leader="dot" w:pos="9061"/>
        </w:tabs>
        <w:rPr>
          <w:rFonts w:asciiTheme="minorHAnsi" w:eastAsiaTheme="minorEastAsia" w:hAnsiTheme="minorHAnsi" w:cstheme="minorBidi"/>
          <w:noProof/>
          <w:sz w:val="22"/>
          <w:szCs w:val="22"/>
        </w:rPr>
      </w:pPr>
      <w:hyperlink w:anchor="_Toc433873536" w:history="1">
        <w:r w:rsidR="0052665E" w:rsidRPr="002F734D">
          <w:rPr>
            <w:rStyle w:val="Hypertextovodkaz"/>
            <w:noProof/>
          </w:rPr>
          <w:t>Příloha č. 2 – Krizový plán na rok 2015</w:t>
        </w:r>
        <w:r w:rsidR="0052665E">
          <w:rPr>
            <w:noProof/>
            <w:webHidden/>
          </w:rPr>
          <w:tab/>
        </w:r>
        <w:r w:rsidR="0052665E">
          <w:rPr>
            <w:noProof/>
            <w:webHidden/>
          </w:rPr>
          <w:fldChar w:fldCharType="begin"/>
        </w:r>
        <w:r w:rsidR="0052665E">
          <w:rPr>
            <w:noProof/>
            <w:webHidden/>
          </w:rPr>
          <w:instrText xml:space="preserve"> PAGEREF _Toc433873536 \h </w:instrText>
        </w:r>
        <w:r w:rsidR="0052665E">
          <w:rPr>
            <w:noProof/>
            <w:webHidden/>
          </w:rPr>
        </w:r>
        <w:r w:rsidR="0052665E">
          <w:rPr>
            <w:noProof/>
            <w:webHidden/>
          </w:rPr>
          <w:fldChar w:fldCharType="separate"/>
        </w:r>
        <w:r w:rsidR="0052665E">
          <w:rPr>
            <w:noProof/>
            <w:webHidden/>
          </w:rPr>
          <w:t>117</w:t>
        </w:r>
        <w:r w:rsidR="0052665E">
          <w:rPr>
            <w:noProof/>
            <w:webHidden/>
          </w:rPr>
          <w:fldChar w:fldCharType="end"/>
        </w:r>
      </w:hyperlink>
    </w:p>
    <w:p w:rsidR="0052665E" w:rsidRDefault="00497984">
      <w:pPr>
        <w:pStyle w:val="Obsah2"/>
        <w:tabs>
          <w:tab w:val="right" w:leader="dot" w:pos="9061"/>
        </w:tabs>
        <w:rPr>
          <w:rFonts w:asciiTheme="minorHAnsi" w:eastAsiaTheme="minorEastAsia" w:hAnsiTheme="minorHAnsi" w:cstheme="minorBidi"/>
          <w:noProof/>
          <w:sz w:val="22"/>
          <w:szCs w:val="22"/>
        </w:rPr>
      </w:pPr>
      <w:hyperlink w:anchor="_Toc433873537" w:history="1">
        <w:r w:rsidR="0052665E" w:rsidRPr="002F734D">
          <w:rPr>
            <w:rStyle w:val="Hypertextovodkaz"/>
            <w:noProof/>
          </w:rPr>
          <w:t>Příloha č. 3 – Přehled opatření přijatých k závěrům z 15. jednání MoV IOP</w:t>
        </w:r>
        <w:r w:rsidR="0052665E">
          <w:rPr>
            <w:noProof/>
            <w:webHidden/>
          </w:rPr>
          <w:tab/>
        </w:r>
        <w:r w:rsidR="0052665E">
          <w:rPr>
            <w:noProof/>
            <w:webHidden/>
          </w:rPr>
          <w:fldChar w:fldCharType="begin"/>
        </w:r>
        <w:r w:rsidR="0052665E">
          <w:rPr>
            <w:noProof/>
            <w:webHidden/>
          </w:rPr>
          <w:instrText xml:space="preserve"> PAGEREF _Toc433873537 \h </w:instrText>
        </w:r>
        <w:r w:rsidR="0052665E">
          <w:rPr>
            <w:noProof/>
            <w:webHidden/>
          </w:rPr>
        </w:r>
        <w:r w:rsidR="0052665E">
          <w:rPr>
            <w:noProof/>
            <w:webHidden/>
          </w:rPr>
          <w:fldChar w:fldCharType="separate"/>
        </w:r>
        <w:r w:rsidR="0052665E">
          <w:rPr>
            <w:noProof/>
            <w:webHidden/>
          </w:rPr>
          <w:t>124</w:t>
        </w:r>
        <w:r w:rsidR="0052665E">
          <w:rPr>
            <w:noProof/>
            <w:webHidden/>
          </w:rPr>
          <w:fldChar w:fldCharType="end"/>
        </w:r>
      </w:hyperlink>
    </w:p>
    <w:p w:rsidR="0052665E" w:rsidRDefault="00497984">
      <w:pPr>
        <w:pStyle w:val="Obsah2"/>
        <w:tabs>
          <w:tab w:val="right" w:leader="dot" w:pos="9061"/>
        </w:tabs>
        <w:rPr>
          <w:rFonts w:asciiTheme="minorHAnsi" w:eastAsiaTheme="minorEastAsia" w:hAnsiTheme="minorHAnsi" w:cstheme="minorBidi"/>
          <w:noProof/>
          <w:sz w:val="22"/>
          <w:szCs w:val="22"/>
        </w:rPr>
      </w:pPr>
      <w:hyperlink w:anchor="_Toc433873538" w:history="1">
        <w:r w:rsidR="0052665E" w:rsidRPr="002F734D">
          <w:rPr>
            <w:rStyle w:val="Hypertextovodkaz"/>
            <w:noProof/>
          </w:rPr>
          <w:t>Příloha č. 4 – Seznam velkých projektů</w:t>
        </w:r>
        <w:r w:rsidR="0052665E">
          <w:rPr>
            <w:noProof/>
            <w:webHidden/>
          </w:rPr>
          <w:tab/>
        </w:r>
        <w:r w:rsidR="0052665E">
          <w:rPr>
            <w:noProof/>
            <w:webHidden/>
          </w:rPr>
          <w:fldChar w:fldCharType="begin"/>
        </w:r>
        <w:r w:rsidR="0052665E">
          <w:rPr>
            <w:noProof/>
            <w:webHidden/>
          </w:rPr>
          <w:instrText xml:space="preserve"> PAGEREF _Toc433873538 \h </w:instrText>
        </w:r>
        <w:r w:rsidR="0052665E">
          <w:rPr>
            <w:noProof/>
            <w:webHidden/>
          </w:rPr>
        </w:r>
        <w:r w:rsidR="0052665E">
          <w:rPr>
            <w:noProof/>
            <w:webHidden/>
          </w:rPr>
          <w:fldChar w:fldCharType="separate"/>
        </w:r>
        <w:r w:rsidR="0052665E">
          <w:rPr>
            <w:noProof/>
            <w:webHidden/>
          </w:rPr>
          <w:t>125</w:t>
        </w:r>
        <w:r w:rsidR="0052665E">
          <w:rPr>
            <w:noProof/>
            <w:webHidden/>
          </w:rPr>
          <w:fldChar w:fldCharType="end"/>
        </w:r>
      </w:hyperlink>
    </w:p>
    <w:p w:rsidR="00D644B0" w:rsidRDefault="00E52A88" w:rsidP="00350D1B">
      <w:pPr>
        <w:spacing w:line="360" w:lineRule="auto"/>
        <w:rPr>
          <w:b/>
          <w:sz w:val="28"/>
          <w:szCs w:val="28"/>
        </w:rPr>
      </w:pPr>
      <w:r w:rsidRPr="00C23412">
        <w:rPr>
          <w:b/>
          <w:sz w:val="28"/>
          <w:szCs w:val="28"/>
        </w:rPr>
        <w:fldChar w:fldCharType="end"/>
      </w:r>
    </w:p>
    <w:p w:rsidR="00965360" w:rsidRPr="004E1A40" w:rsidRDefault="0047481D" w:rsidP="0047481D">
      <w:pPr>
        <w:rPr>
          <w:b/>
          <w:color w:val="1F497D"/>
          <w:sz w:val="28"/>
          <w:szCs w:val="28"/>
        </w:rPr>
      </w:pPr>
      <w:r>
        <w:rPr>
          <w:b/>
          <w:sz w:val="28"/>
          <w:szCs w:val="28"/>
        </w:rPr>
        <w:br w:type="page"/>
      </w:r>
      <w:r w:rsidR="006C6C11">
        <w:rPr>
          <w:b/>
          <w:color w:val="1F497D"/>
          <w:sz w:val="28"/>
          <w:szCs w:val="28"/>
        </w:rPr>
        <w:lastRenderedPageBreak/>
        <w:t>Seznam</w:t>
      </w:r>
      <w:r>
        <w:rPr>
          <w:b/>
          <w:color w:val="1F497D"/>
          <w:sz w:val="28"/>
          <w:szCs w:val="28"/>
        </w:rPr>
        <w:t xml:space="preserve"> tabulek:</w:t>
      </w:r>
    </w:p>
    <w:p w:rsidR="0052665E" w:rsidRDefault="00E52A88">
      <w:pPr>
        <w:pStyle w:val="Obsah1"/>
        <w:rPr>
          <w:rFonts w:asciiTheme="minorHAnsi" w:eastAsiaTheme="minorEastAsia" w:hAnsiTheme="minorHAnsi" w:cstheme="minorBidi"/>
          <w:noProof/>
          <w:sz w:val="22"/>
          <w:szCs w:val="22"/>
        </w:rPr>
      </w:pPr>
      <w:r>
        <w:rPr>
          <w:sz w:val="22"/>
          <w:szCs w:val="22"/>
        </w:rPr>
        <w:fldChar w:fldCharType="begin"/>
      </w:r>
      <w:r w:rsidR="00B834E1">
        <w:rPr>
          <w:sz w:val="22"/>
          <w:szCs w:val="22"/>
        </w:rPr>
        <w:instrText xml:space="preserve"> TOC \h \z \t "Tabulka název;1" </w:instrText>
      </w:r>
      <w:r>
        <w:rPr>
          <w:sz w:val="22"/>
          <w:szCs w:val="22"/>
        </w:rPr>
        <w:fldChar w:fldCharType="separate"/>
      </w:r>
      <w:hyperlink w:anchor="_Toc433873539" w:history="1">
        <w:r w:rsidR="0052665E" w:rsidRPr="00FC1171">
          <w:rPr>
            <w:rStyle w:val="Hypertextovodkaz"/>
            <w:noProof/>
          </w:rPr>
          <w:t>Tabulka č. 1 -</w:t>
        </w:r>
        <w:r w:rsidR="0052665E" w:rsidRPr="00FC1171">
          <w:rPr>
            <w:rStyle w:val="Hypertextovodkaz"/>
            <w:bCs/>
            <w:noProof/>
          </w:rPr>
          <w:t xml:space="preserve"> Alo</w:t>
        </w:r>
        <w:r w:rsidR="0052665E" w:rsidRPr="00FC1171">
          <w:rPr>
            <w:rStyle w:val="Hypertextovodkaz"/>
            <w:noProof/>
          </w:rPr>
          <w:t>k</w:t>
        </w:r>
        <w:r w:rsidR="0052665E" w:rsidRPr="00FC1171">
          <w:rPr>
            <w:rStyle w:val="Hypertextovodkaz"/>
            <w:bCs/>
            <w:noProof/>
          </w:rPr>
          <w:t>ace podle let a Cílů (v EUR)</w:t>
        </w:r>
        <w:r w:rsidR="0052665E">
          <w:rPr>
            <w:noProof/>
            <w:webHidden/>
          </w:rPr>
          <w:tab/>
        </w:r>
        <w:r w:rsidR="0052665E">
          <w:rPr>
            <w:noProof/>
            <w:webHidden/>
          </w:rPr>
          <w:fldChar w:fldCharType="begin"/>
        </w:r>
        <w:r w:rsidR="0052665E">
          <w:rPr>
            <w:noProof/>
            <w:webHidden/>
          </w:rPr>
          <w:instrText xml:space="preserve"> PAGEREF _Toc433873539 \h </w:instrText>
        </w:r>
        <w:r w:rsidR="0052665E">
          <w:rPr>
            <w:noProof/>
            <w:webHidden/>
          </w:rPr>
        </w:r>
        <w:r w:rsidR="0052665E">
          <w:rPr>
            <w:noProof/>
            <w:webHidden/>
          </w:rPr>
          <w:fldChar w:fldCharType="separate"/>
        </w:r>
        <w:r w:rsidR="0052665E">
          <w:rPr>
            <w:noProof/>
            <w:webHidden/>
          </w:rPr>
          <w:t>8</w:t>
        </w:r>
        <w:r w:rsidR="0052665E">
          <w:rPr>
            <w:noProof/>
            <w:webHidden/>
          </w:rPr>
          <w:fldChar w:fldCharType="end"/>
        </w:r>
      </w:hyperlink>
    </w:p>
    <w:p w:rsidR="0052665E" w:rsidRDefault="00497984">
      <w:pPr>
        <w:pStyle w:val="Obsah1"/>
        <w:rPr>
          <w:rFonts w:asciiTheme="minorHAnsi" w:eastAsiaTheme="minorEastAsia" w:hAnsiTheme="minorHAnsi" w:cstheme="minorBidi"/>
          <w:noProof/>
          <w:sz w:val="22"/>
          <w:szCs w:val="22"/>
        </w:rPr>
      </w:pPr>
      <w:hyperlink w:anchor="_Toc433873540" w:history="1">
        <w:r w:rsidR="0052665E" w:rsidRPr="00FC1171">
          <w:rPr>
            <w:rStyle w:val="Hypertextovodkaz"/>
            <w:noProof/>
          </w:rPr>
          <w:t>Tabulka č. 2 -</w:t>
        </w:r>
        <w:r w:rsidR="0052665E" w:rsidRPr="00FC1171">
          <w:rPr>
            <w:rStyle w:val="Hypertextovodkaz"/>
            <w:bCs/>
            <w:noProof/>
          </w:rPr>
          <w:t xml:space="preserve"> Zprostředkující subjekty IOP podle oblastí intervence</w:t>
        </w:r>
        <w:r w:rsidR="0052665E">
          <w:rPr>
            <w:noProof/>
            <w:webHidden/>
          </w:rPr>
          <w:tab/>
        </w:r>
        <w:r w:rsidR="0052665E">
          <w:rPr>
            <w:noProof/>
            <w:webHidden/>
          </w:rPr>
          <w:fldChar w:fldCharType="begin"/>
        </w:r>
        <w:r w:rsidR="0052665E">
          <w:rPr>
            <w:noProof/>
            <w:webHidden/>
          </w:rPr>
          <w:instrText xml:space="preserve"> PAGEREF _Toc433873540 \h </w:instrText>
        </w:r>
        <w:r w:rsidR="0052665E">
          <w:rPr>
            <w:noProof/>
            <w:webHidden/>
          </w:rPr>
        </w:r>
        <w:r w:rsidR="0052665E">
          <w:rPr>
            <w:noProof/>
            <w:webHidden/>
          </w:rPr>
          <w:fldChar w:fldCharType="separate"/>
        </w:r>
        <w:r w:rsidR="0052665E">
          <w:rPr>
            <w:noProof/>
            <w:webHidden/>
          </w:rPr>
          <w:t>9</w:t>
        </w:r>
        <w:r w:rsidR="0052665E">
          <w:rPr>
            <w:noProof/>
            <w:webHidden/>
          </w:rPr>
          <w:fldChar w:fldCharType="end"/>
        </w:r>
      </w:hyperlink>
    </w:p>
    <w:p w:rsidR="0052665E" w:rsidRDefault="00497984">
      <w:pPr>
        <w:pStyle w:val="Obsah1"/>
        <w:rPr>
          <w:rFonts w:asciiTheme="minorHAnsi" w:eastAsiaTheme="minorEastAsia" w:hAnsiTheme="minorHAnsi" w:cstheme="minorBidi"/>
          <w:noProof/>
          <w:sz w:val="22"/>
          <w:szCs w:val="22"/>
        </w:rPr>
      </w:pPr>
      <w:hyperlink w:anchor="_Toc433873541" w:history="1">
        <w:r w:rsidR="0052665E" w:rsidRPr="00FC1171">
          <w:rPr>
            <w:rStyle w:val="Hypertextovodkaz"/>
            <w:noProof/>
          </w:rPr>
          <w:t>Tabulka č. 3 -</w:t>
        </w:r>
        <w:r w:rsidR="0052665E" w:rsidRPr="00FC1171">
          <w:rPr>
            <w:rStyle w:val="Hypertextovodkaz"/>
            <w:bCs/>
            <w:noProof/>
          </w:rPr>
          <w:t xml:space="preserve"> Stav čerpání IOP kumulativně k 30. 9. 2015 (v mil. CZK/EUR)</w:t>
        </w:r>
        <w:r w:rsidR="0052665E">
          <w:rPr>
            <w:noProof/>
            <w:webHidden/>
          </w:rPr>
          <w:tab/>
        </w:r>
        <w:r w:rsidR="0052665E">
          <w:rPr>
            <w:noProof/>
            <w:webHidden/>
          </w:rPr>
          <w:fldChar w:fldCharType="begin"/>
        </w:r>
        <w:r w:rsidR="0052665E">
          <w:rPr>
            <w:noProof/>
            <w:webHidden/>
          </w:rPr>
          <w:instrText xml:space="preserve"> PAGEREF _Toc433873541 \h </w:instrText>
        </w:r>
        <w:r w:rsidR="0052665E">
          <w:rPr>
            <w:noProof/>
            <w:webHidden/>
          </w:rPr>
        </w:r>
        <w:r w:rsidR="0052665E">
          <w:rPr>
            <w:noProof/>
            <w:webHidden/>
          </w:rPr>
          <w:fldChar w:fldCharType="separate"/>
        </w:r>
        <w:r w:rsidR="0052665E">
          <w:rPr>
            <w:noProof/>
            <w:webHidden/>
          </w:rPr>
          <w:t>10</w:t>
        </w:r>
        <w:r w:rsidR="0052665E">
          <w:rPr>
            <w:noProof/>
            <w:webHidden/>
          </w:rPr>
          <w:fldChar w:fldCharType="end"/>
        </w:r>
      </w:hyperlink>
    </w:p>
    <w:p w:rsidR="0052665E" w:rsidRDefault="00497984">
      <w:pPr>
        <w:pStyle w:val="Obsah1"/>
        <w:rPr>
          <w:rFonts w:asciiTheme="minorHAnsi" w:eastAsiaTheme="minorEastAsia" w:hAnsiTheme="minorHAnsi" w:cstheme="minorBidi"/>
          <w:noProof/>
          <w:sz w:val="22"/>
          <w:szCs w:val="22"/>
        </w:rPr>
      </w:pPr>
      <w:hyperlink w:anchor="_Toc433873542" w:history="1">
        <w:r w:rsidR="0052665E" w:rsidRPr="00FC1171">
          <w:rPr>
            <w:rStyle w:val="Hypertextovodkaz"/>
            <w:noProof/>
          </w:rPr>
          <w:t>Tabulka č. 4 -</w:t>
        </w:r>
        <w:r w:rsidR="0052665E" w:rsidRPr="00FC1171">
          <w:rPr>
            <w:rStyle w:val="Hypertextovodkaz"/>
            <w:bCs/>
            <w:noProof/>
          </w:rPr>
          <w:t xml:space="preserve"> Pokrok čerpání IOP za období od 17. 4. 2015 do 30. 9. 2015 (v mil. CZK/EUR)</w:t>
        </w:r>
        <w:r w:rsidR="0052665E">
          <w:rPr>
            <w:noProof/>
            <w:webHidden/>
          </w:rPr>
          <w:tab/>
        </w:r>
        <w:r w:rsidR="0052665E">
          <w:rPr>
            <w:noProof/>
            <w:webHidden/>
          </w:rPr>
          <w:fldChar w:fldCharType="begin"/>
        </w:r>
        <w:r w:rsidR="0052665E">
          <w:rPr>
            <w:noProof/>
            <w:webHidden/>
          </w:rPr>
          <w:instrText xml:space="preserve"> PAGEREF _Toc433873542 \h </w:instrText>
        </w:r>
        <w:r w:rsidR="0052665E">
          <w:rPr>
            <w:noProof/>
            <w:webHidden/>
          </w:rPr>
        </w:r>
        <w:r w:rsidR="0052665E">
          <w:rPr>
            <w:noProof/>
            <w:webHidden/>
          </w:rPr>
          <w:fldChar w:fldCharType="separate"/>
        </w:r>
        <w:r w:rsidR="0052665E">
          <w:rPr>
            <w:noProof/>
            <w:webHidden/>
          </w:rPr>
          <w:t>12</w:t>
        </w:r>
        <w:r w:rsidR="0052665E">
          <w:rPr>
            <w:noProof/>
            <w:webHidden/>
          </w:rPr>
          <w:fldChar w:fldCharType="end"/>
        </w:r>
      </w:hyperlink>
    </w:p>
    <w:p w:rsidR="0052665E" w:rsidRDefault="00497984">
      <w:pPr>
        <w:pStyle w:val="Obsah1"/>
        <w:rPr>
          <w:rFonts w:asciiTheme="minorHAnsi" w:eastAsiaTheme="minorEastAsia" w:hAnsiTheme="minorHAnsi" w:cstheme="minorBidi"/>
          <w:noProof/>
          <w:sz w:val="22"/>
          <w:szCs w:val="22"/>
        </w:rPr>
      </w:pPr>
      <w:hyperlink w:anchor="_Toc433873543" w:history="1">
        <w:r w:rsidR="0052665E" w:rsidRPr="00FC1171">
          <w:rPr>
            <w:rStyle w:val="Hypertextovodkaz"/>
            <w:noProof/>
          </w:rPr>
          <w:t>Tabulka č. 5 -</w:t>
        </w:r>
        <w:r w:rsidR="0052665E" w:rsidRPr="00FC1171">
          <w:rPr>
            <w:rStyle w:val="Hypertextovodkaz"/>
            <w:bCs/>
            <w:noProof/>
          </w:rPr>
          <w:t xml:space="preserve"> Přehled výzev probíhajících v období </w:t>
        </w:r>
        <w:r w:rsidR="0052665E" w:rsidRPr="00FC1171">
          <w:rPr>
            <w:rStyle w:val="Hypertextovodkaz"/>
            <w:noProof/>
          </w:rPr>
          <w:t>od 17. 4. 2015 do 30. 9. 2015</w:t>
        </w:r>
        <w:r w:rsidR="0052665E">
          <w:rPr>
            <w:noProof/>
            <w:webHidden/>
          </w:rPr>
          <w:tab/>
        </w:r>
        <w:r w:rsidR="0052665E">
          <w:rPr>
            <w:noProof/>
            <w:webHidden/>
          </w:rPr>
          <w:fldChar w:fldCharType="begin"/>
        </w:r>
        <w:r w:rsidR="0052665E">
          <w:rPr>
            <w:noProof/>
            <w:webHidden/>
          </w:rPr>
          <w:instrText xml:space="preserve"> PAGEREF _Toc433873543 \h </w:instrText>
        </w:r>
        <w:r w:rsidR="0052665E">
          <w:rPr>
            <w:noProof/>
            <w:webHidden/>
          </w:rPr>
        </w:r>
        <w:r w:rsidR="0052665E">
          <w:rPr>
            <w:noProof/>
            <w:webHidden/>
          </w:rPr>
          <w:fldChar w:fldCharType="separate"/>
        </w:r>
        <w:r w:rsidR="0052665E">
          <w:rPr>
            <w:noProof/>
            <w:webHidden/>
          </w:rPr>
          <w:t>16</w:t>
        </w:r>
        <w:r w:rsidR="0052665E">
          <w:rPr>
            <w:noProof/>
            <w:webHidden/>
          </w:rPr>
          <w:fldChar w:fldCharType="end"/>
        </w:r>
      </w:hyperlink>
    </w:p>
    <w:p w:rsidR="0052665E" w:rsidRDefault="00497984">
      <w:pPr>
        <w:pStyle w:val="Obsah1"/>
        <w:rPr>
          <w:rFonts w:asciiTheme="minorHAnsi" w:eastAsiaTheme="minorEastAsia" w:hAnsiTheme="minorHAnsi" w:cstheme="minorBidi"/>
          <w:noProof/>
          <w:sz w:val="22"/>
          <w:szCs w:val="22"/>
        </w:rPr>
      </w:pPr>
      <w:hyperlink w:anchor="_Toc433873544" w:history="1">
        <w:r w:rsidR="0052665E" w:rsidRPr="00FC1171">
          <w:rPr>
            <w:rStyle w:val="Hypertextovodkaz"/>
            <w:noProof/>
          </w:rPr>
          <w:t>Tabulka č. 6 - Přehled spících a vysoce rizikových projektů</w:t>
        </w:r>
        <w:r w:rsidR="0052665E">
          <w:rPr>
            <w:noProof/>
            <w:webHidden/>
          </w:rPr>
          <w:tab/>
        </w:r>
        <w:r w:rsidR="0052665E">
          <w:rPr>
            <w:noProof/>
            <w:webHidden/>
          </w:rPr>
          <w:fldChar w:fldCharType="begin"/>
        </w:r>
        <w:r w:rsidR="0052665E">
          <w:rPr>
            <w:noProof/>
            <w:webHidden/>
          </w:rPr>
          <w:instrText xml:space="preserve"> PAGEREF _Toc433873544 \h </w:instrText>
        </w:r>
        <w:r w:rsidR="0052665E">
          <w:rPr>
            <w:noProof/>
            <w:webHidden/>
          </w:rPr>
        </w:r>
        <w:r w:rsidR="0052665E">
          <w:rPr>
            <w:noProof/>
            <w:webHidden/>
          </w:rPr>
          <w:fldChar w:fldCharType="separate"/>
        </w:r>
        <w:r w:rsidR="0052665E">
          <w:rPr>
            <w:noProof/>
            <w:webHidden/>
          </w:rPr>
          <w:t>20</w:t>
        </w:r>
        <w:r w:rsidR="0052665E">
          <w:rPr>
            <w:noProof/>
            <w:webHidden/>
          </w:rPr>
          <w:fldChar w:fldCharType="end"/>
        </w:r>
      </w:hyperlink>
    </w:p>
    <w:p w:rsidR="0052665E" w:rsidRDefault="00497984">
      <w:pPr>
        <w:pStyle w:val="Obsah1"/>
        <w:rPr>
          <w:rFonts w:asciiTheme="minorHAnsi" w:eastAsiaTheme="minorEastAsia" w:hAnsiTheme="minorHAnsi" w:cstheme="minorBidi"/>
          <w:noProof/>
          <w:sz w:val="22"/>
          <w:szCs w:val="22"/>
        </w:rPr>
      </w:pPr>
      <w:hyperlink w:anchor="_Toc433873545" w:history="1">
        <w:r w:rsidR="0052665E" w:rsidRPr="00FC1171">
          <w:rPr>
            <w:rStyle w:val="Hypertextovodkaz"/>
            <w:noProof/>
          </w:rPr>
          <w:t>Tabulka č. 7 -</w:t>
        </w:r>
        <w:r w:rsidR="0052665E" w:rsidRPr="00FC1171">
          <w:rPr>
            <w:rStyle w:val="Hypertextovodkaz"/>
            <w:bCs/>
            <w:noProof/>
          </w:rPr>
          <w:t xml:space="preserve"> Naplňování pravidla n+3/n+2 (v EUR) v cíli Konvergence</w:t>
        </w:r>
        <w:r w:rsidR="0052665E">
          <w:rPr>
            <w:noProof/>
            <w:webHidden/>
          </w:rPr>
          <w:tab/>
        </w:r>
        <w:r w:rsidR="0052665E">
          <w:rPr>
            <w:noProof/>
            <w:webHidden/>
          </w:rPr>
          <w:fldChar w:fldCharType="begin"/>
        </w:r>
        <w:r w:rsidR="0052665E">
          <w:rPr>
            <w:noProof/>
            <w:webHidden/>
          </w:rPr>
          <w:instrText xml:space="preserve"> PAGEREF _Toc433873545 \h </w:instrText>
        </w:r>
        <w:r w:rsidR="0052665E">
          <w:rPr>
            <w:noProof/>
            <w:webHidden/>
          </w:rPr>
        </w:r>
        <w:r w:rsidR="0052665E">
          <w:rPr>
            <w:noProof/>
            <w:webHidden/>
          </w:rPr>
          <w:fldChar w:fldCharType="separate"/>
        </w:r>
        <w:r w:rsidR="0052665E">
          <w:rPr>
            <w:noProof/>
            <w:webHidden/>
          </w:rPr>
          <w:t>25</w:t>
        </w:r>
        <w:r w:rsidR="0052665E">
          <w:rPr>
            <w:noProof/>
            <w:webHidden/>
          </w:rPr>
          <w:fldChar w:fldCharType="end"/>
        </w:r>
      </w:hyperlink>
    </w:p>
    <w:p w:rsidR="0052665E" w:rsidRDefault="00497984">
      <w:pPr>
        <w:pStyle w:val="Obsah1"/>
        <w:rPr>
          <w:rFonts w:asciiTheme="minorHAnsi" w:eastAsiaTheme="minorEastAsia" w:hAnsiTheme="minorHAnsi" w:cstheme="minorBidi"/>
          <w:noProof/>
          <w:sz w:val="22"/>
          <w:szCs w:val="22"/>
        </w:rPr>
      </w:pPr>
      <w:hyperlink w:anchor="_Toc433873546" w:history="1">
        <w:r w:rsidR="0052665E" w:rsidRPr="00FC1171">
          <w:rPr>
            <w:rStyle w:val="Hypertextovodkaz"/>
            <w:noProof/>
          </w:rPr>
          <w:t>Tabulka č. 8 - Naplňování pravidla n+3/n+2 (v EUR) v cíli RKaZ</w:t>
        </w:r>
        <w:r w:rsidR="0052665E">
          <w:rPr>
            <w:noProof/>
            <w:webHidden/>
          </w:rPr>
          <w:tab/>
        </w:r>
        <w:r w:rsidR="0052665E">
          <w:rPr>
            <w:noProof/>
            <w:webHidden/>
          </w:rPr>
          <w:fldChar w:fldCharType="begin"/>
        </w:r>
        <w:r w:rsidR="0052665E">
          <w:rPr>
            <w:noProof/>
            <w:webHidden/>
          </w:rPr>
          <w:instrText xml:space="preserve"> PAGEREF _Toc433873546 \h </w:instrText>
        </w:r>
        <w:r w:rsidR="0052665E">
          <w:rPr>
            <w:noProof/>
            <w:webHidden/>
          </w:rPr>
        </w:r>
        <w:r w:rsidR="0052665E">
          <w:rPr>
            <w:noProof/>
            <w:webHidden/>
          </w:rPr>
          <w:fldChar w:fldCharType="separate"/>
        </w:r>
        <w:r w:rsidR="0052665E">
          <w:rPr>
            <w:noProof/>
            <w:webHidden/>
          </w:rPr>
          <w:t>26</w:t>
        </w:r>
        <w:r w:rsidR="0052665E">
          <w:rPr>
            <w:noProof/>
            <w:webHidden/>
          </w:rPr>
          <w:fldChar w:fldCharType="end"/>
        </w:r>
      </w:hyperlink>
    </w:p>
    <w:p w:rsidR="0052665E" w:rsidRDefault="00497984">
      <w:pPr>
        <w:pStyle w:val="Obsah1"/>
        <w:rPr>
          <w:rFonts w:asciiTheme="minorHAnsi" w:eastAsiaTheme="minorEastAsia" w:hAnsiTheme="minorHAnsi" w:cstheme="minorBidi"/>
          <w:noProof/>
          <w:sz w:val="22"/>
          <w:szCs w:val="22"/>
        </w:rPr>
      </w:pPr>
      <w:hyperlink w:anchor="_Toc433873547" w:history="1">
        <w:r w:rsidR="0052665E" w:rsidRPr="00FC1171">
          <w:rPr>
            <w:rStyle w:val="Hypertextovodkaz"/>
            <w:noProof/>
          </w:rPr>
          <w:t>Tabulka č. 9 - Výhled nedočerpání alokace (v Kč)</w:t>
        </w:r>
        <w:r w:rsidR="0052665E">
          <w:rPr>
            <w:noProof/>
            <w:webHidden/>
          </w:rPr>
          <w:tab/>
        </w:r>
        <w:r w:rsidR="0052665E">
          <w:rPr>
            <w:noProof/>
            <w:webHidden/>
          </w:rPr>
          <w:fldChar w:fldCharType="begin"/>
        </w:r>
        <w:r w:rsidR="0052665E">
          <w:rPr>
            <w:noProof/>
            <w:webHidden/>
          </w:rPr>
          <w:instrText xml:space="preserve"> PAGEREF _Toc433873547 \h </w:instrText>
        </w:r>
        <w:r w:rsidR="0052665E">
          <w:rPr>
            <w:noProof/>
            <w:webHidden/>
          </w:rPr>
        </w:r>
        <w:r w:rsidR="0052665E">
          <w:rPr>
            <w:noProof/>
            <w:webHidden/>
          </w:rPr>
          <w:fldChar w:fldCharType="separate"/>
        </w:r>
        <w:r w:rsidR="0052665E">
          <w:rPr>
            <w:noProof/>
            <w:webHidden/>
          </w:rPr>
          <w:t>26</w:t>
        </w:r>
        <w:r w:rsidR="0052665E">
          <w:rPr>
            <w:noProof/>
            <w:webHidden/>
          </w:rPr>
          <w:fldChar w:fldCharType="end"/>
        </w:r>
      </w:hyperlink>
    </w:p>
    <w:p w:rsidR="0052665E" w:rsidRDefault="00497984">
      <w:pPr>
        <w:pStyle w:val="Obsah1"/>
        <w:rPr>
          <w:rFonts w:asciiTheme="minorHAnsi" w:eastAsiaTheme="minorEastAsia" w:hAnsiTheme="minorHAnsi" w:cstheme="minorBidi"/>
          <w:noProof/>
          <w:sz w:val="22"/>
          <w:szCs w:val="22"/>
        </w:rPr>
      </w:pPr>
      <w:hyperlink w:anchor="_Toc433873548" w:history="1">
        <w:r w:rsidR="0052665E" w:rsidRPr="00FC1171">
          <w:rPr>
            <w:rStyle w:val="Hypertextovodkaz"/>
            <w:noProof/>
          </w:rPr>
          <w:t>Tabulka č. 10 -</w:t>
        </w:r>
        <w:r w:rsidR="0052665E" w:rsidRPr="00FC1171">
          <w:rPr>
            <w:rStyle w:val="Hypertextovodkaz"/>
            <w:bCs/>
            <w:noProof/>
          </w:rPr>
          <w:t xml:space="preserve"> Předložené ŽoP do konce programovacího období</w:t>
        </w:r>
        <w:r w:rsidR="0052665E">
          <w:rPr>
            <w:noProof/>
            <w:webHidden/>
          </w:rPr>
          <w:tab/>
        </w:r>
        <w:r w:rsidR="0052665E">
          <w:rPr>
            <w:noProof/>
            <w:webHidden/>
          </w:rPr>
          <w:fldChar w:fldCharType="begin"/>
        </w:r>
        <w:r w:rsidR="0052665E">
          <w:rPr>
            <w:noProof/>
            <w:webHidden/>
          </w:rPr>
          <w:instrText xml:space="preserve"> PAGEREF _Toc433873548 \h </w:instrText>
        </w:r>
        <w:r w:rsidR="0052665E">
          <w:rPr>
            <w:noProof/>
            <w:webHidden/>
          </w:rPr>
        </w:r>
        <w:r w:rsidR="0052665E">
          <w:rPr>
            <w:noProof/>
            <w:webHidden/>
          </w:rPr>
          <w:fldChar w:fldCharType="separate"/>
        </w:r>
        <w:r w:rsidR="0052665E">
          <w:rPr>
            <w:noProof/>
            <w:webHidden/>
          </w:rPr>
          <w:t>27</w:t>
        </w:r>
        <w:r w:rsidR="0052665E">
          <w:rPr>
            <w:noProof/>
            <w:webHidden/>
          </w:rPr>
          <w:fldChar w:fldCharType="end"/>
        </w:r>
      </w:hyperlink>
    </w:p>
    <w:p w:rsidR="0052665E" w:rsidRDefault="00497984">
      <w:pPr>
        <w:pStyle w:val="Obsah1"/>
        <w:rPr>
          <w:rFonts w:asciiTheme="minorHAnsi" w:eastAsiaTheme="minorEastAsia" w:hAnsiTheme="minorHAnsi" w:cstheme="minorBidi"/>
          <w:noProof/>
          <w:sz w:val="22"/>
          <w:szCs w:val="22"/>
        </w:rPr>
      </w:pPr>
      <w:hyperlink w:anchor="_Toc433873549" w:history="1">
        <w:r w:rsidR="0052665E" w:rsidRPr="00FC1171">
          <w:rPr>
            <w:rStyle w:val="Hypertextovodkaz"/>
            <w:noProof/>
          </w:rPr>
          <w:t>Tabulka č. 11 -</w:t>
        </w:r>
        <w:r w:rsidR="0052665E" w:rsidRPr="00FC1171">
          <w:rPr>
            <w:rStyle w:val="Hypertextovodkaz"/>
            <w:bCs/>
            <w:noProof/>
          </w:rPr>
          <w:t xml:space="preserve"> Indikátory výstupu</w:t>
        </w:r>
        <w:r w:rsidR="0052665E">
          <w:rPr>
            <w:noProof/>
            <w:webHidden/>
          </w:rPr>
          <w:tab/>
        </w:r>
        <w:r w:rsidR="0052665E">
          <w:rPr>
            <w:noProof/>
            <w:webHidden/>
          </w:rPr>
          <w:fldChar w:fldCharType="begin"/>
        </w:r>
        <w:r w:rsidR="0052665E">
          <w:rPr>
            <w:noProof/>
            <w:webHidden/>
          </w:rPr>
          <w:instrText xml:space="preserve"> PAGEREF _Toc433873549 \h </w:instrText>
        </w:r>
        <w:r w:rsidR="0052665E">
          <w:rPr>
            <w:noProof/>
            <w:webHidden/>
          </w:rPr>
        </w:r>
        <w:r w:rsidR="0052665E">
          <w:rPr>
            <w:noProof/>
            <w:webHidden/>
          </w:rPr>
          <w:fldChar w:fldCharType="separate"/>
        </w:r>
        <w:r w:rsidR="0052665E">
          <w:rPr>
            <w:noProof/>
            <w:webHidden/>
          </w:rPr>
          <w:t>40</w:t>
        </w:r>
        <w:r w:rsidR="0052665E">
          <w:rPr>
            <w:noProof/>
            <w:webHidden/>
          </w:rPr>
          <w:fldChar w:fldCharType="end"/>
        </w:r>
      </w:hyperlink>
    </w:p>
    <w:p w:rsidR="0052665E" w:rsidRDefault="00497984">
      <w:pPr>
        <w:pStyle w:val="Obsah1"/>
        <w:rPr>
          <w:rFonts w:asciiTheme="minorHAnsi" w:eastAsiaTheme="minorEastAsia" w:hAnsiTheme="minorHAnsi" w:cstheme="minorBidi"/>
          <w:noProof/>
          <w:sz w:val="22"/>
          <w:szCs w:val="22"/>
        </w:rPr>
      </w:pPr>
      <w:hyperlink w:anchor="_Toc433873550" w:history="1">
        <w:r w:rsidR="0052665E" w:rsidRPr="00FC1171">
          <w:rPr>
            <w:rStyle w:val="Hypertextovodkaz"/>
            <w:noProof/>
          </w:rPr>
          <w:t>Tabulka č. 12 -</w:t>
        </w:r>
        <w:r w:rsidR="0052665E" w:rsidRPr="00FC1171">
          <w:rPr>
            <w:rStyle w:val="Hypertextovodkaz"/>
            <w:bCs/>
            <w:noProof/>
          </w:rPr>
          <w:t xml:space="preserve"> Indikátory výsledku</w:t>
        </w:r>
        <w:r w:rsidR="0052665E">
          <w:rPr>
            <w:noProof/>
            <w:webHidden/>
          </w:rPr>
          <w:tab/>
        </w:r>
        <w:r w:rsidR="0052665E">
          <w:rPr>
            <w:noProof/>
            <w:webHidden/>
          </w:rPr>
          <w:fldChar w:fldCharType="begin"/>
        </w:r>
        <w:r w:rsidR="0052665E">
          <w:rPr>
            <w:noProof/>
            <w:webHidden/>
          </w:rPr>
          <w:instrText xml:space="preserve"> PAGEREF _Toc433873550 \h </w:instrText>
        </w:r>
        <w:r w:rsidR="0052665E">
          <w:rPr>
            <w:noProof/>
            <w:webHidden/>
          </w:rPr>
        </w:r>
        <w:r w:rsidR="0052665E">
          <w:rPr>
            <w:noProof/>
            <w:webHidden/>
          </w:rPr>
          <w:fldChar w:fldCharType="separate"/>
        </w:r>
        <w:r w:rsidR="0052665E">
          <w:rPr>
            <w:noProof/>
            <w:webHidden/>
          </w:rPr>
          <w:t>41</w:t>
        </w:r>
        <w:r w:rsidR="0052665E">
          <w:rPr>
            <w:noProof/>
            <w:webHidden/>
          </w:rPr>
          <w:fldChar w:fldCharType="end"/>
        </w:r>
      </w:hyperlink>
    </w:p>
    <w:p w:rsidR="0052665E" w:rsidRDefault="00497984">
      <w:pPr>
        <w:pStyle w:val="Obsah1"/>
        <w:rPr>
          <w:rFonts w:asciiTheme="minorHAnsi" w:eastAsiaTheme="minorEastAsia" w:hAnsiTheme="minorHAnsi" w:cstheme="minorBidi"/>
          <w:noProof/>
          <w:sz w:val="22"/>
          <w:szCs w:val="22"/>
        </w:rPr>
      </w:pPr>
      <w:hyperlink w:anchor="_Toc433873551" w:history="1">
        <w:r w:rsidR="0052665E" w:rsidRPr="00FC1171">
          <w:rPr>
            <w:rStyle w:val="Hypertextovodkaz"/>
            <w:noProof/>
          </w:rPr>
          <w:t>Tabulka č. 13 -</w:t>
        </w:r>
        <w:r w:rsidR="0052665E" w:rsidRPr="00FC1171">
          <w:rPr>
            <w:rStyle w:val="Hypertextovodkaz"/>
            <w:bCs/>
            <w:noProof/>
          </w:rPr>
          <w:t xml:space="preserve"> Kumulativní pokrok na úrovni oblastí intervence 2.1 (v mil. CZK/EUR)</w:t>
        </w:r>
        <w:r w:rsidR="0052665E">
          <w:rPr>
            <w:noProof/>
            <w:webHidden/>
          </w:rPr>
          <w:tab/>
        </w:r>
        <w:r w:rsidR="0052665E">
          <w:rPr>
            <w:noProof/>
            <w:webHidden/>
          </w:rPr>
          <w:fldChar w:fldCharType="begin"/>
        </w:r>
        <w:r w:rsidR="0052665E">
          <w:rPr>
            <w:noProof/>
            <w:webHidden/>
          </w:rPr>
          <w:instrText xml:space="preserve"> PAGEREF _Toc433873551 \h </w:instrText>
        </w:r>
        <w:r w:rsidR="0052665E">
          <w:rPr>
            <w:noProof/>
            <w:webHidden/>
          </w:rPr>
        </w:r>
        <w:r w:rsidR="0052665E">
          <w:rPr>
            <w:noProof/>
            <w:webHidden/>
          </w:rPr>
          <w:fldChar w:fldCharType="separate"/>
        </w:r>
        <w:r w:rsidR="0052665E">
          <w:rPr>
            <w:noProof/>
            <w:webHidden/>
          </w:rPr>
          <w:t>45</w:t>
        </w:r>
        <w:r w:rsidR="0052665E">
          <w:rPr>
            <w:noProof/>
            <w:webHidden/>
          </w:rPr>
          <w:fldChar w:fldCharType="end"/>
        </w:r>
      </w:hyperlink>
    </w:p>
    <w:p w:rsidR="0052665E" w:rsidRDefault="00497984">
      <w:pPr>
        <w:pStyle w:val="Obsah1"/>
        <w:rPr>
          <w:rFonts w:asciiTheme="minorHAnsi" w:eastAsiaTheme="minorEastAsia" w:hAnsiTheme="minorHAnsi" w:cstheme="minorBidi"/>
          <w:noProof/>
          <w:sz w:val="22"/>
          <w:szCs w:val="22"/>
        </w:rPr>
      </w:pPr>
      <w:hyperlink w:anchor="_Toc433873552" w:history="1">
        <w:r w:rsidR="0052665E" w:rsidRPr="00FC1171">
          <w:rPr>
            <w:rStyle w:val="Hypertextovodkaz"/>
            <w:noProof/>
          </w:rPr>
          <w:t>Tabulka č. 14 -</w:t>
        </w:r>
        <w:r w:rsidR="0052665E" w:rsidRPr="00FC1171">
          <w:rPr>
            <w:rStyle w:val="Hypertextovodkaz"/>
            <w:bCs/>
            <w:noProof/>
          </w:rPr>
          <w:t xml:space="preserve"> Indikátory výstupu</w:t>
        </w:r>
        <w:r w:rsidR="0052665E">
          <w:rPr>
            <w:noProof/>
            <w:webHidden/>
          </w:rPr>
          <w:tab/>
        </w:r>
        <w:r w:rsidR="0052665E">
          <w:rPr>
            <w:noProof/>
            <w:webHidden/>
          </w:rPr>
          <w:fldChar w:fldCharType="begin"/>
        </w:r>
        <w:r w:rsidR="0052665E">
          <w:rPr>
            <w:noProof/>
            <w:webHidden/>
          </w:rPr>
          <w:instrText xml:space="preserve"> PAGEREF _Toc433873552 \h </w:instrText>
        </w:r>
        <w:r w:rsidR="0052665E">
          <w:rPr>
            <w:noProof/>
            <w:webHidden/>
          </w:rPr>
        </w:r>
        <w:r w:rsidR="0052665E">
          <w:rPr>
            <w:noProof/>
            <w:webHidden/>
          </w:rPr>
          <w:fldChar w:fldCharType="separate"/>
        </w:r>
        <w:r w:rsidR="0052665E">
          <w:rPr>
            <w:noProof/>
            <w:webHidden/>
          </w:rPr>
          <w:t>46</w:t>
        </w:r>
        <w:r w:rsidR="0052665E">
          <w:rPr>
            <w:noProof/>
            <w:webHidden/>
          </w:rPr>
          <w:fldChar w:fldCharType="end"/>
        </w:r>
      </w:hyperlink>
    </w:p>
    <w:p w:rsidR="0052665E" w:rsidRDefault="00497984">
      <w:pPr>
        <w:pStyle w:val="Obsah1"/>
        <w:rPr>
          <w:rFonts w:asciiTheme="minorHAnsi" w:eastAsiaTheme="minorEastAsia" w:hAnsiTheme="minorHAnsi" w:cstheme="minorBidi"/>
          <w:noProof/>
          <w:sz w:val="22"/>
          <w:szCs w:val="22"/>
        </w:rPr>
      </w:pPr>
      <w:hyperlink w:anchor="_Toc433873553" w:history="1">
        <w:r w:rsidR="0052665E" w:rsidRPr="00FC1171">
          <w:rPr>
            <w:rStyle w:val="Hypertextovodkaz"/>
            <w:noProof/>
          </w:rPr>
          <w:t>Tabulka č. 15 -</w:t>
        </w:r>
        <w:r w:rsidR="0052665E" w:rsidRPr="00FC1171">
          <w:rPr>
            <w:rStyle w:val="Hypertextovodkaz"/>
            <w:bCs/>
            <w:noProof/>
          </w:rPr>
          <w:t xml:space="preserve"> Indikátory výsledku</w:t>
        </w:r>
        <w:r w:rsidR="0052665E">
          <w:rPr>
            <w:noProof/>
            <w:webHidden/>
          </w:rPr>
          <w:tab/>
        </w:r>
        <w:r w:rsidR="0052665E">
          <w:rPr>
            <w:noProof/>
            <w:webHidden/>
          </w:rPr>
          <w:fldChar w:fldCharType="begin"/>
        </w:r>
        <w:r w:rsidR="0052665E">
          <w:rPr>
            <w:noProof/>
            <w:webHidden/>
          </w:rPr>
          <w:instrText xml:space="preserve"> PAGEREF _Toc433873553 \h </w:instrText>
        </w:r>
        <w:r w:rsidR="0052665E">
          <w:rPr>
            <w:noProof/>
            <w:webHidden/>
          </w:rPr>
        </w:r>
        <w:r w:rsidR="0052665E">
          <w:rPr>
            <w:noProof/>
            <w:webHidden/>
          </w:rPr>
          <w:fldChar w:fldCharType="separate"/>
        </w:r>
        <w:r w:rsidR="0052665E">
          <w:rPr>
            <w:noProof/>
            <w:webHidden/>
          </w:rPr>
          <w:t>47</w:t>
        </w:r>
        <w:r w:rsidR="0052665E">
          <w:rPr>
            <w:noProof/>
            <w:webHidden/>
          </w:rPr>
          <w:fldChar w:fldCharType="end"/>
        </w:r>
      </w:hyperlink>
    </w:p>
    <w:p w:rsidR="0052665E" w:rsidRDefault="00497984">
      <w:pPr>
        <w:pStyle w:val="Obsah1"/>
        <w:rPr>
          <w:rFonts w:asciiTheme="minorHAnsi" w:eastAsiaTheme="minorEastAsia" w:hAnsiTheme="minorHAnsi" w:cstheme="minorBidi"/>
          <w:noProof/>
          <w:sz w:val="22"/>
          <w:szCs w:val="22"/>
        </w:rPr>
      </w:pPr>
      <w:hyperlink w:anchor="_Toc433873554" w:history="1">
        <w:r w:rsidR="0052665E" w:rsidRPr="00FC1171">
          <w:rPr>
            <w:rStyle w:val="Hypertextovodkaz"/>
            <w:noProof/>
          </w:rPr>
          <w:t>Tabulka č. 16 -</w:t>
        </w:r>
        <w:r w:rsidR="0052665E" w:rsidRPr="00FC1171">
          <w:rPr>
            <w:rStyle w:val="Hypertextovodkaz"/>
            <w:bCs/>
            <w:noProof/>
          </w:rPr>
          <w:t xml:space="preserve"> Kumulativní pokrok na úrovni oblastí intervence 3.1 (v mil. CZK/EUR)</w:t>
        </w:r>
        <w:r w:rsidR="0052665E">
          <w:rPr>
            <w:noProof/>
            <w:webHidden/>
          </w:rPr>
          <w:tab/>
        </w:r>
        <w:r w:rsidR="0052665E">
          <w:rPr>
            <w:noProof/>
            <w:webHidden/>
          </w:rPr>
          <w:fldChar w:fldCharType="begin"/>
        </w:r>
        <w:r w:rsidR="0052665E">
          <w:rPr>
            <w:noProof/>
            <w:webHidden/>
          </w:rPr>
          <w:instrText xml:space="preserve"> PAGEREF _Toc433873554 \h </w:instrText>
        </w:r>
        <w:r w:rsidR="0052665E">
          <w:rPr>
            <w:noProof/>
            <w:webHidden/>
          </w:rPr>
        </w:r>
        <w:r w:rsidR="0052665E">
          <w:rPr>
            <w:noProof/>
            <w:webHidden/>
          </w:rPr>
          <w:fldChar w:fldCharType="separate"/>
        </w:r>
        <w:r w:rsidR="0052665E">
          <w:rPr>
            <w:noProof/>
            <w:webHidden/>
          </w:rPr>
          <w:t>50</w:t>
        </w:r>
        <w:r w:rsidR="0052665E">
          <w:rPr>
            <w:noProof/>
            <w:webHidden/>
          </w:rPr>
          <w:fldChar w:fldCharType="end"/>
        </w:r>
      </w:hyperlink>
    </w:p>
    <w:p w:rsidR="0052665E" w:rsidRDefault="00497984">
      <w:pPr>
        <w:pStyle w:val="Obsah1"/>
        <w:rPr>
          <w:rFonts w:asciiTheme="minorHAnsi" w:eastAsiaTheme="minorEastAsia" w:hAnsiTheme="minorHAnsi" w:cstheme="minorBidi"/>
          <w:noProof/>
          <w:sz w:val="22"/>
          <w:szCs w:val="22"/>
        </w:rPr>
      </w:pPr>
      <w:hyperlink w:anchor="_Toc433873555" w:history="1">
        <w:r w:rsidR="0052665E" w:rsidRPr="00FC1171">
          <w:rPr>
            <w:rStyle w:val="Hypertextovodkaz"/>
            <w:noProof/>
          </w:rPr>
          <w:t>Tabulka č. 17 -</w:t>
        </w:r>
        <w:r w:rsidR="0052665E" w:rsidRPr="00FC1171">
          <w:rPr>
            <w:rStyle w:val="Hypertextovodkaz"/>
            <w:bCs/>
            <w:noProof/>
          </w:rPr>
          <w:t xml:space="preserve"> Kumulativní pokrok na úrovni oblastí intervence 3.2 (v mil. CZK/EUR)</w:t>
        </w:r>
        <w:r w:rsidR="0052665E">
          <w:rPr>
            <w:noProof/>
            <w:webHidden/>
          </w:rPr>
          <w:tab/>
        </w:r>
        <w:r w:rsidR="0052665E">
          <w:rPr>
            <w:noProof/>
            <w:webHidden/>
          </w:rPr>
          <w:fldChar w:fldCharType="begin"/>
        </w:r>
        <w:r w:rsidR="0052665E">
          <w:rPr>
            <w:noProof/>
            <w:webHidden/>
          </w:rPr>
          <w:instrText xml:space="preserve"> PAGEREF _Toc433873555 \h </w:instrText>
        </w:r>
        <w:r w:rsidR="0052665E">
          <w:rPr>
            <w:noProof/>
            <w:webHidden/>
          </w:rPr>
        </w:r>
        <w:r w:rsidR="0052665E">
          <w:rPr>
            <w:noProof/>
            <w:webHidden/>
          </w:rPr>
          <w:fldChar w:fldCharType="separate"/>
        </w:r>
        <w:r w:rsidR="0052665E">
          <w:rPr>
            <w:noProof/>
            <w:webHidden/>
          </w:rPr>
          <w:t>51</w:t>
        </w:r>
        <w:r w:rsidR="0052665E">
          <w:rPr>
            <w:noProof/>
            <w:webHidden/>
          </w:rPr>
          <w:fldChar w:fldCharType="end"/>
        </w:r>
      </w:hyperlink>
    </w:p>
    <w:p w:rsidR="0052665E" w:rsidRDefault="00497984">
      <w:pPr>
        <w:pStyle w:val="Obsah1"/>
        <w:rPr>
          <w:rFonts w:asciiTheme="minorHAnsi" w:eastAsiaTheme="minorEastAsia" w:hAnsiTheme="minorHAnsi" w:cstheme="minorBidi"/>
          <w:noProof/>
          <w:sz w:val="22"/>
          <w:szCs w:val="22"/>
        </w:rPr>
      </w:pPr>
      <w:hyperlink w:anchor="_Toc433873556" w:history="1">
        <w:r w:rsidR="0052665E" w:rsidRPr="00FC1171">
          <w:rPr>
            <w:rStyle w:val="Hypertextovodkaz"/>
            <w:noProof/>
          </w:rPr>
          <w:t>Tabulka č. 18 -</w:t>
        </w:r>
        <w:r w:rsidR="0052665E" w:rsidRPr="00FC1171">
          <w:rPr>
            <w:rStyle w:val="Hypertextovodkaz"/>
            <w:bCs/>
            <w:noProof/>
          </w:rPr>
          <w:t xml:space="preserve"> Kumulativní pokrok na úrovni oblastí intervence 3.3 (v mil. CZK/EUR)</w:t>
        </w:r>
        <w:r w:rsidR="0052665E">
          <w:rPr>
            <w:noProof/>
            <w:webHidden/>
          </w:rPr>
          <w:tab/>
        </w:r>
        <w:r w:rsidR="0052665E">
          <w:rPr>
            <w:noProof/>
            <w:webHidden/>
          </w:rPr>
          <w:fldChar w:fldCharType="begin"/>
        </w:r>
        <w:r w:rsidR="0052665E">
          <w:rPr>
            <w:noProof/>
            <w:webHidden/>
          </w:rPr>
          <w:instrText xml:space="preserve"> PAGEREF _Toc433873556 \h </w:instrText>
        </w:r>
        <w:r w:rsidR="0052665E">
          <w:rPr>
            <w:noProof/>
            <w:webHidden/>
          </w:rPr>
        </w:r>
        <w:r w:rsidR="0052665E">
          <w:rPr>
            <w:noProof/>
            <w:webHidden/>
          </w:rPr>
          <w:fldChar w:fldCharType="separate"/>
        </w:r>
        <w:r w:rsidR="0052665E">
          <w:rPr>
            <w:noProof/>
            <w:webHidden/>
          </w:rPr>
          <w:t>51</w:t>
        </w:r>
        <w:r w:rsidR="0052665E">
          <w:rPr>
            <w:noProof/>
            <w:webHidden/>
          </w:rPr>
          <w:fldChar w:fldCharType="end"/>
        </w:r>
      </w:hyperlink>
    </w:p>
    <w:p w:rsidR="0052665E" w:rsidRDefault="00497984">
      <w:pPr>
        <w:pStyle w:val="Obsah1"/>
        <w:rPr>
          <w:rFonts w:asciiTheme="minorHAnsi" w:eastAsiaTheme="minorEastAsia" w:hAnsiTheme="minorHAnsi" w:cstheme="minorBidi"/>
          <w:noProof/>
          <w:sz w:val="22"/>
          <w:szCs w:val="22"/>
        </w:rPr>
      </w:pPr>
      <w:hyperlink w:anchor="_Toc433873557" w:history="1">
        <w:r w:rsidR="0052665E" w:rsidRPr="00FC1171">
          <w:rPr>
            <w:rStyle w:val="Hypertextovodkaz"/>
            <w:noProof/>
          </w:rPr>
          <w:t>Tabulka č. 19 -</w:t>
        </w:r>
        <w:r w:rsidR="0052665E" w:rsidRPr="00FC1171">
          <w:rPr>
            <w:rStyle w:val="Hypertextovodkaz"/>
            <w:bCs/>
            <w:noProof/>
          </w:rPr>
          <w:t xml:space="preserve"> Kumulativní pokrok na úrovni oblasti intervence 3.4 (v mil. CZK/EUR)</w:t>
        </w:r>
        <w:r w:rsidR="0052665E">
          <w:rPr>
            <w:noProof/>
            <w:webHidden/>
          </w:rPr>
          <w:tab/>
        </w:r>
        <w:r w:rsidR="0052665E">
          <w:rPr>
            <w:noProof/>
            <w:webHidden/>
          </w:rPr>
          <w:fldChar w:fldCharType="begin"/>
        </w:r>
        <w:r w:rsidR="0052665E">
          <w:rPr>
            <w:noProof/>
            <w:webHidden/>
          </w:rPr>
          <w:instrText xml:space="preserve"> PAGEREF _Toc433873557 \h </w:instrText>
        </w:r>
        <w:r w:rsidR="0052665E">
          <w:rPr>
            <w:noProof/>
            <w:webHidden/>
          </w:rPr>
        </w:r>
        <w:r w:rsidR="0052665E">
          <w:rPr>
            <w:noProof/>
            <w:webHidden/>
          </w:rPr>
          <w:fldChar w:fldCharType="separate"/>
        </w:r>
        <w:r w:rsidR="0052665E">
          <w:rPr>
            <w:noProof/>
            <w:webHidden/>
          </w:rPr>
          <w:t>52</w:t>
        </w:r>
        <w:r w:rsidR="0052665E">
          <w:rPr>
            <w:noProof/>
            <w:webHidden/>
          </w:rPr>
          <w:fldChar w:fldCharType="end"/>
        </w:r>
      </w:hyperlink>
    </w:p>
    <w:p w:rsidR="0052665E" w:rsidRDefault="00497984">
      <w:pPr>
        <w:pStyle w:val="Obsah1"/>
        <w:rPr>
          <w:rFonts w:asciiTheme="minorHAnsi" w:eastAsiaTheme="minorEastAsia" w:hAnsiTheme="minorHAnsi" w:cstheme="minorBidi"/>
          <w:noProof/>
          <w:sz w:val="22"/>
          <w:szCs w:val="22"/>
        </w:rPr>
      </w:pPr>
      <w:hyperlink w:anchor="_Toc433873558" w:history="1">
        <w:r w:rsidR="0052665E" w:rsidRPr="00FC1171">
          <w:rPr>
            <w:rStyle w:val="Hypertextovodkaz"/>
            <w:noProof/>
          </w:rPr>
          <w:t>Tabulka č. 20 -</w:t>
        </w:r>
        <w:r w:rsidR="0052665E" w:rsidRPr="00FC1171">
          <w:rPr>
            <w:rStyle w:val="Hypertextovodkaz"/>
            <w:bCs/>
            <w:noProof/>
          </w:rPr>
          <w:t xml:space="preserve"> Indikátory výstupu</w:t>
        </w:r>
        <w:r w:rsidR="0052665E">
          <w:rPr>
            <w:noProof/>
            <w:webHidden/>
          </w:rPr>
          <w:tab/>
        </w:r>
        <w:r w:rsidR="0052665E">
          <w:rPr>
            <w:noProof/>
            <w:webHidden/>
          </w:rPr>
          <w:fldChar w:fldCharType="begin"/>
        </w:r>
        <w:r w:rsidR="0052665E">
          <w:rPr>
            <w:noProof/>
            <w:webHidden/>
          </w:rPr>
          <w:instrText xml:space="preserve"> PAGEREF _Toc433873558 \h </w:instrText>
        </w:r>
        <w:r w:rsidR="0052665E">
          <w:rPr>
            <w:noProof/>
            <w:webHidden/>
          </w:rPr>
        </w:r>
        <w:r w:rsidR="0052665E">
          <w:rPr>
            <w:noProof/>
            <w:webHidden/>
          </w:rPr>
          <w:fldChar w:fldCharType="separate"/>
        </w:r>
        <w:r w:rsidR="0052665E">
          <w:rPr>
            <w:noProof/>
            <w:webHidden/>
          </w:rPr>
          <w:t>56</w:t>
        </w:r>
        <w:r w:rsidR="0052665E">
          <w:rPr>
            <w:noProof/>
            <w:webHidden/>
          </w:rPr>
          <w:fldChar w:fldCharType="end"/>
        </w:r>
      </w:hyperlink>
    </w:p>
    <w:p w:rsidR="0052665E" w:rsidRDefault="00497984">
      <w:pPr>
        <w:pStyle w:val="Obsah1"/>
        <w:rPr>
          <w:rFonts w:asciiTheme="minorHAnsi" w:eastAsiaTheme="minorEastAsia" w:hAnsiTheme="minorHAnsi" w:cstheme="minorBidi"/>
          <w:noProof/>
          <w:sz w:val="22"/>
          <w:szCs w:val="22"/>
        </w:rPr>
      </w:pPr>
      <w:hyperlink w:anchor="_Toc433873559" w:history="1">
        <w:r w:rsidR="0052665E" w:rsidRPr="00FC1171">
          <w:rPr>
            <w:rStyle w:val="Hypertextovodkaz"/>
            <w:noProof/>
          </w:rPr>
          <w:t>Tabulka č. 21 -</w:t>
        </w:r>
        <w:r w:rsidR="0052665E" w:rsidRPr="00FC1171">
          <w:rPr>
            <w:rStyle w:val="Hypertextovodkaz"/>
            <w:bCs/>
            <w:noProof/>
          </w:rPr>
          <w:t xml:space="preserve"> Indikátory výsledku</w:t>
        </w:r>
        <w:r w:rsidR="0052665E">
          <w:rPr>
            <w:noProof/>
            <w:webHidden/>
          </w:rPr>
          <w:tab/>
        </w:r>
        <w:r w:rsidR="0052665E">
          <w:rPr>
            <w:noProof/>
            <w:webHidden/>
          </w:rPr>
          <w:fldChar w:fldCharType="begin"/>
        </w:r>
        <w:r w:rsidR="0052665E">
          <w:rPr>
            <w:noProof/>
            <w:webHidden/>
          </w:rPr>
          <w:instrText xml:space="preserve"> PAGEREF _Toc433873559 \h </w:instrText>
        </w:r>
        <w:r w:rsidR="0052665E">
          <w:rPr>
            <w:noProof/>
            <w:webHidden/>
          </w:rPr>
        </w:r>
        <w:r w:rsidR="0052665E">
          <w:rPr>
            <w:noProof/>
            <w:webHidden/>
          </w:rPr>
          <w:fldChar w:fldCharType="separate"/>
        </w:r>
        <w:r w:rsidR="0052665E">
          <w:rPr>
            <w:noProof/>
            <w:webHidden/>
          </w:rPr>
          <w:t>58</w:t>
        </w:r>
        <w:r w:rsidR="0052665E">
          <w:rPr>
            <w:noProof/>
            <w:webHidden/>
          </w:rPr>
          <w:fldChar w:fldCharType="end"/>
        </w:r>
      </w:hyperlink>
    </w:p>
    <w:p w:rsidR="0052665E" w:rsidRDefault="00497984">
      <w:pPr>
        <w:pStyle w:val="Obsah1"/>
        <w:rPr>
          <w:rFonts w:asciiTheme="minorHAnsi" w:eastAsiaTheme="minorEastAsia" w:hAnsiTheme="minorHAnsi" w:cstheme="minorBidi"/>
          <w:noProof/>
          <w:sz w:val="22"/>
          <w:szCs w:val="22"/>
        </w:rPr>
      </w:pPr>
      <w:hyperlink w:anchor="_Toc433873560" w:history="1">
        <w:r w:rsidR="0052665E" w:rsidRPr="00FC1171">
          <w:rPr>
            <w:rStyle w:val="Hypertextovodkaz"/>
            <w:noProof/>
          </w:rPr>
          <w:t>Tabulka č. 22 -</w:t>
        </w:r>
        <w:r w:rsidR="0052665E" w:rsidRPr="00FC1171">
          <w:rPr>
            <w:rStyle w:val="Hypertextovodkaz"/>
            <w:bCs/>
            <w:noProof/>
          </w:rPr>
          <w:t xml:space="preserve"> Kumulativní pokrok na úrovni oblastí intervence 4.1a a 4.1b (v mil. CZK/EUR)</w:t>
        </w:r>
        <w:r w:rsidR="0052665E">
          <w:rPr>
            <w:noProof/>
            <w:webHidden/>
          </w:rPr>
          <w:tab/>
        </w:r>
        <w:r w:rsidR="0052665E">
          <w:rPr>
            <w:noProof/>
            <w:webHidden/>
          </w:rPr>
          <w:fldChar w:fldCharType="begin"/>
        </w:r>
        <w:r w:rsidR="0052665E">
          <w:rPr>
            <w:noProof/>
            <w:webHidden/>
          </w:rPr>
          <w:instrText xml:space="preserve"> PAGEREF _Toc433873560 \h </w:instrText>
        </w:r>
        <w:r w:rsidR="0052665E">
          <w:rPr>
            <w:noProof/>
            <w:webHidden/>
          </w:rPr>
        </w:r>
        <w:r w:rsidR="0052665E">
          <w:rPr>
            <w:noProof/>
            <w:webHidden/>
          </w:rPr>
          <w:fldChar w:fldCharType="separate"/>
        </w:r>
        <w:r w:rsidR="0052665E">
          <w:rPr>
            <w:noProof/>
            <w:webHidden/>
          </w:rPr>
          <w:t>69</w:t>
        </w:r>
        <w:r w:rsidR="0052665E">
          <w:rPr>
            <w:noProof/>
            <w:webHidden/>
          </w:rPr>
          <w:fldChar w:fldCharType="end"/>
        </w:r>
      </w:hyperlink>
    </w:p>
    <w:p w:rsidR="0052665E" w:rsidRDefault="00497984">
      <w:pPr>
        <w:pStyle w:val="Obsah1"/>
        <w:rPr>
          <w:rFonts w:asciiTheme="minorHAnsi" w:eastAsiaTheme="minorEastAsia" w:hAnsiTheme="minorHAnsi" w:cstheme="minorBidi"/>
          <w:noProof/>
          <w:sz w:val="22"/>
          <w:szCs w:val="22"/>
        </w:rPr>
      </w:pPr>
      <w:hyperlink w:anchor="_Toc433873561" w:history="1">
        <w:r w:rsidR="0052665E" w:rsidRPr="00FC1171">
          <w:rPr>
            <w:rStyle w:val="Hypertextovodkaz"/>
            <w:noProof/>
          </w:rPr>
          <w:t>Tabulka č. 23 -</w:t>
        </w:r>
        <w:r w:rsidR="0052665E" w:rsidRPr="00FC1171">
          <w:rPr>
            <w:rStyle w:val="Hypertextovodkaz"/>
            <w:bCs/>
            <w:noProof/>
          </w:rPr>
          <w:t xml:space="preserve"> Přehled probíhajících výzev v období 17. 4. 2015  - 30. 9. 2015 v prioritní ose 4a a 4b</w:t>
        </w:r>
        <w:r w:rsidR="0052665E">
          <w:rPr>
            <w:noProof/>
            <w:webHidden/>
          </w:rPr>
          <w:tab/>
        </w:r>
        <w:r w:rsidR="0052665E">
          <w:rPr>
            <w:noProof/>
            <w:webHidden/>
          </w:rPr>
          <w:fldChar w:fldCharType="begin"/>
        </w:r>
        <w:r w:rsidR="0052665E">
          <w:rPr>
            <w:noProof/>
            <w:webHidden/>
          </w:rPr>
          <w:instrText xml:space="preserve"> PAGEREF _Toc433873561 \h </w:instrText>
        </w:r>
        <w:r w:rsidR="0052665E">
          <w:rPr>
            <w:noProof/>
            <w:webHidden/>
          </w:rPr>
        </w:r>
        <w:r w:rsidR="0052665E">
          <w:rPr>
            <w:noProof/>
            <w:webHidden/>
          </w:rPr>
          <w:fldChar w:fldCharType="separate"/>
        </w:r>
        <w:r w:rsidR="0052665E">
          <w:rPr>
            <w:noProof/>
            <w:webHidden/>
          </w:rPr>
          <w:t>70</w:t>
        </w:r>
        <w:r w:rsidR="0052665E">
          <w:rPr>
            <w:noProof/>
            <w:webHidden/>
          </w:rPr>
          <w:fldChar w:fldCharType="end"/>
        </w:r>
      </w:hyperlink>
    </w:p>
    <w:p w:rsidR="0052665E" w:rsidRDefault="00497984">
      <w:pPr>
        <w:pStyle w:val="Obsah1"/>
        <w:rPr>
          <w:rFonts w:asciiTheme="minorHAnsi" w:eastAsiaTheme="minorEastAsia" w:hAnsiTheme="minorHAnsi" w:cstheme="minorBidi"/>
          <w:noProof/>
          <w:sz w:val="22"/>
          <w:szCs w:val="22"/>
        </w:rPr>
      </w:pPr>
      <w:hyperlink w:anchor="_Toc433873562" w:history="1">
        <w:r w:rsidR="0052665E" w:rsidRPr="00FC1171">
          <w:rPr>
            <w:rStyle w:val="Hypertextovodkaz"/>
            <w:noProof/>
          </w:rPr>
          <w:t>Tabulka č. 24 -</w:t>
        </w:r>
        <w:r w:rsidR="0052665E" w:rsidRPr="00FC1171">
          <w:rPr>
            <w:rStyle w:val="Hypertextovodkaz"/>
            <w:bCs/>
            <w:noProof/>
          </w:rPr>
          <w:t xml:space="preserve"> Indikátory výstupu</w:t>
        </w:r>
        <w:r w:rsidR="0052665E">
          <w:rPr>
            <w:noProof/>
            <w:webHidden/>
          </w:rPr>
          <w:tab/>
        </w:r>
        <w:r w:rsidR="0052665E">
          <w:rPr>
            <w:noProof/>
            <w:webHidden/>
          </w:rPr>
          <w:fldChar w:fldCharType="begin"/>
        </w:r>
        <w:r w:rsidR="0052665E">
          <w:rPr>
            <w:noProof/>
            <w:webHidden/>
          </w:rPr>
          <w:instrText xml:space="preserve"> PAGEREF _Toc433873562 \h </w:instrText>
        </w:r>
        <w:r w:rsidR="0052665E">
          <w:rPr>
            <w:noProof/>
            <w:webHidden/>
          </w:rPr>
        </w:r>
        <w:r w:rsidR="0052665E">
          <w:rPr>
            <w:noProof/>
            <w:webHidden/>
          </w:rPr>
          <w:fldChar w:fldCharType="separate"/>
        </w:r>
        <w:r w:rsidR="0052665E">
          <w:rPr>
            <w:noProof/>
            <w:webHidden/>
          </w:rPr>
          <w:t>71</w:t>
        </w:r>
        <w:r w:rsidR="0052665E">
          <w:rPr>
            <w:noProof/>
            <w:webHidden/>
          </w:rPr>
          <w:fldChar w:fldCharType="end"/>
        </w:r>
      </w:hyperlink>
    </w:p>
    <w:p w:rsidR="0052665E" w:rsidRDefault="00497984">
      <w:pPr>
        <w:pStyle w:val="Obsah1"/>
        <w:rPr>
          <w:rFonts w:asciiTheme="minorHAnsi" w:eastAsiaTheme="minorEastAsia" w:hAnsiTheme="minorHAnsi" w:cstheme="minorBidi"/>
          <w:noProof/>
          <w:sz w:val="22"/>
          <w:szCs w:val="22"/>
        </w:rPr>
      </w:pPr>
      <w:hyperlink w:anchor="_Toc433873563" w:history="1">
        <w:r w:rsidR="0052665E" w:rsidRPr="00FC1171">
          <w:rPr>
            <w:rStyle w:val="Hypertextovodkaz"/>
            <w:noProof/>
          </w:rPr>
          <w:t>Tabulka č. 25 -</w:t>
        </w:r>
        <w:r w:rsidR="0052665E" w:rsidRPr="00FC1171">
          <w:rPr>
            <w:rStyle w:val="Hypertextovodkaz"/>
            <w:bCs/>
            <w:noProof/>
          </w:rPr>
          <w:t xml:space="preserve"> Indikátory výsledku</w:t>
        </w:r>
        <w:r w:rsidR="0052665E">
          <w:rPr>
            <w:noProof/>
            <w:webHidden/>
          </w:rPr>
          <w:tab/>
        </w:r>
        <w:r w:rsidR="0052665E">
          <w:rPr>
            <w:noProof/>
            <w:webHidden/>
          </w:rPr>
          <w:fldChar w:fldCharType="begin"/>
        </w:r>
        <w:r w:rsidR="0052665E">
          <w:rPr>
            <w:noProof/>
            <w:webHidden/>
          </w:rPr>
          <w:instrText xml:space="preserve"> PAGEREF _Toc433873563 \h </w:instrText>
        </w:r>
        <w:r w:rsidR="0052665E">
          <w:rPr>
            <w:noProof/>
            <w:webHidden/>
          </w:rPr>
        </w:r>
        <w:r w:rsidR="0052665E">
          <w:rPr>
            <w:noProof/>
            <w:webHidden/>
          </w:rPr>
          <w:fldChar w:fldCharType="separate"/>
        </w:r>
        <w:r w:rsidR="0052665E">
          <w:rPr>
            <w:noProof/>
            <w:webHidden/>
          </w:rPr>
          <w:t>71</w:t>
        </w:r>
        <w:r w:rsidR="0052665E">
          <w:rPr>
            <w:noProof/>
            <w:webHidden/>
          </w:rPr>
          <w:fldChar w:fldCharType="end"/>
        </w:r>
      </w:hyperlink>
    </w:p>
    <w:p w:rsidR="0052665E" w:rsidRDefault="00497984">
      <w:pPr>
        <w:pStyle w:val="Obsah1"/>
        <w:rPr>
          <w:rFonts w:asciiTheme="minorHAnsi" w:eastAsiaTheme="minorEastAsia" w:hAnsiTheme="minorHAnsi" w:cstheme="minorBidi"/>
          <w:noProof/>
          <w:sz w:val="22"/>
          <w:szCs w:val="22"/>
        </w:rPr>
      </w:pPr>
      <w:hyperlink w:anchor="_Toc433873564" w:history="1">
        <w:r w:rsidR="0052665E" w:rsidRPr="00FC1171">
          <w:rPr>
            <w:rStyle w:val="Hypertextovodkaz"/>
            <w:noProof/>
          </w:rPr>
          <w:t>Tabulka č. 26 -</w:t>
        </w:r>
        <w:r w:rsidR="0052665E" w:rsidRPr="00FC1171">
          <w:rPr>
            <w:rStyle w:val="Hypertextovodkaz"/>
            <w:bCs/>
            <w:noProof/>
          </w:rPr>
          <w:t xml:space="preserve"> Kumulativní pokrok na úrovni oblastí intervence 5.1 (v mil. CZK/EUR)</w:t>
        </w:r>
        <w:r w:rsidR="0052665E">
          <w:rPr>
            <w:noProof/>
            <w:webHidden/>
          </w:rPr>
          <w:tab/>
        </w:r>
        <w:r w:rsidR="0052665E">
          <w:rPr>
            <w:noProof/>
            <w:webHidden/>
          </w:rPr>
          <w:fldChar w:fldCharType="begin"/>
        </w:r>
        <w:r w:rsidR="0052665E">
          <w:rPr>
            <w:noProof/>
            <w:webHidden/>
          </w:rPr>
          <w:instrText xml:space="preserve"> PAGEREF _Toc433873564 \h </w:instrText>
        </w:r>
        <w:r w:rsidR="0052665E">
          <w:rPr>
            <w:noProof/>
            <w:webHidden/>
          </w:rPr>
        </w:r>
        <w:r w:rsidR="0052665E">
          <w:rPr>
            <w:noProof/>
            <w:webHidden/>
          </w:rPr>
          <w:fldChar w:fldCharType="separate"/>
        </w:r>
        <w:r w:rsidR="0052665E">
          <w:rPr>
            <w:noProof/>
            <w:webHidden/>
          </w:rPr>
          <w:t>75</w:t>
        </w:r>
        <w:r w:rsidR="0052665E">
          <w:rPr>
            <w:noProof/>
            <w:webHidden/>
          </w:rPr>
          <w:fldChar w:fldCharType="end"/>
        </w:r>
      </w:hyperlink>
    </w:p>
    <w:p w:rsidR="0052665E" w:rsidRDefault="00497984">
      <w:pPr>
        <w:pStyle w:val="Obsah1"/>
        <w:rPr>
          <w:rFonts w:asciiTheme="minorHAnsi" w:eastAsiaTheme="minorEastAsia" w:hAnsiTheme="minorHAnsi" w:cstheme="minorBidi"/>
          <w:noProof/>
          <w:sz w:val="22"/>
          <w:szCs w:val="22"/>
        </w:rPr>
      </w:pPr>
      <w:hyperlink w:anchor="_Toc433873565" w:history="1">
        <w:r w:rsidR="0052665E" w:rsidRPr="00FC1171">
          <w:rPr>
            <w:rStyle w:val="Hypertextovodkaz"/>
            <w:noProof/>
          </w:rPr>
          <w:t>Tabulka č. 27 -</w:t>
        </w:r>
        <w:r w:rsidR="0052665E" w:rsidRPr="00FC1171">
          <w:rPr>
            <w:rStyle w:val="Hypertextovodkaz"/>
            <w:bCs/>
            <w:noProof/>
          </w:rPr>
          <w:t xml:space="preserve"> Kumulativní pokrok na úrovni oblastí intervence 5.2 (v mil. CZK/EUR)</w:t>
        </w:r>
        <w:r w:rsidR="0052665E">
          <w:rPr>
            <w:noProof/>
            <w:webHidden/>
          </w:rPr>
          <w:tab/>
        </w:r>
        <w:r w:rsidR="0052665E">
          <w:rPr>
            <w:noProof/>
            <w:webHidden/>
          </w:rPr>
          <w:fldChar w:fldCharType="begin"/>
        </w:r>
        <w:r w:rsidR="0052665E">
          <w:rPr>
            <w:noProof/>
            <w:webHidden/>
          </w:rPr>
          <w:instrText xml:space="preserve"> PAGEREF _Toc433873565 \h </w:instrText>
        </w:r>
        <w:r w:rsidR="0052665E">
          <w:rPr>
            <w:noProof/>
            <w:webHidden/>
          </w:rPr>
        </w:r>
        <w:r w:rsidR="0052665E">
          <w:rPr>
            <w:noProof/>
            <w:webHidden/>
          </w:rPr>
          <w:fldChar w:fldCharType="separate"/>
        </w:r>
        <w:r w:rsidR="0052665E">
          <w:rPr>
            <w:noProof/>
            <w:webHidden/>
          </w:rPr>
          <w:t>76</w:t>
        </w:r>
        <w:r w:rsidR="0052665E">
          <w:rPr>
            <w:noProof/>
            <w:webHidden/>
          </w:rPr>
          <w:fldChar w:fldCharType="end"/>
        </w:r>
      </w:hyperlink>
    </w:p>
    <w:p w:rsidR="0052665E" w:rsidRDefault="00497984">
      <w:pPr>
        <w:pStyle w:val="Obsah1"/>
        <w:rPr>
          <w:rFonts w:asciiTheme="minorHAnsi" w:eastAsiaTheme="minorEastAsia" w:hAnsiTheme="minorHAnsi" w:cstheme="minorBidi"/>
          <w:noProof/>
          <w:sz w:val="22"/>
          <w:szCs w:val="22"/>
        </w:rPr>
      </w:pPr>
      <w:hyperlink w:anchor="_Toc433873566" w:history="1">
        <w:r w:rsidR="0052665E" w:rsidRPr="00FC1171">
          <w:rPr>
            <w:rStyle w:val="Hypertextovodkaz"/>
            <w:noProof/>
          </w:rPr>
          <w:t>Tabulka č. 28 -</w:t>
        </w:r>
        <w:r w:rsidR="0052665E" w:rsidRPr="00FC1171">
          <w:rPr>
            <w:rStyle w:val="Hypertextovodkaz"/>
            <w:bCs/>
            <w:noProof/>
          </w:rPr>
          <w:t xml:space="preserve"> Kumulativní pokrok na úrovni oblastí intervence 5.3 (v mil. CZK/EUR</w:t>
        </w:r>
        <w:r w:rsidR="0052665E">
          <w:rPr>
            <w:noProof/>
            <w:webHidden/>
          </w:rPr>
          <w:tab/>
        </w:r>
        <w:r w:rsidR="0052665E">
          <w:rPr>
            <w:noProof/>
            <w:webHidden/>
          </w:rPr>
          <w:fldChar w:fldCharType="begin"/>
        </w:r>
        <w:r w:rsidR="0052665E">
          <w:rPr>
            <w:noProof/>
            <w:webHidden/>
          </w:rPr>
          <w:instrText xml:space="preserve"> PAGEREF _Toc433873566 \h </w:instrText>
        </w:r>
        <w:r w:rsidR="0052665E">
          <w:rPr>
            <w:noProof/>
            <w:webHidden/>
          </w:rPr>
        </w:r>
        <w:r w:rsidR="0052665E">
          <w:rPr>
            <w:noProof/>
            <w:webHidden/>
          </w:rPr>
          <w:fldChar w:fldCharType="separate"/>
        </w:r>
        <w:r w:rsidR="0052665E">
          <w:rPr>
            <w:noProof/>
            <w:webHidden/>
          </w:rPr>
          <w:t>76</w:t>
        </w:r>
        <w:r w:rsidR="0052665E">
          <w:rPr>
            <w:noProof/>
            <w:webHidden/>
          </w:rPr>
          <w:fldChar w:fldCharType="end"/>
        </w:r>
      </w:hyperlink>
    </w:p>
    <w:p w:rsidR="0052665E" w:rsidRDefault="00497984">
      <w:pPr>
        <w:pStyle w:val="Obsah1"/>
        <w:rPr>
          <w:rFonts w:asciiTheme="minorHAnsi" w:eastAsiaTheme="minorEastAsia" w:hAnsiTheme="minorHAnsi" w:cstheme="minorBidi"/>
          <w:noProof/>
          <w:sz w:val="22"/>
          <w:szCs w:val="22"/>
        </w:rPr>
      </w:pPr>
      <w:hyperlink w:anchor="_Toc433873567" w:history="1">
        <w:r w:rsidR="0052665E" w:rsidRPr="00FC1171">
          <w:rPr>
            <w:rStyle w:val="Hypertextovodkaz"/>
            <w:noProof/>
          </w:rPr>
          <w:t>Tabulka č. 29 -</w:t>
        </w:r>
        <w:r w:rsidR="0052665E" w:rsidRPr="00FC1171">
          <w:rPr>
            <w:rStyle w:val="Hypertextovodkaz"/>
            <w:bCs/>
            <w:noProof/>
          </w:rPr>
          <w:t xml:space="preserve"> Přehled probíhajících výzev v PO 5</w:t>
        </w:r>
        <w:r w:rsidR="0052665E">
          <w:rPr>
            <w:noProof/>
            <w:webHidden/>
          </w:rPr>
          <w:tab/>
        </w:r>
        <w:r w:rsidR="0052665E">
          <w:rPr>
            <w:noProof/>
            <w:webHidden/>
          </w:rPr>
          <w:fldChar w:fldCharType="begin"/>
        </w:r>
        <w:r w:rsidR="0052665E">
          <w:rPr>
            <w:noProof/>
            <w:webHidden/>
          </w:rPr>
          <w:instrText xml:space="preserve"> PAGEREF _Toc433873567 \h </w:instrText>
        </w:r>
        <w:r w:rsidR="0052665E">
          <w:rPr>
            <w:noProof/>
            <w:webHidden/>
          </w:rPr>
        </w:r>
        <w:r w:rsidR="0052665E">
          <w:rPr>
            <w:noProof/>
            <w:webHidden/>
          </w:rPr>
          <w:fldChar w:fldCharType="separate"/>
        </w:r>
        <w:r w:rsidR="0052665E">
          <w:rPr>
            <w:noProof/>
            <w:webHidden/>
          </w:rPr>
          <w:t>77</w:t>
        </w:r>
        <w:r w:rsidR="0052665E">
          <w:rPr>
            <w:noProof/>
            <w:webHidden/>
          </w:rPr>
          <w:fldChar w:fldCharType="end"/>
        </w:r>
      </w:hyperlink>
    </w:p>
    <w:p w:rsidR="0052665E" w:rsidRDefault="00497984">
      <w:pPr>
        <w:pStyle w:val="Obsah1"/>
        <w:rPr>
          <w:rFonts w:asciiTheme="minorHAnsi" w:eastAsiaTheme="minorEastAsia" w:hAnsiTheme="minorHAnsi" w:cstheme="minorBidi"/>
          <w:noProof/>
          <w:sz w:val="22"/>
          <w:szCs w:val="22"/>
        </w:rPr>
      </w:pPr>
      <w:hyperlink w:anchor="_Toc433873568" w:history="1">
        <w:r w:rsidR="0052665E" w:rsidRPr="00FC1171">
          <w:rPr>
            <w:rStyle w:val="Hypertextovodkaz"/>
            <w:noProof/>
          </w:rPr>
          <w:t>Tabulka č. 30 - Počet výzev realizovaných v IPRM</w:t>
        </w:r>
        <w:r w:rsidR="0052665E">
          <w:rPr>
            <w:noProof/>
            <w:webHidden/>
          </w:rPr>
          <w:tab/>
        </w:r>
        <w:r w:rsidR="0052665E">
          <w:rPr>
            <w:noProof/>
            <w:webHidden/>
          </w:rPr>
          <w:fldChar w:fldCharType="begin"/>
        </w:r>
        <w:r w:rsidR="0052665E">
          <w:rPr>
            <w:noProof/>
            <w:webHidden/>
          </w:rPr>
          <w:instrText xml:space="preserve"> PAGEREF _Toc433873568 \h </w:instrText>
        </w:r>
        <w:r w:rsidR="0052665E">
          <w:rPr>
            <w:noProof/>
            <w:webHidden/>
          </w:rPr>
        </w:r>
        <w:r w:rsidR="0052665E">
          <w:rPr>
            <w:noProof/>
            <w:webHidden/>
          </w:rPr>
          <w:fldChar w:fldCharType="separate"/>
        </w:r>
        <w:r w:rsidR="0052665E">
          <w:rPr>
            <w:noProof/>
            <w:webHidden/>
          </w:rPr>
          <w:t>77</w:t>
        </w:r>
        <w:r w:rsidR="0052665E">
          <w:rPr>
            <w:noProof/>
            <w:webHidden/>
          </w:rPr>
          <w:fldChar w:fldCharType="end"/>
        </w:r>
      </w:hyperlink>
    </w:p>
    <w:p w:rsidR="0052665E" w:rsidRDefault="00497984">
      <w:pPr>
        <w:pStyle w:val="Obsah1"/>
        <w:rPr>
          <w:rFonts w:asciiTheme="minorHAnsi" w:eastAsiaTheme="minorEastAsia" w:hAnsiTheme="minorHAnsi" w:cstheme="minorBidi"/>
          <w:noProof/>
          <w:sz w:val="22"/>
          <w:szCs w:val="22"/>
        </w:rPr>
      </w:pPr>
      <w:hyperlink w:anchor="_Toc433873569" w:history="1">
        <w:r w:rsidR="0052665E" w:rsidRPr="00FC1171">
          <w:rPr>
            <w:rStyle w:val="Hypertextovodkaz"/>
            <w:noProof/>
          </w:rPr>
          <w:t>Tabulka č. 31 - Informace o stavu čerpání alokace IPRM pro oblast intervence 5.2</w:t>
        </w:r>
        <w:r w:rsidR="0052665E">
          <w:rPr>
            <w:noProof/>
            <w:webHidden/>
          </w:rPr>
          <w:tab/>
        </w:r>
        <w:r w:rsidR="0052665E">
          <w:rPr>
            <w:noProof/>
            <w:webHidden/>
          </w:rPr>
          <w:fldChar w:fldCharType="begin"/>
        </w:r>
        <w:r w:rsidR="0052665E">
          <w:rPr>
            <w:noProof/>
            <w:webHidden/>
          </w:rPr>
          <w:instrText xml:space="preserve"> PAGEREF _Toc433873569 \h </w:instrText>
        </w:r>
        <w:r w:rsidR="0052665E">
          <w:rPr>
            <w:noProof/>
            <w:webHidden/>
          </w:rPr>
        </w:r>
        <w:r w:rsidR="0052665E">
          <w:rPr>
            <w:noProof/>
            <w:webHidden/>
          </w:rPr>
          <w:fldChar w:fldCharType="separate"/>
        </w:r>
        <w:r w:rsidR="0052665E">
          <w:rPr>
            <w:noProof/>
            <w:webHidden/>
          </w:rPr>
          <w:t>78</w:t>
        </w:r>
        <w:r w:rsidR="0052665E">
          <w:rPr>
            <w:noProof/>
            <w:webHidden/>
          </w:rPr>
          <w:fldChar w:fldCharType="end"/>
        </w:r>
      </w:hyperlink>
    </w:p>
    <w:p w:rsidR="0052665E" w:rsidRDefault="00497984">
      <w:pPr>
        <w:pStyle w:val="Obsah1"/>
        <w:rPr>
          <w:rFonts w:asciiTheme="minorHAnsi" w:eastAsiaTheme="minorEastAsia" w:hAnsiTheme="minorHAnsi" w:cstheme="minorBidi"/>
          <w:noProof/>
          <w:sz w:val="22"/>
          <w:szCs w:val="22"/>
        </w:rPr>
      </w:pPr>
      <w:hyperlink w:anchor="_Toc433873570" w:history="1">
        <w:r w:rsidR="0052665E" w:rsidRPr="00FC1171">
          <w:rPr>
            <w:rStyle w:val="Hypertextovodkaz"/>
            <w:noProof/>
          </w:rPr>
          <w:t>Tabulka č. 32 - Indikátory výstupu</w:t>
        </w:r>
        <w:r w:rsidR="0052665E">
          <w:rPr>
            <w:noProof/>
            <w:webHidden/>
          </w:rPr>
          <w:tab/>
        </w:r>
        <w:r w:rsidR="0052665E">
          <w:rPr>
            <w:noProof/>
            <w:webHidden/>
          </w:rPr>
          <w:fldChar w:fldCharType="begin"/>
        </w:r>
        <w:r w:rsidR="0052665E">
          <w:rPr>
            <w:noProof/>
            <w:webHidden/>
          </w:rPr>
          <w:instrText xml:space="preserve"> PAGEREF _Toc433873570 \h </w:instrText>
        </w:r>
        <w:r w:rsidR="0052665E">
          <w:rPr>
            <w:noProof/>
            <w:webHidden/>
          </w:rPr>
        </w:r>
        <w:r w:rsidR="0052665E">
          <w:rPr>
            <w:noProof/>
            <w:webHidden/>
          </w:rPr>
          <w:fldChar w:fldCharType="separate"/>
        </w:r>
        <w:r w:rsidR="0052665E">
          <w:rPr>
            <w:noProof/>
            <w:webHidden/>
          </w:rPr>
          <w:t>79</w:t>
        </w:r>
        <w:r w:rsidR="0052665E">
          <w:rPr>
            <w:noProof/>
            <w:webHidden/>
          </w:rPr>
          <w:fldChar w:fldCharType="end"/>
        </w:r>
      </w:hyperlink>
    </w:p>
    <w:p w:rsidR="0052665E" w:rsidRDefault="00497984">
      <w:pPr>
        <w:pStyle w:val="Obsah1"/>
        <w:rPr>
          <w:rFonts w:asciiTheme="minorHAnsi" w:eastAsiaTheme="minorEastAsia" w:hAnsiTheme="minorHAnsi" w:cstheme="minorBidi"/>
          <w:noProof/>
          <w:sz w:val="22"/>
          <w:szCs w:val="22"/>
        </w:rPr>
      </w:pPr>
      <w:hyperlink w:anchor="_Toc433873571" w:history="1">
        <w:r w:rsidR="0052665E" w:rsidRPr="00FC1171">
          <w:rPr>
            <w:rStyle w:val="Hypertextovodkaz"/>
            <w:noProof/>
          </w:rPr>
          <w:t>Tabulka č. 33 - Indikátory výsledku</w:t>
        </w:r>
        <w:r w:rsidR="0052665E">
          <w:rPr>
            <w:noProof/>
            <w:webHidden/>
          </w:rPr>
          <w:tab/>
        </w:r>
        <w:r w:rsidR="0052665E">
          <w:rPr>
            <w:noProof/>
            <w:webHidden/>
          </w:rPr>
          <w:fldChar w:fldCharType="begin"/>
        </w:r>
        <w:r w:rsidR="0052665E">
          <w:rPr>
            <w:noProof/>
            <w:webHidden/>
          </w:rPr>
          <w:instrText xml:space="preserve"> PAGEREF _Toc433873571 \h </w:instrText>
        </w:r>
        <w:r w:rsidR="0052665E">
          <w:rPr>
            <w:noProof/>
            <w:webHidden/>
          </w:rPr>
        </w:r>
        <w:r w:rsidR="0052665E">
          <w:rPr>
            <w:noProof/>
            <w:webHidden/>
          </w:rPr>
          <w:fldChar w:fldCharType="separate"/>
        </w:r>
        <w:r w:rsidR="0052665E">
          <w:rPr>
            <w:noProof/>
            <w:webHidden/>
          </w:rPr>
          <w:t>80</w:t>
        </w:r>
        <w:r w:rsidR="0052665E">
          <w:rPr>
            <w:noProof/>
            <w:webHidden/>
          </w:rPr>
          <w:fldChar w:fldCharType="end"/>
        </w:r>
      </w:hyperlink>
    </w:p>
    <w:p w:rsidR="0052665E" w:rsidRDefault="00497984">
      <w:pPr>
        <w:pStyle w:val="Obsah1"/>
        <w:rPr>
          <w:rFonts w:asciiTheme="minorHAnsi" w:eastAsiaTheme="minorEastAsia" w:hAnsiTheme="minorHAnsi" w:cstheme="minorBidi"/>
          <w:noProof/>
          <w:sz w:val="22"/>
          <w:szCs w:val="22"/>
        </w:rPr>
      </w:pPr>
      <w:hyperlink w:anchor="_Toc433873572" w:history="1">
        <w:r w:rsidR="0052665E" w:rsidRPr="00FC1171">
          <w:rPr>
            <w:rStyle w:val="Hypertextovodkaz"/>
            <w:noProof/>
          </w:rPr>
          <w:t>Tabulka č. 34 -</w:t>
        </w:r>
        <w:r w:rsidR="0052665E" w:rsidRPr="00FC1171">
          <w:rPr>
            <w:rStyle w:val="Hypertextovodkaz"/>
            <w:bCs/>
            <w:noProof/>
          </w:rPr>
          <w:t xml:space="preserve"> Kumulativní pokrok na úrovni oblastí intervence 6.1a a 6.1b (v mil. CZK/EUR)</w:t>
        </w:r>
        <w:r w:rsidR="0052665E">
          <w:rPr>
            <w:noProof/>
            <w:webHidden/>
          </w:rPr>
          <w:tab/>
        </w:r>
        <w:r w:rsidR="0052665E">
          <w:rPr>
            <w:noProof/>
            <w:webHidden/>
          </w:rPr>
          <w:fldChar w:fldCharType="begin"/>
        </w:r>
        <w:r w:rsidR="0052665E">
          <w:rPr>
            <w:noProof/>
            <w:webHidden/>
          </w:rPr>
          <w:instrText xml:space="preserve"> PAGEREF _Toc433873572 \h </w:instrText>
        </w:r>
        <w:r w:rsidR="0052665E">
          <w:rPr>
            <w:noProof/>
            <w:webHidden/>
          </w:rPr>
        </w:r>
        <w:r w:rsidR="0052665E">
          <w:rPr>
            <w:noProof/>
            <w:webHidden/>
          </w:rPr>
          <w:fldChar w:fldCharType="separate"/>
        </w:r>
        <w:r w:rsidR="0052665E">
          <w:rPr>
            <w:noProof/>
            <w:webHidden/>
          </w:rPr>
          <w:t>87</w:t>
        </w:r>
        <w:r w:rsidR="0052665E">
          <w:rPr>
            <w:noProof/>
            <w:webHidden/>
          </w:rPr>
          <w:fldChar w:fldCharType="end"/>
        </w:r>
      </w:hyperlink>
    </w:p>
    <w:p w:rsidR="0052665E" w:rsidRDefault="00497984">
      <w:pPr>
        <w:pStyle w:val="Obsah1"/>
        <w:rPr>
          <w:rFonts w:asciiTheme="minorHAnsi" w:eastAsiaTheme="minorEastAsia" w:hAnsiTheme="minorHAnsi" w:cstheme="minorBidi"/>
          <w:noProof/>
          <w:sz w:val="22"/>
          <w:szCs w:val="22"/>
        </w:rPr>
      </w:pPr>
      <w:hyperlink w:anchor="_Toc433873573" w:history="1">
        <w:r w:rsidR="0052665E" w:rsidRPr="00FC1171">
          <w:rPr>
            <w:rStyle w:val="Hypertextovodkaz"/>
            <w:noProof/>
          </w:rPr>
          <w:t>Tabulka č. 35 -</w:t>
        </w:r>
        <w:r w:rsidR="0052665E" w:rsidRPr="00FC1171">
          <w:rPr>
            <w:rStyle w:val="Hypertextovodkaz"/>
            <w:bCs/>
            <w:noProof/>
          </w:rPr>
          <w:t xml:space="preserve"> Kumulativní pokrok na úrovni oblastí intervence 6.2a a 6.2b (v mil. CZK/EUR)</w:t>
        </w:r>
        <w:r w:rsidR="0052665E">
          <w:rPr>
            <w:noProof/>
            <w:webHidden/>
          </w:rPr>
          <w:tab/>
        </w:r>
        <w:r w:rsidR="0052665E">
          <w:rPr>
            <w:noProof/>
            <w:webHidden/>
          </w:rPr>
          <w:fldChar w:fldCharType="begin"/>
        </w:r>
        <w:r w:rsidR="0052665E">
          <w:rPr>
            <w:noProof/>
            <w:webHidden/>
          </w:rPr>
          <w:instrText xml:space="preserve"> PAGEREF _Toc433873573 \h </w:instrText>
        </w:r>
        <w:r w:rsidR="0052665E">
          <w:rPr>
            <w:noProof/>
            <w:webHidden/>
          </w:rPr>
        </w:r>
        <w:r w:rsidR="0052665E">
          <w:rPr>
            <w:noProof/>
            <w:webHidden/>
          </w:rPr>
          <w:fldChar w:fldCharType="separate"/>
        </w:r>
        <w:r w:rsidR="0052665E">
          <w:rPr>
            <w:noProof/>
            <w:webHidden/>
          </w:rPr>
          <w:t>88</w:t>
        </w:r>
        <w:r w:rsidR="0052665E">
          <w:rPr>
            <w:noProof/>
            <w:webHidden/>
          </w:rPr>
          <w:fldChar w:fldCharType="end"/>
        </w:r>
      </w:hyperlink>
    </w:p>
    <w:p w:rsidR="0052665E" w:rsidRDefault="00497984">
      <w:pPr>
        <w:pStyle w:val="Obsah1"/>
        <w:rPr>
          <w:rFonts w:asciiTheme="minorHAnsi" w:eastAsiaTheme="minorEastAsia" w:hAnsiTheme="minorHAnsi" w:cstheme="minorBidi"/>
          <w:noProof/>
          <w:sz w:val="22"/>
          <w:szCs w:val="22"/>
        </w:rPr>
      </w:pPr>
      <w:hyperlink w:anchor="_Toc433873574" w:history="1">
        <w:r w:rsidR="0052665E" w:rsidRPr="00FC1171">
          <w:rPr>
            <w:rStyle w:val="Hypertextovodkaz"/>
            <w:noProof/>
          </w:rPr>
          <w:t>Tabulka č. 36 -</w:t>
        </w:r>
        <w:r w:rsidR="0052665E" w:rsidRPr="00FC1171">
          <w:rPr>
            <w:rStyle w:val="Hypertextovodkaz"/>
            <w:bCs/>
            <w:noProof/>
          </w:rPr>
          <w:t xml:space="preserve"> Přehled probíhajících výzev v PO 6</w:t>
        </w:r>
        <w:r w:rsidR="0052665E">
          <w:rPr>
            <w:noProof/>
            <w:webHidden/>
          </w:rPr>
          <w:tab/>
        </w:r>
        <w:r w:rsidR="0052665E">
          <w:rPr>
            <w:noProof/>
            <w:webHidden/>
          </w:rPr>
          <w:fldChar w:fldCharType="begin"/>
        </w:r>
        <w:r w:rsidR="0052665E">
          <w:rPr>
            <w:noProof/>
            <w:webHidden/>
          </w:rPr>
          <w:instrText xml:space="preserve"> PAGEREF _Toc433873574 \h </w:instrText>
        </w:r>
        <w:r w:rsidR="0052665E">
          <w:rPr>
            <w:noProof/>
            <w:webHidden/>
          </w:rPr>
        </w:r>
        <w:r w:rsidR="0052665E">
          <w:rPr>
            <w:noProof/>
            <w:webHidden/>
          </w:rPr>
          <w:fldChar w:fldCharType="separate"/>
        </w:r>
        <w:r w:rsidR="0052665E">
          <w:rPr>
            <w:noProof/>
            <w:webHidden/>
          </w:rPr>
          <w:t>89</w:t>
        </w:r>
        <w:r w:rsidR="0052665E">
          <w:rPr>
            <w:noProof/>
            <w:webHidden/>
          </w:rPr>
          <w:fldChar w:fldCharType="end"/>
        </w:r>
      </w:hyperlink>
    </w:p>
    <w:p w:rsidR="0052665E" w:rsidRDefault="00497984">
      <w:pPr>
        <w:pStyle w:val="Obsah1"/>
        <w:rPr>
          <w:rFonts w:asciiTheme="minorHAnsi" w:eastAsiaTheme="minorEastAsia" w:hAnsiTheme="minorHAnsi" w:cstheme="minorBidi"/>
          <w:noProof/>
          <w:sz w:val="22"/>
          <w:szCs w:val="22"/>
        </w:rPr>
      </w:pPr>
      <w:hyperlink w:anchor="_Toc433873575" w:history="1">
        <w:r w:rsidR="0052665E" w:rsidRPr="00FC1171">
          <w:rPr>
            <w:rStyle w:val="Hypertextovodkaz"/>
            <w:noProof/>
          </w:rPr>
          <w:t>Tabulka č. 37 -</w:t>
        </w:r>
        <w:r w:rsidR="0052665E" w:rsidRPr="00FC1171">
          <w:rPr>
            <w:rStyle w:val="Hypertextovodkaz"/>
            <w:bCs/>
            <w:noProof/>
          </w:rPr>
          <w:t xml:space="preserve"> Indikátory výstupu</w:t>
        </w:r>
        <w:r w:rsidR="0052665E">
          <w:rPr>
            <w:noProof/>
            <w:webHidden/>
          </w:rPr>
          <w:tab/>
        </w:r>
        <w:r w:rsidR="0052665E">
          <w:rPr>
            <w:noProof/>
            <w:webHidden/>
          </w:rPr>
          <w:fldChar w:fldCharType="begin"/>
        </w:r>
        <w:r w:rsidR="0052665E">
          <w:rPr>
            <w:noProof/>
            <w:webHidden/>
          </w:rPr>
          <w:instrText xml:space="preserve"> PAGEREF _Toc433873575 \h </w:instrText>
        </w:r>
        <w:r w:rsidR="0052665E">
          <w:rPr>
            <w:noProof/>
            <w:webHidden/>
          </w:rPr>
        </w:r>
        <w:r w:rsidR="0052665E">
          <w:rPr>
            <w:noProof/>
            <w:webHidden/>
          </w:rPr>
          <w:fldChar w:fldCharType="separate"/>
        </w:r>
        <w:r w:rsidR="0052665E">
          <w:rPr>
            <w:noProof/>
            <w:webHidden/>
          </w:rPr>
          <w:t>89</w:t>
        </w:r>
        <w:r w:rsidR="0052665E">
          <w:rPr>
            <w:noProof/>
            <w:webHidden/>
          </w:rPr>
          <w:fldChar w:fldCharType="end"/>
        </w:r>
      </w:hyperlink>
    </w:p>
    <w:p w:rsidR="0052665E" w:rsidRDefault="00497984">
      <w:pPr>
        <w:pStyle w:val="Obsah1"/>
        <w:rPr>
          <w:rFonts w:asciiTheme="minorHAnsi" w:eastAsiaTheme="minorEastAsia" w:hAnsiTheme="minorHAnsi" w:cstheme="minorBidi"/>
          <w:noProof/>
          <w:sz w:val="22"/>
          <w:szCs w:val="22"/>
        </w:rPr>
      </w:pPr>
      <w:hyperlink w:anchor="_Toc433873576" w:history="1">
        <w:r w:rsidR="0052665E" w:rsidRPr="00FC1171">
          <w:rPr>
            <w:rStyle w:val="Hypertextovodkaz"/>
            <w:noProof/>
          </w:rPr>
          <w:t>Tabulka č. 38 -</w:t>
        </w:r>
        <w:r w:rsidR="0052665E" w:rsidRPr="00FC1171">
          <w:rPr>
            <w:rStyle w:val="Hypertextovodkaz"/>
            <w:bCs/>
            <w:noProof/>
          </w:rPr>
          <w:t xml:space="preserve"> Indikátory výsledku</w:t>
        </w:r>
        <w:r w:rsidR="0052665E">
          <w:rPr>
            <w:noProof/>
            <w:webHidden/>
          </w:rPr>
          <w:tab/>
        </w:r>
        <w:r w:rsidR="0052665E">
          <w:rPr>
            <w:noProof/>
            <w:webHidden/>
          </w:rPr>
          <w:fldChar w:fldCharType="begin"/>
        </w:r>
        <w:r w:rsidR="0052665E">
          <w:rPr>
            <w:noProof/>
            <w:webHidden/>
          </w:rPr>
          <w:instrText xml:space="preserve"> PAGEREF _Toc433873576 \h </w:instrText>
        </w:r>
        <w:r w:rsidR="0052665E">
          <w:rPr>
            <w:noProof/>
            <w:webHidden/>
          </w:rPr>
        </w:r>
        <w:r w:rsidR="0052665E">
          <w:rPr>
            <w:noProof/>
            <w:webHidden/>
          </w:rPr>
          <w:fldChar w:fldCharType="separate"/>
        </w:r>
        <w:r w:rsidR="0052665E">
          <w:rPr>
            <w:noProof/>
            <w:webHidden/>
          </w:rPr>
          <w:t>90</w:t>
        </w:r>
        <w:r w:rsidR="0052665E">
          <w:rPr>
            <w:noProof/>
            <w:webHidden/>
          </w:rPr>
          <w:fldChar w:fldCharType="end"/>
        </w:r>
      </w:hyperlink>
    </w:p>
    <w:p w:rsidR="0052665E" w:rsidRDefault="00497984">
      <w:pPr>
        <w:pStyle w:val="Obsah1"/>
        <w:rPr>
          <w:rFonts w:asciiTheme="minorHAnsi" w:eastAsiaTheme="minorEastAsia" w:hAnsiTheme="minorHAnsi" w:cstheme="minorBidi"/>
          <w:noProof/>
          <w:sz w:val="22"/>
          <w:szCs w:val="22"/>
        </w:rPr>
      </w:pPr>
      <w:hyperlink w:anchor="_Toc433873577" w:history="1">
        <w:r w:rsidR="0052665E" w:rsidRPr="00FC1171">
          <w:rPr>
            <w:rStyle w:val="Hypertextovodkaz"/>
            <w:noProof/>
          </w:rPr>
          <w:t>Tabulka č. 39 -</w:t>
        </w:r>
        <w:r w:rsidR="0052665E" w:rsidRPr="00FC1171">
          <w:rPr>
            <w:rStyle w:val="Hypertextovodkaz"/>
            <w:bCs/>
            <w:noProof/>
          </w:rPr>
          <w:t xml:space="preserve"> Přehled realizovaného vzdělávání</w:t>
        </w:r>
        <w:r w:rsidR="0052665E">
          <w:rPr>
            <w:noProof/>
            <w:webHidden/>
          </w:rPr>
          <w:tab/>
        </w:r>
        <w:r w:rsidR="0052665E">
          <w:rPr>
            <w:noProof/>
            <w:webHidden/>
          </w:rPr>
          <w:fldChar w:fldCharType="begin"/>
        </w:r>
        <w:r w:rsidR="0052665E">
          <w:rPr>
            <w:noProof/>
            <w:webHidden/>
          </w:rPr>
          <w:instrText xml:space="preserve"> PAGEREF _Toc433873577 \h </w:instrText>
        </w:r>
        <w:r w:rsidR="0052665E">
          <w:rPr>
            <w:noProof/>
            <w:webHidden/>
          </w:rPr>
        </w:r>
        <w:r w:rsidR="0052665E">
          <w:rPr>
            <w:noProof/>
            <w:webHidden/>
          </w:rPr>
          <w:fldChar w:fldCharType="separate"/>
        </w:r>
        <w:r w:rsidR="0052665E">
          <w:rPr>
            <w:noProof/>
            <w:webHidden/>
          </w:rPr>
          <w:t>101</w:t>
        </w:r>
        <w:r w:rsidR="0052665E">
          <w:rPr>
            <w:noProof/>
            <w:webHidden/>
          </w:rPr>
          <w:fldChar w:fldCharType="end"/>
        </w:r>
      </w:hyperlink>
    </w:p>
    <w:p w:rsidR="0052665E" w:rsidRDefault="00497984">
      <w:pPr>
        <w:pStyle w:val="Obsah1"/>
        <w:rPr>
          <w:rFonts w:asciiTheme="minorHAnsi" w:eastAsiaTheme="minorEastAsia" w:hAnsiTheme="minorHAnsi" w:cstheme="minorBidi"/>
          <w:noProof/>
          <w:sz w:val="22"/>
          <w:szCs w:val="22"/>
        </w:rPr>
      </w:pPr>
      <w:hyperlink w:anchor="_Toc433873578" w:history="1">
        <w:r w:rsidR="0052665E" w:rsidRPr="00FC1171">
          <w:rPr>
            <w:rStyle w:val="Hypertextovodkaz"/>
            <w:noProof/>
          </w:rPr>
          <w:t>Tabulka č. 40 -</w:t>
        </w:r>
        <w:r w:rsidR="0052665E" w:rsidRPr="00FC1171">
          <w:rPr>
            <w:rStyle w:val="Hypertextovodkaz"/>
            <w:bCs/>
            <w:noProof/>
          </w:rPr>
          <w:t xml:space="preserve"> Stav administrativní kapacity implementační struktury IOP</w:t>
        </w:r>
        <w:r w:rsidR="0052665E">
          <w:rPr>
            <w:noProof/>
            <w:webHidden/>
          </w:rPr>
          <w:tab/>
        </w:r>
        <w:r w:rsidR="0052665E">
          <w:rPr>
            <w:noProof/>
            <w:webHidden/>
          </w:rPr>
          <w:fldChar w:fldCharType="begin"/>
        </w:r>
        <w:r w:rsidR="0052665E">
          <w:rPr>
            <w:noProof/>
            <w:webHidden/>
          </w:rPr>
          <w:instrText xml:space="preserve"> PAGEREF _Toc433873578 \h </w:instrText>
        </w:r>
        <w:r w:rsidR="0052665E">
          <w:rPr>
            <w:noProof/>
            <w:webHidden/>
          </w:rPr>
        </w:r>
        <w:r w:rsidR="0052665E">
          <w:rPr>
            <w:noProof/>
            <w:webHidden/>
          </w:rPr>
          <w:fldChar w:fldCharType="separate"/>
        </w:r>
        <w:r w:rsidR="0052665E">
          <w:rPr>
            <w:noProof/>
            <w:webHidden/>
          </w:rPr>
          <w:t>102</w:t>
        </w:r>
        <w:r w:rsidR="0052665E">
          <w:rPr>
            <w:noProof/>
            <w:webHidden/>
          </w:rPr>
          <w:fldChar w:fldCharType="end"/>
        </w:r>
      </w:hyperlink>
    </w:p>
    <w:p w:rsidR="0052665E" w:rsidRDefault="00497984">
      <w:pPr>
        <w:pStyle w:val="Obsah1"/>
        <w:rPr>
          <w:rFonts w:asciiTheme="minorHAnsi" w:eastAsiaTheme="minorEastAsia" w:hAnsiTheme="minorHAnsi" w:cstheme="minorBidi"/>
          <w:noProof/>
          <w:sz w:val="22"/>
          <w:szCs w:val="22"/>
        </w:rPr>
      </w:pPr>
      <w:hyperlink w:anchor="_Toc433873579" w:history="1">
        <w:r w:rsidR="0052665E" w:rsidRPr="00FC1171">
          <w:rPr>
            <w:rStyle w:val="Hypertextovodkaz"/>
            <w:noProof/>
          </w:rPr>
          <w:t>Tabulka č. 41 -</w:t>
        </w:r>
        <w:r w:rsidR="0052665E" w:rsidRPr="00FC1171">
          <w:rPr>
            <w:rStyle w:val="Hypertextovodkaz"/>
            <w:bCs/>
            <w:noProof/>
          </w:rPr>
          <w:t xml:space="preserve"> Sledování stavu administrativní kapacity v programovém období 2007 – 2013</w:t>
        </w:r>
        <w:r w:rsidR="0052665E">
          <w:rPr>
            <w:noProof/>
            <w:webHidden/>
          </w:rPr>
          <w:tab/>
        </w:r>
        <w:r w:rsidR="0052665E">
          <w:rPr>
            <w:noProof/>
            <w:webHidden/>
          </w:rPr>
          <w:fldChar w:fldCharType="begin"/>
        </w:r>
        <w:r w:rsidR="0052665E">
          <w:rPr>
            <w:noProof/>
            <w:webHidden/>
          </w:rPr>
          <w:instrText xml:space="preserve"> PAGEREF _Toc433873579 \h </w:instrText>
        </w:r>
        <w:r w:rsidR="0052665E">
          <w:rPr>
            <w:noProof/>
            <w:webHidden/>
          </w:rPr>
        </w:r>
        <w:r w:rsidR="0052665E">
          <w:rPr>
            <w:noProof/>
            <w:webHidden/>
          </w:rPr>
          <w:fldChar w:fldCharType="separate"/>
        </w:r>
        <w:r w:rsidR="0052665E">
          <w:rPr>
            <w:noProof/>
            <w:webHidden/>
          </w:rPr>
          <w:t>104</w:t>
        </w:r>
        <w:r w:rsidR="0052665E">
          <w:rPr>
            <w:noProof/>
            <w:webHidden/>
          </w:rPr>
          <w:fldChar w:fldCharType="end"/>
        </w:r>
      </w:hyperlink>
    </w:p>
    <w:p w:rsidR="0052665E" w:rsidRDefault="00497984">
      <w:pPr>
        <w:pStyle w:val="Obsah1"/>
        <w:rPr>
          <w:rFonts w:asciiTheme="minorHAnsi" w:eastAsiaTheme="minorEastAsia" w:hAnsiTheme="minorHAnsi" w:cstheme="minorBidi"/>
          <w:noProof/>
          <w:sz w:val="22"/>
          <w:szCs w:val="22"/>
        </w:rPr>
      </w:pPr>
      <w:hyperlink w:anchor="_Toc433873580" w:history="1">
        <w:r w:rsidR="0052665E" w:rsidRPr="00FC1171">
          <w:rPr>
            <w:rStyle w:val="Hypertextovodkaz"/>
            <w:noProof/>
          </w:rPr>
          <w:t>Tabulka č. 42 -</w:t>
        </w:r>
        <w:r w:rsidR="0052665E" w:rsidRPr="00FC1171">
          <w:rPr>
            <w:rStyle w:val="Hypertextovodkaz"/>
            <w:bCs/>
            <w:noProof/>
          </w:rPr>
          <w:t xml:space="preserve"> Návrh administrativních kapacit ZS IOP pro období prosinec 2015 - červen 2016</w:t>
        </w:r>
        <w:r w:rsidR="0052665E">
          <w:rPr>
            <w:noProof/>
            <w:webHidden/>
          </w:rPr>
          <w:tab/>
        </w:r>
        <w:r w:rsidR="0052665E">
          <w:rPr>
            <w:noProof/>
            <w:webHidden/>
          </w:rPr>
          <w:fldChar w:fldCharType="begin"/>
        </w:r>
        <w:r w:rsidR="0052665E">
          <w:rPr>
            <w:noProof/>
            <w:webHidden/>
          </w:rPr>
          <w:instrText xml:space="preserve"> PAGEREF _Toc433873580 \h </w:instrText>
        </w:r>
        <w:r w:rsidR="0052665E">
          <w:rPr>
            <w:noProof/>
            <w:webHidden/>
          </w:rPr>
        </w:r>
        <w:r w:rsidR="0052665E">
          <w:rPr>
            <w:noProof/>
            <w:webHidden/>
          </w:rPr>
          <w:fldChar w:fldCharType="separate"/>
        </w:r>
        <w:r w:rsidR="0052665E">
          <w:rPr>
            <w:noProof/>
            <w:webHidden/>
          </w:rPr>
          <w:t>104</w:t>
        </w:r>
        <w:r w:rsidR="0052665E">
          <w:rPr>
            <w:noProof/>
            <w:webHidden/>
          </w:rPr>
          <w:fldChar w:fldCharType="end"/>
        </w:r>
      </w:hyperlink>
    </w:p>
    <w:p w:rsidR="0052665E" w:rsidRDefault="00497984">
      <w:pPr>
        <w:pStyle w:val="Obsah1"/>
        <w:rPr>
          <w:rFonts w:asciiTheme="minorHAnsi" w:eastAsiaTheme="minorEastAsia" w:hAnsiTheme="minorHAnsi" w:cstheme="minorBidi"/>
          <w:noProof/>
          <w:sz w:val="22"/>
          <w:szCs w:val="22"/>
        </w:rPr>
      </w:pPr>
      <w:hyperlink w:anchor="_Toc433873581" w:history="1">
        <w:r w:rsidR="0052665E" w:rsidRPr="00FC1171">
          <w:rPr>
            <w:rStyle w:val="Hypertextovodkaz"/>
            <w:noProof/>
          </w:rPr>
          <w:t>Tabulka č. 43 -</w:t>
        </w:r>
        <w:r w:rsidR="0052665E" w:rsidRPr="00FC1171">
          <w:rPr>
            <w:rStyle w:val="Hypertextovodkaz"/>
            <w:bCs/>
            <w:noProof/>
          </w:rPr>
          <w:t xml:space="preserve"> Sledování stavu fluktuace podle jednotlivých typových pozic a subjektů implementace</w:t>
        </w:r>
        <w:r w:rsidR="0052665E">
          <w:rPr>
            <w:noProof/>
            <w:webHidden/>
          </w:rPr>
          <w:tab/>
        </w:r>
        <w:r w:rsidR="0052665E">
          <w:rPr>
            <w:noProof/>
            <w:webHidden/>
          </w:rPr>
          <w:fldChar w:fldCharType="begin"/>
        </w:r>
        <w:r w:rsidR="0052665E">
          <w:rPr>
            <w:noProof/>
            <w:webHidden/>
          </w:rPr>
          <w:instrText xml:space="preserve"> PAGEREF _Toc433873581 \h </w:instrText>
        </w:r>
        <w:r w:rsidR="0052665E">
          <w:rPr>
            <w:noProof/>
            <w:webHidden/>
          </w:rPr>
        </w:r>
        <w:r w:rsidR="0052665E">
          <w:rPr>
            <w:noProof/>
            <w:webHidden/>
          </w:rPr>
          <w:fldChar w:fldCharType="separate"/>
        </w:r>
        <w:r w:rsidR="0052665E">
          <w:rPr>
            <w:noProof/>
            <w:webHidden/>
          </w:rPr>
          <w:t>105</w:t>
        </w:r>
        <w:r w:rsidR="0052665E">
          <w:rPr>
            <w:noProof/>
            <w:webHidden/>
          </w:rPr>
          <w:fldChar w:fldCharType="end"/>
        </w:r>
      </w:hyperlink>
    </w:p>
    <w:p w:rsidR="004A4369" w:rsidRDefault="00E52A88" w:rsidP="00B834E1">
      <w:pPr>
        <w:rPr>
          <w:sz w:val="22"/>
          <w:szCs w:val="22"/>
        </w:rPr>
      </w:pPr>
      <w:r>
        <w:rPr>
          <w:sz w:val="22"/>
          <w:szCs w:val="22"/>
        </w:rPr>
        <w:fldChar w:fldCharType="end"/>
      </w:r>
    </w:p>
    <w:p w:rsidR="004A56BD" w:rsidRDefault="004A56BD" w:rsidP="00B834E1">
      <w:pPr>
        <w:rPr>
          <w:sz w:val="22"/>
          <w:szCs w:val="22"/>
        </w:rPr>
      </w:pPr>
    </w:p>
    <w:p w:rsidR="004A56BD" w:rsidRDefault="004A56BD" w:rsidP="00B834E1">
      <w:pPr>
        <w:rPr>
          <w:sz w:val="22"/>
          <w:szCs w:val="22"/>
        </w:rPr>
      </w:pPr>
    </w:p>
    <w:p w:rsidR="004A56BD" w:rsidRDefault="004A56BD" w:rsidP="00B834E1">
      <w:pPr>
        <w:rPr>
          <w:sz w:val="22"/>
          <w:szCs w:val="22"/>
        </w:rPr>
      </w:pPr>
    </w:p>
    <w:p w:rsidR="004A56BD" w:rsidRDefault="004A56BD" w:rsidP="00B834E1">
      <w:pPr>
        <w:rPr>
          <w:sz w:val="22"/>
          <w:szCs w:val="22"/>
        </w:rPr>
      </w:pPr>
    </w:p>
    <w:p w:rsidR="004A56BD" w:rsidRDefault="004A56BD" w:rsidP="00B834E1">
      <w:pPr>
        <w:rPr>
          <w:sz w:val="22"/>
          <w:szCs w:val="22"/>
        </w:rPr>
      </w:pPr>
    </w:p>
    <w:p w:rsidR="004A56BD" w:rsidRDefault="004A56BD" w:rsidP="00B834E1">
      <w:pPr>
        <w:rPr>
          <w:sz w:val="22"/>
          <w:szCs w:val="22"/>
        </w:rPr>
      </w:pPr>
    </w:p>
    <w:p w:rsidR="004A56BD" w:rsidRDefault="004A56BD" w:rsidP="00B834E1">
      <w:pPr>
        <w:rPr>
          <w:sz w:val="22"/>
          <w:szCs w:val="22"/>
        </w:rPr>
      </w:pPr>
    </w:p>
    <w:p w:rsidR="004A56BD" w:rsidRDefault="004A56BD" w:rsidP="00B834E1">
      <w:pPr>
        <w:rPr>
          <w:sz w:val="22"/>
          <w:szCs w:val="22"/>
        </w:rPr>
      </w:pPr>
    </w:p>
    <w:p w:rsidR="004A56BD" w:rsidRDefault="004A56BD" w:rsidP="00B834E1">
      <w:pPr>
        <w:rPr>
          <w:sz w:val="22"/>
          <w:szCs w:val="22"/>
        </w:rPr>
      </w:pPr>
    </w:p>
    <w:p w:rsidR="004A56BD" w:rsidRDefault="004A56BD" w:rsidP="00B834E1">
      <w:pPr>
        <w:rPr>
          <w:sz w:val="22"/>
          <w:szCs w:val="22"/>
        </w:rPr>
      </w:pPr>
    </w:p>
    <w:p w:rsidR="004A56BD" w:rsidRDefault="004A56BD" w:rsidP="00B834E1">
      <w:pPr>
        <w:rPr>
          <w:sz w:val="22"/>
          <w:szCs w:val="22"/>
        </w:rPr>
      </w:pPr>
    </w:p>
    <w:p w:rsidR="004A56BD" w:rsidRDefault="004A56BD" w:rsidP="00B834E1">
      <w:pPr>
        <w:rPr>
          <w:sz w:val="22"/>
          <w:szCs w:val="22"/>
        </w:rPr>
      </w:pPr>
    </w:p>
    <w:p w:rsidR="004A56BD" w:rsidRDefault="004A56BD" w:rsidP="00B834E1">
      <w:pPr>
        <w:rPr>
          <w:b/>
          <w:color w:val="1F497D"/>
          <w:sz w:val="28"/>
          <w:szCs w:val="28"/>
        </w:rPr>
      </w:pPr>
    </w:p>
    <w:p w:rsidR="00B834E1" w:rsidRPr="0047481D" w:rsidRDefault="006C6C11" w:rsidP="00B834E1">
      <w:pPr>
        <w:rPr>
          <w:sz w:val="22"/>
          <w:szCs w:val="22"/>
        </w:rPr>
      </w:pPr>
      <w:r>
        <w:rPr>
          <w:b/>
          <w:color w:val="1F497D"/>
          <w:sz w:val="28"/>
          <w:szCs w:val="28"/>
        </w:rPr>
        <w:lastRenderedPageBreak/>
        <w:t>Seznam</w:t>
      </w:r>
      <w:r w:rsidR="00B834E1">
        <w:rPr>
          <w:b/>
          <w:color w:val="1F497D"/>
          <w:sz w:val="28"/>
          <w:szCs w:val="28"/>
        </w:rPr>
        <w:t xml:space="preserve"> grafů:</w:t>
      </w:r>
    </w:p>
    <w:p w:rsidR="0052665E" w:rsidRDefault="00E52A88">
      <w:pPr>
        <w:pStyle w:val="Obsah1"/>
        <w:rPr>
          <w:rFonts w:asciiTheme="minorHAnsi" w:eastAsiaTheme="minorEastAsia" w:hAnsiTheme="minorHAnsi" w:cstheme="minorBidi"/>
          <w:noProof/>
          <w:sz w:val="22"/>
          <w:szCs w:val="22"/>
        </w:rPr>
      </w:pPr>
      <w:r>
        <w:rPr>
          <w:sz w:val="22"/>
          <w:szCs w:val="22"/>
        </w:rPr>
        <w:fldChar w:fldCharType="begin"/>
      </w:r>
      <w:r w:rsidR="00FA4E89">
        <w:rPr>
          <w:sz w:val="22"/>
          <w:szCs w:val="22"/>
        </w:rPr>
        <w:instrText xml:space="preserve"> TOC \h \z \t "Graf;1" </w:instrText>
      </w:r>
      <w:r>
        <w:rPr>
          <w:sz w:val="22"/>
          <w:szCs w:val="22"/>
        </w:rPr>
        <w:fldChar w:fldCharType="separate"/>
      </w:r>
      <w:hyperlink w:anchor="_Toc433873582" w:history="1">
        <w:r w:rsidR="0052665E" w:rsidRPr="00752D52">
          <w:rPr>
            <w:rStyle w:val="Hypertextovodkaz"/>
            <w:noProof/>
          </w:rPr>
          <w:t>Graf č. 1 - Pokrok čerpání IOP k 30. 9. 2015</w:t>
        </w:r>
        <w:r w:rsidR="0052665E">
          <w:rPr>
            <w:noProof/>
            <w:webHidden/>
          </w:rPr>
          <w:tab/>
        </w:r>
        <w:r w:rsidR="0052665E">
          <w:rPr>
            <w:noProof/>
            <w:webHidden/>
          </w:rPr>
          <w:fldChar w:fldCharType="begin"/>
        </w:r>
        <w:r w:rsidR="0052665E">
          <w:rPr>
            <w:noProof/>
            <w:webHidden/>
          </w:rPr>
          <w:instrText xml:space="preserve"> PAGEREF _Toc433873582 \h </w:instrText>
        </w:r>
        <w:r w:rsidR="0052665E">
          <w:rPr>
            <w:noProof/>
            <w:webHidden/>
          </w:rPr>
        </w:r>
        <w:r w:rsidR="0052665E">
          <w:rPr>
            <w:noProof/>
            <w:webHidden/>
          </w:rPr>
          <w:fldChar w:fldCharType="separate"/>
        </w:r>
        <w:r w:rsidR="0052665E">
          <w:rPr>
            <w:noProof/>
            <w:webHidden/>
          </w:rPr>
          <w:t>15</w:t>
        </w:r>
        <w:r w:rsidR="0052665E">
          <w:rPr>
            <w:noProof/>
            <w:webHidden/>
          </w:rPr>
          <w:fldChar w:fldCharType="end"/>
        </w:r>
      </w:hyperlink>
    </w:p>
    <w:p w:rsidR="0052665E" w:rsidRDefault="00497984">
      <w:pPr>
        <w:pStyle w:val="Obsah1"/>
        <w:rPr>
          <w:rFonts w:asciiTheme="minorHAnsi" w:eastAsiaTheme="minorEastAsia" w:hAnsiTheme="minorHAnsi" w:cstheme="minorBidi"/>
          <w:noProof/>
          <w:sz w:val="22"/>
          <w:szCs w:val="22"/>
        </w:rPr>
      </w:pPr>
      <w:hyperlink w:anchor="_Toc433873583" w:history="1">
        <w:r w:rsidR="0052665E" w:rsidRPr="00752D52">
          <w:rPr>
            <w:rStyle w:val="Hypertextovodkaz"/>
            <w:noProof/>
          </w:rPr>
          <w:t>Graf č. 2 - Plnění plánu objemu předložených ŽoP</w:t>
        </w:r>
        <w:r w:rsidR="0052665E">
          <w:rPr>
            <w:noProof/>
            <w:webHidden/>
          </w:rPr>
          <w:tab/>
        </w:r>
        <w:r w:rsidR="0052665E">
          <w:rPr>
            <w:noProof/>
            <w:webHidden/>
          </w:rPr>
          <w:fldChar w:fldCharType="begin"/>
        </w:r>
        <w:r w:rsidR="0052665E">
          <w:rPr>
            <w:noProof/>
            <w:webHidden/>
          </w:rPr>
          <w:instrText xml:space="preserve"> PAGEREF _Toc433873583 \h </w:instrText>
        </w:r>
        <w:r w:rsidR="0052665E">
          <w:rPr>
            <w:noProof/>
            <w:webHidden/>
          </w:rPr>
        </w:r>
        <w:r w:rsidR="0052665E">
          <w:rPr>
            <w:noProof/>
            <w:webHidden/>
          </w:rPr>
          <w:fldChar w:fldCharType="separate"/>
        </w:r>
        <w:r w:rsidR="0052665E">
          <w:rPr>
            <w:noProof/>
            <w:webHidden/>
          </w:rPr>
          <w:t>29</w:t>
        </w:r>
        <w:r w:rsidR="0052665E">
          <w:rPr>
            <w:noProof/>
            <w:webHidden/>
          </w:rPr>
          <w:fldChar w:fldCharType="end"/>
        </w:r>
      </w:hyperlink>
    </w:p>
    <w:p w:rsidR="0052665E" w:rsidRDefault="00497984">
      <w:pPr>
        <w:pStyle w:val="Obsah1"/>
        <w:rPr>
          <w:rFonts w:asciiTheme="minorHAnsi" w:eastAsiaTheme="minorEastAsia" w:hAnsiTheme="minorHAnsi" w:cstheme="minorBidi"/>
          <w:noProof/>
          <w:sz w:val="22"/>
          <w:szCs w:val="22"/>
        </w:rPr>
      </w:pPr>
      <w:hyperlink w:anchor="_Toc433873584" w:history="1">
        <w:r w:rsidR="0052665E" w:rsidRPr="00752D52">
          <w:rPr>
            <w:rStyle w:val="Hypertextovodkaz"/>
            <w:noProof/>
          </w:rPr>
          <w:t>Graf č. 3 - Plnění plánu počtu předložených ŽoP</w:t>
        </w:r>
        <w:r w:rsidR="0052665E">
          <w:rPr>
            <w:noProof/>
            <w:webHidden/>
          </w:rPr>
          <w:tab/>
        </w:r>
        <w:r w:rsidR="0052665E">
          <w:rPr>
            <w:noProof/>
            <w:webHidden/>
          </w:rPr>
          <w:fldChar w:fldCharType="begin"/>
        </w:r>
        <w:r w:rsidR="0052665E">
          <w:rPr>
            <w:noProof/>
            <w:webHidden/>
          </w:rPr>
          <w:instrText xml:space="preserve"> PAGEREF _Toc433873584 \h </w:instrText>
        </w:r>
        <w:r w:rsidR="0052665E">
          <w:rPr>
            <w:noProof/>
            <w:webHidden/>
          </w:rPr>
        </w:r>
        <w:r w:rsidR="0052665E">
          <w:rPr>
            <w:noProof/>
            <w:webHidden/>
          </w:rPr>
          <w:fldChar w:fldCharType="separate"/>
        </w:r>
        <w:r w:rsidR="0052665E">
          <w:rPr>
            <w:noProof/>
            <w:webHidden/>
          </w:rPr>
          <w:t>29</w:t>
        </w:r>
        <w:r w:rsidR="0052665E">
          <w:rPr>
            <w:noProof/>
            <w:webHidden/>
          </w:rPr>
          <w:fldChar w:fldCharType="end"/>
        </w:r>
      </w:hyperlink>
    </w:p>
    <w:p w:rsidR="0052665E" w:rsidRDefault="00497984">
      <w:pPr>
        <w:pStyle w:val="Obsah1"/>
        <w:rPr>
          <w:rFonts w:asciiTheme="minorHAnsi" w:eastAsiaTheme="minorEastAsia" w:hAnsiTheme="minorHAnsi" w:cstheme="minorBidi"/>
          <w:noProof/>
          <w:sz w:val="22"/>
          <w:szCs w:val="22"/>
        </w:rPr>
      </w:pPr>
      <w:hyperlink w:anchor="_Toc433873585" w:history="1">
        <w:r w:rsidR="0052665E" w:rsidRPr="00752D52">
          <w:rPr>
            <w:rStyle w:val="Hypertextovodkaz"/>
            <w:noProof/>
          </w:rPr>
          <w:t>Graf č. 4 - Podíl vyřazených projektů podle jednotlivých stavů</w:t>
        </w:r>
        <w:r w:rsidR="0052665E">
          <w:rPr>
            <w:noProof/>
            <w:webHidden/>
          </w:rPr>
          <w:tab/>
        </w:r>
        <w:r w:rsidR="0052665E">
          <w:rPr>
            <w:noProof/>
            <w:webHidden/>
          </w:rPr>
          <w:fldChar w:fldCharType="begin"/>
        </w:r>
        <w:r w:rsidR="0052665E">
          <w:rPr>
            <w:noProof/>
            <w:webHidden/>
          </w:rPr>
          <w:instrText xml:space="preserve"> PAGEREF _Toc433873585 \h </w:instrText>
        </w:r>
        <w:r w:rsidR="0052665E">
          <w:rPr>
            <w:noProof/>
            <w:webHidden/>
          </w:rPr>
        </w:r>
        <w:r w:rsidR="0052665E">
          <w:rPr>
            <w:noProof/>
            <w:webHidden/>
          </w:rPr>
          <w:fldChar w:fldCharType="separate"/>
        </w:r>
        <w:r w:rsidR="0052665E">
          <w:rPr>
            <w:noProof/>
            <w:webHidden/>
          </w:rPr>
          <w:t>35</w:t>
        </w:r>
        <w:r w:rsidR="0052665E">
          <w:rPr>
            <w:noProof/>
            <w:webHidden/>
          </w:rPr>
          <w:fldChar w:fldCharType="end"/>
        </w:r>
      </w:hyperlink>
    </w:p>
    <w:p w:rsidR="0052665E" w:rsidRDefault="00497984">
      <w:pPr>
        <w:pStyle w:val="Obsah1"/>
        <w:rPr>
          <w:rFonts w:asciiTheme="minorHAnsi" w:eastAsiaTheme="minorEastAsia" w:hAnsiTheme="minorHAnsi" w:cstheme="minorBidi"/>
          <w:noProof/>
          <w:sz w:val="22"/>
          <w:szCs w:val="22"/>
        </w:rPr>
      </w:pPr>
      <w:hyperlink w:anchor="_Toc433873586" w:history="1">
        <w:r w:rsidR="0052665E" w:rsidRPr="00752D52">
          <w:rPr>
            <w:rStyle w:val="Hypertextovodkaz"/>
            <w:noProof/>
          </w:rPr>
          <w:t>Graf č. 5 - Vyřazené projekty dle jednotlivých oblastí intervence</w:t>
        </w:r>
        <w:r w:rsidR="0052665E">
          <w:rPr>
            <w:noProof/>
            <w:webHidden/>
          </w:rPr>
          <w:tab/>
        </w:r>
        <w:r w:rsidR="0052665E">
          <w:rPr>
            <w:noProof/>
            <w:webHidden/>
          </w:rPr>
          <w:fldChar w:fldCharType="begin"/>
        </w:r>
        <w:r w:rsidR="0052665E">
          <w:rPr>
            <w:noProof/>
            <w:webHidden/>
          </w:rPr>
          <w:instrText xml:space="preserve"> PAGEREF _Toc433873586 \h </w:instrText>
        </w:r>
        <w:r w:rsidR="0052665E">
          <w:rPr>
            <w:noProof/>
            <w:webHidden/>
          </w:rPr>
        </w:r>
        <w:r w:rsidR="0052665E">
          <w:rPr>
            <w:noProof/>
            <w:webHidden/>
          </w:rPr>
          <w:fldChar w:fldCharType="separate"/>
        </w:r>
        <w:r w:rsidR="0052665E">
          <w:rPr>
            <w:noProof/>
            <w:webHidden/>
          </w:rPr>
          <w:t>36</w:t>
        </w:r>
        <w:r w:rsidR="0052665E">
          <w:rPr>
            <w:noProof/>
            <w:webHidden/>
          </w:rPr>
          <w:fldChar w:fldCharType="end"/>
        </w:r>
      </w:hyperlink>
    </w:p>
    <w:p w:rsidR="0052665E" w:rsidRDefault="00497984">
      <w:pPr>
        <w:pStyle w:val="Obsah1"/>
        <w:rPr>
          <w:rFonts w:asciiTheme="minorHAnsi" w:eastAsiaTheme="minorEastAsia" w:hAnsiTheme="minorHAnsi" w:cstheme="minorBidi"/>
          <w:noProof/>
          <w:sz w:val="22"/>
          <w:szCs w:val="22"/>
        </w:rPr>
      </w:pPr>
      <w:hyperlink w:anchor="_Toc433873587" w:history="1">
        <w:r w:rsidR="0052665E" w:rsidRPr="00752D52">
          <w:rPr>
            <w:rStyle w:val="Hypertextovodkaz"/>
            <w:noProof/>
          </w:rPr>
          <w:t>Graf č. 6 - Porovnání věcného a finančního pokroku v oblasti intervence 1.1</w:t>
        </w:r>
        <w:r w:rsidR="0052665E">
          <w:rPr>
            <w:noProof/>
            <w:webHidden/>
          </w:rPr>
          <w:tab/>
        </w:r>
        <w:r w:rsidR="0052665E">
          <w:rPr>
            <w:noProof/>
            <w:webHidden/>
          </w:rPr>
          <w:fldChar w:fldCharType="begin"/>
        </w:r>
        <w:r w:rsidR="0052665E">
          <w:rPr>
            <w:noProof/>
            <w:webHidden/>
          </w:rPr>
          <w:instrText xml:space="preserve"> PAGEREF _Toc433873587 \h </w:instrText>
        </w:r>
        <w:r w:rsidR="0052665E">
          <w:rPr>
            <w:noProof/>
            <w:webHidden/>
          </w:rPr>
        </w:r>
        <w:r w:rsidR="0052665E">
          <w:rPr>
            <w:noProof/>
            <w:webHidden/>
          </w:rPr>
          <w:fldChar w:fldCharType="separate"/>
        </w:r>
        <w:r w:rsidR="0052665E">
          <w:rPr>
            <w:noProof/>
            <w:webHidden/>
          </w:rPr>
          <w:t>42</w:t>
        </w:r>
        <w:r w:rsidR="0052665E">
          <w:rPr>
            <w:noProof/>
            <w:webHidden/>
          </w:rPr>
          <w:fldChar w:fldCharType="end"/>
        </w:r>
      </w:hyperlink>
    </w:p>
    <w:p w:rsidR="0052665E" w:rsidRDefault="00497984">
      <w:pPr>
        <w:pStyle w:val="Obsah1"/>
        <w:rPr>
          <w:rFonts w:asciiTheme="minorHAnsi" w:eastAsiaTheme="minorEastAsia" w:hAnsiTheme="minorHAnsi" w:cstheme="minorBidi"/>
          <w:noProof/>
          <w:sz w:val="22"/>
          <w:szCs w:val="22"/>
        </w:rPr>
      </w:pPr>
      <w:hyperlink w:anchor="_Toc433873588" w:history="1">
        <w:r w:rsidR="0052665E" w:rsidRPr="00752D52">
          <w:rPr>
            <w:rStyle w:val="Hypertextovodkaz"/>
            <w:noProof/>
          </w:rPr>
          <w:t>Graf č. 7 - Porovnání věcného a finančního pokroku v oblasti intervence 2.1</w:t>
        </w:r>
        <w:r w:rsidR="0052665E">
          <w:rPr>
            <w:noProof/>
            <w:webHidden/>
          </w:rPr>
          <w:tab/>
        </w:r>
        <w:r w:rsidR="0052665E">
          <w:rPr>
            <w:noProof/>
            <w:webHidden/>
          </w:rPr>
          <w:fldChar w:fldCharType="begin"/>
        </w:r>
        <w:r w:rsidR="0052665E">
          <w:rPr>
            <w:noProof/>
            <w:webHidden/>
          </w:rPr>
          <w:instrText xml:space="preserve"> PAGEREF _Toc433873588 \h </w:instrText>
        </w:r>
        <w:r w:rsidR="0052665E">
          <w:rPr>
            <w:noProof/>
            <w:webHidden/>
          </w:rPr>
        </w:r>
        <w:r w:rsidR="0052665E">
          <w:rPr>
            <w:noProof/>
            <w:webHidden/>
          </w:rPr>
          <w:fldChar w:fldCharType="separate"/>
        </w:r>
        <w:r w:rsidR="0052665E">
          <w:rPr>
            <w:noProof/>
            <w:webHidden/>
          </w:rPr>
          <w:t>48</w:t>
        </w:r>
        <w:r w:rsidR="0052665E">
          <w:rPr>
            <w:noProof/>
            <w:webHidden/>
          </w:rPr>
          <w:fldChar w:fldCharType="end"/>
        </w:r>
      </w:hyperlink>
    </w:p>
    <w:p w:rsidR="0052665E" w:rsidRDefault="00497984">
      <w:pPr>
        <w:pStyle w:val="Obsah1"/>
        <w:rPr>
          <w:rFonts w:asciiTheme="minorHAnsi" w:eastAsiaTheme="minorEastAsia" w:hAnsiTheme="minorHAnsi" w:cstheme="minorBidi"/>
          <w:noProof/>
          <w:sz w:val="22"/>
          <w:szCs w:val="22"/>
        </w:rPr>
      </w:pPr>
      <w:hyperlink w:anchor="_Toc433873589" w:history="1">
        <w:r w:rsidR="0052665E" w:rsidRPr="00752D52">
          <w:rPr>
            <w:rStyle w:val="Hypertextovodkaz"/>
            <w:noProof/>
          </w:rPr>
          <w:t>Graf č. 8 - Porovnání věcného a finančního pokroku v oblasti intervence 3.1</w:t>
        </w:r>
        <w:r w:rsidR="0052665E">
          <w:rPr>
            <w:noProof/>
            <w:webHidden/>
          </w:rPr>
          <w:tab/>
        </w:r>
        <w:r w:rsidR="0052665E">
          <w:rPr>
            <w:noProof/>
            <w:webHidden/>
          </w:rPr>
          <w:fldChar w:fldCharType="begin"/>
        </w:r>
        <w:r w:rsidR="0052665E">
          <w:rPr>
            <w:noProof/>
            <w:webHidden/>
          </w:rPr>
          <w:instrText xml:space="preserve"> PAGEREF _Toc433873589 \h </w:instrText>
        </w:r>
        <w:r w:rsidR="0052665E">
          <w:rPr>
            <w:noProof/>
            <w:webHidden/>
          </w:rPr>
        </w:r>
        <w:r w:rsidR="0052665E">
          <w:rPr>
            <w:noProof/>
            <w:webHidden/>
          </w:rPr>
          <w:fldChar w:fldCharType="separate"/>
        </w:r>
        <w:r w:rsidR="0052665E">
          <w:rPr>
            <w:noProof/>
            <w:webHidden/>
          </w:rPr>
          <w:t>59</w:t>
        </w:r>
        <w:r w:rsidR="0052665E">
          <w:rPr>
            <w:noProof/>
            <w:webHidden/>
          </w:rPr>
          <w:fldChar w:fldCharType="end"/>
        </w:r>
      </w:hyperlink>
    </w:p>
    <w:p w:rsidR="0052665E" w:rsidRDefault="00497984">
      <w:pPr>
        <w:pStyle w:val="Obsah1"/>
        <w:rPr>
          <w:rFonts w:asciiTheme="minorHAnsi" w:eastAsiaTheme="minorEastAsia" w:hAnsiTheme="minorHAnsi" w:cstheme="minorBidi"/>
          <w:noProof/>
          <w:sz w:val="22"/>
          <w:szCs w:val="22"/>
        </w:rPr>
      </w:pPr>
      <w:hyperlink w:anchor="_Toc433873590" w:history="1">
        <w:r w:rsidR="0052665E" w:rsidRPr="00752D52">
          <w:rPr>
            <w:rStyle w:val="Hypertextovodkaz"/>
            <w:noProof/>
          </w:rPr>
          <w:t>Graf č. 9 - Porovnání věcného a finančního pokroku v oblasti intervence 3.2</w:t>
        </w:r>
        <w:r w:rsidR="0052665E">
          <w:rPr>
            <w:noProof/>
            <w:webHidden/>
          </w:rPr>
          <w:tab/>
        </w:r>
        <w:r w:rsidR="0052665E">
          <w:rPr>
            <w:noProof/>
            <w:webHidden/>
          </w:rPr>
          <w:fldChar w:fldCharType="begin"/>
        </w:r>
        <w:r w:rsidR="0052665E">
          <w:rPr>
            <w:noProof/>
            <w:webHidden/>
          </w:rPr>
          <w:instrText xml:space="preserve"> PAGEREF _Toc433873590 \h </w:instrText>
        </w:r>
        <w:r w:rsidR="0052665E">
          <w:rPr>
            <w:noProof/>
            <w:webHidden/>
          </w:rPr>
        </w:r>
        <w:r w:rsidR="0052665E">
          <w:rPr>
            <w:noProof/>
            <w:webHidden/>
          </w:rPr>
          <w:fldChar w:fldCharType="separate"/>
        </w:r>
        <w:r w:rsidR="0052665E">
          <w:rPr>
            <w:noProof/>
            <w:webHidden/>
          </w:rPr>
          <w:t>60</w:t>
        </w:r>
        <w:r w:rsidR="0052665E">
          <w:rPr>
            <w:noProof/>
            <w:webHidden/>
          </w:rPr>
          <w:fldChar w:fldCharType="end"/>
        </w:r>
      </w:hyperlink>
    </w:p>
    <w:p w:rsidR="0052665E" w:rsidRDefault="00497984">
      <w:pPr>
        <w:pStyle w:val="Obsah1"/>
        <w:rPr>
          <w:rFonts w:asciiTheme="minorHAnsi" w:eastAsiaTheme="minorEastAsia" w:hAnsiTheme="minorHAnsi" w:cstheme="minorBidi"/>
          <w:noProof/>
          <w:sz w:val="22"/>
          <w:szCs w:val="22"/>
        </w:rPr>
      </w:pPr>
      <w:hyperlink w:anchor="_Toc433873591" w:history="1">
        <w:r w:rsidR="0052665E" w:rsidRPr="00752D52">
          <w:rPr>
            <w:rStyle w:val="Hypertextovodkaz"/>
            <w:noProof/>
          </w:rPr>
          <w:t>Graf č. 10 - Porovnání věcného a finančního pokroku v oblasti intervence 3.3</w:t>
        </w:r>
        <w:r w:rsidR="0052665E">
          <w:rPr>
            <w:noProof/>
            <w:webHidden/>
          </w:rPr>
          <w:tab/>
        </w:r>
        <w:r w:rsidR="0052665E">
          <w:rPr>
            <w:noProof/>
            <w:webHidden/>
          </w:rPr>
          <w:fldChar w:fldCharType="begin"/>
        </w:r>
        <w:r w:rsidR="0052665E">
          <w:rPr>
            <w:noProof/>
            <w:webHidden/>
          </w:rPr>
          <w:instrText xml:space="preserve"> PAGEREF _Toc433873591 \h </w:instrText>
        </w:r>
        <w:r w:rsidR="0052665E">
          <w:rPr>
            <w:noProof/>
            <w:webHidden/>
          </w:rPr>
        </w:r>
        <w:r w:rsidR="0052665E">
          <w:rPr>
            <w:noProof/>
            <w:webHidden/>
          </w:rPr>
          <w:fldChar w:fldCharType="separate"/>
        </w:r>
        <w:r w:rsidR="0052665E">
          <w:rPr>
            <w:noProof/>
            <w:webHidden/>
          </w:rPr>
          <w:t>60</w:t>
        </w:r>
        <w:r w:rsidR="0052665E">
          <w:rPr>
            <w:noProof/>
            <w:webHidden/>
          </w:rPr>
          <w:fldChar w:fldCharType="end"/>
        </w:r>
      </w:hyperlink>
    </w:p>
    <w:p w:rsidR="0052665E" w:rsidRDefault="00497984">
      <w:pPr>
        <w:pStyle w:val="Obsah1"/>
        <w:rPr>
          <w:rFonts w:asciiTheme="minorHAnsi" w:eastAsiaTheme="minorEastAsia" w:hAnsiTheme="minorHAnsi" w:cstheme="minorBidi"/>
          <w:noProof/>
          <w:sz w:val="22"/>
          <w:szCs w:val="22"/>
        </w:rPr>
      </w:pPr>
      <w:hyperlink w:anchor="_Toc433873592" w:history="1">
        <w:r w:rsidR="0052665E" w:rsidRPr="00752D52">
          <w:rPr>
            <w:rStyle w:val="Hypertextovodkaz"/>
            <w:noProof/>
          </w:rPr>
          <w:t>Graf č. 11 - Porovnání věcného a finančního pokroku v oblasti intervence 3.4</w:t>
        </w:r>
        <w:r w:rsidR="0052665E">
          <w:rPr>
            <w:noProof/>
            <w:webHidden/>
          </w:rPr>
          <w:tab/>
        </w:r>
        <w:r w:rsidR="0052665E">
          <w:rPr>
            <w:noProof/>
            <w:webHidden/>
          </w:rPr>
          <w:fldChar w:fldCharType="begin"/>
        </w:r>
        <w:r w:rsidR="0052665E">
          <w:rPr>
            <w:noProof/>
            <w:webHidden/>
          </w:rPr>
          <w:instrText xml:space="preserve"> PAGEREF _Toc433873592 \h </w:instrText>
        </w:r>
        <w:r w:rsidR="0052665E">
          <w:rPr>
            <w:noProof/>
            <w:webHidden/>
          </w:rPr>
        </w:r>
        <w:r w:rsidR="0052665E">
          <w:rPr>
            <w:noProof/>
            <w:webHidden/>
          </w:rPr>
          <w:fldChar w:fldCharType="separate"/>
        </w:r>
        <w:r w:rsidR="0052665E">
          <w:rPr>
            <w:noProof/>
            <w:webHidden/>
          </w:rPr>
          <w:t>61</w:t>
        </w:r>
        <w:r w:rsidR="0052665E">
          <w:rPr>
            <w:noProof/>
            <w:webHidden/>
          </w:rPr>
          <w:fldChar w:fldCharType="end"/>
        </w:r>
      </w:hyperlink>
    </w:p>
    <w:p w:rsidR="0052665E" w:rsidRDefault="00497984">
      <w:pPr>
        <w:pStyle w:val="Obsah1"/>
        <w:rPr>
          <w:rFonts w:asciiTheme="minorHAnsi" w:eastAsiaTheme="minorEastAsia" w:hAnsiTheme="minorHAnsi" w:cstheme="minorBidi"/>
          <w:noProof/>
          <w:sz w:val="22"/>
          <w:szCs w:val="22"/>
        </w:rPr>
      </w:pPr>
      <w:hyperlink w:anchor="_Toc433873593" w:history="1">
        <w:r w:rsidR="0052665E" w:rsidRPr="00752D52">
          <w:rPr>
            <w:rStyle w:val="Hypertextovodkaz"/>
            <w:noProof/>
          </w:rPr>
          <w:t>Graf č. 12 - Porovnání věcného a finančního pokroku v oblasti intervence 4.1</w:t>
        </w:r>
        <w:r w:rsidR="0052665E">
          <w:rPr>
            <w:noProof/>
            <w:webHidden/>
          </w:rPr>
          <w:tab/>
        </w:r>
        <w:r w:rsidR="0052665E">
          <w:rPr>
            <w:noProof/>
            <w:webHidden/>
          </w:rPr>
          <w:fldChar w:fldCharType="begin"/>
        </w:r>
        <w:r w:rsidR="0052665E">
          <w:rPr>
            <w:noProof/>
            <w:webHidden/>
          </w:rPr>
          <w:instrText xml:space="preserve"> PAGEREF _Toc433873593 \h </w:instrText>
        </w:r>
        <w:r w:rsidR="0052665E">
          <w:rPr>
            <w:noProof/>
            <w:webHidden/>
          </w:rPr>
        </w:r>
        <w:r w:rsidR="0052665E">
          <w:rPr>
            <w:noProof/>
            <w:webHidden/>
          </w:rPr>
          <w:fldChar w:fldCharType="separate"/>
        </w:r>
        <w:r w:rsidR="0052665E">
          <w:rPr>
            <w:noProof/>
            <w:webHidden/>
          </w:rPr>
          <w:t>72</w:t>
        </w:r>
        <w:r w:rsidR="0052665E">
          <w:rPr>
            <w:noProof/>
            <w:webHidden/>
          </w:rPr>
          <w:fldChar w:fldCharType="end"/>
        </w:r>
      </w:hyperlink>
    </w:p>
    <w:p w:rsidR="0052665E" w:rsidRDefault="00497984">
      <w:pPr>
        <w:pStyle w:val="Obsah1"/>
        <w:rPr>
          <w:rFonts w:asciiTheme="minorHAnsi" w:eastAsiaTheme="minorEastAsia" w:hAnsiTheme="minorHAnsi" w:cstheme="minorBidi"/>
          <w:noProof/>
          <w:sz w:val="22"/>
          <w:szCs w:val="22"/>
        </w:rPr>
      </w:pPr>
      <w:hyperlink w:anchor="_Toc433873594" w:history="1">
        <w:r w:rsidR="0052665E" w:rsidRPr="00752D52">
          <w:rPr>
            <w:rStyle w:val="Hypertextovodkaz"/>
            <w:noProof/>
          </w:rPr>
          <w:t>Graf č. 13 - Porovnání věcného a finančního pokroku v oblasti intervence 5.1</w:t>
        </w:r>
        <w:r w:rsidR="0052665E">
          <w:rPr>
            <w:noProof/>
            <w:webHidden/>
          </w:rPr>
          <w:tab/>
        </w:r>
        <w:r w:rsidR="0052665E">
          <w:rPr>
            <w:noProof/>
            <w:webHidden/>
          </w:rPr>
          <w:fldChar w:fldCharType="begin"/>
        </w:r>
        <w:r w:rsidR="0052665E">
          <w:rPr>
            <w:noProof/>
            <w:webHidden/>
          </w:rPr>
          <w:instrText xml:space="preserve"> PAGEREF _Toc433873594 \h </w:instrText>
        </w:r>
        <w:r w:rsidR="0052665E">
          <w:rPr>
            <w:noProof/>
            <w:webHidden/>
          </w:rPr>
        </w:r>
        <w:r w:rsidR="0052665E">
          <w:rPr>
            <w:noProof/>
            <w:webHidden/>
          </w:rPr>
          <w:fldChar w:fldCharType="separate"/>
        </w:r>
        <w:r w:rsidR="0052665E">
          <w:rPr>
            <w:noProof/>
            <w:webHidden/>
          </w:rPr>
          <w:t>82</w:t>
        </w:r>
        <w:r w:rsidR="0052665E">
          <w:rPr>
            <w:noProof/>
            <w:webHidden/>
          </w:rPr>
          <w:fldChar w:fldCharType="end"/>
        </w:r>
      </w:hyperlink>
    </w:p>
    <w:p w:rsidR="0052665E" w:rsidRDefault="00497984">
      <w:pPr>
        <w:pStyle w:val="Obsah1"/>
        <w:rPr>
          <w:rFonts w:asciiTheme="minorHAnsi" w:eastAsiaTheme="minorEastAsia" w:hAnsiTheme="minorHAnsi" w:cstheme="minorBidi"/>
          <w:noProof/>
          <w:sz w:val="22"/>
          <w:szCs w:val="22"/>
        </w:rPr>
      </w:pPr>
      <w:hyperlink w:anchor="_Toc433873595" w:history="1">
        <w:r w:rsidR="0052665E" w:rsidRPr="00752D52">
          <w:rPr>
            <w:rStyle w:val="Hypertextovodkaz"/>
            <w:noProof/>
          </w:rPr>
          <w:t>Graf č. 14 - Porovnání věcného a finančního pokroku v oblasti intervence 5.2</w:t>
        </w:r>
        <w:r w:rsidR="0052665E">
          <w:rPr>
            <w:noProof/>
            <w:webHidden/>
          </w:rPr>
          <w:tab/>
        </w:r>
        <w:r w:rsidR="0052665E">
          <w:rPr>
            <w:noProof/>
            <w:webHidden/>
          </w:rPr>
          <w:fldChar w:fldCharType="begin"/>
        </w:r>
        <w:r w:rsidR="0052665E">
          <w:rPr>
            <w:noProof/>
            <w:webHidden/>
          </w:rPr>
          <w:instrText xml:space="preserve"> PAGEREF _Toc433873595 \h </w:instrText>
        </w:r>
        <w:r w:rsidR="0052665E">
          <w:rPr>
            <w:noProof/>
            <w:webHidden/>
          </w:rPr>
        </w:r>
        <w:r w:rsidR="0052665E">
          <w:rPr>
            <w:noProof/>
            <w:webHidden/>
          </w:rPr>
          <w:fldChar w:fldCharType="separate"/>
        </w:r>
        <w:r w:rsidR="0052665E">
          <w:rPr>
            <w:noProof/>
            <w:webHidden/>
          </w:rPr>
          <w:t>82</w:t>
        </w:r>
        <w:r w:rsidR="0052665E">
          <w:rPr>
            <w:noProof/>
            <w:webHidden/>
          </w:rPr>
          <w:fldChar w:fldCharType="end"/>
        </w:r>
      </w:hyperlink>
    </w:p>
    <w:p w:rsidR="0052665E" w:rsidRDefault="00497984">
      <w:pPr>
        <w:pStyle w:val="Obsah1"/>
        <w:rPr>
          <w:rFonts w:asciiTheme="minorHAnsi" w:eastAsiaTheme="minorEastAsia" w:hAnsiTheme="minorHAnsi" w:cstheme="minorBidi"/>
          <w:noProof/>
          <w:sz w:val="22"/>
          <w:szCs w:val="22"/>
        </w:rPr>
      </w:pPr>
      <w:hyperlink w:anchor="_Toc433873596" w:history="1">
        <w:r w:rsidR="0052665E" w:rsidRPr="00752D52">
          <w:rPr>
            <w:rStyle w:val="Hypertextovodkaz"/>
            <w:noProof/>
          </w:rPr>
          <w:t>Graf č. 15 - Porovnání věcného a finančního pokroku v oblasti intervence 5.3</w:t>
        </w:r>
        <w:r w:rsidR="0052665E">
          <w:rPr>
            <w:noProof/>
            <w:webHidden/>
          </w:rPr>
          <w:tab/>
        </w:r>
        <w:r w:rsidR="0052665E">
          <w:rPr>
            <w:noProof/>
            <w:webHidden/>
          </w:rPr>
          <w:fldChar w:fldCharType="begin"/>
        </w:r>
        <w:r w:rsidR="0052665E">
          <w:rPr>
            <w:noProof/>
            <w:webHidden/>
          </w:rPr>
          <w:instrText xml:space="preserve"> PAGEREF _Toc433873596 \h </w:instrText>
        </w:r>
        <w:r w:rsidR="0052665E">
          <w:rPr>
            <w:noProof/>
            <w:webHidden/>
          </w:rPr>
        </w:r>
        <w:r w:rsidR="0052665E">
          <w:rPr>
            <w:noProof/>
            <w:webHidden/>
          </w:rPr>
          <w:fldChar w:fldCharType="separate"/>
        </w:r>
        <w:r w:rsidR="0052665E">
          <w:rPr>
            <w:noProof/>
            <w:webHidden/>
          </w:rPr>
          <w:t>83</w:t>
        </w:r>
        <w:r w:rsidR="0052665E">
          <w:rPr>
            <w:noProof/>
            <w:webHidden/>
          </w:rPr>
          <w:fldChar w:fldCharType="end"/>
        </w:r>
      </w:hyperlink>
    </w:p>
    <w:p w:rsidR="0047481D" w:rsidRPr="0047481D" w:rsidRDefault="00E52A88" w:rsidP="0047481D">
      <w:pPr>
        <w:rPr>
          <w:sz w:val="22"/>
          <w:szCs w:val="22"/>
        </w:rPr>
      </w:pPr>
      <w:r>
        <w:rPr>
          <w:sz w:val="22"/>
          <w:szCs w:val="22"/>
        </w:rPr>
        <w:fldChar w:fldCharType="end"/>
      </w:r>
    </w:p>
    <w:p w:rsidR="0047481D" w:rsidRDefault="0047481D" w:rsidP="0047481D">
      <w:pPr>
        <w:rPr>
          <w:b/>
          <w:sz w:val="22"/>
          <w:szCs w:val="22"/>
        </w:rPr>
      </w:pPr>
    </w:p>
    <w:p w:rsidR="00D644B0" w:rsidRPr="00DF4561" w:rsidRDefault="00D644B0" w:rsidP="0047481D">
      <w:pPr>
        <w:rPr>
          <w:b/>
          <w:sz w:val="16"/>
          <w:szCs w:val="16"/>
        </w:rPr>
      </w:pPr>
      <w:r>
        <w:rPr>
          <w:b/>
          <w:sz w:val="28"/>
          <w:szCs w:val="28"/>
        </w:rPr>
        <w:br w:type="page"/>
      </w:r>
    </w:p>
    <w:p w:rsidR="00D644B0" w:rsidRPr="00CD382C" w:rsidRDefault="00D644B0">
      <w:pPr>
        <w:pStyle w:val="Nadpis1"/>
        <w:spacing w:before="240" w:after="60"/>
        <w:jc w:val="left"/>
        <w:rPr>
          <w:smallCaps w:val="0"/>
          <w:kern w:val="32"/>
          <w:sz w:val="32"/>
          <w:szCs w:val="32"/>
        </w:rPr>
      </w:pPr>
      <w:bookmarkStart w:id="0" w:name="_Toc433873458"/>
      <w:r w:rsidRPr="00A736A9">
        <w:rPr>
          <w:smallCaps w:val="0"/>
          <w:kern w:val="32"/>
          <w:sz w:val="32"/>
          <w:szCs w:val="32"/>
        </w:rPr>
        <w:lastRenderedPageBreak/>
        <w:t>ÚVOD</w:t>
      </w:r>
      <w:bookmarkEnd w:id="0"/>
    </w:p>
    <w:p w:rsidR="00D644B0" w:rsidRPr="00CD382C" w:rsidRDefault="00D644B0">
      <w:pPr>
        <w:autoSpaceDE w:val="0"/>
        <w:autoSpaceDN w:val="0"/>
        <w:adjustRightInd w:val="0"/>
        <w:spacing w:line="360" w:lineRule="auto"/>
        <w:jc w:val="both"/>
        <w:rPr>
          <w:sz w:val="22"/>
          <w:szCs w:val="22"/>
        </w:rPr>
      </w:pPr>
      <w:r w:rsidRPr="0012333A">
        <w:rPr>
          <w:b/>
          <w:bCs/>
          <w:sz w:val="22"/>
          <w:szCs w:val="22"/>
        </w:rPr>
        <w:t>Integrovaný operační program</w:t>
      </w:r>
      <w:r w:rsidRPr="00CD382C">
        <w:rPr>
          <w:bCs/>
          <w:sz w:val="22"/>
          <w:szCs w:val="22"/>
        </w:rPr>
        <w:t xml:space="preserve"> </w:t>
      </w:r>
      <w:r w:rsidR="0061716B">
        <w:rPr>
          <w:bCs/>
          <w:sz w:val="22"/>
          <w:szCs w:val="22"/>
        </w:rPr>
        <w:t xml:space="preserve">(dále jen „IOP“) </w:t>
      </w:r>
      <w:r w:rsidRPr="00CD382C">
        <w:rPr>
          <w:bCs/>
          <w:sz w:val="22"/>
          <w:szCs w:val="22"/>
        </w:rPr>
        <w:t xml:space="preserve">je realizovaný v programovém období 2007-2013. Program </w:t>
      </w:r>
      <w:r w:rsidRPr="00CD382C">
        <w:rPr>
          <w:sz w:val="22"/>
          <w:szCs w:val="22"/>
        </w:rPr>
        <w:t>je zaměřený na řešení společných regionálních problémů v oblastech infrastruktury pro veřejnou správu, veřejné služby a územní rozvoj: rozvoj informačních technologií ve veřejné správě, zlepšování infrastruktury pro oblast sociálních služeb, veřejného zdraví, služeb zaměstnanosti a služeb v oblasti bezpečnosti, prevence a řešení rizik, podporu cestovního ruchu, kulturního dědictví, zlepšování prostředí na sídlištích a rozvoj systémů tvorby územních politik</w:t>
      </w:r>
      <w:r w:rsidR="008A0796">
        <w:rPr>
          <w:sz w:val="22"/>
          <w:szCs w:val="22"/>
        </w:rPr>
        <w:t xml:space="preserve">. Řídícím orgánem </w:t>
      </w:r>
      <w:r w:rsidR="00012F01">
        <w:rPr>
          <w:sz w:val="22"/>
          <w:szCs w:val="22"/>
        </w:rPr>
        <w:t>IOP je Ministerstvo pro místní rozvoj ČR</w:t>
      </w:r>
      <w:r w:rsidR="00B4772E">
        <w:rPr>
          <w:sz w:val="22"/>
          <w:szCs w:val="22"/>
        </w:rPr>
        <w:t xml:space="preserve">, činnosti zprostředkujících subjektů zabezpečují Ministerstvo vnitra ČR, Ministerstvo práce a sociálních věcí ČR, Ministerstvo zdravotnictví ČR a Centrum pro regionální rozvoj ČR. </w:t>
      </w:r>
    </w:p>
    <w:p w:rsidR="006067BD" w:rsidRDefault="006067BD" w:rsidP="006067BD">
      <w:pPr>
        <w:autoSpaceDE w:val="0"/>
        <w:autoSpaceDN w:val="0"/>
        <w:adjustRightInd w:val="0"/>
        <w:spacing w:line="314" w:lineRule="auto"/>
        <w:jc w:val="both"/>
        <w:rPr>
          <w:bCs/>
          <w:sz w:val="22"/>
          <w:szCs w:val="22"/>
        </w:rPr>
      </w:pPr>
      <w:r w:rsidRPr="006E3AC8">
        <w:rPr>
          <w:bCs/>
          <w:sz w:val="22"/>
          <w:szCs w:val="22"/>
        </w:rPr>
        <w:t>V roce 201</w:t>
      </w:r>
      <w:r w:rsidR="00631FB4" w:rsidRPr="006E3AC8">
        <w:rPr>
          <w:bCs/>
          <w:sz w:val="22"/>
          <w:szCs w:val="22"/>
        </w:rPr>
        <w:t>5</w:t>
      </w:r>
      <w:r w:rsidRPr="006E3AC8">
        <w:rPr>
          <w:bCs/>
          <w:sz w:val="22"/>
          <w:szCs w:val="22"/>
        </w:rPr>
        <w:t xml:space="preserve"> došlo ke změně Programového dokumentu IOP ve smyslu čl. 33 Nařízení Rady </w:t>
      </w:r>
      <w:r w:rsidRPr="006E3AC8">
        <w:rPr>
          <w:bCs/>
          <w:sz w:val="22"/>
          <w:szCs w:val="22"/>
        </w:rPr>
        <w:br/>
        <w:t>č. 1083/2006, která byla schválena</w:t>
      </w:r>
      <w:r w:rsidR="00631FB4" w:rsidRPr="006E3AC8">
        <w:rPr>
          <w:bCs/>
          <w:sz w:val="22"/>
          <w:szCs w:val="22"/>
        </w:rPr>
        <w:t xml:space="preserve"> Monitorovacím výborem IOP dne 16</w:t>
      </w:r>
      <w:r w:rsidRPr="006E3AC8">
        <w:rPr>
          <w:bCs/>
          <w:sz w:val="22"/>
          <w:szCs w:val="22"/>
        </w:rPr>
        <w:t xml:space="preserve">. </w:t>
      </w:r>
      <w:r w:rsidR="00631FB4" w:rsidRPr="006E3AC8">
        <w:rPr>
          <w:bCs/>
          <w:sz w:val="22"/>
          <w:szCs w:val="22"/>
        </w:rPr>
        <w:t>června 2015</w:t>
      </w:r>
      <w:r w:rsidRPr="006E3AC8">
        <w:rPr>
          <w:bCs/>
          <w:sz w:val="22"/>
          <w:szCs w:val="22"/>
        </w:rPr>
        <w:t>. Byly provedeny změny finančních tabulek v souvislosti se ztrátou alokace za rok 201</w:t>
      </w:r>
      <w:r w:rsidR="00631FB4" w:rsidRPr="006E3AC8">
        <w:rPr>
          <w:bCs/>
          <w:sz w:val="22"/>
          <w:szCs w:val="22"/>
        </w:rPr>
        <w:t>4</w:t>
      </w:r>
      <w:r w:rsidR="00735D69" w:rsidRPr="006E3AC8">
        <w:rPr>
          <w:bCs/>
          <w:sz w:val="22"/>
          <w:szCs w:val="22"/>
        </w:rPr>
        <w:t xml:space="preserve">. </w:t>
      </w:r>
      <w:r w:rsidRPr="006E3AC8">
        <w:rPr>
          <w:bCs/>
          <w:sz w:val="22"/>
          <w:szCs w:val="22"/>
        </w:rPr>
        <w:t>Celková alokace IOP tak činí 1 61</w:t>
      </w:r>
      <w:r w:rsidR="00735D69" w:rsidRPr="006E3AC8">
        <w:rPr>
          <w:bCs/>
          <w:sz w:val="22"/>
          <w:szCs w:val="22"/>
        </w:rPr>
        <w:t>5</w:t>
      </w:r>
      <w:r w:rsidRPr="006E3AC8">
        <w:rPr>
          <w:bCs/>
          <w:sz w:val="22"/>
          <w:szCs w:val="22"/>
        </w:rPr>
        <w:t>,</w:t>
      </w:r>
      <w:r w:rsidR="00735D69" w:rsidRPr="006E3AC8">
        <w:rPr>
          <w:bCs/>
          <w:sz w:val="22"/>
          <w:szCs w:val="22"/>
        </w:rPr>
        <w:t>15</w:t>
      </w:r>
      <w:r w:rsidRPr="006E3AC8">
        <w:rPr>
          <w:bCs/>
          <w:sz w:val="22"/>
          <w:szCs w:val="22"/>
        </w:rPr>
        <w:t xml:space="preserve"> mil EUR, z toho pro cíl Konvergence je vyčleněna </w:t>
      </w:r>
      <w:r w:rsidR="00735D69" w:rsidRPr="006E3AC8">
        <w:rPr>
          <w:bCs/>
          <w:sz w:val="22"/>
          <w:szCs w:val="22"/>
        </w:rPr>
        <w:t xml:space="preserve">rozhodující část – 1 591,4 mil. </w:t>
      </w:r>
      <w:r w:rsidRPr="006E3AC8">
        <w:rPr>
          <w:bCs/>
          <w:sz w:val="22"/>
          <w:szCs w:val="22"/>
        </w:rPr>
        <w:t xml:space="preserve">EUR, pro cíl </w:t>
      </w:r>
      <w:r w:rsidR="00735D69" w:rsidRPr="006E3AC8">
        <w:rPr>
          <w:bCs/>
          <w:sz w:val="22"/>
          <w:szCs w:val="22"/>
        </w:rPr>
        <w:t>Regionální konkurenceschopnost a zaměstnanost pak částka 23</w:t>
      </w:r>
      <w:r w:rsidRPr="006E3AC8">
        <w:rPr>
          <w:bCs/>
          <w:sz w:val="22"/>
          <w:szCs w:val="22"/>
        </w:rPr>
        <w:t>,</w:t>
      </w:r>
      <w:r w:rsidR="00735D69" w:rsidRPr="006E3AC8">
        <w:rPr>
          <w:bCs/>
          <w:sz w:val="22"/>
          <w:szCs w:val="22"/>
        </w:rPr>
        <w:t>8</w:t>
      </w:r>
      <w:r w:rsidRPr="006E3AC8">
        <w:rPr>
          <w:bCs/>
          <w:sz w:val="22"/>
          <w:szCs w:val="22"/>
        </w:rPr>
        <w:t xml:space="preserve"> mil. EUR.</w:t>
      </w:r>
      <w:r>
        <w:rPr>
          <w:bCs/>
          <w:sz w:val="22"/>
          <w:szCs w:val="22"/>
        </w:rPr>
        <w:t xml:space="preserve"> </w:t>
      </w:r>
    </w:p>
    <w:p w:rsidR="00735D69" w:rsidRDefault="00735D69" w:rsidP="006067BD">
      <w:pPr>
        <w:autoSpaceDE w:val="0"/>
        <w:autoSpaceDN w:val="0"/>
        <w:adjustRightInd w:val="0"/>
        <w:spacing w:line="314" w:lineRule="auto"/>
        <w:jc w:val="both"/>
        <w:rPr>
          <w:bCs/>
          <w:sz w:val="22"/>
          <w:szCs w:val="22"/>
        </w:rPr>
      </w:pPr>
    </w:p>
    <w:p w:rsidR="00D644B0" w:rsidRDefault="00D644B0">
      <w:pPr>
        <w:pStyle w:val="TextNOK"/>
        <w:spacing w:line="360" w:lineRule="auto"/>
      </w:pPr>
      <w:r w:rsidRPr="00A5082A">
        <w:rPr>
          <w:b/>
        </w:rPr>
        <w:t xml:space="preserve">Podrobnosti o vývoji a realizaci IOP v období od </w:t>
      </w:r>
      <w:r w:rsidR="00CB5763" w:rsidRPr="00A5082A">
        <w:rPr>
          <w:b/>
        </w:rPr>
        <w:t>1</w:t>
      </w:r>
      <w:r w:rsidR="00260CA3">
        <w:rPr>
          <w:b/>
        </w:rPr>
        <w:t>7</w:t>
      </w:r>
      <w:r w:rsidR="00CB5763" w:rsidRPr="00A5082A">
        <w:rPr>
          <w:b/>
        </w:rPr>
        <w:t>.</w:t>
      </w:r>
      <w:r w:rsidR="00CB5763">
        <w:rPr>
          <w:b/>
        </w:rPr>
        <w:t xml:space="preserve"> </w:t>
      </w:r>
      <w:r w:rsidR="00260CA3">
        <w:rPr>
          <w:b/>
        </w:rPr>
        <w:t>4</w:t>
      </w:r>
      <w:r w:rsidR="00CB5763">
        <w:rPr>
          <w:b/>
        </w:rPr>
        <w:t>. 201</w:t>
      </w:r>
      <w:r w:rsidR="00260CA3">
        <w:rPr>
          <w:b/>
        </w:rPr>
        <w:t>5</w:t>
      </w:r>
      <w:r w:rsidRPr="00A5082A">
        <w:rPr>
          <w:b/>
        </w:rPr>
        <w:t xml:space="preserve"> </w:t>
      </w:r>
      <w:r w:rsidRPr="00CB5763">
        <w:t>do</w:t>
      </w:r>
      <w:r w:rsidR="001579DF">
        <w:rPr>
          <w:b/>
        </w:rPr>
        <w:t xml:space="preserve"> </w:t>
      </w:r>
      <w:r w:rsidR="00260CA3">
        <w:rPr>
          <w:b/>
        </w:rPr>
        <w:t>30</w:t>
      </w:r>
      <w:r w:rsidR="00543A02" w:rsidRPr="00A5082A">
        <w:rPr>
          <w:b/>
        </w:rPr>
        <w:t>.</w:t>
      </w:r>
      <w:r w:rsidR="00543A02">
        <w:rPr>
          <w:b/>
        </w:rPr>
        <w:t xml:space="preserve"> </w:t>
      </w:r>
      <w:r w:rsidR="00260CA3">
        <w:rPr>
          <w:b/>
        </w:rPr>
        <w:t>9</w:t>
      </w:r>
      <w:r w:rsidR="00543A02">
        <w:rPr>
          <w:b/>
        </w:rPr>
        <w:t>. 2015</w:t>
      </w:r>
      <w:r w:rsidRPr="00A5082A">
        <w:rPr>
          <w:b/>
        </w:rPr>
        <w:t xml:space="preserve"> jsou</w:t>
      </w:r>
      <w:r w:rsidRPr="00A5082A">
        <w:t xml:space="preserve"> </w:t>
      </w:r>
      <w:r w:rsidRPr="00CD382C">
        <w:t xml:space="preserve">obsahem této </w:t>
      </w:r>
      <w:r w:rsidR="00EC636B">
        <w:t>Z</w:t>
      </w:r>
      <w:r w:rsidRPr="00CD382C">
        <w:t>právy o realizaci</w:t>
      </w:r>
      <w:r w:rsidR="00A7648C">
        <w:t>,</w:t>
      </w:r>
      <w:r w:rsidRPr="00CD382C">
        <w:t xml:space="preserve"> určen</w:t>
      </w:r>
      <w:r>
        <w:t>é</w:t>
      </w:r>
      <w:r w:rsidRPr="00CD382C">
        <w:t xml:space="preserve"> pro </w:t>
      </w:r>
      <w:r w:rsidR="00166326">
        <w:t>1</w:t>
      </w:r>
      <w:r w:rsidR="00260CA3">
        <w:t>6</w:t>
      </w:r>
      <w:r w:rsidRPr="00CD382C">
        <w:t xml:space="preserve">. zasedání Monitorovacího výboru IOP, kterou zpracoval Řídící orgán </w:t>
      </w:r>
      <w:r>
        <w:t xml:space="preserve">IOP </w:t>
      </w:r>
      <w:r w:rsidRPr="00CD382C">
        <w:t>ve spolupráci s dalšími aktéry programu.</w:t>
      </w:r>
      <w:r>
        <w:t xml:space="preserve"> </w:t>
      </w:r>
    </w:p>
    <w:p w:rsidR="00D644B0" w:rsidRDefault="00D644B0">
      <w:pPr>
        <w:pStyle w:val="TextNOK"/>
        <w:spacing w:line="360" w:lineRule="auto"/>
      </w:pPr>
    </w:p>
    <w:p w:rsidR="00BE334C" w:rsidRPr="00BE334C" w:rsidRDefault="00BE334C" w:rsidP="00BE334C">
      <w:pPr>
        <w:autoSpaceDE w:val="0"/>
        <w:autoSpaceDN w:val="0"/>
        <w:adjustRightInd w:val="0"/>
        <w:spacing w:line="360" w:lineRule="auto"/>
        <w:jc w:val="both"/>
        <w:rPr>
          <w:bCs/>
          <w:sz w:val="22"/>
          <w:szCs w:val="22"/>
        </w:rPr>
      </w:pPr>
      <w:r w:rsidRPr="00BE334C">
        <w:rPr>
          <w:b/>
          <w:bCs/>
          <w:sz w:val="22"/>
          <w:szCs w:val="22"/>
        </w:rPr>
        <w:t>Zpráva o realizaci Integrovaného operačního programu</w:t>
      </w:r>
      <w:r>
        <w:rPr>
          <w:bCs/>
          <w:sz w:val="22"/>
          <w:szCs w:val="22"/>
        </w:rPr>
        <w:t xml:space="preserve"> </w:t>
      </w:r>
      <w:r w:rsidR="001579DF">
        <w:rPr>
          <w:bCs/>
          <w:sz w:val="22"/>
          <w:szCs w:val="22"/>
        </w:rPr>
        <w:t xml:space="preserve">ke dni </w:t>
      </w:r>
      <w:r w:rsidR="00260CA3">
        <w:rPr>
          <w:bCs/>
          <w:sz w:val="22"/>
          <w:szCs w:val="22"/>
        </w:rPr>
        <w:t>30</w:t>
      </w:r>
      <w:r w:rsidRPr="00BE334C">
        <w:rPr>
          <w:bCs/>
          <w:sz w:val="22"/>
          <w:szCs w:val="22"/>
        </w:rPr>
        <w:t xml:space="preserve">. </w:t>
      </w:r>
      <w:r w:rsidR="00260CA3">
        <w:rPr>
          <w:bCs/>
          <w:sz w:val="22"/>
          <w:szCs w:val="22"/>
        </w:rPr>
        <w:t>9</w:t>
      </w:r>
      <w:r w:rsidRPr="00BE334C">
        <w:rPr>
          <w:bCs/>
          <w:sz w:val="22"/>
          <w:szCs w:val="22"/>
        </w:rPr>
        <w:t>. 201</w:t>
      </w:r>
      <w:r w:rsidR="00C82DD9">
        <w:rPr>
          <w:bCs/>
          <w:sz w:val="22"/>
          <w:szCs w:val="22"/>
        </w:rPr>
        <w:t>5</w:t>
      </w:r>
      <w:r w:rsidRPr="00BE334C">
        <w:rPr>
          <w:bCs/>
          <w:sz w:val="22"/>
          <w:szCs w:val="22"/>
        </w:rPr>
        <w:t xml:space="preserve"> (dále jen “Zpráva“) poskytuje souhrnnou informaci o stavu implementace programu a pokroku v dosahování cílů programu jako celku i cílů stanovených pro každou prioritní osu. Zpráva navazuje na předchozí zprávu o realizaci programu zpracovanou ke dni </w:t>
      </w:r>
      <w:r w:rsidR="00260CA3">
        <w:rPr>
          <w:bCs/>
          <w:sz w:val="22"/>
          <w:szCs w:val="22"/>
        </w:rPr>
        <w:t>17</w:t>
      </w:r>
      <w:r w:rsidRPr="00BE334C">
        <w:rPr>
          <w:bCs/>
          <w:sz w:val="22"/>
          <w:szCs w:val="22"/>
        </w:rPr>
        <w:t>. </w:t>
      </w:r>
      <w:r w:rsidR="00260CA3">
        <w:rPr>
          <w:bCs/>
          <w:sz w:val="22"/>
          <w:szCs w:val="22"/>
        </w:rPr>
        <w:t>4</w:t>
      </w:r>
      <w:r w:rsidRPr="00BE334C">
        <w:rPr>
          <w:bCs/>
          <w:sz w:val="22"/>
          <w:szCs w:val="22"/>
        </w:rPr>
        <w:t>. 201</w:t>
      </w:r>
      <w:r w:rsidR="00260CA3">
        <w:rPr>
          <w:bCs/>
          <w:sz w:val="22"/>
          <w:szCs w:val="22"/>
        </w:rPr>
        <w:t>5</w:t>
      </w:r>
      <w:r>
        <w:rPr>
          <w:bCs/>
          <w:sz w:val="22"/>
          <w:szCs w:val="22"/>
        </w:rPr>
        <w:t>,</w:t>
      </w:r>
      <w:r w:rsidRPr="00BE334C">
        <w:rPr>
          <w:bCs/>
          <w:sz w:val="22"/>
          <w:szCs w:val="22"/>
        </w:rPr>
        <w:t xml:space="preserve"> předloženou na </w:t>
      </w:r>
      <w:r w:rsidR="00260CA3">
        <w:rPr>
          <w:bCs/>
          <w:sz w:val="22"/>
          <w:szCs w:val="22"/>
        </w:rPr>
        <w:t>patnáctém</w:t>
      </w:r>
      <w:r w:rsidRPr="00BE334C">
        <w:rPr>
          <w:bCs/>
          <w:sz w:val="22"/>
          <w:szCs w:val="22"/>
        </w:rPr>
        <w:t xml:space="preserve"> jednání Monitorovacího výboru </w:t>
      </w:r>
      <w:r w:rsidR="00C93494">
        <w:rPr>
          <w:bCs/>
          <w:sz w:val="22"/>
          <w:szCs w:val="22"/>
        </w:rPr>
        <w:t>IOP</w:t>
      </w:r>
      <w:r w:rsidRPr="00BE334C">
        <w:rPr>
          <w:bCs/>
          <w:sz w:val="22"/>
          <w:szCs w:val="22"/>
        </w:rPr>
        <w:t xml:space="preserve">, které se uskutečnilo dne </w:t>
      </w:r>
      <w:r w:rsidR="00260CA3">
        <w:rPr>
          <w:bCs/>
          <w:sz w:val="22"/>
          <w:szCs w:val="22"/>
        </w:rPr>
        <w:t>16</w:t>
      </w:r>
      <w:r>
        <w:rPr>
          <w:bCs/>
          <w:sz w:val="22"/>
          <w:szCs w:val="22"/>
        </w:rPr>
        <w:t>.</w:t>
      </w:r>
      <w:r w:rsidR="00260CA3">
        <w:rPr>
          <w:bCs/>
          <w:sz w:val="22"/>
          <w:szCs w:val="22"/>
        </w:rPr>
        <w:t>6</w:t>
      </w:r>
      <w:r w:rsidRPr="00BE334C">
        <w:rPr>
          <w:bCs/>
          <w:sz w:val="22"/>
          <w:szCs w:val="22"/>
        </w:rPr>
        <w:t xml:space="preserve"> 201</w:t>
      </w:r>
      <w:r w:rsidR="00260CA3">
        <w:rPr>
          <w:bCs/>
          <w:sz w:val="22"/>
          <w:szCs w:val="22"/>
        </w:rPr>
        <w:t>5</w:t>
      </w:r>
      <w:r w:rsidRPr="00BE334C">
        <w:rPr>
          <w:bCs/>
          <w:sz w:val="22"/>
          <w:szCs w:val="22"/>
        </w:rPr>
        <w:t>.</w:t>
      </w:r>
    </w:p>
    <w:p w:rsidR="00BE334C" w:rsidRPr="00BE334C" w:rsidRDefault="00BE334C" w:rsidP="00BE334C">
      <w:pPr>
        <w:autoSpaceDE w:val="0"/>
        <w:autoSpaceDN w:val="0"/>
        <w:adjustRightInd w:val="0"/>
        <w:spacing w:line="360" w:lineRule="auto"/>
        <w:jc w:val="both"/>
        <w:rPr>
          <w:bCs/>
          <w:sz w:val="22"/>
          <w:szCs w:val="22"/>
        </w:rPr>
      </w:pPr>
      <w:r w:rsidRPr="00BE334C">
        <w:rPr>
          <w:bCs/>
          <w:sz w:val="22"/>
          <w:szCs w:val="22"/>
        </w:rPr>
        <w:t>Tato Zpráva je vypracována v souladu s platnou verzí Metodiky monitorování programů SF a FS 2007-2013 a s Pokynem pro tvorbu Zprávy o realizaci vydané Ministerstvem pro místní rozvoj, které na základě usnesení vlády ČR č. 198 ze dne 22. února 2006 plní úlohu Národního orgánu pro koordinaci (NOK) Národního strategického referenčního rámce ČR (NSRR).</w:t>
      </w:r>
    </w:p>
    <w:p w:rsidR="00BE334C" w:rsidRPr="00BE334C" w:rsidRDefault="00BE334C" w:rsidP="00BE334C">
      <w:pPr>
        <w:autoSpaceDE w:val="0"/>
        <w:autoSpaceDN w:val="0"/>
        <w:adjustRightInd w:val="0"/>
        <w:spacing w:line="360" w:lineRule="auto"/>
        <w:jc w:val="both"/>
        <w:rPr>
          <w:bCs/>
          <w:sz w:val="22"/>
          <w:szCs w:val="22"/>
        </w:rPr>
      </w:pPr>
      <w:r w:rsidRPr="00BE334C">
        <w:rPr>
          <w:bCs/>
          <w:sz w:val="22"/>
          <w:szCs w:val="22"/>
        </w:rPr>
        <w:t xml:space="preserve">Z hlediska věcného členění obsahuje zpráva údaje o hlavních aktivitách uskutečněných od posledního zasedání MV; o implementaci programu (obtíže při realizaci programu, velké projekty, popis průběhu realizace programu, finanční provádění pomoci); o kontrolách a auditech; o realizaci technické pomoci; administrativní kapacitě; o Komunikačním plánu (plnění povinností v oblasti publicity, příklady úspěšných </w:t>
      </w:r>
      <w:r w:rsidR="00C06840">
        <w:rPr>
          <w:bCs/>
          <w:sz w:val="22"/>
          <w:szCs w:val="22"/>
        </w:rPr>
        <w:t>projektů</w:t>
      </w:r>
      <w:r w:rsidRPr="00BE334C">
        <w:rPr>
          <w:bCs/>
          <w:sz w:val="22"/>
          <w:szCs w:val="22"/>
        </w:rPr>
        <w:t>) a o plnění evaluačního plánu.</w:t>
      </w:r>
    </w:p>
    <w:p w:rsidR="00BE334C" w:rsidRPr="00BE334C" w:rsidRDefault="00BE334C" w:rsidP="00BE334C">
      <w:pPr>
        <w:autoSpaceDE w:val="0"/>
        <w:autoSpaceDN w:val="0"/>
        <w:adjustRightInd w:val="0"/>
        <w:spacing w:line="360" w:lineRule="auto"/>
        <w:jc w:val="both"/>
        <w:rPr>
          <w:bCs/>
          <w:sz w:val="22"/>
          <w:szCs w:val="22"/>
        </w:rPr>
      </w:pPr>
      <w:r w:rsidRPr="00BE334C">
        <w:rPr>
          <w:bCs/>
          <w:sz w:val="22"/>
          <w:szCs w:val="22"/>
        </w:rPr>
        <w:t>Zpráva je vypracovávána pro potřeby 1</w:t>
      </w:r>
      <w:r w:rsidR="00A03A97">
        <w:rPr>
          <w:bCs/>
          <w:sz w:val="22"/>
          <w:szCs w:val="22"/>
        </w:rPr>
        <w:t>6</w:t>
      </w:r>
      <w:r w:rsidRPr="00BE334C">
        <w:rPr>
          <w:bCs/>
          <w:sz w:val="22"/>
          <w:szCs w:val="22"/>
        </w:rPr>
        <w:t xml:space="preserve">. zasedání Monitorovacího výboru </w:t>
      </w:r>
      <w:r w:rsidR="00C06840">
        <w:rPr>
          <w:bCs/>
          <w:sz w:val="22"/>
          <w:szCs w:val="22"/>
        </w:rPr>
        <w:t xml:space="preserve">IOP </w:t>
      </w:r>
      <w:r w:rsidRPr="00BE334C">
        <w:rPr>
          <w:bCs/>
          <w:sz w:val="22"/>
          <w:szCs w:val="22"/>
        </w:rPr>
        <w:t xml:space="preserve">konaného dne </w:t>
      </w:r>
      <w:r w:rsidR="00C06840">
        <w:rPr>
          <w:bCs/>
          <w:sz w:val="22"/>
          <w:szCs w:val="22"/>
        </w:rPr>
        <w:br/>
      </w:r>
      <w:r w:rsidR="00A03A97">
        <w:rPr>
          <w:bCs/>
          <w:sz w:val="22"/>
          <w:szCs w:val="22"/>
        </w:rPr>
        <w:t>19</w:t>
      </w:r>
      <w:r w:rsidRPr="00BE334C">
        <w:rPr>
          <w:bCs/>
          <w:sz w:val="22"/>
          <w:szCs w:val="22"/>
        </w:rPr>
        <w:t xml:space="preserve">. </w:t>
      </w:r>
      <w:r w:rsidR="00A03A97">
        <w:rPr>
          <w:bCs/>
          <w:sz w:val="22"/>
          <w:szCs w:val="22"/>
        </w:rPr>
        <w:t>listopadu</w:t>
      </w:r>
      <w:r w:rsidR="00C82DD9">
        <w:rPr>
          <w:bCs/>
          <w:sz w:val="22"/>
          <w:szCs w:val="22"/>
        </w:rPr>
        <w:t xml:space="preserve"> 2015</w:t>
      </w:r>
      <w:r w:rsidRPr="00BE334C">
        <w:rPr>
          <w:bCs/>
          <w:sz w:val="22"/>
          <w:szCs w:val="22"/>
        </w:rPr>
        <w:t xml:space="preserve">. Zpráva je předkládána členům Monitorovacího výboru </w:t>
      </w:r>
      <w:r>
        <w:rPr>
          <w:bCs/>
          <w:sz w:val="22"/>
          <w:szCs w:val="22"/>
        </w:rPr>
        <w:t>IOP</w:t>
      </w:r>
      <w:r w:rsidRPr="00BE334C">
        <w:rPr>
          <w:bCs/>
          <w:sz w:val="22"/>
          <w:szCs w:val="22"/>
        </w:rPr>
        <w:t xml:space="preserve"> na vědomí.</w:t>
      </w:r>
    </w:p>
    <w:p w:rsidR="00D644B0" w:rsidRDefault="00D644B0">
      <w:pPr>
        <w:rPr>
          <w:b/>
          <w:sz w:val="28"/>
          <w:szCs w:val="28"/>
        </w:rPr>
      </w:pPr>
    </w:p>
    <w:p w:rsidR="00D644B0" w:rsidRPr="00EC247C" w:rsidRDefault="00D644B0">
      <w:pPr>
        <w:pStyle w:val="Nadpis1"/>
        <w:spacing w:before="240" w:after="60"/>
        <w:jc w:val="left"/>
        <w:rPr>
          <w:smallCaps w:val="0"/>
          <w:kern w:val="32"/>
          <w:sz w:val="32"/>
          <w:szCs w:val="32"/>
        </w:rPr>
      </w:pPr>
      <w:bookmarkStart w:id="1" w:name="_Toc433873459"/>
      <w:r w:rsidRPr="00B27700">
        <w:rPr>
          <w:smallCaps w:val="0"/>
          <w:kern w:val="32"/>
          <w:sz w:val="32"/>
          <w:szCs w:val="32"/>
        </w:rPr>
        <w:lastRenderedPageBreak/>
        <w:t>1 IDENTIFIKACE PROGRAMU</w:t>
      </w:r>
      <w:bookmarkEnd w:id="1"/>
    </w:p>
    <w:p w:rsidR="00D644B0" w:rsidRPr="0047183F" w:rsidRDefault="00D644B0" w:rsidP="00DD7E30">
      <w:pPr>
        <w:autoSpaceDE w:val="0"/>
        <w:autoSpaceDN w:val="0"/>
        <w:adjustRightInd w:val="0"/>
        <w:jc w:val="both"/>
        <w:rPr>
          <w:bCs/>
          <w:sz w:val="22"/>
          <w:szCs w:val="22"/>
        </w:rPr>
      </w:pPr>
      <w:r w:rsidRPr="0047183F">
        <w:rPr>
          <w:bCs/>
          <w:sz w:val="22"/>
          <w:szCs w:val="22"/>
        </w:rPr>
        <w:t xml:space="preserve">Integrovaný operační program je realizovaný v České republice na základě Národního strategického referenčního rámce pro programové období 2007-2013. </w:t>
      </w:r>
    </w:p>
    <w:p w:rsidR="00DD7E30" w:rsidRDefault="00DD7E30" w:rsidP="00DD7E30">
      <w:pPr>
        <w:jc w:val="both"/>
        <w:rPr>
          <w:sz w:val="22"/>
          <w:szCs w:val="22"/>
        </w:rPr>
      </w:pPr>
    </w:p>
    <w:p w:rsidR="00913B19" w:rsidRDefault="00332A7B" w:rsidP="00DD7E30">
      <w:pPr>
        <w:jc w:val="both"/>
        <w:rPr>
          <w:sz w:val="22"/>
          <w:szCs w:val="22"/>
        </w:rPr>
      </w:pPr>
      <w:r>
        <w:rPr>
          <w:sz w:val="22"/>
          <w:szCs w:val="22"/>
        </w:rPr>
        <w:t xml:space="preserve">Zvolenou strategií IOP jsou intervence na národní úrovni s celoplošným dopadem pro zvýšení kvality života obyvatel a zvýšení atraktivity ČR pro investory v důsledku zvýšení kvality efektivity </w:t>
      </w:r>
      <w:r w:rsidR="00BD3B39">
        <w:rPr>
          <w:sz w:val="22"/>
          <w:szCs w:val="22"/>
        </w:rPr>
        <w:br/>
      </w:r>
      <w:r>
        <w:rPr>
          <w:sz w:val="22"/>
          <w:szCs w:val="22"/>
        </w:rPr>
        <w:t xml:space="preserve">a dostupnosti činností veřejné správy a veřejných služeb. Vzhledem k systémovému pojetí intervencí je u vybraných oblastí potřeba, aby se jejich zaměření týkalo celého území státu, včetně hlavního města Prahy. IOP je proto nastaven jako </w:t>
      </w:r>
      <w:proofErr w:type="spellStart"/>
      <w:r>
        <w:rPr>
          <w:sz w:val="22"/>
          <w:szCs w:val="22"/>
        </w:rPr>
        <w:t>vícecílový</w:t>
      </w:r>
      <w:proofErr w:type="spellEnd"/>
      <w:r>
        <w:rPr>
          <w:sz w:val="22"/>
          <w:szCs w:val="22"/>
        </w:rPr>
        <w:t xml:space="preserve"> v souladu s článkem 32 odst. 1 obecného nařízení a na základě jednání s EK je vedle základního zaměření na podporu regionů v cíli Konvergence umožněna podpora v cíli Regionální konkurenceschopnost a zaměstnanost (</w:t>
      </w:r>
      <w:proofErr w:type="spellStart"/>
      <w:r>
        <w:rPr>
          <w:sz w:val="22"/>
          <w:szCs w:val="22"/>
        </w:rPr>
        <w:t>RKaZ</w:t>
      </w:r>
      <w:proofErr w:type="spellEnd"/>
      <w:r>
        <w:rPr>
          <w:sz w:val="22"/>
          <w:szCs w:val="22"/>
        </w:rPr>
        <w:t>).</w:t>
      </w:r>
    </w:p>
    <w:p w:rsidR="00DD7E30" w:rsidRDefault="00DD7E30" w:rsidP="00EA09CF">
      <w:pPr>
        <w:pStyle w:val="Tabulkanzev"/>
        <w:numPr>
          <w:ilvl w:val="0"/>
          <w:numId w:val="0"/>
        </w:numPr>
        <w:ind w:left="360" w:hanging="360"/>
      </w:pPr>
    </w:p>
    <w:p w:rsidR="00D6347A" w:rsidRDefault="004954D6" w:rsidP="00D6347A">
      <w:pPr>
        <w:pStyle w:val="Tabulkanzev"/>
        <w:rPr>
          <w:rStyle w:val="Siln"/>
        </w:rPr>
      </w:pPr>
      <w:bookmarkStart w:id="2" w:name="_Toc433873539"/>
      <w:r w:rsidRPr="005F015F">
        <w:rPr>
          <w:rStyle w:val="Siln"/>
        </w:rPr>
        <w:t>Alo</w:t>
      </w:r>
      <w:r w:rsidRPr="00EA09CF">
        <w:t>k</w:t>
      </w:r>
      <w:r w:rsidRPr="005F015F">
        <w:rPr>
          <w:rStyle w:val="Siln"/>
        </w:rPr>
        <w:t xml:space="preserve">ace podle let a Cílů (v </w:t>
      </w:r>
      <w:proofErr w:type="gramStart"/>
      <w:r w:rsidRPr="005F015F">
        <w:rPr>
          <w:rStyle w:val="Siln"/>
        </w:rPr>
        <w:t>EUR</w:t>
      </w:r>
      <w:proofErr w:type="gramEnd"/>
      <w:r w:rsidRPr="005F015F">
        <w:rPr>
          <w:rStyle w:val="Siln"/>
        </w:rPr>
        <w:t>)</w:t>
      </w:r>
      <w:bookmarkEnd w:id="2"/>
    </w:p>
    <w:tbl>
      <w:tblPr>
        <w:tblW w:w="9217" w:type="dxa"/>
        <w:tblInd w:w="93" w:type="dxa"/>
        <w:tblBorders>
          <w:top w:val="double" w:sz="6" w:space="0" w:color="1F497D" w:themeColor="text2"/>
          <w:left w:val="double" w:sz="6" w:space="0" w:color="1F497D" w:themeColor="text2"/>
          <w:bottom w:val="double" w:sz="6" w:space="0" w:color="1F497D" w:themeColor="text2"/>
          <w:right w:val="double" w:sz="6" w:space="0" w:color="1F497D" w:themeColor="text2"/>
          <w:insideH w:val="single" w:sz="6" w:space="0" w:color="1F497D" w:themeColor="text2"/>
          <w:insideV w:val="single" w:sz="6" w:space="0" w:color="1F497D" w:themeColor="text2"/>
        </w:tblBorders>
        <w:tblLook w:val="0000" w:firstRow="0" w:lastRow="0" w:firstColumn="0" w:lastColumn="0" w:noHBand="0" w:noVBand="0"/>
      </w:tblPr>
      <w:tblGrid>
        <w:gridCol w:w="2283"/>
        <w:gridCol w:w="1985"/>
        <w:gridCol w:w="2977"/>
        <w:gridCol w:w="1972"/>
      </w:tblGrid>
      <w:tr w:rsidR="00D0724A" w:rsidRPr="00B56A0A" w:rsidTr="001E09F9">
        <w:trPr>
          <w:trHeight w:val="501"/>
        </w:trPr>
        <w:tc>
          <w:tcPr>
            <w:tcW w:w="2283" w:type="dxa"/>
            <w:vMerge w:val="restart"/>
            <w:shd w:val="clear" w:color="auto" w:fill="B8CCE4" w:themeFill="accent1" w:themeFillTint="66"/>
            <w:noWrap/>
            <w:vAlign w:val="bottom"/>
          </w:tcPr>
          <w:p w:rsidR="00D0724A" w:rsidRPr="00A1200C" w:rsidRDefault="00D0724A" w:rsidP="007F5DF1">
            <w:pPr>
              <w:jc w:val="center"/>
              <w:rPr>
                <w:rFonts w:eastAsia="SimSun"/>
                <w:b/>
                <w:bCs/>
                <w:lang w:eastAsia="zh-CN"/>
              </w:rPr>
            </w:pPr>
            <w:r w:rsidRPr="00A1200C">
              <w:rPr>
                <w:rFonts w:eastAsia="SimSun"/>
                <w:b/>
                <w:bCs/>
                <w:lang w:eastAsia="zh-CN"/>
              </w:rPr>
              <w:t>Rok</w:t>
            </w:r>
          </w:p>
          <w:p w:rsidR="00D0724A" w:rsidRPr="00A1200C" w:rsidRDefault="00D0724A" w:rsidP="00A1200C">
            <w:pPr>
              <w:jc w:val="center"/>
              <w:rPr>
                <w:rFonts w:eastAsia="SimSun"/>
                <w:b/>
                <w:bCs/>
                <w:lang w:eastAsia="zh-CN"/>
              </w:rPr>
            </w:pPr>
            <w:r w:rsidRPr="00A1200C">
              <w:rPr>
                <w:rFonts w:eastAsia="SimSun"/>
                <w:b/>
                <w:bCs/>
                <w:lang w:eastAsia="zh-CN"/>
              </w:rPr>
              <w:t> </w:t>
            </w:r>
          </w:p>
        </w:tc>
        <w:tc>
          <w:tcPr>
            <w:tcW w:w="1985" w:type="dxa"/>
            <w:shd w:val="clear" w:color="auto" w:fill="B8CCE4" w:themeFill="accent1" w:themeFillTint="66"/>
            <w:vAlign w:val="bottom"/>
          </w:tcPr>
          <w:p w:rsidR="00D0724A" w:rsidRPr="00A1200C" w:rsidRDefault="00D0724A" w:rsidP="007F5DF1">
            <w:pPr>
              <w:jc w:val="center"/>
              <w:rPr>
                <w:rFonts w:eastAsia="SimSun"/>
                <w:b/>
                <w:bCs/>
                <w:lang w:eastAsia="zh-CN"/>
              </w:rPr>
            </w:pPr>
            <w:r w:rsidRPr="00A1200C">
              <w:rPr>
                <w:rFonts w:eastAsia="SimSun"/>
                <w:b/>
                <w:bCs/>
                <w:lang w:eastAsia="zh-CN"/>
              </w:rPr>
              <w:t>ERDF</w:t>
            </w:r>
          </w:p>
          <w:p w:rsidR="00D0724A" w:rsidRPr="00A1200C" w:rsidRDefault="00D0724A" w:rsidP="007F5DF1">
            <w:pPr>
              <w:jc w:val="center"/>
              <w:rPr>
                <w:rFonts w:eastAsia="SimSun"/>
                <w:b/>
                <w:bCs/>
                <w:lang w:eastAsia="zh-CN"/>
              </w:rPr>
            </w:pPr>
            <w:r w:rsidRPr="00A1200C">
              <w:rPr>
                <w:rFonts w:eastAsia="SimSun"/>
                <w:b/>
                <w:bCs/>
                <w:lang w:eastAsia="zh-CN"/>
              </w:rPr>
              <w:t>Cíl Konvergence</w:t>
            </w:r>
          </w:p>
        </w:tc>
        <w:tc>
          <w:tcPr>
            <w:tcW w:w="2977" w:type="dxa"/>
            <w:shd w:val="clear" w:color="auto" w:fill="B8CCE4" w:themeFill="accent1" w:themeFillTint="66"/>
            <w:vAlign w:val="bottom"/>
          </w:tcPr>
          <w:p w:rsidR="00D0724A" w:rsidRPr="00A1200C" w:rsidRDefault="00D0724A" w:rsidP="007F5DF1">
            <w:pPr>
              <w:jc w:val="center"/>
              <w:rPr>
                <w:rFonts w:eastAsia="SimSun"/>
                <w:b/>
                <w:bCs/>
                <w:lang w:eastAsia="zh-CN"/>
              </w:rPr>
            </w:pPr>
            <w:r w:rsidRPr="00A1200C">
              <w:rPr>
                <w:rFonts w:eastAsia="SimSun"/>
                <w:b/>
                <w:bCs/>
                <w:lang w:eastAsia="zh-CN"/>
              </w:rPr>
              <w:t>ERDF</w:t>
            </w:r>
          </w:p>
          <w:p w:rsidR="00D0724A" w:rsidRPr="00A1200C" w:rsidRDefault="00D0724A" w:rsidP="007F5DF1">
            <w:pPr>
              <w:jc w:val="center"/>
              <w:rPr>
                <w:rFonts w:eastAsia="SimSun"/>
                <w:b/>
                <w:bCs/>
                <w:lang w:eastAsia="zh-CN"/>
              </w:rPr>
            </w:pPr>
            <w:r w:rsidRPr="00A1200C">
              <w:rPr>
                <w:rFonts w:eastAsia="SimSun"/>
                <w:b/>
                <w:bCs/>
                <w:lang w:eastAsia="zh-CN"/>
              </w:rPr>
              <w:t>Cíl Konkurenceschopnost</w:t>
            </w:r>
          </w:p>
        </w:tc>
        <w:tc>
          <w:tcPr>
            <w:tcW w:w="1972" w:type="dxa"/>
            <w:shd w:val="clear" w:color="auto" w:fill="B8CCE4" w:themeFill="accent1" w:themeFillTint="66"/>
            <w:vAlign w:val="center"/>
          </w:tcPr>
          <w:p w:rsidR="00D0724A" w:rsidRPr="00A1200C" w:rsidRDefault="00D0724A" w:rsidP="007F5DF1">
            <w:pPr>
              <w:jc w:val="center"/>
              <w:rPr>
                <w:rFonts w:eastAsia="SimSun"/>
                <w:b/>
                <w:bCs/>
                <w:lang w:eastAsia="zh-CN"/>
              </w:rPr>
            </w:pPr>
            <w:r w:rsidRPr="00A1200C">
              <w:rPr>
                <w:rFonts w:eastAsia="SimSun"/>
                <w:b/>
                <w:bCs/>
                <w:lang w:eastAsia="zh-CN"/>
              </w:rPr>
              <w:t>Celkem</w:t>
            </w:r>
          </w:p>
        </w:tc>
      </w:tr>
      <w:tr w:rsidR="00D0724A" w:rsidRPr="00B56A0A" w:rsidTr="001E09F9">
        <w:trPr>
          <w:trHeight w:val="265"/>
        </w:trPr>
        <w:tc>
          <w:tcPr>
            <w:tcW w:w="2283" w:type="dxa"/>
            <w:vMerge/>
            <w:shd w:val="clear" w:color="auto" w:fill="B8CCE4" w:themeFill="accent1" w:themeFillTint="66"/>
            <w:noWrap/>
            <w:vAlign w:val="bottom"/>
          </w:tcPr>
          <w:p w:rsidR="00D0724A" w:rsidRPr="00A1200C" w:rsidRDefault="00D0724A" w:rsidP="00A1200C">
            <w:pPr>
              <w:jc w:val="center"/>
              <w:rPr>
                <w:rFonts w:eastAsia="SimSun"/>
                <w:b/>
                <w:bCs/>
                <w:lang w:eastAsia="zh-CN"/>
              </w:rPr>
            </w:pPr>
          </w:p>
        </w:tc>
        <w:tc>
          <w:tcPr>
            <w:tcW w:w="1985" w:type="dxa"/>
            <w:shd w:val="clear" w:color="auto" w:fill="B8CCE4" w:themeFill="accent1" w:themeFillTint="66"/>
            <w:noWrap/>
            <w:vAlign w:val="bottom"/>
          </w:tcPr>
          <w:p w:rsidR="00D0724A" w:rsidRPr="00A1200C" w:rsidRDefault="00D0724A" w:rsidP="00A1200C">
            <w:pPr>
              <w:jc w:val="center"/>
              <w:rPr>
                <w:rFonts w:eastAsia="SimSun"/>
                <w:b/>
                <w:bCs/>
                <w:lang w:eastAsia="zh-CN"/>
              </w:rPr>
            </w:pPr>
            <w:r w:rsidRPr="00A1200C">
              <w:rPr>
                <w:rFonts w:eastAsia="SimSun"/>
                <w:b/>
                <w:bCs/>
                <w:lang w:eastAsia="zh-CN"/>
              </w:rPr>
              <w:t>1</w:t>
            </w:r>
          </w:p>
        </w:tc>
        <w:tc>
          <w:tcPr>
            <w:tcW w:w="2977" w:type="dxa"/>
            <w:shd w:val="clear" w:color="auto" w:fill="B8CCE4" w:themeFill="accent1" w:themeFillTint="66"/>
            <w:noWrap/>
            <w:vAlign w:val="bottom"/>
          </w:tcPr>
          <w:p w:rsidR="00D0724A" w:rsidRPr="00A1200C" w:rsidRDefault="00D0724A" w:rsidP="00A1200C">
            <w:pPr>
              <w:jc w:val="center"/>
              <w:rPr>
                <w:rFonts w:eastAsia="SimSun"/>
                <w:b/>
                <w:bCs/>
                <w:lang w:eastAsia="zh-CN"/>
              </w:rPr>
            </w:pPr>
            <w:r w:rsidRPr="00A1200C">
              <w:rPr>
                <w:rFonts w:eastAsia="SimSun"/>
                <w:b/>
                <w:bCs/>
                <w:lang w:eastAsia="zh-CN"/>
              </w:rPr>
              <w:t>2</w:t>
            </w:r>
          </w:p>
        </w:tc>
        <w:tc>
          <w:tcPr>
            <w:tcW w:w="1972" w:type="dxa"/>
            <w:shd w:val="clear" w:color="auto" w:fill="B8CCE4" w:themeFill="accent1" w:themeFillTint="66"/>
            <w:noWrap/>
            <w:vAlign w:val="bottom"/>
          </w:tcPr>
          <w:p w:rsidR="00D0724A" w:rsidRPr="00A1200C" w:rsidRDefault="00D0724A" w:rsidP="00A1200C">
            <w:pPr>
              <w:jc w:val="center"/>
              <w:rPr>
                <w:rFonts w:eastAsia="SimSun"/>
                <w:b/>
                <w:bCs/>
                <w:lang w:eastAsia="zh-CN"/>
              </w:rPr>
            </w:pPr>
            <w:r w:rsidRPr="00A1200C">
              <w:rPr>
                <w:rFonts w:eastAsia="SimSun"/>
                <w:b/>
                <w:bCs/>
                <w:lang w:eastAsia="zh-CN"/>
              </w:rPr>
              <w:t>3=1+2</w:t>
            </w:r>
          </w:p>
        </w:tc>
      </w:tr>
      <w:tr w:rsidR="00A1200C" w:rsidRPr="00B96735" w:rsidTr="001E09F9">
        <w:trPr>
          <w:trHeight w:val="250"/>
        </w:trPr>
        <w:tc>
          <w:tcPr>
            <w:tcW w:w="2283" w:type="dxa"/>
            <w:noWrap/>
            <w:vAlign w:val="bottom"/>
          </w:tcPr>
          <w:p w:rsidR="00A1200C" w:rsidRPr="00A1200C" w:rsidRDefault="00A1200C" w:rsidP="007F5DF1">
            <w:pPr>
              <w:jc w:val="center"/>
              <w:rPr>
                <w:rFonts w:eastAsia="SimSun"/>
                <w:bCs/>
                <w:lang w:eastAsia="zh-CN"/>
              </w:rPr>
            </w:pPr>
            <w:r w:rsidRPr="00A1200C">
              <w:rPr>
                <w:rFonts w:eastAsia="SimSun"/>
                <w:bCs/>
                <w:lang w:eastAsia="zh-CN"/>
              </w:rPr>
              <w:t>2007</w:t>
            </w:r>
          </w:p>
        </w:tc>
        <w:tc>
          <w:tcPr>
            <w:tcW w:w="1985" w:type="dxa"/>
            <w:noWrap/>
            <w:vAlign w:val="bottom"/>
          </w:tcPr>
          <w:p w:rsidR="00A1200C" w:rsidRPr="00A1200C" w:rsidRDefault="00A1200C" w:rsidP="007F5DF1">
            <w:pPr>
              <w:jc w:val="center"/>
              <w:rPr>
                <w:rFonts w:eastAsia="SimSun"/>
                <w:bCs/>
                <w:lang w:eastAsia="zh-CN"/>
              </w:rPr>
            </w:pPr>
            <w:r w:rsidRPr="00A1200C">
              <w:rPr>
                <w:rFonts w:eastAsia="SimSun"/>
                <w:bCs/>
                <w:lang w:eastAsia="zh-CN"/>
              </w:rPr>
              <w:t>192 686 939</w:t>
            </w:r>
          </w:p>
        </w:tc>
        <w:tc>
          <w:tcPr>
            <w:tcW w:w="2977" w:type="dxa"/>
            <w:noWrap/>
            <w:vAlign w:val="bottom"/>
          </w:tcPr>
          <w:p w:rsidR="00A1200C" w:rsidRPr="00A1200C" w:rsidRDefault="00A1200C" w:rsidP="007F5DF1">
            <w:pPr>
              <w:jc w:val="center"/>
              <w:rPr>
                <w:rFonts w:eastAsia="SimSun"/>
                <w:bCs/>
                <w:lang w:eastAsia="zh-CN"/>
              </w:rPr>
            </w:pPr>
            <w:r w:rsidRPr="00A1200C">
              <w:rPr>
                <w:rFonts w:eastAsia="SimSun"/>
                <w:bCs/>
                <w:lang w:eastAsia="zh-CN"/>
              </w:rPr>
              <w:t>3 951 894</w:t>
            </w:r>
          </w:p>
        </w:tc>
        <w:tc>
          <w:tcPr>
            <w:tcW w:w="1972" w:type="dxa"/>
            <w:noWrap/>
            <w:vAlign w:val="bottom"/>
          </w:tcPr>
          <w:p w:rsidR="00A1200C" w:rsidRPr="00A1200C" w:rsidRDefault="00A1200C" w:rsidP="007F5DF1">
            <w:pPr>
              <w:jc w:val="center"/>
              <w:rPr>
                <w:rFonts w:eastAsia="SimSun"/>
                <w:bCs/>
                <w:lang w:eastAsia="zh-CN"/>
              </w:rPr>
            </w:pPr>
            <w:r w:rsidRPr="00A1200C">
              <w:rPr>
                <w:rFonts w:eastAsia="SimSun"/>
                <w:bCs/>
                <w:lang w:eastAsia="zh-CN"/>
              </w:rPr>
              <w:t>196 638 833</w:t>
            </w:r>
          </w:p>
        </w:tc>
      </w:tr>
      <w:tr w:rsidR="00A1200C" w:rsidRPr="00B96735" w:rsidTr="001E09F9">
        <w:trPr>
          <w:trHeight w:val="250"/>
        </w:trPr>
        <w:tc>
          <w:tcPr>
            <w:tcW w:w="2283" w:type="dxa"/>
            <w:noWrap/>
            <w:vAlign w:val="bottom"/>
          </w:tcPr>
          <w:p w:rsidR="00A1200C" w:rsidRPr="00A1200C" w:rsidRDefault="00A1200C" w:rsidP="007F5DF1">
            <w:pPr>
              <w:jc w:val="center"/>
              <w:rPr>
                <w:rFonts w:eastAsia="SimSun"/>
                <w:bCs/>
                <w:lang w:eastAsia="zh-CN"/>
              </w:rPr>
            </w:pPr>
            <w:r w:rsidRPr="00A1200C">
              <w:rPr>
                <w:rFonts w:eastAsia="SimSun"/>
                <w:bCs/>
                <w:lang w:eastAsia="zh-CN"/>
              </w:rPr>
              <w:t>2008</w:t>
            </w:r>
          </w:p>
        </w:tc>
        <w:tc>
          <w:tcPr>
            <w:tcW w:w="1985" w:type="dxa"/>
            <w:noWrap/>
            <w:vAlign w:val="bottom"/>
          </w:tcPr>
          <w:p w:rsidR="00A1200C" w:rsidRPr="00A1200C" w:rsidRDefault="00A1200C" w:rsidP="007F5DF1">
            <w:pPr>
              <w:jc w:val="center"/>
              <w:rPr>
                <w:rFonts w:eastAsia="SimSun"/>
                <w:bCs/>
                <w:lang w:eastAsia="zh-CN"/>
              </w:rPr>
            </w:pPr>
            <w:r w:rsidRPr="00A1200C">
              <w:rPr>
                <w:rFonts w:eastAsia="SimSun"/>
                <w:bCs/>
                <w:lang w:eastAsia="zh-CN"/>
              </w:rPr>
              <w:t>202 164 946</w:t>
            </w:r>
          </w:p>
        </w:tc>
        <w:tc>
          <w:tcPr>
            <w:tcW w:w="2977" w:type="dxa"/>
            <w:noWrap/>
            <w:vAlign w:val="bottom"/>
          </w:tcPr>
          <w:p w:rsidR="00A1200C" w:rsidRPr="00A1200C" w:rsidRDefault="00A1200C" w:rsidP="007F5DF1">
            <w:pPr>
              <w:jc w:val="center"/>
              <w:rPr>
                <w:rFonts w:eastAsia="SimSun"/>
                <w:bCs/>
                <w:lang w:eastAsia="zh-CN"/>
              </w:rPr>
            </w:pPr>
            <w:r w:rsidRPr="00A1200C">
              <w:rPr>
                <w:rFonts w:eastAsia="SimSun"/>
                <w:bCs/>
                <w:lang w:eastAsia="zh-CN"/>
              </w:rPr>
              <w:t>4 030 931</w:t>
            </w:r>
          </w:p>
        </w:tc>
        <w:tc>
          <w:tcPr>
            <w:tcW w:w="1972" w:type="dxa"/>
            <w:noWrap/>
            <w:vAlign w:val="bottom"/>
          </w:tcPr>
          <w:p w:rsidR="00A1200C" w:rsidRPr="00A1200C" w:rsidRDefault="00A1200C" w:rsidP="007F5DF1">
            <w:pPr>
              <w:jc w:val="center"/>
              <w:rPr>
                <w:rFonts w:eastAsia="SimSun"/>
                <w:bCs/>
                <w:lang w:eastAsia="zh-CN"/>
              </w:rPr>
            </w:pPr>
            <w:r w:rsidRPr="00A1200C">
              <w:rPr>
                <w:rFonts w:eastAsia="SimSun"/>
                <w:bCs/>
                <w:lang w:eastAsia="zh-CN"/>
              </w:rPr>
              <w:t>206 195 877</w:t>
            </w:r>
          </w:p>
        </w:tc>
      </w:tr>
      <w:tr w:rsidR="00A1200C" w:rsidRPr="00B96735" w:rsidTr="001E09F9">
        <w:trPr>
          <w:trHeight w:val="250"/>
        </w:trPr>
        <w:tc>
          <w:tcPr>
            <w:tcW w:w="2283" w:type="dxa"/>
            <w:noWrap/>
            <w:vAlign w:val="bottom"/>
          </w:tcPr>
          <w:p w:rsidR="00A1200C" w:rsidRPr="00A1200C" w:rsidRDefault="00A1200C" w:rsidP="007F5DF1">
            <w:pPr>
              <w:jc w:val="center"/>
              <w:rPr>
                <w:rFonts w:eastAsia="SimSun"/>
                <w:bCs/>
                <w:lang w:eastAsia="zh-CN"/>
              </w:rPr>
            </w:pPr>
            <w:r w:rsidRPr="00A1200C">
              <w:rPr>
                <w:rFonts w:eastAsia="SimSun"/>
                <w:bCs/>
                <w:lang w:eastAsia="zh-CN"/>
              </w:rPr>
              <w:t>2009</w:t>
            </w:r>
          </w:p>
        </w:tc>
        <w:tc>
          <w:tcPr>
            <w:tcW w:w="1985" w:type="dxa"/>
            <w:noWrap/>
            <w:vAlign w:val="bottom"/>
          </w:tcPr>
          <w:p w:rsidR="00A1200C" w:rsidRPr="00A1200C" w:rsidRDefault="00A1200C" w:rsidP="007F5DF1">
            <w:pPr>
              <w:jc w:val="center"/>
              <w:rPr>
                <w:rFonts w:eastAsia="SimSun"/>
                <w:bCs/>
                <w:lang w:eastAsia="zh-CN"/>
              </w:rPr>
            </w:pPr>
            <w:r w:rsidRPr="00A1200C">
              <w:rPr>
                <w:rFonts w:eastAsia="SimSun"/>
                <w:bCs/>
                <w:lang w:eastAsia="zh-CN"/>
              </w:rPr>
              <w:t>211 684 389</w:t>
            </w:r>
          </w:p>
        </w:tc>
        <w:tc>
          <w:tcPr>
            <w:tcW w:w="2977" w:type="dxa"/>
            <w:noWrap/>
            <w:vAlign w:val="bottom"/>
          </w:tcPr>
          <w:p w:rsidR="00A1200C" w:rsidRPr="00A1200C" w:rsidRDefault="00A1200C" w:rsidP="007F5DF1">
            <w:pPr>
              <w:jc w:val="center"/>
              <w:rPr>
                <w:rFonts w:eastAsia="SimSun"/>
                <w:bCs/>
                <w:lang w:eastAsia="zh-CN"/>
              </w:rPr>
            </w:pPr>
            <w:r w:rsidRPr="00A1200C">
              <w:rPr>
                <w:rFonts w:eastAsia="SimSun"/>
                <w:bCs/>
                <w:lang w:eastAsia="zh-CN"/>
              </w:rPr>
              <w:t>4 111 551</w:t>
            </w:r>
          </w:p>
        </w:tc>
        <w:tc>
          <w:tcPr>
            <w:tcW w:w="1972" w:type="dxa"/>
            <w:noWrap/>
            <w:vAlign w:val="bottom"/>
          </w:tcPr>
          <w:p w:rsidR="00A1200C" w:rsidRPr="00A1200C" w:rsidRDefault="00A1200C" w:rsidP="007F5DF1">
            <w:pPr>
              <w:jc w:val="center"/>
              <w:rPr>
                <w:rFonts w:eastAsia="SimSun"/>
                <w:bCs/>
                <w:lang w:eastAsia="zh-CN"/>
              </w:rPr>
            </w:pPr>
            <w:r w:rsidRPr="00A1200C">
              <w:rPr>
                <w:rFonts w:eastAsia="SimSun"/>
                <w:bCs/>
                <w:lang w:eastAsia="zh-CN"/>
              </w:rPr>
              <w:t>215 795 940</w:t>
            </w:r>
          </w:p>
        </w:tc>
      </w:tr>
      <w:tr w:rsidR="00A1200C" w:rsidRPr="00B96735" w:rsidTr="001E09F9">
        <w:trPr>
          <w:trHeight w:val="250"/>
        </w:trPr>
        <w:tc>
          <w:tcPr>
            <w:tcW w:w="2283" w:type="dxa"/>
            <w:noWrap/>
            <w:vAlign w:val="bottom"/>
          </w:tcPr>
          <w:p w:rsidR="00A1200C" w:rsidRPr="00A1200C" w:rsidRDefault="00A1200C" w:rsidP="007F5DF1">
            <w:pPr>
              <w:jc w:val="center"/>
              <w:rPr>
                <w:rFonts w:eastAsia="SimSun"/>
                <w:bCs/>
                <w:lang w:eastAsia="zh-CN"/>
              </w:rPr>
            </w:pPr>
            <w:r w:rsidRPr="00A1200C">
              <w:rPr>
                <w:rFonts w:eastAsia="SimSun"/>
                <w:bCs/>
                <w:lang w:eastAsia="zh-CN"/>
              </w:rPr>
              <w:t>2010</w:t>
            </w:r>
          </w:p>
        </w:tc>
        <w:tc>
          <w:tcPr>
            <w:tcW w:w="1985" w:type="dxa"/>
            <w:noWrap/>
            <w:vAlign w:val="bottom"/>
          </w:tcPr>
          <w:p w:rsidR="00A1200C" w:rsidRPr="00A1200C" w:rsidRDefault="00A1200C" w:rsidP="007F5DF1">
            <w:pPr>
              <w:jc w:val="center"/>
              <w:rPr>
                <w:rFonts w:eastAsia="SimSun"/>
                <w:bCs/>
                <w:lang w:eastAsia="zh-CN"/>
              </w:rPr>
            </w:pPr>
            <w:r w:rsidRPr="00A1200C">
              <w:rPr>
                <w:rFonts w:eastAsia="SimSun"/>
                <w:bCs/>
                <w:lang w:eastAsia="zh-CN"/>
              </w:rPr>
              <w:t>221 648 970</w:t>
            </w:r>
          </w:p>
        </w:tc>
        <w:tc>
          <w:tcPr>
            <w:tcW w:w="2977" w:type="dxa"/>
            <w:noWrap/>
            <w:vAlign w:val="bottom"/>
          </w:tcPr>
          <w:p w:rsidR="00A1200C" w:rsidRPr="00A1200C" w:rsidRDefault="00A1200C" w:rsidP="007F5DF1">
            <w:pPr>
              <w:jc w:val="center"/>
              <w:rPr>
                <w:rFonts w:eastAsia="SimSun"/>
                <w:bCs/>
                <w:lang w:eastAsia="zh-CN"/>
              </w:rPr>
            </w:pPr>
            <w:r w:rsidRPr="00A1200C">
              <w:rPr>
                <w:rFonts w:eastAsia="SimSun"/>
                <w:bCs/>
                <w:lang w:eastAsia="zh-CN"/>
              </w:rPr>
              <w:t>2 635 524</w:t>
            </w:r>
          </w:p>
        </w:tc>
        <w:tc>
          <w:tcPr>
            <w:tcW w:w="1972" w:type="dxa"/>
            <w:noWrap/>
            <w:vAlign w:val="bottom"/>
          </w:tcPr>
          <w:p w:rsidR="00A1200C" w:rsidRPr="00A1200C" w:rsidRDefault="00A1200C" w:rsidP="007F5DF1">
            <w:pPr>
              <w:jc w:val="center"/>
              <w:rPr>
                <w:rFonts w:eastAsia="SimSun"/>
                <w:bCs/>
                <w:lang w:eastAsia="zh-CN"/>
              </w:rPr>
            </w:pPr>
            <w:r w:rsidRPr="00A1200C">
              <w:rPr>
                <w:rFonts w:eastAsia="SimSun"/>
                <w:bCs/>
                <w:lang w:eastAsia="zh-CN"/>
              </w:rPr>
              <w:t>224 284 494</w:t>
            </w:r>
          </w:p>
        </w:tc>
      </w:tr>
      <w:tr w:rsidR="00A1200C" w:rsidRPr="00B96735" w:rsidTr="001E09F9">
        <w:trPr>
          <w:trHeight w:val="250"/>
        </w:trPr>
        <w:tc>
          <w:tcPr>
            <w:tcW w:w="2283" w:type="dxa"/>
            <w:noWrap/>
            <w:vAlign w:val="bottom"/>
          </w:tcPr>
          <w:p w:rsidR="00A1200C" w:rsidRPr="00A1200C" w:rsidRDefault="00A1200C" w:rsidP="007F5DF1">
            <w:pPr>
              <w:jc w:val="center"/>
              <w:rPr>
                <w:rFonts w:eastAsia="SimSun"/>
                <w:bCs/>
                <w:lang w:eastAsia="zh-CN"/>
              </w:rPr>
            </w:pPr>
            <w:r w:rsidRPr="00A1200C">
              <w:rPr>
                <w:rFonts w:eastAsia="SimSun"/>
                <w:bCs/>
                <w:lang w:eastAsia="zh-CN"/>
              </w:rPr>
              <w:t>2011</w:t>
            </w:r>
          </w:p>
        </w:tc>
        <w:tc>
          <w:tcPr>
            <w:tcW w:w="1985" w:type="dxa"/>
            <w:noWrap/>
            <w:vAlign w:val="bottom"/>
          </w:tcPr>
          <w:p w:rsidR="00A1200C" w:rsidRPr="00A1200C" w:rsidRDefault="00A1200C" w:rsidP="007F5DF1">
            <w:pPr>
              <w:jc w:val="center"/>
              <w:rPr>
                <w:rFonts w:eastAsia="SimSun"/>
                <w:bCs/>
                <w:lang w:eastAsia="zh-CN"/>
              </w:rPr>
            </w:pPr>
            <w:r w:rsidRPr="00A1200C">
              <w:rPr>
                <w:rFonts w:eastAsia="SimSun"/>
                <w:bCs/>
                <w:lang w:eastAsia="zh-CN"/>
              </w:rPr>
              <w:t>237 465 225</w:t>
            </w:r>
          </w:p>
        </w:tc>
        <w:tc>
          <w:tcPr>
            <w:tcW w:w="2977" w:type="dxa"/>
            <w:noWrap/>
            <w:vAlign w:val="bottom"/>
          </w:tcPr>
          <w:p w:rsidR="00A1200C" w:rsidRPr="00A1200C" w:rsidRDefault="00A1200C" w:rsidP="007F5DF1">
            <w:pPr>
              <w:jc w:val="center"/>
              <w:rPr>
                <w:rFonts w:eastAsia="SimSun"/>
                <w:bCs/>
                <w:lang w:eastAsia="zh-CN"/>
              </w:rPr>
            </w:pPr>
            <w:r w:rsidRPr="00A1200C">
              <w:rPr>
                <w:rFonts w:eastAsia="SimSun"/>
                <w:bCs/>
                <w:lang w:eastAsia="zh-CN"/>
              </w:rPr>
              <w:t>4 277 657</w:t>
            </w:r>
          </w:p>
        </w:tc>
        <w:tc>
          <w:tcPr>
            <w:tcW w:w="1972" w:type="dxa"/>
            <w:noWrap/>
            <w:vAlign w:val="bottom"/>
          </w:tcPr>
          <w:p w:rsidR="00A1200C" w:rsidRPr="00A1200C" w:rsidRDefault="00A1200C" w:rsidP="007F5DF1">
            <w:pPr>
              <w:jc w:val="center"/>
              <w:rPr>
                <w:rFonts w:eastAsia="SimSun"/>
                <w:bCs/>
                <w:lang w:eastAsia="zh-CN"/>
              </w:rPr>
            </w:pPr>
            <w:r w:rsidRPr="00A1200C">
              <w:rPr>
                <w:rFonts w:eastAsia="SimSun"/>
                <w:bCs/>
                <w:lang w:eastAsia="zh-CN"/>
              </w:rPr>
              <w:t>241 742 882</w:t>
            </w:r>
          </w:p>
        </w:tc>
      </w:tr>
      <w:tr w:rsidR="00A1200C" w:rsidRPr="00B96735" w:rsidTr="001E09F9">
        <w:trPr>
          <w:trHeight w:val="250"/>
        </w:trPr>
        <w:tc>
          <w:tcPr>
            <w:tcW w:w="2283" w:type="dxa"/>
            <w:noWrap/>
            <w:vAlign w:val="bottom"/>
          </w:tcPr>
          <w:p w:rsidR="00A1200C" w:rsidRPr="00A1200C" w:rsidRDefault="00A1200C" w:rsidP="007F5DF1">
            <w:pPr>
              <w:jc w:val="center"/>
              <w:rPr>
                <w:rFonts w:eastAsia="SimSun"/>
                <w:bCs/>
                <w:lang w:eastAsia="zh-CN"/>
              </w:rPr>
            </w:pPr>
            <w:r w:rsidRPr="00A1200C">
              <w:rPr>
                <w:rFonts w:eastAsia="SimSun"/>
                <w:bCs/>
                <w:lang w:eastAsia="zh-CN"/>
              </w:rPr>
              <w:t>2012</w:t>
            </w:r>
          </w:p>
        </w:tc>
        <w:tc>
          <w:tcPr>
            <w:tcW w:w="1985" w:type="dxa"/>
            <w:noWrap/>
            <w:vAlign w:val="bottom"/>
          </w:tcPr>
          <w:p w:rsidR="00A1200C" w:rsidRPr="00A1200C" w:rsidRDefault="00A1200C" w:rsidP="007F5DF1">
            <w:pPr>
              <w:jc w:val="center"/>
              <w:rPr>
                <w:rFonts w:eastAsia="SimSun"/>
                <w:bCs/>
                <w:lang w:eastAsia="zh-CN"/>
              </w:rPr>
            </w:pPr>
            <w:r w:rsidRPr="00A1200C">
              <w:rPr>
                <w:rFonts w:eastAsia="SimSun"/>
                <w:bCs/>
                <w:lang w:eastAsia="zh-CN"/>
              </w:rPr>
              <w:t>247 398 119</w:t>
            </w:r>
          </w:p>
        </w:tc>
        <w:tc>
          <w:tcPr>
            <w:tcW w:w="2977" w:type="dxa"/>
            <w:noWrap/>
            <w:vAlign w:val="bottom"/>
          </w:tcPr>
          <w:p w:rsidR="00A1200C" w:rsidRPr="00A1200C" w:rsidRDefault="00D653D2" w:rsidP="007F5DF1">
            <w:pPr>
              <w:jc w:val="center"/>
              <w:rPr>
                <w:rFonts w:eastAsia="SimSun"/>
                <w:bCs/>
                <w:lang w:eastAsia="zh-CN"/>
              </w:rPr>
            </w:pPr>
            <w:r>
              <w:rPr>
                <w:rFonts w:eastAsia="SimSun"/>
                <w:bCs/>
                <w:lang w:eastAsia="zh-CN"/>
              </w:rPr>
              <w:t>2 057 180</w:t>
            </w:r>
          </w:p>
        </w:tc>
        <w:tc>
          <w:tcPr>
            <w:tcW w:w="1972" w:type="dxa"/>
            <w:noWrap/>
            <w:vAlign w:val="bottom"/>
          </w:tcPr>
          <w:p w:rsidR="00A1200C" w:rsidRPr="00A1200C" w:rsidRDefault="00D653D2" w:rsidP="007F5DF1">
            <w:pPr>
              <w:jc w:val="center"/>
              <w:rPr>
                <w:rFonts w:eastAsia="SimSun"/>
                <w:bCs/>
                <w:lang w:eastAsia="zh-CN"/>
              </w:rPr>
            </w:pPr>
            <w:r>
              <w:rPr>
                <w:rFonts w:eastAsia="SimSun"/>
                <w:bCs/>
                <w:lang w:eastAsia="zh-CN"/>
              </w:rPr>
              <w:t>249 455 299</w:t>
            </w:r>
          </w:p>
        </w:tc>
      </w:tr>
      <w:tr w:rsidR="00A1200C" w:rsidRPr="00B96735" w:rsidTr="001E09F9">
        <w:trPr>
          <w:trHeight w:val="265"/>
        </w:trPr>
        <w:tc>
          <w:tcPr>
            <w:tcW w:w="2283" w:type="dxa"/>
            <w:noWrap/>
            <w:vAlign w:val="bottom"/>
          </w:tcPr>
          <w:p w:rsidR="00A1200C" w:rsidRPr="00A1200C" w:rsidRDefault="00A1200C" w:rsidP="007F5DF1">
            <w:pPr>
              <w:jc w:val="center"/>
              <w:rPr>
                <w:rFonts w:eastAsia="SimSun"/>
                <w:bCs/>
                <w:lang w:eastAsia="zh-CN"/>
              </w:rPr>
            </w:pPr>
            <w:r w:rsidRPr="00A1200C">
              <w:rPr>
                <w:rFonts w:eastAsia="SimSun"/>
                <w:bCs/>
                <w:lang w:eastAsia="zh-CN"/>
              </w:rPr>
              <w:t>2013</w:t>
            </w:r>
          </w:p>
        </w:tc>
        <w:tc>
          <w:tcPr>
            <w:tcW w:w="1985" w:type="dxa"/>
            <w:noWrap/>
            <w:vAlign w:val="bottom"/>
          </w:tcPr>
          <w:p w:rsidR="00A1200C" w:rsidRPr="00A1200C" w:rsidRDefault="00A1200C" w:rsidP="007F5DF1">
            <w:pPr>
              <w:jc w:val="center"/>
              <w:rPr>
                <w:rFonts w:eastAsia="SimSun"/>
                <w:bCs/>
                <w:lang w:eastAsia="zh-CN"/>
              </w:rPr>
            </w:pPr>
            <w:r w:rsidRPr="00A1200C">
              <w:rPr>
                <w:rFonts w:eastAsia="SimSun"/>
                <w:bCs/>
                <w:lang w:eastAsia="zh-CN"/>
              </w:rPr>
              <w:t>278 308 099</w:t>
            </w:r>
          </w:p>
        </w:tc>
        <w:tc>
          <w:tcPr>
            <w:tcW w:w="2977" w:type="dxa"/>
            <w:noWrap/>
            <w:vAlign w:val="bottom"/>
          </w:tcPr>
          <w:p w:rsidR="00A1200C" w:rsidRPr="00A1200C" w:rsidRDefault="00A1200C" w:rsidP="007F5DF1">
            <w:pPr>
              <w:jc w:val="center"/>
              <w:rPr>
                <w:rFonts w:eastAsia="SimSun"/>
                <w:bCs/>
                <w:lang w:eastAsia="zh-CN"/>
              </w:rPr>
            </w:pPr>
            <w:r w:rsidRPr="00A1200C">
              <w:rPr>
                <w:rFonts w:eastAsia="SimSun"/>
                <w:bCs/>
                <w:lang w:eastAsia="zh-CN"/>
              </w:rPr>
              <w:t>2 736 597</w:t>
            </w:r>
          </w:p>
        </w:tc>
        <w:tc>
          <w:tcPr>
            <w:tcW w:w="1972" w:type="dxa"/>
            <w:noWrap/>
            <w:vAlign w:val="bottom"/>
          </w:tcPr>
          <w:p w:rsidR="00A1200C" w:rsidRPr="00A1200C" w:rsidRDefault="00A1200C" w:rsidP="007F5DF1">
            <w:pPr>
              <w:jc w:val="center"/>
              <w:rPr>
                <w:rFonts w:eastAsia="SimSun"/>
                <w:bCs/>
                <w:lang w:eastAsia="zh-CN"/>
              </w:rPr>
            </w:pPr>
            <w:r w:rsidRPr="00A1200C">
              <w:rPr>
                <w:rFonts w:eastAsia="SimSun"/>
                <w:bCs/>
                <w:lang w:eastAsia="zh-CN"/>
              </w:rPr>
              <w:t>281 044 696</w:t>
            </w:r>
          </w:p>
        </w:tc>
      </w:tr>
      <w:tr w:rsidR="005F6A8D" w:rsidRPr="00B56A0A" w:rsidTr="001E09F9">
        <w:trPr>
          <w:trHeight w:val="385"/>
        </w:trPr>
        <w:tc>
          <w:tcPr>
            <w:tcW w:w="2283" w:type="dxa"/>
            <w:shd w:val="clear" w:color="auto" w:fill="B8CCE4" w:themeFill="accent1" w:themeFillTint="66"/>
            <w:vAlign w:val="center"/>
          </w:tcPr>
          <w:p w:rsidR="00A1200C" w:rsidRPr="00A1200C" w:rsidRDefault="00A1200C" w:rsidP="005F6A8D">
            <w:pPr>
              <w:jc w:val="center"/>
              <w:rPr>
                <w:rFonts w:eastAsia="SimSun"/>
                <w:b/>
                <w:bCs/>
                <w:lang w:eastAsia="zh-CN"/>
              </w:rPr>
            </w:pPr>
            <w:r w:rsidRPr="00A1200C">
              <w:rPr>
                <w:rFonts w:eastAsia="SimSun"/>
                <w:b/>
                <w:bCs/>
                <w:lang w:eastAsia="zh-CN"/>
              </w:rPr>
              <w:t>Celkem</w:t>
            </w:r>
            <w:r>
              <w:rPr>
                <w:rFonts w:eastAsia="SimSun"/>
                <w:b/>
                <w:bCs/>
                <w:lang w:eastAsia="zh-CN"/>
              </w:rPr>
              <w:t xml:space="preserve"> </w:t>
            </w:r>
            <w:r w:rsidRPr="00A1200C">
              <w:rPr>
                <w:rFonts w:eastAsia="SimSun"/>
                <w:b/>
                <w:bCs/>
                <w:lang w:eastAsia="zh-CN"/>
              </w:rPr>
              <w:t>– 2007 - 2013</w:t>
            </w:r>
          </w:p>
        </w:tc>
        <w:tc>
          <w:tcPr>
            <w:tcW w:w="1985" w:type="dxa"/>
            <w:shd w:val="clear" w:color="auto" w:fill="B8CCE4" w:themeFill="accent1" w:themeFillTint="66"/>
            <w:noWrap/>
            <w:vAlign w:val="center"/>
          </w:tcPr>
          <w:p w:rsidR="00A1200C" w:rsidRPr="00A1200C" w:rsidRDefault="00A1200C" w:rsidP="005F6A8D">
            <w:pPr>
              <w:jc w:val="center"/>
              <w:rPr>
                <w:rFonts w:eastAsia="SimSun"/>
                <w:b/>
                <w:bCs/>
                <w:lang w:eastAsia="zh-CN"/>
              </w:rPr>
            </w:pPr>
            <w:r w:rsidRPr="00A1200C">
              <w:rPr>
                <w:rFonts w:eastAsia="SimSun"/>
                <w:b/>
                <w:bCs/>
                <w:lang w:eastAsia="zh-CN"/>
              </w:rPr>
              <w:t>1 591 356 687</w:t>
            </w:r>
          </w:p>
        </w:tc>
        <w:tc>
          <w:tcPr>
            <w:tcW w:w="2977" w:type="dxa"/>
            <w:shd w:val="clear" w:color="auto" w:fill="B8CCE4" w:themeFill="accent1" w:themeFillTint="66"/>
            <w:noWrap/>
            <w:vAlign w:val="center"/>
          </w:tcPr>
          <w:p w:rsidR="00A1200C" w:rsidRPr="00A1200C" w:rsidRDefault="00A1200C" w:rsidP="00D653D2">
            <w:pPr>
              <w:jc w:val="center"/>
              <w:rPr>
                <w:rFonts w:eastAsia="SimSun"/>
                <w:b/>
                <w:bCs/>
                <w:lang w:eastAsia="zh-CN"/>
              </w:rPr>
            </w:pPr>
            <w:r w:rsidRPr="00A1200C">
              <w:rPr>
                <w:rFonts w:eastAsia="SimSun"/>
                <w:b/>
                <w:bCs/>
                <w:lang w:eastAsia="zh-CN"/>
              </w:rPr>
              <w:t>2</w:t>
            </w:r>
            <w:r w:rsidR="00D653D2">
              <w:rPr>
                <w:rFonts w:eastAsia="SimSun"/>
                <w:b/>
                <w:bCs/>
                <w:lang w:eastAsia="zh-CN"/>
              </w:rPr>
              <w:t>3 801 334</w:t>
            </w:r>
          </w:p>
        </w:tc>
        <w:tc>
          <w:tcPr>
            <w:tcW w:w="1972" w:type="dxa"/>
            <w:shd w:val="clear" w:color="auto" w:fill="B8CCE4" w:themeFill="accent1" w:themeFillTint="66"/>
            <w:noWrap/>
            <w:vAlign w:val="center"/>
          </w:tcPr>
          <w:p w:rsidR="00A1200C" w:rsidRPr="00A1200C" w:rsidRDefault="00A1200C" w:rsidP="00D653D2">
            <w:pPr>
              <w:jc w:val="center"/>
              <w:rPr>
                <w:rFonts w:eastAsia="SimSun"/>
                <w:b/>
                <w:bCs/>
                <w:lang w:eastAsia="zh-CN"/>
              </w:rPr>
            </w:pPr>
            <w:r w:rsidRPr="00A1200C">
              <w:rPr>
                <w:rFonts w:eastAsia="SimSun"/>
                <w:b/>
                <w:bCs/>
                <w:lang w:eastAsia="zh-CN"/>
              </w:rPr>
              <w:t>1</w:t>
            </w:r>
            <w:r w:rsidR="00D653D2">
              <w:rPr>
                <w:rFonts w:eastAsia="SimSun"/>
                <w:b/>
                <w:bCs/>
                <w:lang w:eastAsia="zh-CN"/>
              </w:rPr>
              <w:t> 615 158 021</w:t>
            </w:r>
          </w:p>
        </w:tc>
      </w:tr>
    </w:tbl>
    <w:p w:rsidR="00EE7629" w:rsidRDefault="004954D6" w:rsidP="00AC585D">
      <w:pPr>
        <w:rPr>
          <w:i/>
          <w:sz w:val="18"/>
          <w:szCs w:val="18"/>
        </w:rPr>
      </w:pPr>
      <w:r w:rsidRPr="007722D0">
        <w:rPr>
          <w:i/>
          <w:sz w:val="18"/>
          <w:szCs w:val="18"/>
        </w:rPr>
        <w:t xml:space="preserve">Zdroj: Programový dokument, </w:t>
      </w:r>
      <w:r w:rsidR="00D653D2">
        <w:rPr>
          <w:i/>
          <w:sz w:val="18"/>
          <w:szCs w:val="18"/>
        </w:rPr>
        <w:t>2015</w:t>
      </w:r>
    </w:p>
    <w:p w:rsidR="004954D6" w:rsidRPr="007722D0" w:rsidRDefault="00EE7629" w:rsidP="00AC585D">
      <w:pPr>
        <w:rPr>
          <w:i/>
          <w:sz w:val="18"/>
          <w:szCs w:val="18"/>
        </w:rPr>
      </w:pPr>
      <w:r>
        <w:rPr>
          <w:i/>
          <w:sz w:val="18"/>
          <w:szCs w:val="18"/>
        </w:rPr>
        <w:t xml:space="preserve">Pozn.: Alokace </w:t>
      </w:r>
      <w:r w:rsidR="0085242F">
        <w:rPr>
          <w:i/>
          <w:sz w:val="18"/>
          <w:szCs w:val="18"/>
        </w:rPr>
        <w:t>vychází z programového</w:t>
      </w:r>
      <w:r>
        <w:rPr>
          <w:i/>
          <w:sz w:val="18"/>
          <w:szCs w:val="18"/>
        </w:rPr>
        <w:t xml:space="preserve"> dokumentu, který byl předložen EK ke </w:t>
      </w:r>
      <w:r w:rsidR="0085242F">
        <w:rPr>
          <w:i/>
          <w:sz w:val="18"/>
          <w:szCs w:val="18"/>
        </w:rPr>
        <w:t xml:space="preserve">schválení. </w:t>
      </w:r>
      <w:r w:rsidR="00AB1D93" w:rsidRPr="00AB1D93">
        <w:rPr>
          <w:i/>
          <w:sz w:val="18"/>
          <w:szCs w:val="18"/>
        </w:rPr>
        <w:t xml:space="preserve">Důvodem revize </w:t>
      </w:r>
      <w:r w:rsidR="00AB1D93">
        <w:rPr>
          <w:i/>
          <w:sz w:val="18"/>
          <w:szCs w:val="18"/>
        </w:rPr>
        <w:t xml:space="preserve">programového dokumentu </w:t>
      </w:r>
      <w:r w:rsidR="00AB1D93" w:rsidRPr="00AB1D93">
        <w:rPr>
          <w:i/>
          <w:sz w:val="18"/>
          <w:szCs w:val="18"/>
        </w:rPr>
        <w:t>je změna finančních tabulek provedená v souvislosti s vyčíslením částky ztráty alokace za rok 2014</w:t>
      </w:r>
      <w:r w:rsidR="00AB1D93">
        <w:rPr>
          <w:i/>
          <w:sz w:val="18"/>
          <w:szCs w:val="18"/>
        </w:rPr>
        <w:t>. K datu</w:t>
      </w:r>
      <w:r>
        <w:rPr>
          <w:i/>
          <w:sz w:val="18"/>
          <w:szCs w:val="18"/>
        </w:rPr>
        <w:t xml:space="preserve"> </w:t>
      </w:r>
      <w:r w:rsidR="00AB1D93">
        <w:rPr>
          <w:i/>
          <w:sz w:val="18"/>
          <w:szCs w:val="18"/>
        </w:rPr>
        <w:br/>
      </w:r>
      <w:r>
        <w:rPr>
          <w:i/>
          <w:sz w:val="18"/>
          <w:szCs w:val="18"/>
        </w:rPr>
        <w:t>30. 9. 2015 t</w:t>
      </w:r>
      <w:r w:rsidR="00992B3F">
        <w:rPr>
          <w:i/>
          <w:sz w:val="18"/>
          <w:szCs w:val="18"/>
        </w:rPr>
        <w:t>u</w:t>
      </w:r>
      <w:r>
        <w:rPr>
          <w:i/>
          <w:sz w:val="18"/>
          <w:szCs w:val="18"/>
        </w:rPr>
        <w:t>to verz</w:t>
      </w:r>
      <w:r w:rsidR="00992B3F">
        <w:rPr>
          <w:i/>
          <w:sz w:val="18"/>
          <w:szCs w:val="18"/>
        </w:rPr>
        <w:t>i</w:t>
      </w:r>
      <w:r>
        <w:rPr>
          <w:i/>
          <w:sz w:val="18"/>
          <w:szCs w:val="18"/>
        </w:rPr>
        <w:t xml:space="preserve"> programového dokumentu EK </w:t>
      </w:r>
      <w:r w:rsidR="00992B3F">
        <w:rPr>
          <w:i/>
          <w:sz w:val="18"/>
          <w:szCs w:val="18"/>
        </w:rPr>
        <w:t>ne</w:t>
      </w:r>
      <w:r>
        <w:rPr>
          <w:i/>
          <w:sz w:val="18"/>
          <w:szCs w:val="18"/>
        </w:rPr>
        <w:t>schvál</w:t>
      </w:r>
      <w:r w:rsidR="00992B3F">
        <w:rPr>
          <w:i/>
          <w:sz w:val="18"/>
          <w:szCs w:val="18"/>
        </w:rPr>
        <w:t>il</w:t>
      </w:r>
      <w:r>
        <w:rPr>
          <w:i/>
          <w:sz w:val="18"/>
          <w:szCs w:val="18"/>
        </w:rPr>
        <w:t xml:space="preserve">a. </w:t>
      </w:r>
    </w:p>
    <w:p w:rsidR="00DD7E30" w:rsidRDefault="00DD7E30" w:rsidP="00E51235">
      <w:pPr>
        <w:pStyle w:val="Tabulkanzev"/>
        <w:numPr>
          <w:ilvl w:val="0"/>
          <w:numId w:val="0"/>
        </w:numPr>
        <w:jc w:val="left"/>
      </w:pPr>
    </w:p>
    <w:p w:rsidR="00F15C14" w:rsidRDefault="00F15C14" w:rsidP="00F15C14">
      <w:pPr>
        <w:jc w:val="both"/>
        <w:rPr>
          <w:sz w:val="22"/>
          <w:szCs w:val="22"/>
        </w:rPr>
      </w:pPr>
      <w:r w:rsidRPr="00820225">
        <w:rPr>
          <w:sz w:val="22"/>
          <w:szCs w:val="22"/>
        </w:rPr>
        <w:t>Řídícím orgánem pro IOP bylo na základě usnesení vlády č. 175/2006 stanoveno Ministerstvo pro místní rozvoj</w:t>
      </w:r>
      <w:r>
        <w:rPr>
          <w:sz w:val="22"/>
          <w:szCs w:val="22"/>
        </w:rPr>
        <w:t xml:space="preserve"> ČR</w:t>
      </w:r>
      <w:r w:rsidRPr="00820225">
        <w:rPr>
          <w:sz w:val="22"/>
          <w:szCs w:val="22"/>
        </w:rPr>
        <w:t xml:space="preserve">. ŘO plní úkoly v souladu s  čl. 60 </w:t>
      </w:r>
      <w:r>
        <w:rPr>
          <w:sz w:val="22"/>
          <w:szCs w:val="22"/>
        </w:rPr>
        <w:t>n</w:t>
      </w:r>
      <w:r w:rsidRPr="00820225">
        <w:rPr>
          <w:sz w:val="22"/>
          <w:szCs w:val="22"/>
        </w:rPr>
        <w:t>ařízení Rady</w:t>
      </w:r>
      <w:r>
        <w:rPr>
          <w:sz w:val="22"/>
          <w:szCs w:val="22"/>
        </w:rPr>
        <w:t xml:space="preserve"> (ES)</w:t>
      </w:r>
      <w:r w:rsidRPr="00820225">
        <w:rPr>
          <w:sz w:val="22"/>
          <w:szCs w:val="22"/>
        </w:rPr>
        <w:t xml:space="preserve"> č. 1083/2006. V souladu </w:t>
      </w:r>
      <w:r w:rsidR="001D0695">
        <w:rPr>
          <w:sz w:val="22"/>
          <w:szCs w:val="22"/>
        </w:rPr>
        <w:br/>
      </w:r>
      <w:r w:rsidRPr="00820225">
        <w:rPr>
          <w:sz w:val="22"/>
          <w:szCs w:val="22"/>
        </w:rPr>
        <w:t>s čl. 59, odst. 2, resp. 42 odst. 1</w:t>
      </w:r>
      <w:r>
        <w:rPr>
          <w:sz w:val="22"/>
          <w:szCs w:val="22"/>
        </w:rPr>
        <w:t>,</w:t>
      </w:r>
      <w:r w:rsidRPr="00820225">
        <w:rPr>
          <w:sz w:val="22"/>
          <w:szCs w:val="22"/>
        </w:rPr>
        <w:t xml:space="preserve"> </w:t>
      </w:r>
      <w:r>
        <w:rPr>
          <w:sz w:val="22"/>
          <w:szCs w:val="22"/>
        </w:rPr>
        <w:t>n</w:t>
      </w:r>
      <w:r w:rsidRPr="00820225">
        <w:rPr>
          <w:sz w:val="22"/>
          <w:szCs w:val="22"/>
        </w:rPr>
        <w:t xml:space="preserve">ařízení Rady </w:t>
      </w:r>
      <w:r>
        <w:rPr>
          <w:sz w:val="22"/>
          <w:szCs w:val="22"/>
        </w:rPr>
        <w:t xml:space="preserve">(ES) </w:t>
      </w:r>
      <w:r w:rsidRPr="00820225">
        <w:rPr>
          <w:sz w:val="22"/>
          <w:szCs w:val="22"/>
        </w:rPr>
        <w:t>č. 1083/2006 deleguje ŘO některé úkoly na zprostředkující subjekty.</w:t>
      </w:r>
      <w:r w:rsidRPr="0047183F">
        <w:rPr>
          <w:sz w:val="22"/>
          <w:szCs w:val="22"/>
        </w:rPr>
        <w:t xml:space="preserve"> </w:t>
      </w:r>
    </w:p>
    <w:p w:rsidR="00F15C14" w:rsidRDefault="00F15C14" w:rsidP="00F15C14">
      <w:pPr>
        <w:jc w:val="both"/>
        <w:rPr>
          <w:sz w:val="22"/>
          <w:szCs w:val="22"/>
        </w:rPr>
      </w:pPr>
    </w:p>
    <w:p w:rsidR="00F15C14" w:rsidRPr="00702141" w:rsidRDefault="00F15C14" w:rsidP="00F15C14">
      <w:pPr>
        <w:jc w:val="both"/>
        <w:rPr>
          <w:sz w:val="22"/>
          <w:szCs w:val="22"/>
        </w:rPr>
      </w:pPr>
      <w:r w:rsidRPr="00702141">
        <w:rPr>
          <w:sz w:val="22"/>
          <w:szCs w:val="22"/>
        </w:rPr>
        <w:t>Z důvodu nedostatečné administrativní kapacity na MPSV</w:t>
      </w:r>
      <w:r w:rsidR="0042418C">
        <w:rPr>
          <w:sz w:val="22"/>
          <w:szCs w:val="22"/>
        </w:rPr>
        <w:t xml:space="preserve"> ČR</w:t>
      </w:r>
      <w:r w:rsidRPr="00702141">
        <w:rPr>
          <w:sz w:val="22"/>
          <w:szCs w:val="22"/>
        </w:rPr>
        <w:t xml:space="preserve"> a MV</w:t>
      </w:r>
      <w:r w:rsidR="0042418C">
        <w:rPr>
          <w:sz w:val="22"/>
          <w:szCs w:val="22"/>
        </w:rPr>
        <w:t xml:space="preserve"> ČR</w:t>
      </w:r>
      <w:r w:rsidRPr="00702141">
        <w:rPr>
          <w:sz w:val="22"/>
          <w:szCs w:val="22"/>
        </w:rPr>
        <w:t xml:space="preserve"> uzavřelo MMR</w:t>
      </w:r>
      <w:r w:rsidR="0042418C">
        <w:rPr>
          <w:sz w:val="22"/>
          <w:szCs w:val="22"/>
        </w:rPr>
        <w:t xml:space="preserve"> ČR</w:t>
      </w:r>
      <w:r w:rsidRPr="00702141">
        <w:rPr>
          <w:sz w:val="22"/>
          <w:szCs w:val="22"/>
        </w:rPr>
        <w:t xml:space="preserve"> v roce 2009 s</w:t>
      </w:r>
      <w:r w:rsidR="005E2ED3">
        <w:rPr>
          <w:sz w:val="22"/>
          <w:szCs w:val="22"/>
        </w:rPr>
        <w:t> </w:t>
      </w:r>
      <w:r w:rsidRPr="00702141">
        <w:rPr>
          <w:sz w:val="22"/>
          <w:szCs w:val="22"/>
        </w:rPr>
        <w:t>MPSV</w:t>
      </w:r>
      <w:r w:rsidR="005E2ED3">
        <w:rPr>
          <w:sz w:val="22"/>
          <w:szCs w:val="22"/>
        </w:rPr>
        <w:t xml:space="preserve"> ČR</w:t>
      </w:r>
      <w:r w:rsidRPr="00702141">
        <w:rPr>
          <w:sz w:val="22"/>
          <w:szCs w:val="22"/>
        </w:rPr>
        <w:t xml:space="preserve"> a MV</w:t>
      </w:r>
      <w:r w:rsidR="007B2E60">
        <w:rPr>
          <w:sz w:val="22"/>
          <w:szCs w:val="22"/>
        </w:rPr>
        <w:t xml:space="preserve"> </w:t>
      </w:r>
      <w:r w:rsidR="005E2ED3">
        <w:rPr>
          <w:sz w:val="22"/>
          <w:szCs w:val="22"/>
        </w:rPr>
        <w:t>ČR</w:t>
      </w:r>
      <w:r w:rsidRPr="00702141">
        <w:rPr>
          <w:sz w:val="22"/>
          <w:szCs w:val="22"/>
        </w:rPr>
        <w:t xml:space="preserve"> Dodatky k Dohodě o delegování úkolů Řídícího orgánu IOP. Dodatky se týkaly zapojení CRR </w:t>
      </w:r>
      <w:r w:rsidR="005E2ED3">
        <w:rPr>
          <w:sz w:val="22"/>
          <w:szCs w:val="22"/>
        </w:rPr>
        <w:t xml:space="preserve">ČR </w:t>
      </w:r>
      <w:r w:rsidRPr="00702141">
        <w:rPr>
          <w:sz w:val="22"/>
          <w:szCs w:val="22"/>
        </w:rPr>
        <w:t xml:space="preserve">do administrace projektů v oblasti intervence 2.1, 3.1, 3.3 a 3.4. </w:t>
      </w:r>
      <w:r w:rsidR="005E120B">
        <w:rPr>
          <w:sz w:val="22"/>
          <w:szCs w:val="22"/>
        </w:rPr>
        <w:br/>
      </w:r>
      <w:r w:rsidRPr="00702141">
        <w:rPr>
          <w:sz w:val="22"/>
          <w:szCs w:val="22"/>
        </w:rPr>
        <w:t xml:space="preserve">Od </w:t>
      </w:r>
      <w:r w:rsidR="00AA4E3C" w:rsidRPr="00702141">
        <w:rPr>
          <w:sz w:val="22"/>
          <w:szCs w:val="22"/>
        </w:rPr>
        <w:t>1. 7. 2012</w:t>
      </w:r>
      <w:r w:rsidRPr="00702141">
        <w:rPr>
          <w:sz w:val="22"/>
          <w:szCs w:val="22"/>
        </w:rPr>
        <w:t xml:space="preserve"> proběhla změna delegovaných činností v oblastech intervence 2.1 a 3.4. Přesunuly se zbývající administrativní činnosti z Ministerstva vnitra ČR na Ministerstvo pro místní rozvoj ČR </w:t>
      </w:r>
      <w:r w:rsidR="00B011E8">
        <w:rPr>
          <w:sz w:val="22"/>
          <w:szCs w:val="22"/>
        </w:rPr>
        <w:br/>
      </w:r>
      <w:r w:rsidRPr="00702141">
        <w:rPr>
          <w:sz w:val="22"/>
          <w:szCs w:val="22"/>
        </w:rPr>
        <w:t>a Centrum pro regionální rozvoj ČR.</w:t>
      </w:r>
    </w:p>
    <w:p w:rsidR="0045226F" w:rsidRDefault="0045226F" w:rsidP="00F15C14">
      <w:pPr>
        <w:jc w:val="both"/>
        <w:rPr>
          <w:color w:val="FF0000"/>
          <w:sz w:val="22"/>
          <w:szCs w:val="22"/>
          <w:highlight w:val="yellow"/>
        </w:rPr>
      </w:pPr>
    </w:p>
    <w:p w:rsidR="0045226F" w:rsidRPr="00C1629D" w:rsidRDefault="0045226F" w:rsidP="0045226F">
      <w:pPr>
        <w:autoSpaceDE w:val="0"/>
        <w:autoSpaceDN w:val="0"/>
        <w:adjustRightInd w:val="0"/>
        <w:spacing w:after="120"/>
        <w:jc w:val="both"/>
        <w:rPr>
          <w:sz w:val="22"/>
          <w:szCs w:val="22"/>
        </w:rPr>
      </w:pPr>
      <w:r w:rsidRPr="00C1629D">
        <w:rPr>
          <w:sz w:val="22"/>
          <w:szCs w:val="22"/>
        </w:rPr>
        <w:t xml:space="preserve">V průběhu roku 2013 byla provedena změna v Dohodě o delegování úkolů Řídícího orgánu Integrovaného operačního programu na Ministerstvo kultury </w:t>
      </w:r>
      <w:r>
        <w:rPr>
          <w:sz w:val="22"/>
          <w:szCs w:val="22"/>
        </w:rPr>
        <w:t xml:space="preserve">ČR </w:t>
      </w:r>
      <w:r w:rsidRPr="00C1629D">
        <w:rPr>
          <w:sz w:val="22"/>
          <w:szCs w:val="22"/>
        </w:rPr>
        <w:t xml:space="preserve">jako zprostředkující subjekt pro oblast intervence 5.1 </w:t>
      </w:r>
      <w:r>
        <w:rPr>
          <w:sz w:val="22"/>
          <w:szCs w:val="22"/>
        </w:rPr>
        <w:t>N</w:t>
      </w:r>
      <w:r w:rsidRPr="00C1629D">
        <w:rPr>
          <w:sz w:val="22"/>
          <w:szCs w:val="22"/>
        </w:rPr>
        <w:t>árodní podpora využití potenciálu kulturního dědictví</w:t>
      </w:r>
      <w:r>
        <w:rPr>
          <w:sz w:val="22"/>
          <w:szCs w:val="22"/>
        </w:rPr>
        <w:t xml:space="preserve">. Činnosti </w:t>
      </w:r>
      <w:r w:rsidR="00CF2D6C">
        <w:rPr>
          <w:sz w:val="22"/>
          <w:szCs w:val="22"/>
        </w:rPr>
        <w:t>MK ČR</w:t>
      </w:r>
      <w:r>
        <w:rPr>
          <w:sz w:val="22"/>
          <w:szCs w:val="22"/>
        </w:rPr>
        <w:t xml:space="preserve"> </w:t>
      </w:r>
      <w:r w:rsidRPr="00C1629D">
        <w:rPr>
          <w:sz w:val="22"/>
          <w:szCs w:val="22"/>
        </w:rPr>
        <w:t>byl</w:t>
      </w:r>
      <w:r>
        <w:rPr>
          <w:sz w:val="22"/>
          <w:szCs w:val="22"/>
        </w:rPr>
        <w:t>y</w:t>
      </w:r>
      <w:r w:rsidRPr="00C1629D">
        <w:rPr>
          <w:sz w:val="22"/>
          <w:szCs w:val="22"/>
        </w:rPr>
        <w:t xml:space="preserve"> převeden</w:t>
      </w:r>
      <w:r>
        <w:rPr>
          <w:sz w:val="22"/>
          <w:szCs w:val="22"/>
        </w:rPr>
        <w:t>y</w:t>
      </w:r>
      <w:r w:rsidRPr="00C1629D">
        <w:rPr>
          <w:sz w:val="22"/>
          <w:szCs w:val="22"/>
        </w:rPr>
        <w:t xml:space="preserve"> od </w:t>
      </w:r>
      <w:r w:rsidR="00AA4E3C" w:rsidRPr="00C1629D">
        <w:rPr>
          <w:sz w:val="22"/>
          <w:szCs w:val="22"/>
        </w:rPr>
        <w:t>1. 11. 2013</w:t>
      </w:r>
      <w:r w:rsidRPr="00C1629D">
        <w:rPr>
          <w:sz w:val="22"/>
          <w:szCs w:val="22"/>
        </w:rPr>
        <w:t xml:space="preserve"> na Ministerstvo pro místní rozvoj</w:t>
      </w:r>
      <w:r>
        <w:rPr>
          <w:sz w:val="22"/>
          <w:szCs w:val="22"/>
        </w:rPr>
        <w:t xml:space="preserve"> ČR a Centrum pro regionální rozvoj ČR</w:t>
      </w:r>
      <w:r w:rsidRPr="00C1629D">
        <w:rPr>
          <w:sz w:val="22"/>
          <w:szCs w:val="22"/>
        </w:rPr>
        <w:t xml:space="preserve">.  </w:t>
      </w:r>
    </w:p>
    <w:p w:rsidR="0045226F" w:rsidRPr="00560FE5" w:rsidRDefault="0045226F" w:rsidP="00F15C14">
      <w:pPr>
        <w:jc w:val="both"/>
        <w:rPr>
          <w:sz w:val="22"/>
          <w:szCs w:val="22"/>
          <w:highlight w:val="yellow"/>
        </w:rPr>
      </w:pPr>
    </w:p>
    <w:p w:rsidR="00F15C14" w:rsidRDefault="00F15C14" w:rsidP="00F15C14">
      <w:pPr>
        <w:jc w:val="both"/>
        <w:rPr>
          <w:sz w:val="22"/>
          <w:szCs w:val="22"/>
          <w:highlight w:val="yellow"/>
        </w:rPr>
      </w:pPr>
      <w:r w:rsidRPr="00560FE5">
        <w:rPr>
          <w:sz w:val="22"/>
          <w:szCs w:val="22"/>
          <w:highlight w:val="yellow"/>
        </w:rPr>
        <w:t xml:space="preserve"> </w:t>
      </w:r>
    </w:p>
    <w:p w:rsidR="00D619D2" w:rsidRDefault="00D619D2" w:rsidP="00F15C14">
      <w:pPr>
        <w:jc w:val="both"/>
        <w:rPr>
          <w:sz w:val="22"/>
          <w:szCs w:val="22"/>
          <w:highlight w:val="yellow"/>
        </w:rPr>
      </w:pPr>
    </w:p>
    <w:p w:rsidR="00D619D2" w:rsidRDefault="00D619D2" w:rsidP="00F15C14">
      <w:pPr>
        <w:jc w:val="both"/>
        <w:rPr>
          <w:sz w:val="22"/>
          <w:szCs w:val="22"/>
          <w:highlight w:val="yellow"/>
        </w:rPr>
      </w:pPr>
    </w:p>
    <w:p w:rsidR="00D619D2" w:rsidRDefault="00D619D2" w:rsidP="00F15C14">
      <w:pPr>
        <w:jc w:val="both"/>
        <w:rPr>
          <w:sz w:val="22"/>
          <w:szCs w:val="22"/>
          <w:highlight w:val="yellow"/>
        </w:rPr>
      </w:pPr>
    </w:p>
    <w:p w:rsidR="00D619D2" w:rsidRDefault="00D619D2" w:rsidP="00F15C14">
      <w:pPr>
        <w:jc w:val="both"/>
        <w:rPr>
          <w:sz w:val="22"/>
          <w:szCs w:val="22"/>
          <w:highlight w:val="yellow"/>
        </w:rPr>
      </w:pPr>
    </w:p>
    <w:p w:rsidR="00D619D2" w:rsidRDefault="00D619D2" w:rsidP="00F15C14">
      <w:pPr>
        <w:jc w:val="both"/>
        <w:rPr>
          <w:sz w:val="22"/>
          <w:szCs w:val="22"/>
          <w:highlight w:val="yellow"/>
        </w:rPr>
      </w:pPr>
    </w:p>
    <w:p w:rsidR="00C40CD7" w:rsidRDefault="00C40CD7" w:rsidP="00F15C14">
      <w:pPr>
        <w:jc w:val="both"/>
        <w:rPr>
          <w:sz w:val="22"/>
          <w:szCs w:val="22"/>
          <w:highlight w:val="yellow"/>
        </w:rPr>
      </w:pPr>
    </w:p>
    <w:p w:rsidR="00F15C14" w:rsidRDefault="00F15C14" w:rsidP="00F15C14">
      <w:pPr>
        <w:jc w:val="both"/>
        <w:rPr>
          <w:sz w:val="22"/>
          <w:szCs w:val="22"/>
        </w:rPr>
      </w:pPr>
      <w:r w:rsidRPr="00702141">
        <w:rPr>
          <w:sz w:val="22"/>
          <w:szCs w:val="22"/>
        </w:rPr>
        <w:lastRenderedPageBreak/>
        <w:t>Kompetence k jednotlivým oblastem intervence IOP znázorňuje následující tabulka.</w:t>
      </w:r>
    </w:p>
    <w:p w:rsidR="00DD7E30" w:rsidRDefault="00DD7E30" w:rsidP="00AC585D">
      <w:pPr>
        <w:jc w:val="both"/>
        <w:rPr>
          <w:sz w:val="22"/>
          <w:szCs w:val="22"/>
        </w:rPr>
      </w:pPr>
    </w:p>
    <w:p w:rsidR="00DD7E30" w:rsidRDefault="00DD7E30" w:rsidP="00AC585D">
      <w:pPr>
        <w:jc w:val="both"/>
        <w:rPr>
          <w:sz w:val="22"/>
          <w:szCs w:val="22"/>
        </w:rPr>
      </w:pPr>
    </w:p>
    <w:p w:rsidR="00D644B0" w:rsidRPr="005F015F" w:rsidRDefault="00D644B0" w:rsidP="004854FC">
      <w:pPr>
        <w:pStyle w:val="Tabulkanzev"/>
        <w:keepNext/>
        <w:rPr>
          <w:rStyle w:val="Siln"/>
        </w:rPr>
      </w:pPr>
      <w:bookmarkStart w:id="3" w:name="_Toc433873540"/>
      <w:r w:rsidRPr="005F015F">
        <w:rPr>
          <w:rStyle w:val="Siln"/>
        </w:rPr>
        <w:t>Zprostředkující subjekty IOP podle oblastí intervence</w:t>
      </w:r>
      <w:bookmarkEnd w:id="3"/>
    </w:p>
    <w:tbl>
      <w:tblPr>
        <w:tblW w:w="9180" w:type="dxa"/>
        <w:jc w:val="center"/>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Look w:val="0000" w:firstRow="0" w:lastRow="0" w:firstColumn="0" w:lastColumn="0" w:noHBand="0" w:noVBand="0"/>
      </w:tblPr>
      <w:tblGrid>
        <w:gridCol w:w="4928"/>
        <w:gridCol w:w="4252"/>
      </w:tblGrid>
      <w:tr w:rsidR="00D644B0" w:rsidRPr="00FE3C9B" w:rsidTr="00172F52">
        <w:trPr>
          <w:trHeight w:val="502"/>
          <w:jc w:val="center"/>
        </w:trPr>
        <w:tc>
          <w:tcPr>
            <w:tcW w:w="4928" w:type="dxa"/>
            <w:shd w:val="clear" w:color="auto" w:fill="B8CCE4" w:themeFill="accent1" w:themeFillTint="66"/>
            <w:noWrap/>
            <w:vAlign w:val="center"/>
          </w:tcPr>
          <w:p w:rsidR="00D644B0" w:rsidRPr="00FE3C9B" w:rsidRDefault="00D644B0" w:rsidP="00CB2209">
            <w:pPr>
              <w:keepNext/>
              <w:jc w:val="center"/>
              <w:rPr>
                <w:b/>
                <w:bCs/>
              </w:rPr>
            </w:pPr>
            <w:r w:rsidRPr="00FE3C9B">
              <w:rPr>
                <w:b/>
                <w:bCs/>
              </w:rPr>
              <w:t>Oblast intervence</w:t>
            </w:r>
          </w:p>
        </w:tc>
        <w:tc>
          <w:tcPr>
            <w:tcW w:w="4252" w:type="dxa"/>
            <w:shd w:val="clear" w:color="auto" w:fill="B8CCE4" w:themeFill="accent1" w:themeFillTint="66"/>
            <w:vAlign w:val="center"/>
          </w:tcPr>
          <w:p w:rsidR="00D644B0" w:rsidRPr="00FE3C9B" w:rsidRDefault="00D644B0" w:rsidP="00CB2209">
            <w:pPr>
              <w:keepNext/>
              <w:jc w:val="center"/>
              <w:rPr>
                <w:b/>
                <w:bCs/>
              </w:rPr>
            </w:pPr>
            <w:r w:rsidRPr="00FE3C9B">
              <w:rPr>
                <w:b/>
                <w:bCs/>
              </w:rPr>
              <w:t>Zprostředkující subjekt</w:t>
            </w:r>
          </w:p>
        </w:tc>
      </w:tr>
      <w:tr w:rsidR="0045226F" w:rsidRPr="00FE3C9B" w:rsidTr="001E09F9">
        <w:trPr>
          <w:trHeight w:val="250"/>
          <w:jc w:val="center"/>
        </w:trPr>
        <w:tc>
          <w:tcPr>
            <w:tcW w:w="4928" w:type="dxa"/>
            <w:noWrap/>
            <w:vAlign w:val="center"/>
          </w:tcPr>
          <w:p w:rsidR="0045226F" w:rsidRPr="00FE3C9B" w:rsidRDefault="0045226F" w:rsidP="00AC585D">
            <w:r w:rsidRPr="00F95266">
              <w:rPr>
                <w:b/>
              </w:rPr>
              <w:t>1.1 a,</w:t>
            </w:r>
            <w:r w:rsidR="005E72B0">
              <w:rPr>
                <w:b/>
              </w:rPr>
              <w:t xml:space="preserve"> </w:t>
            </w:r>
            <w:r w:rsidRPr="00F95266">
              <w:rPr>
                <w:b/>
              </w:rPr>
              <w:t>b</w:t>
            </w:r>
            <w:r w:rsidRPr="00F95266">
              <w:t xml:space="preserve"> Rozvoj informační společnosti ve veřejné správě</w:t>
            </w:r>
          </w:p>
        </w:tc>
        <w:tc>
          <w:tcPr>
            <w:tcW w:w="4252" w:type="dxa"/>
            <w:noWrap/>
            <w:vAlign w:val="center"/>
          </w:tcPr>
          <w:p w:rsidR="0045226F" w:rsidRPr="00FE3C9B" w:rsidRDefault="0045226F" w:rsidP="0029742B">
            <w:r w:rsidRPr="00F95266">
              <w:t>Ministerstvo vnitra ČR (Odbor SF)</w:t>
            </w:r>
          </w:p>
        </w:tc>
      </w:tr>
      <w:tr w:rsidR="0045226F" w:rsidRPr="00FE3C9B" w:rsidTr="001E09F9">
        <w:trPr>
          <w:trHeight w:val="250"/>
          <w:jc w:val="center"/>
        </w:trPr>
        <w:tc>
          <w:tcPr>
            <w:tcW w:w="4928" w:type="dxa"/>
            <w:noWrap/>
            <w:vAlign w:val="center"/>
          </w:tcPr>
          <w:p w:rsidR="0045226F" w:rsidRPr="00FE3C9B" w:rsidRDefault="0045226F" w:rsidP="00AC585D">
            <w:pPr>
              <w:rPr>
                <w:b/>
              </w:rPr>
            </w:pPr>
            <w:r w:rsidRPr="00F95266">
              <w:rPr>
                <w:b/>
              </w:rPr>
              <w:t>2.1</w:t>
            </w:r>
            <w:r w:rsidRPr="00F95266">
              <w:t xml:space="preserve"> Zavádění ICT v územní veřejné správě</w:t>
            </w:r>
          </w:p>
        </w:tc>
        <w:tc>
          <w:tcPr>
            <w:tcW w:w="4252" w:type="dxa"/>
            <w:noWrap/>
            <w:vAlign w:val="center"/>
          </w:tcPr>
          <w:p w:rsidR="0045226F" w:rsidRPr="00F95266" w:rsidRDefault="0045226F" w:rsidP="003C02EE">
            <w:r w:rsidRPr="00F95266">
              <w:t xml:space="preserve">Ministerstvo vnitra ČR (Odbor SF) do </w:t>
            </w:r>
            <w:r w:rsidR="00AA4E3C">
              <w:br/>
            </w:r>
            <w:r w:rsidR="00AA4E3C" w:rsidRPr="00F95266">
              <w:t>30. 6. 2012</w:t>
            </w:r>
            <w:r w:rsidRPr="00F95266">
              <w:t xml:space="preserve">, </w:t>
            </w:r>
          </w:p>
          <w:p w:rsidR="0045226F" w:rsidRPr="00FE3C9B" w:rsidRDefault="0045226F" w:rsidP="007E7BF9">
            <w:r w:rsidRPr="00F95266">
              <w:t xml:space="preserve">Centrum pro regionální rozvoj ČR od </w:t>
            </w:r>
            <w:r w:rsidR="00AA4E3C" w:rsidRPr="00F95266">
              <w:t>1. 7. 2012</w:t>
            </w:r>
          </w:p>
        </w:tc>
      </w:tr>
      <w:tr w:rsidR="0045226F" w:rsidRPr="00FE3C9B" w:rsidTr="001E09F9">
        <w:trPr>
          <w:trHeight w:val="250"/>
          <w:jc w:val="center"/>
        </w:trPr>
        <w:tc>
          <w:tcPr>
            <w:tcW w:w="4928" w:type="dxa"/>
            <w:noWrap/>
            <w:vAlign w:val="center"/>
          </w:tcPr>
          <w:p w:rsidR="0045226F" w:rsidRPr="00FE3C9B" w:rsidRDefault="0045226F" w:rsidP="00AC585D">
            <w:r w:rsidRPr="00F95266">
              <w:rPr>
                <w:b/>
              </w:rPr>
              <w:t>3.1</w:t>
            </w:r>
            <w:r w:rsidRPr="00F95266">
              <w:t xml:space="preserve"> Služby v oblasti sociální integrace</w:t>
            </w:r>
          </w:p>
        </w:tc>
        <w:tc>
          <w:tcPr>
            <w:tcW w:w="4252" w:type="dxa"/>
            <w:noWrap/>
            <w:vAlign w:val="center"/>
          </w:tcPr>
          <w:p w:rsidR="0045226F" w:rsidRPr="00F95266" w:rsidRDefault="0045226F" w:rsidP="003C02EE">
            <w:r w:rsidRPr="00F95266">
              <w:t xml:space="preserve">Ministerstvo práce a sociálních věcí ČR (Odbor implementace fondů EU a Odbor programového financování), </w:t>
            </w:r>
          </w:p>
          <w:p w:rsidR="0045226F" w:rsidRPr="00FE3C9B" w:rsidRDefault="0045226F" w:rsidP="00AC585D">
            <w:r w:rsidRPr="00F95266">
              <w:t xml:space="preserve">Centrum pro regionální rozvoj ČR </w:t>
            </w:r>
          </w:p>
        </w:tc>
      </w:tr>
      <w:tr w:rsidR="0045226F" w:rsidRPr="00FE3C9B" w:rsidTr="001E09F9">
        <w:trPr>
          <w:trHeight w:val="250"/>
          <w:jc w:val="center"/>
        </w:trPr>
        <w:tc>
          <w:tcPr>
            <w:tcW w:w="4928" w:type="dxa"/>
            <w:noWrap/>
            <w:vAlign w:val="center"/>
          </w:tcPr>
          <w:p w:rsidR="0045226F" w:rsidRPr="00FE3C9B" w:rsidRDefault="0045226F" w:rsidP="00AC585D">
            <w:r w:rsidRPr="00F95266">
              <w:rPr>
                <w:b/>
              </w:rPr>
              <w:t>3.2</w:t>
            </w:r>
            <w:r w:rsidRPr="00F95266">
              <w:t xml:space="preserve"> Služby v oblasti veřejného zdraví</w:t>
            </w:r>
          </w:p>
        </w:tc>
        <w:tc>
          <w:tcPr>
            <w:tcW w:w="4252" w:type="dxa"/>
            <w:noWrap/>
            <w:vAlign w:val="center"/>
          </w:tcPr>
          <w:p w:rsidR="0045226F" w:rsidRPr="00FE3C9B" w:rsidRDefault="0045226F" w:rsidP="00AC585D">
            <w:r w:rsidRPr="00F95266">
              <w:t>Ministerstvo zdravotnictví ČR (Odbor evropských fondů)</w:t>
            </w:r>
          </w:p>
        </w:tc>
      </w:tr>
      <w:tr w:rsidR="0045226F" w:rsidRPr="00FE3C9B" w:rsidTr="001E09F9">
        <w:trPr>
          <w:trHeight w:val="250"/>
          <w:jc w:val="center"/>
        </w:trPr>
        <w:tc>
          <w:tcPr>
            <w:tcW w:w="4928" w:type="dxa"/>
            <w:noWrap/>
            <w:vAlign w:val="center"/>
          </w:tcPr>
          <w:p w:rsidR="0045226F" w:rsidRPr="00FE3C9B" w:rsidRDefault="0045226F" w:rsidP="00AC585D">
            <w:r w:rsidRPr="00F95266">
              <w:rPr>
                <w:b/>
              </w:rPr>
              <w:t>3.3</w:t>
            </w:r>
            <w:r w:rsidRPr="00F95266">
              <w:t xml:space="preserve"> Služby v oblasti zaměstnanosti</w:t>
            </w:r>
          </w:p>
        </w:tc>
        <w:tc>
          <w:tcPr>
            <w:tcW w:w="4252" w:type="dxa"/>
            <w:noWrap/>
            <w:vAlign w:val="center"/>
          </w:tcPr>
          <w:p w:rsidR="0045226F" w:rsidRPr="00F95266" w:rsidRDefault="0045226F" w:rsidP="003C02EE">
            <w:r w:rsidRPr="00F95266">
              <w:t xml:space="preserve">Ministerstvo práce a sociálních věcí ČR (Odbor implementace fondů EU a Odbor programového financování), </w:t>
            </w:r>
          </w:p>
          <w:p w:rsidR="0045226F" w:rsidRPr="00FE3C9B" w:rsidRDefault="0045226F" w:rsidP="00AC585D">
            <w:r w:rsidRPr="00F95266">
              <w:t>Centrum pro regionální rozvoj ČR</w:t>
            </w:r>
          </w:p>
        </w:tc>
      </w:tr>
      <w:tr w:rsidR="0045226F" w:rsidRPr="00FE3C9B" w:rsidTr="001E09F9">
        <w:trPr>
          <w:trHeight w:val="250"/>
          <w:jc w:val="center"/>
        </w:trPr>
        <w:tc>
          <w:tcPr>
            <w:tcW w:w="4928" w:type="dxa"/>
            <w:noWrap/>
            <w:vAlign w:val="center"/>
          </w:tcPr>
          <w:p w:rsidR="0045226F" w:rsidRPr="00FE3C9B" w:rsidRDefault="0045226F" w:rsidP="00AC585D">
            <w:r w:rsidRPr="00F95266">
              <w:rPr>
                <w:b/>
              </w:rPr>
              <w:t>3.4</w:t>
            </w:r>
            <w:r w:rsidRPr="00F95266">
              <w:t xml:space="preserve"> Služby v oblasti bezpečnosti, prevence a řešení rizik</w:t>
            </w:r>
          </w:p>
        </w:tc>
        <w:tc>
          <w:tcPr>
            <w:tcW w:w="4252" w:type="dxa"/>
            <w:noWrap/>
            <w:vAlign w:val="center"/>
          </w:tcPr>
          <w:p w:rsidR="0045226F" w:rsidRPr="00F95266" w:rsidRDefault="0045226F" w:rsidP="003C02EE">
            <w:pPr>
              <w:jc w:val="both"/>
            </w:pPr>
            <w:r w:rsidRPr="00F95266">
              <w:t xml:space="preserve">Ministerstvo vnitra ČR (Odbor SF) do </w:t>
            </w:r>
            <w:r w:rsidR="00AA4E3C">
              <w:br/>
            </w:r>
            <w:r w:rsidR="00AA4E3C" w:rsidRPr="00F95266">
              <w:t>30. 6. 2012</w:t>
            </w:r>
            <w:r w:rsidRPr="00F95266">
              <w:t xml:space="preserve">, </w:t>
            </w:r>
          </w:p>
          <w:p w:rsidR="0045226F" w:rsidRPr="00FE3C9B" w:rsidRDefault="0045226F" w:rsidP="007E7BF9">
            <w:pPr>
              <w:jc w:val="both"/>
            </w:pPr>
            <w:r w:rsidRPr="00F95266">
              <w:t xml:space="preserve">Centrum pro regionální rozvoj ČR od </w:t>
            </w:r>
            <w:r w:rsidR="00AA4E3C" w:rsidRPr="00F95266">
              <w:t>1. 7. 2012</w:t>
            </w:r>
          </w:p>
        </w:tc>
      </w:tr>
      <w:tr w:rsidR="0045226F" w:rsidRPr="00FE3C9B" w:rsidTr="001E09F9">
        <w:trPr>
          <w:trHeight w:val="250"/>
          <w:jc w:val="center"/>
        </w:trPr>
        <w:tc>
          <w:tcPr>
            <w:tcW w:w="4928" w:type="dxa"/>
            <w:noWrap/>
            <w:vAlign w:val="center"/>
          </w:tcPr>
          <w:p w:rsidR="0045226F" w:rsidRPr="00FE3C9B" w:rsidRDefault="0045226F" w:rsidP="00AC585D">
            <w:r w:rsidRPr="00F95266">
              <w:rPr>
                <w:b/>
              </w:rPr>
              <w:t>4.1 a,</w:t>
            </w:r>
            <w:r w:rsidR="00F114D6">
              <w:rPr>
                <w:b/>
              </w:rPr>
              <w:t xml:space="preserve"> </w:t>
            </w:r>
            <w:r w:rsidRPr="00F95266">
              <w:rPr>
                <w:b/>
              </w:rPr>
              <w:t>b</w:t>
            </w:r>
            <w:r w:rsidRPr="00F95266">
              <w:t xml:space="preserve"> Národní podpora cestovního ruchu</w:t>
            </w:r>
          </w:p>
        </w:tc>
        <w:tc>
          <w:tcPr>
            <w:tcW w:w="4252" w:type="dxa"/>
            <w:noWrap/>
            <w:vAlign w:val="center"/>
          </w:tcPr>
          <w:p w:rsidR="0045226F" w:rsidRPr="00FE3C9B" w:rsidRDefault="0045226F" w:rsidP="00AC585D">
            <w:pPr>
              <w:jc w:val="both"/>
            </w:pPr>
            <w:r w:rsidRPr="00F95266">
              <w:t>Centrum pro regionální rozvoj ČR</w:t>
            </w:r>
          </w:p>
        </w:tc>
      </w:tr>
      <w:tr w:rsidR="0045226F" w:rsidRPr="00FE3C9B" w:rsidTr="001E09F9">
        <w:trPr>
          <w:trHeight w:val="265"/>
          <w:jc w:val="center"/>
        </w:trPr>
        <w:tc>
          <w:tcPr>
            <w:tcW w:w="4928" w:type="dxa"/>
            <w:noWrap/>
            <w:vAlign w:val="center"/>
          </w:tcPr>
          <w:p w:rsidR="0045226F" w:rsidRPr="00FE3C9B" w:rsidRDefault="0045226F" w:rsidP="00AC585D">
            <w:r w:rsidRPr="00F95266">
              <w:rPr>
                <w:b/>
              </w:rPr>
              <w:t>5.1</w:t>
            </w:r>
            <w:r w:rsidRPr="00F95266">
              <w:t xml:space="preserve"> Národní podpora využití potenciálu kulturního dědictví</w:t>
            </w:r>
          </w:p>
        </w:tc>
        <w:tc>
          <w:tcPr>
            <w:tcW w:w="4252" w:type="dxa"/>
            <w:noWrap/>
            <w:vAlign w:val="center"/>
          </w:tcPr>
          <w:p w:rsidR="0045226F" w:rsidRPr="00F95266" w:rsidRDefault="0045226F" w:rsidP="003C02EE">
            <w:pPr>
              <w:jc w:val="both"/>
            </w:pPr>
            <w:r w:rsidRPr="00F95266">
              <w:t xml:space="preserve">Ministerstvo kultury ČR (Odbor strategie </w:t>
            </w:r>
            <w:r w:rsidR="001D0695">
              <w:br/>
            </w:r>
            <w:r w:rsidRPr="00F95266">
              <w:t xml:space="preserve">a dotační politiky) do </w:t>
            </w:r>
            <w:r w:rsidR="00AA4E3C" w:rsidRPr="00F95266">
              <w:t>31. 10. 2013</w:t>
            </w:r>
          </w:p>
          <w:p w:rsidR="0045226F" w:rsidRPr="00FE3C9B" w:rsidRDefault="0045226F" w:rsidP="00AC585D">
            <w:pPr>
              <w:jc w:val="both"/>
            </w:pPr>
            <w:r w:rsidRPr="00F95266">
              <w:t xml:space="preserve">Centrum pro regionální rozvoj od </w:t>
            </w:r>
            <w:r w:rsidR="00AA4E3C" w:rsidRPr="00F95266">
              <w:t>1. 11. 2013</w:t>
            </w:r>
          </w:p>
        </w:tc>
      </w:tr>
      <w:tr w:rsidR="0045226F" w:rsidRPr="00FE3C9B" w:rsidTr="001E09F9">
        <w:trPr>
          <w:trHeight w:val="265"/>
          <w:jc w:val="center"/>
        </w:trPr>
        <w:tc>
          <w:tcPr>
            <w:tcW w:w="4928" w:type="dxa"/>
            <w:noWrap/>
            <w:vAlign w:val="center"/>
          </w:tcPr>
          <w:p w:rsidR="0045226F" w:rsidRPr="00FE3C9B" w:rsidRDefault="0045226F" w:rsidP="00AC585D">
            <w:r w:rsidRPr="00F95266">
              <w:rPr>
                <w:b/>
              </w:rPr>
              <w:t>5.2</w:t>
            </w:r>
            <w:r w:rsidRPr="00F95266">
              <w:t xml:space="preserve"> Zlepšení prostředí v problémových sídlištích</w:t>
            </w:r>
          </w:p>
        </w:tc>
        <w:tc>
          <w:tcPr>
            <w:tcW w:w="4252" w:type="dxa"/>
            <w:noWrap/>
            <w:vAlign w:val="center"/>
          </w:tcPr>
          <w:p w:rsidR="0045226F" w:rsidRPr="00FE3C9B" w:rsidRDefault="0045226F" w:rsidP="00AC585D">
            <w:pPr>
              <w:jc w:val="both"/>
            </w:pPr>
            <w:r w:rsidRPr="00F95266">
              <w:t>Centrum pro regionální rozvoj ČR</w:t>
            </w:r>
          </w:p>
        </w:tc>
      </w:tr>
      <w:tr w:rsidR="0045226F" w:rsidRPr="00FE3C9B" w:rsidTr="001E09F9">
        <w:trPr>
          <w:trHeight w:val="265"/>
          <w:jc w:val="center"/>
        </w:trPr>
        <w:tc>
          <w:tcPr>
            <w:tcW w:w="4928" w:type="dxa"/>
            <w:noWrap/>
            <w:vAlign w:val="center"/>
          </w:tcPr>
          <w:p w:rsidR="0045226F" w:rsidRPr="00FE3C9B" w:rsidRDefault="0045226F" w:rsidP="00AC585D">
            <w:r w:rsidRPr="00F95266">
              <w:rPr>
                <w:b/>
              </w:rPr>
              <w:t>5.3</w:t>
            </w:r>
            <w:r w:rsidRPr="00F95266">
              <w:t xml:space="preserve"> Modernizace a rozvoj systémů tvorby územních politik</w:t>
            </w:r>
          </w:p>
        </w:tc>
        <w:tc>
          <w:tcPr>
            <w:tcW w:w="4252" w:type="dxa"/>
            <w:noWrap/>
            <w:vAlign w:val="center"/>
          </w:tcPr>
          <w:p w:rsidR="0045226F" w:rsidRPr="00FE3C9B" w:rsidRDefault="0045226F" w:rsidP="00AC585D">
            <w:pPr>
              <w:jc w:val="both"/>
            </w:pPr>
            <w:r w:rsidRPr="00F95266">
              <w:t>Centrum pro regionální rozvoj ČR</w:t>
            </w:r>
          </w:p>
        </w:tc>
      </w:tr>
      <w:tr w:rsidR="0045226F" w:rsidRPr="00FE3C9B" w:rsidTr="001E09F9">
        <w:trPr>
          <w:trHeight w:val="387"/>
          <w:jc w:val="center"/>
        </w:trPr>
        <w:tc>
          <w:tcPr>
            <w:tcW w:w="4928" w:type="dxa"/>
            <w:shd w:val="clear" w:color="auto" w:fill="auto"/>
            <w:vAlign w:val="center"/>
          </w:tcPr>
          <w:p w:rsidR="00F114D6" w:rsidRDefault="0045226F" w:rsidP="00F114D6">
            <w:r w:rsidRPr="00F95266">
              <w:rPr>
                <w:b/>
              </w:rPr>
              <w:t>6.1 a,</w:t>
            </w:r>
            <w:r w:rsidR="00F114D6">
              <w:rPr>
                <w:b/>
              </w:rPr>
              <w:t xml:space="preserve"> </w:t>
            </w:r>
            <w:r w:rsidRPr="00F95266">
              <w:rPr>
                <w:b/>
              </w:rPr>
              <w:t>b</w:t>
            </w:r>
            <w:r w:rsidRPr="00F95266">
              <w:t xml:space="preserve"> Aktivity spojené s řízením IOP</w:t>
            </w:r>
          </w:p>
          <w:p w:rsidR="0045226F" w:rsidRPr="00FE3C9B" w:rsidRDefault="0045226F" w:rsidP="00F114D6">
            <w:r w:rsidRPr="00F95266">
              <w:rPr>
                <w:b/>
              </w:rPr>
              <w:t>6.2 a,</w:t>
            </w:r>
            <w:r w:rsidR="00F114D6">
              <w:rPr>
                <w:b/>
              </w:rPr>
              <w:t xml:space="preserve"> </w:t>
            </w:r>
            <w:r w:rsidRPr="00F95266">
              <w:rPr>
                <w:b/>
              </w:rPr>
              <w:t>b</w:t>
            </w:r>
            <w:r w:rsidRPr="00F95266">
              <w:t xml:space="preserve"> Ostatní náklady technické pomoci IOP</w:t>
            </w:r>
          </w:p>
        </w:tc>
        <w:tc>
          <w:tcPr>
            <w:tcW w:w="4252" w:type="dxa"/>
            <w:shd w:val="clear" w:color="auto" w:fill="auto"/>
            <w:noWrap/>
            <w:vAlign w:val="center"/>
          </w:tcPr>
          <w:p w:rsidR="0045226F" w:rsidRPr="00FE3C9B" w:rsidRDefault="0045226F">
            <w:pPr>
              <w:jc w:val="both"/>
            </w:pPr>
            <w:r w:rsidRPr="00F95266">
              <w:t>Centrum pro regionální rozvoj ČR</w:t>
            </w:r>
          </w:p>
        </w:tc>
      </w:tr>
    </w:tbl>
    <w:p w:rsidR="0034727A" w:rsidRDefault="0034727A">
      <w:pPr>
        <w:rPr>
          <w:b/>
          <w:sz w:val="24"/>
          <w:szCs w:val="24"/>
        </w:rPr>
        <w:sectPr w:rsidR="0034727A" w:rsidSect="00356E21">
          <w:headerReference w:type="default" r:id="rId16"/>
          <w:footerReference w:type="default" r:id="rId17"/>
          <w:pgSz w:w="11907" w:h="16839" w:code="9"/>
          <w:pgMar w:top="1418" w:right="1418" w:bottom="1418" w:left="1418" w:header="709" w:footer="709" w:gutter="0"/>
          <w:cols w:space="708"/>
          <w:docGrid w:linePitch="272"/>
        </w:sectPr>
      </w:pPr>
    </w:p>
    <w:p w:rsidR="00D644B0" w:rsidRPr="002C01EC" w:rsidRDefault="00D644B0" w:rsidP="0034727A">
      <w:pPr>
        <w:rPr>
          <w:smallCaps/>
          <w:kern w:val="32"/>
          <w:sz w:val="32"/>
          <w:szCs w:val="32"/>
        </w:rPr>
      </w:pPr>
      <w:r w:rsidRPr="00AC4F51">
        <w:rPr>
          <w:smallCaps/>
          <w:kern w:val="32"/>
          <w:sz w:val="32"/>
          <w:szCs w:val="32"/>
        </w:rPr>
        <w:lastRenderedPageBreak/>
        <w:t>2 PŘEHLED PROVÁDĚNÍ PROGRAMU</w:t>
      </w:r>
    </w:p>
    <w:p w:rsidR="004E3CFB" w:rsidRDefault="00D644B0">
      <w:pPr>
        <w:pStyle w:val="Nadpis2"/>
        <w:rPr>
          <w:rFonts w:ascii="Times New Roman" w:hAnsi="Times New Roman"/>
          <w:i w:val="0"/>
        </w:rPr>
      </w:pPr>
      <w:bookmarkStart w:id="4" w:name="_Toc433873460"/>
      <w:r w:rsidRPr="00B27700">
        <w:rPr>
          <w:rFonts w:ascii="Times New Roman" w:hAnsi="Times New Roman"/>
          <w:i w:val="0"/>
        </w:rPr>
        <w:t>2.1 Souhrnné tabulky o pokroku v realizaci IOP</w:t>
      </w:r>
      <w:bookmarkEnd w:id="4"/>
      <w:r w:rsidRPr="00AC4F51">
        <w:rPr>
          <w:rFonts w:ascii="Times New Roman" w:hAnsi="Times New Roman"/>
          <w:i w:val="0"/>
        </w:rPr>
        <w:t xml:space="preserve"> </w:t>
      </w:r>
    </w:p>
    <w:p w:rsidR="002C01EC" w:rsidRPr="004850DB" w:rsidRDefault="002C01EC" w:rsidP="002C01EC">
      <w:pPr>
        <w:jc w:val="both"/>
        <w:rPr>
          <w:sz w:val="22"/>
          <w:szCs w:val="22"/>
        </w:rPr>
      </w:pPr>
      <w:r w:rsidRPr="009574A2">
        <w:rPr>
          <w:sz w:val="22"/>
          <w:szCs w:val="22"/>
        </w:rPr>
        <w:t xml:space="preserve">V souladu s Pokynem NOK pro tvorbu Zprávy o realizaci jsou ve sloupci </w:t>
      </w:r>
      <w:r w:rsidRPr="009574A2">
        <w:rPr>
          <w:b/>
          <w:sz w:val="22"/>
          <w:szCs w:val="22"/>
        </w:rPr>
        <w:t>Podané žádosti</w:t>
      </w:r>
      <w:r w:rsidRPr="009574A2">
        <w:rPr>
          <w:sz w:val="22"/>
          <w:szCs w:val="22"/>
        </w:rPr>
        <w:t xml:space="preserve"> zahrnuty všechny žádosti zaregistrované v IS Monit7+IOP </w:t>
      </w:r>
      <w:r w:rsidR="00E51235">
        <w:rPr>
          <w:sz w:val="22"/>
          <w:szCs w:val="22"/>
        </w:rPr>
        <w:br/>
      </w:r>
      <w:r w:rsidRPr="009574A2">
        <w:rPr>
          <w:sz w:val="22"/>
          <w:szCs w:val="22"/>
        </w:rPr>
        <w:t>k </w:t>
      </w:r>
      <w:r w:rsidR="00C12118">
        <w:rPr>
          <w:sz w:val="22"/>
          <w:szCs w:val="22"/>
        </w:rPr>
        <w:t>30</w:t>
      </w:r>
      <w:r w:rsidR="00580858">
        <w:rPr>
          <w:sz w:val="22"/>
          <w:szCs w:val="22"/>
        </w:rPr>
        <w:t xml:space="preserve">. </w:t>
      </w:r>
      <w:r w:rsidR="00C12118">
        <w:rPr>
          <w:sz w:val="22"/>
          <w:szCs w:val="22"/>
        </w:rPr>
        <w:t>9</w:t>
      </w:r>
      <w:r w:rsidR="00580858">
        <w:rPr>
          <w:sz w:val="22"/>
          <w:szCs w:val="22"/>
        </w:rPr>
        <w:t>. 2015</w:t>
      </w:r>
      <w:r w:rsidRPr="009574A2">
        <w:rPr>
          <w:sz w:val="22"/>
          <w:szCs w:val="22"/>
        </w:rPr>
        <w:t>, tedy i vyřazen</w:t>
      </w:r>
      <w:r w:rsidR="009D2E7A">
        <w:rPr>
          <w:sz w:val="22"/>
          <w:szCs w:val="22"/>
        </w:rPr>
        <w:t>é, které</w:t>
      </w:r>
      <w:r w:rsidRPr="009574A2">
        <w:rPr>
          <w:sz w:val="22"/>
          <w:szCs w:val="22"/>
        </w:rPr>
        <w:t xml:space="preserve"> nebudou realizov</w:t>
      </w:r>
      <w:r w:rsidR="009D2E7A">
        <w:rPr>
          <w:sz w:val="22"/>
          <w:szCs w:val="22"/>
        </w:rPr>
        <w:t>a</w:t>
      </w:r>
      <w:r w:rsidRPr="009574A2">
        <w:rPr>
          <w:sz w:val="22"/>
          <w:szCs w:val="22"/>
        </w:rPr>
        <w:t>n</w:t>
      </w:r>
      <w:r w:rsidR="009D2E7A">
        <w:rPr>
          <w:sz w:val="22"/>
          <w:szCs w:val="22"/>
        </w:rPr>
        <w:t>é</w:t>
      </w:r>
      <w:r w:rsidRPr="009574A2">
        <w:rPr>
          <w:sz w:val="22"/>
          <w:szCs w:val="22"/>
        </w:rPr>
        <w:t xml:space="preserve">. </w:t>
      </w:r>
      <w:r w:rsidR="003B5F32">
        <w:rPr>
          <w:b/>
          <w:sz w:val="22"/>
          <w:szCs w:val="22"/>
        </w:rPr>
        <w:t> Prostředky kryté</w:t>
      </w:r>
      <w:r w:rsidRPr="009574A2">
        <w:rPr>
          <w:b/>
          <w:sz w:val="22"/>
          <w:szCs w:val="22"/>
        </w:rPr>
        <w:t xml:space="preserve"> Rozhodnutím/podepsanou smlouvou</w:t>
      </w:r>
      <w:r w:rsidRPr="009574A2">
        <w:rPr>
          <w:sz w:val="22"/>
          <w:szCs w:val="22"/>
        </w:rPr>
        <w:t xml:space="preserve"> představují finanční objem projektů, </w:t>
      </w:r>
      <w:r w:rsidR="009D2E7A">
        <w:rPr>
          <w:sz w:val="22"/>
          <w:szCs w:val="22"/>
        </w:rPr>
        <w:t xml:space="preserve">pro </w:t>
      </w:r>
      <w:r w:rsidRPr="009574A2">
        <w:rPr>
          <w:sz w:val="22"/>
          <w:szCs w:val="22"/>
        </w:rPr>
        <w:t>kter</w:t>
      </w:r>
      <w:r w:rsidR="009D2E7A">
        <w:rPr>
          <w:sz w:val="22"/>
          <w:szCs w:val="22"/>
        </w:rPr>
        <w:t>é</w:t>
      </w:r>
      <w:r w:rsidRPr="009574A2">
        <w:rPr>
          <w:sz w:val="22"/>
          <w:szCs w:val="22"/>
        </w:rPr>
        <w:t xml:space="preserve"> bylo vydáno Rozhodnutí o poskytnutí dotace, příp. Stanovení výdajů, </w:t>
      </w:r>
      <w:r w:rsidR="009D2E7A">
        <w:rPr>
          <w:sz w:val="22"/>
          <w:szCs w:val="22"/>
        </w:rPr>
        <w:t>a</w:t>
      </w:r>
      <w:r w:rsidRPr="009574A2">
        <w:rPr>
          <w:sz w:val="22"/>
          <w:szCs w:val="22"/>
        </w:rPr>
        <w:t xml:space="preserve"> neobsahují projekty nedokončené z důvodu odstoupení příjemce nebo </w:t>
      </w:r>
      <w:r w:rsidR="002B0ADF">
        <w:rPr>
          <w:sz w:val="22"/>
          <w:szCs w:val="22"/>
        </w:rPr>
        <w:t xml:space="preserve">rozhodnutí </w:t>
      </w:r>
      <w:r w:rsidRPr="009574A2">
        <w:rPr>
          <w:sz w:val="22"/>
          <w:szCs w:val="22"/>
        </w:rPr>
        <w:t>ŘO/ZS.</w:t>
      </w:r>
      <w:r w:rsidRPr="004850DB">
        <w:rPr>
          <w:sz w:val="22"/>
          <w:szCs w:val="22"/>
        </w:rPr>
        <w:t xml:space="preserve"> </w:t>
      </w:r>
    </w:p>
    <w:p w:rsidR="002C01EC" w:rsidRPr="004850DB" w:rsidRDefault="002C01EC" w:rsidP="002C01EC">
      <w:pPr>
        <w:jc w:val="both"/>
        <w:rPr>
          <w:sz w:val="22"/>
          <w:szCs w:val="22"/>
        </w:rPr>
      </w:pPr>
    </w:p>
    <w:p w:rsidR="002C01EC" w:rsidRDefault="002C01EC" w:rsidP="002C01EC">
      <w:pPr>
        <w:jc w:val="both"/>
        <w:rPr>
          <w:sz w:val="22"/>
          <w:szCs w:val="22"/>
        </w:rPr>
      </w:pPr>
      <w:r w:rsidRPr="009574A2">
        <w:rPr>
          <w:b/>
          <w:sz w:val="22"/>
          <w:szCs w:val="22"/>
        </w:rPr>
        <w:t>Schválenými projekty</w:t>
      </w:r>
      <w:r w:rsidRPr="009574A2">
        <w:rPr>
          <w:sz w:val="22"/>
          <w:szCs w:val="22"/>
        </w:rPr>
        <w:t xml:space="preserve"> se v této zprávě rozumí </w:t>
      </w:r>
      <w:r w:rsidRPr="009574A2">
        <w:rPr>
          <w:b/>
          <w:sz w:val="22"/>
          <w:szCs w:val="22"/>
        </w:rPr>
        <w:t>projekty s vydaným</w:t>
      </w:r>
      <w:r w:rsidRPr="009574A2">
        <w:rPr>
          <w:sz w:val="22"/>
          <w:szCs w:val="22"/>
        </w:rPr>
        <w:t xml:space="preserve"> </w:t>
      </w:r>
      <w:r w:rsidRPr="009574A2">
        <w:rPr>
          <w:b/>
          <w:sz w:val="22"/>
          <w:szCs w:val="22"/>
        </w:rPr>
        <w:t>Rozhodnutím nebo Stanovením výdajů</w:t>
      </w:r>
      <w:r w:rsidRPr="009574A2">
        <w:rPr>
          <w:sz w:val="22"/>
          <w:szCs w:val="22"/>
        </w:rPr>
        <w:t xml:space="preserve"> (uvedeno v tabulkách). V souhrnných žádostech se počítá s</w:t>
      </w:r>
      <w:r w:rsidR="003F7A08">
        <w:rPr>
          <w:sz w:val="22"/>
          <w:szCs w:val="22"/>
        </w:rPr>
        <w:t xml:space="preserve"> měnovým </w:t>
      </w:r>
      <w:r w:rsidRPr="009574A2">
        <w:rPr>
          <w:sz w:val="22"/>
          <w:szCs w:val="22"/>
        </w:rPr>
        <w:t>kurzem platným v momentě zaúčtování žádosti, u proplacených žádostí je použit kurz z </w:t>
      </w:r>
      <w:r w:rsidR="00C12118">
        <w:rPr>
          <w:sz w:val="22"/>
          <w:szCs w:val="22"/>
        </w:rPr>
        <w:t>října</w:t>
      </w:r>
      <w:r w:rsidR="00AB74F1" w:rsidRPr="008F673C">
        <w:rPr>
          <w:sz w:val="22"/>
          <w:szCs w:val="22"/>
        </w:rPr>
        <w:t xml:space="preserve"> roku</w:t>
      </w:r>
      <w:r w:rsidR="00D45FF0" w:rsidRPr="008F673C">
        <w:rPr>
          <w:sz w:val="22"/>
          <w:szCs w:val="22"/>
        </w:rPr>
        <w:t xml:space="preserve"> 2015</w:t>
      </w:r>
      <w:r w:rsidRPr="008F673C">
        <w:rPr>
          <w:sz w:val="22"/>
          <w:szCs w:val="22"/>
        </w:rPr>
        <w:t xml:space="preserve"> (tzn. 1</w:t>
      </w:r>
      <w:r w:rsidR="00A213C2" w:rsidRPr="008F673C">
        <w:rPr>
          <w:sz w:val="22"/>
          <w:szCs w:val="22"/>
        </w:rPr>
        <w:t xml:space="preserve"> </w:t>
      </w:r>
      <w:r w:rsidRPr="008F673C">
        <w:rPr>
          <w:sz w:val="22"/>
          <w:szCs w:val="22"/>
        </w:rPr>
        <w:t xml:space="preserve">EUR = </w:t>
      </w:r>
      <w:r w:rsidRPr="00EC26E5">
        <w:rPr>
          <w:sz w:val="22"/>
          <w:szCs w:val="22"/>
        </w:rPr>
        <w:t>27,</w:t>
      </w:r>
      <w:r w:rsidR="00EC26E5" w:rsidRPr="00EC26E5">
        <w:rPr>
          <w:sz w:val="22"/>
          <w:szCs w:val="22"/>
        </w:rPr>
        <w:t>208</w:t>
      </w:r>
      <w:r w:rsidR="00992B3F">
        <w:rPr>
          <w:sz w:val="22"/>
          <w:szCs w:val="22"/>
        </w:rPr>
        <w:t xml:space="preserve"> </w:t>
      </w:r>
      <w:r w:rsidRPr="00EC26E5">
        <w:rPr>
          <w:sz w:val="22"/>
          <w:szCs w:val="22"/>
        </w:rPr>
        <w:t>Kč).</w:t>
      </w:r>
    </w:p>
    <w:p w:rsidR="00634AD9" w:rsidRDefault="00634AD9" w:rsidP="002C01EC">
      <w:pPr>
        <w:jc w:val="both"/>
        <w:rPr>
          <w:sz w:val="22"/>
          <w:szCs w:val="22"/>
        </w:rPr>
      </w:pPr>
    </w:p>
    <w:p w:rsidR="00676BDD" w:rsidRPr="00676BDD" w:rsidRDefault="00FF3EFD" w:rsidP="00EF0B58">
      <w:pPr>
        <w:pStyle w:val="Tabulkanzev"/>
        <w:keepNext/>
        <w:ind w:left="1985"/>
        <w:rPr>
          <w:i/>
          <w:sz w:val="18"/>
          <w:szCs w:val="18"/>
        </w:rPr>
      </w:pPr>
      <w:bookmarkStart w:id="5" w:name="_Toc433873541"/>
      <w:r w:rsidRPr="003C11D7">
        <w:rPr>
          <w:rStyle w:val="Siln"/>
        </w:rPr>
        <w:t>Stav</w:t>
      </w:r>
      <w:r w:rsidRPr="005A6291">
        <w:rPr>
          <w:rStyle w:val="Siln"/>
        </w:rPr>
        <w:t xml:space="preserve"> čerpání IOP kumulativně k</w:t>
      </w:r>
      <w:r w:rsidR="00A84289">
        <w:rPr>
          <w:rStyle w:val="Siln"/>
        </w:rPr>
        <w:t> </w:t>
      </w:r>
      <w:r w:rsidR="00914BC7">
        <w:rPr>
          <w:rStyle w:val="Siln"/>
        </w:rPr>
        <w:t>30</w:t>
      </w:r>
      <w:r w:rsidR="00676D41">
        <w:rPr>
          <w:rStyle w:val="Siln"/>
        </w:rPr>
        <w:t xml:space="preserve">. </w:t>
      </w:r>
      <w:r w:rsidR="00914BC7">
        <w:rPr>
          <w:rStyle w:val="Siln"/>
        </w:rPr>
        <w:t>9</w:t>
      </w:r>
      <w:r w:rsidR="00676D41">
        <w:rPr>
          <w:rStyle w:val="Siln"/>
        </w:rPr>
        <w:t>. 2015</w:t>
      </w:r>
      <w:r w:rsidRPr="005A6291">
        <w:rPr>
          <w:rStyle w:val="Siln"/>
        </w:rPr>
        <w:t xml:space="preserve"> (v mil. CZK/EUR)</w:t>
      </w:r>
      <w:bookmarkEnd w:id="5"/>
    </w:p>
    <w:tbl>
      <w:tblPr>
        <w:tblW w:w="5000" w:type="pct"/>
        <w:tblCellMar>
          <w:left w:w="70" w:type="dxa"/>
          <w:right w:w="70" w:type="dxa"/>
        </w:tblCellMar>
        <w:tblLook w:val="04A0" w:firstRow="1" w:lastRow="0" w:firstColumn="1" w:lastColumn="0" w:noHBand="0" w:noVBand="1"/>
      </w:tblPr>
      <w:tblGrid>
        <w:gridCol w:w="672"/>
        <w:gridCol w:w="780"/>
        <w:gridCol w:w="700"/>
        <w:gridCol w:w="647"/>
        <w:gridCol w:w="780"/>
        <w:gridCol w:w="672"/>
        <w:gridCol w:w="700"/>
        <w:gridCol w:w="648"/>
        <w:gridCol w:w="781"/>
        <w:gridCol w:w="673"/>
        <w:gridCol w:w="701"/>
        <w:gridCol w:w="781"/>
        <w:gridCol w:w="648"/>
        <w:gridCol w:w="701"/>
        <w:gridCol w:w="781"/>
        <w:gridCol w:w="648"/>
        <w:gridCol w:w="701"/>
        <w:gridCol w:w="781"/>
        <w:gridCol w:w="648"/>
        <w:gridCol w:w="700"/>
      </w:tblGrid>
      <w:tr w:rsidR="00676BDD" w:rsidRPr="00676BDD" w:rsidTr="00DA04F7">
        <w:trPr>
          <w:trHeight w:val="630"/>
          <w:tblHeader/>
        </w:trPr>
        <w:tc>
          <w:tcPr>
            <w:tcW w:w="238" w:type="pct"/>
            <w:vMerge w:val="restart"/>
            <w:tcBorders>
              <w:top w:val="double" w:sz="6" w:space="0" w:color="1F497D"/>
              <w:left w:val="double" w:sz="6" w:space="0" w:color="1F497D"/>
              <w:bottom w:val="single" w:sz="8" w:space="0" w:color="1F497D"/>
              <w:right w:val="single" w:sz="8" w:space="0" w:color="1F497D"/>
            </w:tcBorders>
            <w:shd w:val="clear" w:color="000000" w:fill="DCE6F1"/>
            <w:vAlign w:val="center"/>
            <w:hideMark/>
          </w:tcPr>
          <w:p w:rsidR="00676BDD" w:rsidRPr="00676BDD" w:rsidRDefault="00676BDD" w:rsidP="00676BDD">
            <w:pPr>
              <w:jc w:val="center"/>
              <w:rPr>
                <w:b/>
                <w:bCs/>
                <w:color w:val="000000"/>
                <w:sz w:val="16"/>
                <w:szCs w:val="16"/>
              </w:rPr>
            </w:pPr>
            <w:r w:rsidRPr="00676BDD">
              <w:rPr>
                <w:b/>
                <w:bCs/>
                <w:color w:val="000000"/>
                <w:sz w:val="16"/>
                <w:szCs w:val="16"/>
              </w:rPr>
              <w:t>PO/OI</w:t>
            </w:r>
          </w:p>
        </w:tc>
        <w:tc>
          <w:tcPr>
            <w:tcW w:w="523" w:type="pct"/>
            <w:gridSpan w:val="2"/>
            <w:tcBorders>
              <w:top w:val="double" w:sz="6" w:space="0" w:color="1F497D"/>
              <w:left w:val="nil"/>
              <w:bottom w:val="single" w:sz="8" w:space="0" w:color="1F497D"/>
              <w:right w:val="single" w:sz="8" w:space="0" w:color="1F497D"/>
            </w:tcBorders>
            <w:shd w:val="clear" w:color="000000" w:fill="DCE6F1"/>
            <w:vAlign w:val="center"/>
            <w:hideMark/>
          </w:tcPr>
          <w:p w:rsidR="00676BDD" w:rsidRPr="00676BDD" w:rsidRDefault="00676BDD" w:rsidP="00676BDD">
            <w:pPr>
              <w:jc w:val="center"/>
              <w:rPr>
                <w:b/>
                <w:bCs/>
                <w:color w:val="000000"/>
                <w:sz w:val="16"/>
                <w:szCs w:val="16"/>
              </w:rPr>
            </w:pPr>
            <w:r w:rsidRPr="00676BDD">
              <w:rPr>
                <w:b/>
                <w:bCs/>
                <w:color w:val="000000"/>
                <w:sz w:val="16"/>
                <w:szCs w:val="16"/>
              </w:rPr>
              <w:t>Celková alokace podpory 2007-2013</w:t>
            </w:r>
          </w:p>
        </w:tc>
        <w:tc>
          <w:tcPr>
            <w:tcW w:w="991" w:type="pct"/>
            <w:gridSpan w:val="4"/>
            <w:tcBorders>
              <w:top w:val="double" w:sz="6" w:space="0" w:color="1F497D"/>
              <w:left w:val="nil"/>
              <w:bottom w:val="single" w:sz="8" w:space="0" w:color="1F497D"/>
              <w:right w:val="single" w:sz="8" w:space="0" w:color="1F497D"/>
            </w:tcBorders>
            <w:shd w:val="clear" w:color="000000" w:fill="DCE6F1"/>
            <w:vAlign w:val="center"/>
            <w:hideMark/>
          </w:tcPr>
          <w:p w:rsidR="00676BDD" w:rsidRPr="00676BDD" w:rsidRDefault="00676BDD" w:rsidP="00676BDD">
            <w:pPr>
              <w:jc w:val="center"/>
              <w:rPr>
                <w:b/>
                <w:bCs/>
                <w:color w:val="000000"/>
                <w:sz w:val="16"/>
                <w:szCs w:val="16"/>
              </w:rPr>
            </w:pPr>
            <w:r w:rsidRPr="00676BDD">
              <w:rPr>
                <w:b/>
                <w:bCs/>
                <w:color w:val="000000"/>
                <w:sz w:val="16"/>
                <w:szCs w:val="16"/>
              </w:rPr>
              <w:t>Podané žádosti</w:t>
            </w:r>
          </w:p>
        </w:tc>
        <w:tc>
          <w:tcPr>
            <w:tcW w:w="991" w:type="pct"/>
            <w:gridSpan w:val="4"/>
            <w:tcBorders>
              <w:top w:val="double" w:sz="6" w:space="0" w:color="1F497D"/>
              <w:left w:val="nil"/>
              <w:bottom w:val="single" w:sz="8" w:space="0" w:color="1F497D"/>
              <w:right w:val="single" w:sz="8" w:space="0" w:color="1F497D"/>
            </w:tcBorders>
            <w:shd w:val="clear" w:color="000000" w:fill="DCE6F1"/>
            <w:vAlign w:val="center"/>
            <w:hideMark/>
          </w:tcPr>
          <w:p w:rsidR="00676BDD" w:rsidRPr="00676BDD" w:rsidRDefault="00676BDD" w:rsidP="00676BDD">
            <w:pPr>
              <w:jc w:val="center"/>
              <w:rPr>
                <w:b/>
                <w:bCs/>
                <w:color w:val="000000"/>
                <w:sz w:val="16"/>
                <w:szCs w:val="16"/>
              </w:rPr>
            </w:pPr>
            <w:r w:rsidRPr="00676BDD">
              <w:rPr>
                <w:b/>
                <w:bCs/>
                <w:color w:val="000000"/>
                <w:sz w:val="16"/>
                <w:szCs w:val="16"/>
              </w:rPr>
              <w:t>Prostředky kryté Rozhodnutím / Smlouvou (dodatkem)</w:t>
            </w:r>
          </w:p>
        </w:tc>
        <w:tc>
          <w:tcPr>
            <w:tcW w:w="753" w:type="pct"/>
            <w:gridSpan w:val="3"/>
            <w:tcBorders>
              <w:top w:val="double" w:sz="6" w:space="0" w:color="1F497D"/>
              <w:left w:val="nil"/>
              <w:bottom w:val="single" w:sz="8" w:space="0" w:color="1F497D"/>
              <w:right w:val="single" w:sz="8" w:space="0" w:color="1F497D"/>
            </w:tcBorders>
            <w:shd w:val="clear" w:color="000000" w:fill="DCE6F1"/>
            <w:vAlign w:val="center"/>
            <w:hideMark/>
          </w:tcPr>
          <w:p w:rsidR="00676BDD" w:rsidRPr="00676BDD" w:rsidRDefault="00676BDD" w:rsidP="00676BDD">
            <w:pPr>
              <w:jc w:val="center"/>
              <w:rPr>
                <w:b/>
                <w:bCs/>
                <w:color w:val="000000"/>
                <w:sz w:val="16"/>
                <w:szCs w:val="16"/>
              </w:rPr>
            </w:pPr>
            <w:r w:rsidRPr="00676BDD">
              <w:rPr>
                <w:b/>
                <w:bCs/>
                <w:color w:val="000000"/>
                <w:sz w:val="16"/>
                <w:szCs w:val="16"/>
              </w:rPr>
              <w:t>Proplacené prostředky příjemcům (vyúčtované prostředky)</w:t>
            </w:r>
          </w:p>
        </w:tc>
        <w:tc>
          <w:tcPr>
            <w:tcW w:w="753" w:type="pct"/>
            <w:gridSpan w:val="3"/>
            <w:tcBorders>
              <w:top w:val="double" w:sz="6" w:space="0" w:color="1F497D"/>
              <w:left w:val="nil"/>
              <w:bottom w:val="single" w:sz="8" w:space="0" w:color="1F497D"/>
              <w:right w:val="single" w:sz="8" w:space="0" w:color="1F497D"/>
            </w:tcBorders>
            <w:shd w:val="clear" w:color="000000" w:fill="DCE6F1"/>
            <w:vAlign w:val="center"/>
            <w:hideMark/>
          </w:tcPr>
          <w:p w:rsidR="00676BDD" w:rsidRPr="00676BDD" w:rsidRDefault="00676BDD" w:rsidP="00676BDD">
            <w:pPr>
              <w:jc w:val="center"/>
              <w:rPr>
                <w:b/>
                <w:bCs/>
                <w:color w:val="000000"/>
                <w:sz w:val="16"/>
                <w:szCs w:val="16"/>
              </w:rPr>
            </w:pPr>
            <w:r w:rsidRPr="00676BDD">
              <w:rPr>
                <w:b/>
                <w:bCs/>
                <w:color w:val="000000"/>
                <w:sz w:val="16"/>
                <w:szCs w:val="16"/>
              </w:rPr>
              <w:t>Souhrnné žádosti zaúčtované PCO</w:t>
            </w:r>
          </w:p>
        </w:tc>
        <w:tc>
          <w:tcPr>
            <w:tcW w:w="753" w:type="pct"/>
            <w:gridSpan w:val="3"/>
            <w:tcBorders>
              <w:top w:val="double" w:sz="6" w:space="0" w:color="1F497D"/>
              <w:left w:val="nil"/>
              <w:bottom w:val="single" w:sz="8" w:space="0" w:color="1F497D"/>
              <w:right w:val="double" w:sz="6" w:space="0" w:color="1F497D"/>
            </w:tcBorders>
            <w:shd w:val="clear" w:color="000000" w:fill="DCE6F1"/>
            <w:vAlign w:val="center"/>
            <w:hideMark/>
          </w:tcPr>
          <w:p w:rsidR="00676BDD" w:rsidRPr="00676BDD" w:rsidRDefault="00676BDD" w:rsidP="00676BDD">
            <w:pPr>
              <w:jc w:val="center"/>
              <w:rPr>
                <w:b/>
                <w:bCs/>
                <w:color w:val="000000"/>
                <w:sz w:val="16"/>
                <w:szCs w:val="16"/>
              </w:rPr>
            </w:pPr>
            <w:r w:rsidRPr="00676BDD">
              <w:rPr>
                <w:b/>
                <w:bCs/>
                <w:color w:val="000000"/>
                <w:sz w:val="16"/>
                <w:szCs w:val="16"/>
              </w:rPr>
              <w:t>Certifikované prostředky (včetně vratek)</w:t>
            </w:r>
          </w:p>
        </w:tc>
      </w:tr>
      <w:tr w:rsidR="00676BDD" w:rsidRPr="00676BDD" w:rsidTr="00DA04F7">
        <w:trPr>
          <w:trHeight w:val="315"/>
          <w:tblHeader/>
        </w:trPr>
        <w:tc>
          <w:tcPr>
            <w:tcW w:w="238" w:type="pct"/>
            <w:vMerge/>
            <w:tcBorders>
              <w:top w:val="double" w:sz="6" w:space="0" w:color="1F497D"/>
              <w:left w:val="double" w:sz="6" w:space="0" w:color="1F497D"/>
              <w:bottom w:val="single" w:sz="8" w:space="0" w:color="1F497D"/>
              <w:right w:val="single" w:sz="8" w:space="0" w:color="1F497D"/>
            </w:tcBorders>
            <w:vAlign w:val="center"/>
            <w:hideMark/>
          </w:tcPr>
          <w:p w:rsidR="00676BDD" w:rsidRPr="00676BDD" w:rsidRDefault="00676BDD" w:rsidP="00676BDD">
            <w:pPr>
              <w:rPr>
                <w:b/>
                <w:bCs/>
                <w:color w:val="000000"/>
                <w:sz w:val="16"/>
                <w:szCs w:val="16"/>
              </w:rPr>
            </w:pPr>
          </w:p>
        </w:tc>
        <w:tc>
          <w:tcPr>
            <w:tcW w:w="276" w:type="pct"/>
            <w:tcBorders>
              <w:top w:val="nil"/>
              <w:left w:val="nil"/>
              <w:bottom w:val="single" w:sz="8" w:space="0" w:color="1F497D"/>
              <w:right w:val="single" w:sz="8" w:space="0" w:color="1F497D"/>
            </w:tcBorders>
            <w:shd w:val="clear" w:color="000000" w:fill="DCE6F1"/>
            <w:vAlign w:val="center"/>
            <w:hideMark/>
          </w:tcPr>
          <w:p w:rsidR="00676BDD" w:rsidRPr="00676BDD" w:rsidRDefault="00676BDD" w:rsidP="00676BDD">
            <w:pPr>
              <w:jc w:val="center"/>
              <w:rPr>
                <w:b/>
                <w:bCs/>
                <w:color w:val="000000"/>
                <w:sz w:val="16"/>
                <w:szCs w:val="16"/>
              </w:rPr>
            </w:pPr>
            <w:r w:rsidRPr="00676BDD">
              <w:rPr>
                <w:b/>
                <w:bCs/>
                <w:color w:val="000000"/>
                <w:sz w:val="16"/>
                <w:szCs w:val="16"/>
              </w:rPr>
              <w:t>mil. CZK</w:t>
            </w:r>
          </w:p>
        </w:tc>
        <w:tc>
          <w:tcPr>
            <w:tcW w:w="247" w:type="pct"/>
            <w:vMerge w:val="restart"/>
            <w:tcBorders>
              <w:top w:val="nil"/>
              <w:left w:val="single" w:sz="8" w:space="0" w:color="1F497D"/>
              <w:bottom w:val="single" w:sz="8" w:space="0" w:color="1F497D"/>
              <w:right w:val="single" w:sz="8" w:space="0" w:color="1F497D"/>
            </w:tcBorders>
            <w:shd w:val="clear" w:color="000000" w:fill="DCE6F1"/>
            <w:vAlign w:val="center"/>
            <w:hideMark/>
          </w:tcPr>
          <w:p w:rsidR="00676BDD" w:rsidRPr="00676BDD" w:rsidRDefault="00676BDD" w:rsidP="00676BDD">
            <w:pPr>
              <w:jc w:val="center"/>
              <w:rPr>
                <w:b/>
                <w:bCs/>
                <w:color w:val="000000"/>
                <w:sz w:val="16"/>
                <w:szCs w:val="16"/>
              </w:rPr>
            </w:pPr>
            <w:r w:rsidRPr="00676BDD">
              <w:rPr>
                <w:b/>
                <w:bCs/>
                <w:color w:val="000000"/>
                <w:sz w:val="16"/>
                <w:szCs w:val="16"/>
              </w:rPr>
              <w:t>mil. EUR</w:t>
            </w:r>
          </w:p>
        </w:tc>
        <w:tc>
          <w:tcPr>
            <w:tcW w:w="229" w:type="pct"/>
            <w:tcBorders>
              <w:top w:val="nil"/>
              <w:left w:val="nil"/>
              <w:bottom w:val="single" w:sz="8" w:space="0" w:color="1F497D"/>
              <w:right w:val="single" w:sz="8" w:space="0" w:color="1F497D"/>
            </w:tcBorders>
            <w:shd w:val="clear" w:color="000000" w:fill="DCE6F1"/>
            <w:vAlign w:val="center"/>
            <w:hideMark/>
          </w:tcPr>
          <w:p w:rsidR="00676BDD" w:rsidRPr="00676BDD" w:rsidRDefault="00676BDD" w:rsidP="00676BDD">
            <w:pPr>
              <w:jc w:val="center"/>
              <w:rPr>
                <w:b/>
                <w:bCs/>
                <w:color w:val="000000"/>
                <w:sz w:val="16"/>
                <w:szCs w:val="16"/>
              </w:rPr>
            </w:pPr>
            <w:r w:rsidRPr="00676BDD">
              <w:rPr>
                <w:b/>
                <w:bCs/>
                <w:color w:val="000000"/>
                <w:sz w:val="16"/>
                <w:szCs w:val="16"/>
              </w:rPr>
              <w:t>Počet</w:t>
            </w:r>
          </w:p>
        </w:tc>
        <w:tc>
          <w:tcPr>
            <w:tcW w:w="276" w:type="pct"/>
            <w:tcBorders>
              <w:top w:val="nil"/>
              <w:left w:val="nil"/>
              <w:bottom w:val="single" w:sz="8" w:space="0" w:color="1F497D"/>
              <w:right w:val="single" w:sz="8" w:space="0" w:color="1F497D"/>
            </w:tcBorders>
            <w:shd w:val="clear" w:color="000000" w:fill="DCE6F1"/>
            <w:vAlign w:val="center"/>
            <w:hideMark/>
          </w:tcPr>
          <w:p w:rsidR="00676BDD" w:rsidRPr="00676BDD" w:rsidRDefault="00676BDD" w:rsidP="00676BDD">
            <w:pPr>
              <w:jc w:val="center"/>
              <w:rPr>
                <w:b/>
                <w:bCs/>
                <w:color w:val="000000"/>
                <w:sz w:val="16"/>
                <w:szCs w:val="16"/>
              </w:rPr>
            </w:pPr>
            <w:r w:rsidRPr="00676BDD">
              <w:rPr>
                <w:b/>
                <w:bCs/>
                <w:color w:val="000000"/>
                <w:sz w:val="16"/>
                <w:szCs w:val="16"/>
              </w:rPr>
              <w:t>mil. CZK</w:t>
            </w:r>
          </w:p>
        </w:tc>
        <w:tc>
          <w:tcPr>
            <w:tcW w:w="238" w:type="pct"/>
            <w:tcBorders>
              <w:top w:val="nil"/>
              <w:left w:val="nil"/>
              <w:bottom w:val="single" w:sz="8" w:space="0" w:color="1F497D"/>
              <w:right w:val="single" w:sz="8" w:space="0" w:color="1F497D"/>
            </w:tcBorders>
            <w:shd w:val="clear" w:color="000000" w:fill="DCE6F1"/>
            <w:vAlign w:val="center"/>
            <w:hideMark/>
          </w:tcPr>
          <w:p w:rsidR="00676BDD" w:rsidRPr="00676BDD" w:rsidRDefault="00676BDD" w:rsidP="00676BDD">
            <w:pPr>
              <w:jc w:val="center"/>
              <w:rPr>
                <w:b/>
                <w:bCs/>
                <w:color w:val="000000"/>
                <w:sz w:val="16"/>
                <w:szCs w:val="16"/>
              </w:rPr>
            </w:pPr>
            <w:r w:rsidRPr="00676BDD">
              <w:rPr>
                <w:b/>
                <w:bCs/>
                <w:color w:val="000000"/>
                <w:sz w:val="16"/>
                <w:szCs w:val="16"/>
              </w:rPr>
              <w:t>%</w:t>
            </w:r>
          </w:p>
        </w:tc>
        <w:tc>
          <w:tcPr>
            <w:tcW w:w="247" w:type="pct"/>
            <w:vMerge w:val="restart"/>
            <w:tcBorders>
              <w:top w:val="nil"/>
              <w:left w:val="single" w:sz="8" w:space="0" w:color="1F497D"/>
              <w:bottom w:val="single" w:sz="8" w:space="0" w:color="1F497D"/>
              <w:right w:val="single" w:sz="8" w:space="0" w:color="1F497D"/>
            </w:tcBorders>
            <w:shd w:val="clear" w:color="000000" w:fill="DCE6F1"/>
            <w:vAlign w:val="center"/>
            <w:hideMark/>
          </w:tcPr>
          <w:p w:rsidR="00676BDD" w:rsidRPr="00676BDD" w:rsidRDefault="00676BDD" w:rsidP="00676BDD">
            <w:pPr>
              <w:jc w:val="center"/>
              <w:rPr>
                <w:b/>
                <w:bCs/>
                <w:color w:val="000000"/>
                <w:sz w:val="16"/>
                <w:szCs w:val="16"/>
              </w:rPr>
            </w:pPr>
            <w:r w:rsidRPr="00676BDD">
              <w:rPr>
                <w:b/>
                <w:bCs/>
                <w:color w:val="000000"/>
                <w:sz w:val="16"/>
                <w:szCs w:val="16"/>
              </w:rPr>
              <w:t>mil. EUR</w:t>
            </w:r>
          </w:p>
        </w:tc>
        <w:tc>
          <w:tcPr>
            <w:tcW w:w="229" w:type="pct"/>
            <w:tcBorders>
              <w:top w:val="nil"/>
              <w:left w:val="nil"/>
              <w:bottom w:val="single" w:sz="8" w:space="0" w:color="1F497D"/>
              <w:right w:val="single" w:sz="8" w:space="0" w:color="1F497D"/>
            </w:tcBorders>
            <w:shd w:val="clear" w:color="000000" w:fill="DCE6F1"/>
            <w:vAlign w:val="center"/>
            <w:hideMark/>
          </w:tcPr>
          <w:p w:rsidR="00676BDD" w:rsidRPr="00676BDD" w:rsidRDefault="00676BDD" w:rsidP="00676BDD">
            <w:pPr>
              <w:jc w:val="center"/>
              <w:rPr>
                <w:b/>
                <w:bCs/>
                <w:color w:val="000000"/>
                <w:sz w:val="16"/>
                <w:szCs w:val="16"/>
              </w:rPr>
            </w:pPr>
            <w:r w:rsidRPr="00676BDD">
              <w:rPr>
                <w:b/>
                <w:bCs/>
                <w:color w:val="000000"/>
                <w:sz w:val="16"/>
                <w:szCs w:val="16"/>
              </w:rPr>
              <w:t>Počet</w:t>
            </w:r>
          </w:p>
        </w:tc>
        <w:tc>
          <w:tcPr>
            <w:tcW w:w="276" w:type="pct"/>
            <w:tcBorders>
              <w:top w:val="nil"/>
              <w:left w:val="nil"/>
              <w:bottom w:val="single" w:sz="8" w:space="0" w:color="1F497D"/>
              <w:right w:val="single" w:sz="8" w:space="0" w:color="1F497D"/>
            </w:tcBorders>
            <w:shd w:val="clear" w:color="000000" w:fill="DCE6F1"/>
            <w:vAlign w:val="center"/>
            <w:hideMark/>
          </w:tcPr>
          <w:p w:rsidR="00676BDD" w:rsidRPr="00676BDD" w:rsidRDefault="00676BDD" w:rsidP="00676BDD">
            <w:pPr>
              <w:jc w:val="center"/>
              <w:rPr>
                <w:b/>
                <w:bCs/>
                <w:color w:val="000000"/>
                <w:sz w:val="16"/>
                <w:szCs w:val="16"/>
              </w:rPr>
            </w:pPr>
            <w:r w:rsidRPr="00676BDD">
              <w:rPr>
                <w:b/>
                <w:bCs/>
                <w:color w:val="000000"/>
                <w:sz w:val="16"/>
                <w:szCs w:val="16"/>
              </w:rPr>
              <w:t>mil. CZK</w:t>
            </w:r>
          </w:p>
        </w:tc>
        <w:tc>
          <w:tcPr>
            <w:tcW w:w="238" w:type="pct"/>
            <w:tcBorders>
              <w:top w:val="nil"/>
              <w:left w:val="nil"/>
              <w:bottom w:val="single" w:sz="8" w:space="0" w:color="1F497D"/>
              <w:right w:val="single" w:sz="8" w:space="0" w:color="1F497D"/>
            </w:tcBorders>
            <w:shd w:val="clear" w:color="000000" w:fill="DCE6F1"/>
            <w:vAlign w:val="center"/>
            <w:hideMark/>
          </w:tcPr>
          <w:p w:rsidR="00676BDD" w:rsidRPr="00676BDD" w:rsidRDefault="00676BDD" w:rsidP="00676BDD">
            <w:pPr>
              <w:jc w:val="center"/>
              <w:rPr>
                <w:b/>
                <w:bCs/>
                <w:color w:val="000000"/>
                <w:sz w:val="16"/>
                <w:szCs w:val="16"/>
              </w:rPr>
            </w:pPr>
            <w:r w:rsidRPr="00676BDD">
              <w:rPr>
                <w:b/>
                <w:bCs/>
                <w:color w:val="000000"/>
                <w:sz w:val="16"/>
                <w:szCs w:val="16"/>
              </w:rPr>
              <w:t>%</w:t>
            </w:r>
          </w:p>
        </w:tc>
        <w:tc>
          <w:tcPr>
            <w:tcW w:w="247" w:type="pct"/>
            <w:vMerge w:val="restart"/>
            <w:tcBorders>
              <w:top w:val="nil"/>
              <w:left w:val="single" w:sz="8" w:space="0" w:color="1F497D"/>
              <w:bottom w:val="single" w:sz="8" w:space="0" w:color="1F497D"/>
              <w:right w:val="single" w:sz="8" w:space="0" w:color="1F497D"/>
            </w:tcBorders>
            <w:shd w:val="clear" w:color="000000" w:fill="DCE6F1"/>
            <w:vAlign w:val="center"/>
            <w:hideMark/>
          </w:tcPr>
          <w:p w:rsidR="00676BDD" w:rsidRPr="00676BDD" w:rsidRDefault="00676BDD" w:rsidP="00676BDD">
            <w:pPr>
              <w:jc w:val="center"/>
              <w:rPr>
                <w:b/>
                <w:bCs/>
                <w:color w:val="000000"/>
                <w:sz w:val="16"/>
                <w:szCs w:val="16"/>
              </w:rPr>
            </w:pPr>
            <w:r w:rsidRPr="00676BDD">
              <w:rPr>
                <w:b/>
                <w:bCs/>
                <w:color w:val="000000"/>
                <w:sz w:val="16"/>
                <w:szCs w:val="16"/>
              </w:rPr>
              <w:t>mil. EUR</w:t>
            </w:r>
          </w:p>
        </w:tc>
        <w:tc>
          <w:tcPr>
            <w:tcW w:w="276" w:type="pct"/>
            <w:tcBorders>
              <w:top w:val="nil"/>
              <w:left w:val="nil"/>
              <w:bottom w:val="single" w:sz="8" w:space="0" w:color="1F497D"/>
              <w:right w:val="single" w:sz="8" w:space="0" w:color="1F497D"/>
            </w:tcBorders>
            <w:shd w:val="clear" w:color="000000" w:fill="DCE6F1"/>
            <w:vAlign w:val="center"/>
            <w:hideMark/>
          </w:tcPr>
          <w:p w:rsidR="00676BDD" w:rsidRPr="00676BDD" w:rsidRDefault="00676BDD" w:rsidP="00676BDD">
            <w:pPr>
              <w:jc w:val="center"/>
              <w:rPr>
                <w:b/>
                <w:bCs/>
                <w:color w:val="000000"/>
                <w:sz w:val="16"/>
                <w:szCs w:val="16"/>
              </w:rPr>
            </w:pPr>
            <w:r w:rsidRPr="00676BDD">
              <w:rPr>
                <w:b/>
                <w:bCs/>
                <w:color w:val="000000"/>
                <w:sz w:val="16"/>
                <w:szCs w:val="16"/>
              </w:rPr>
              <w:t>mil. CZK</w:t>
            </w:r>
          </w:p>
        </w:tc>
        <w:tc>
          <w:tcPr>
            <w:tcW w:w="229" w:type="pct"/>
            <w:tcBorders>
              <w:top w:val="nil"/>
              <w:left w:val="nil"/>
              <w:bottom w:val="single" w:sz="8" w:space="0" w:color="1F497D"/>
              <w:right w:val="single" w:sz="8" w:space="0" w:color="1F497D"/>
            </w:tcBorders>
            <w:shd w:val="clear" w:color="000000" w:fill="DCE6F1"/>
            <w:vAlign w:val="center"/>
            <w:hideMark/>
          </w:tcPr>
          <w:p w:rsidR="00676BDD" w:rsidRPr="00676BDD" w:rsidRDefault="00676BDD" w:rsidP="00676BDD">
            <w:pPr>
              <w:jc w:val="center"/>
              <w:rPr>
                <w:b/>
                <w:bCs/>
                <w:color w:val="000000"/>
                <w:sz w:val="16"/>
                <w:szCs w:val="16"/>
              </w:rPr>
            </w:pPr>
            <w:r w:rsidRPr="00676BDD">
              <w:rPr>
                <w:b/>
                <w:bCs/>
                <w:color w:val="000000"/>
                <w:sz w:val="16"/>
                <w:szCs w:val="16"/>
              </w:rPr>
              <w:t>%</w:t>
            </w:r>
          </w:p>
        </w:tc>
        <w:tc>
          <w:tcPr>
            <w:tcW w:w="247" w:type="pct"/>
            <w:vMerge w:val="restart"/>
            <w:tcBorders>
              <w:top w:val="nil"/>
              <w:left w:val="single" w:sz="8" w:space="0" w:color="1F497D"/>
              <w:bottom w:val="single" w:sz="8" w:space="0" w:color="1F497D"/>
              <w:right w:val="single" w:sz="8" w:space="0" w:color="1F497D"/>
            </w:tcBorders>
            <w:shd w:val="clear" w:color="000000" w:fill="DCE6F1"/>
            <w:vAlign w:val="center"/>
            <w:hideMark/>
          </w:tcPr>
          <w:p w:rsidR="00676BDD" w:rsidRPr="00676BDD" w:rsidRDefault="00676BDD" w:rsidP="00676BDD">
            <w:pPr>
              <w:jc w:val="center"/>
              <w:rPr>
                <w:b/>
                <w:bCs/>
                <w:color w:val="000000"/>
                <w:sz w:val="16"/>
                <w:szCs w:val="16"/>
              </w:rPr>
            </w:pPr>
            <w:r w:rsidRPr="00676BDD">
              <w:rPr>
                <w:b/>
                <w:bCs/>
                <w:color w:val="000000"/>
                <w:sz w:val="16"/>
                <w:szCs w:val="16"/>
              </w:rPr>
              <w:t>mil. EUR</w:t>
            </w:r>
          </w:p>
        </w:tc>
        <w:tc>
          <w:tcPr>
            <w:tcW w:w="276" w:type="pct"/>
            <w:tcBorders>
              <w:top w:val="nil"/>
              <w:left w:val="nil"/>
              <w:bottom w:val="single" w:sz="8" w:space="0" w:color="1F497D"/>
              <w:right w:val="single" w:sz="8" w:space="0" w:color="1F497D"/>
            </w:tcBorders>
            <w:shd w:val="clear" w:color="000000" w:fill="DCE6F1"/>
            <w:vAlign w:val="center"/>
            <w:hideMark/>
          </w:tcPr>
          <w:p w:rsidR="00676BDD" w:rsidRPr="00676BDD" w:rsidRDefault="00676BDD" w:rsidP="00676BDD">
            <w:pPr>
              <w:jc w:val="center"/>
              <w:rPr>
                <w:b/>
                <w:bCs/>
                <w:color w:val="000000"/>
                <w:sz w:val="16"/>
                <w:szCs w:val="16"/>
              </w:rPr>
            </w:pPr>
            <w:r w:rsidRPr="00676BDD">
              <w:rPr>
                <w:b/>
                <w:bCs/>
                <w:color w:val="000000"/>
                <w:sz w:val="16"/>
                <w:szCs w:val="16"/>
              </w:rPr>
              <w:t>mil. CZK</w:t>
            </w:r>
          </w:p>
        </w:tc>
        <w:tc>
          <w:tcPr>
            <w:tcW w:w="229" w:type="pct"/>
            <w:tcBorders>
              <w:top w:val="nil"/>
              <w:left w:val="nil"/>
              <w:bottom w:val="single" w:sz="8" w:space="0" w:color="1F497D"/>
              <w:right w:val="single" w:sz="8" w:space="0" w:color="1F497D"/>
            </w:tcBorders>
            <w:shd w:val="clear" w:color="000000" w:fill="DCE6F1"/>
            <w:vAlign w:val="center"/>
            <w:hideMark/>
          </w:tcPr>
          <w:p w:rsidR="00676BDD" w:rsidRPr="00676BDD" w:rsidRDefault="00676BDD" w:rsidP="00676BDD">
            <w:pPr>
              <w:jc w:val="center"/>
              <w:rPr>
                <w:b/>
                <w:bCs/>
                <w:color w:val="000000"/>
                <w:sz w:val="16"/>
                <w:szCs w:val="16"/>
              </w:rPr>
            </w:pPr>
            <w:r w:rsidRPr="00676BDD">
              <w:rPr>
                <w:b/>
                <w:bCs/>
                <w:color w:val="000000"/>
                <w:sz w:val="16"/>
                <w:szCs w:val="16"/>
              </w:rPr>
              <w:t>%</w:t>
            </w:r>
          </w:p>
        </w:tc>
        <w:tc>
          <w:tcPr>
            <w:tcW w:w="247" w:type="pct"/>
            <w:vMerge w:val="restart"/>
            <w:tcBorders>
              <w:top w:val="nil"/>
              <w:left w:val="single" w:sz="8" w:space="0" w:color="1F497D"/>
              <w:bottom w:val="single" w:sz="8" w:space="0" w:color="1F497D"/>
              <w:right w:val="single" w:sz="8" w:space="0" w:color="1F497D"/>
            </w:tcBorders>
            <w:shd w:val="clear" w:color="000000" w:fill="DCE6F1"/>
            <w:vAlign w:val="center"/>
            <w:hideMark/>
          </w:tcPr>
          <w:p w:rsidR="00676BDD" w:rsidRPr="00676BDD" w:rsidRDefault="00676BDD" w:rsidP="00676BDD">
            <w:pPr>
              <w:jc w:val="center"/>
              <w:rPr>
                <w:b/>
                <w:bCs/>
                <w:color w:val="000000"/>
                <w:sz w:val="16"/>
                <w:szCs w:val="16"/>
              </w:rPr>
            </w:pPr>
            <w:r w:rsidRPr="00676BDD">
              <w:rPr>
                <w:b/>
                <w:bCs/>
                <w:color w:val="000000"/>
                <w:sz w:val="16"/>
                <w:szCs w:val="16"/>
              </w:rPr>
              <w:t>mil. EUR</w:t>
            </w:r>
          </w:p>
        </w:tc>
        <w:tc>
          <w:tcPr>
            <w:tcW w:w="276" w:type="pct"/>
            <w:tcBorders>
              <w:top w:val="nil"/>
              <w:left w:val="nil"/>
              <w:bottom w:val="single" w:sz="8" w:space="0" w:color="1F497D"/>
              <w:right w:val="single" w:sz="8" w:space="0" w:color="1F497D"/>
            </w:tcBorders>
            <w:shd w:val="clear" w:color="000000" w:fill="DCE6F1"/>
            <w:vAlign w:val="center"/>
            <w:hideMark/>
          </w:tcPr>
          <w:p w:rsidR="00676BDD" w:rsidRPr="00676BDD" w:rsidRDefault="00676BDD" w:rsidP="00676BDD">
            <w:pPr>
              <w:jc w:val="center"/>
              <w:rPr>
                <w:b/>
                <w:bCs/>
                <w:color w:val="000000"/>
                <w:sz w:val="16"/>
                <w:szCs w:val="16"/>
              </w:rPr>
            </w:pPr>
            <w:r w:rsidRPr="00676BDD">
              <w:rPr>
                <w:b/>
                <w:bCs/>
                <w:color w:val="000000"/>
                <w:sz w:val="16"/>
                <w:szCs w:val="16"/>
              </w:rPr>
              <w:t>mil. CZK</w:t>
            </w:r>
          </w:p>
        </w:tc>
        <w:tc>
          <w:tcPr>
            <w:tcW w:w="229" w:type="pct"/>
            <w:tcBorders>
              <w:top w:val="nil"/>
              <w:left w:val="nil"/>
              <w:bottom w:val="single" w:sz="8" w:space="0" w:color="1F497D"/>
              <w:right w:val="single" w:sz="8" w:space="0" w:color="1F497D"/>
            </w:tcBorders>
            <w:shd w:val="clear" w:color="000000" w:fill="DCE6F1"/>
            <w:vAlign w:val="center"/>
            <w:hideMark/>
          </w:tcPr>
          <w:p w:rsidR="00676BDD" w:rsidRPr="00676BDD" w:rsidRDefault="00676BDD" w:rsidP="00676BDD">
            <w:pPr>
              <w:jc w:val="center"/>
              <w:rPr>
                <w:b/>
                <w:bCs/>
                <w:color w:val="000000"/>
                <w:sz w:val="16"/>
                <w:szCs w:val="16"/>
              </w:rPr>
            </w:pPr>
            <w:r w:rsidRPr="00676BDD">
              <w:rPr>
                <w:b/>
                <w:bCs/>
                <w:color w:val="000000"/>
                <w:sz w:val="16"/>
                <w:szCs w:val="16"/>
              </w:rPr>
              <w:t>%</w:t>
            </w:r>
          </w:p>
        </w:tc>
        <w:tc>
          <w:tcPr>
            <w:tcW w:w="247" w:type="pct"/>
            <w:vMerge w:val="restart"/>
            <w:tcBorders>
              <w:top w:val="nil"/>
              <w:left w:val="single" w:sz="8" w:space="0" w:color="1F497D"/>
              <w:bottom w:val="single" w:sz="8" w:space="0" w:color="1F497D"/>
              <w:right w:val="double" w:sz="6" w:space="0" w:color="1F497D"/>
            </w:tcBorders>
            <w:shd w:val="clear" w:color="000000" w:fill="DCE6F1"/>
            <w:vAlign w:val="center"/>
            <w:hideMark/>
          </w:tcPr>
          <w:p w:rsidR="00676BDD" w:rsidRPr="00676BDD" w:rsidRDefault="00676BDD" w:rsidP="00676BDD">
            <w:pPr>
              <w:jc w:val="center"/>
              <w:rPr>
                <w:b/>
                <w:bCs/>
                <w:color w:val="000000"/>
                <w:sz w:val="16"/>
                <w:szCs w:val="16"/>
              </w:rPr>
            </w:pPr>
            <w:r w:rsidRPr="00676BDD">
              <w:rPr>
                <w:b/>
                <w:bCs/>
                <w:color w:val="000000"/>
                <w:sz w:val="16"/>
                <w:szCs w:val="16"/>
              </w:rPr>
              <w:t>mil. EUR</w:t>
            </w:r>
          </w:p>
        </w:tc>
      </w:tr>
      <w:tr w:rsidR="00676BDD" w:rsidRPr="00676BDD" w:rsidTr="00DA04F7">
        <w:trPr>
          <w:trHeight w:val="315"/>
          <w:tblHeader/>
        </w:trPr>
        <w:tc>
          <w:tcPr>
            <w:tcW w:w="238" w:type="pct"/>
            <w:vMerge/>
            <w:tcBorders>
              <w:top w:val="double" w:sz="6" w:space="0" w:color="1F497D"/>
              <w:left w:val="double" w:sz="6" w:space="0" w:color="1F497D"/>
              <w:bottom w:val="single" w:sz="8" w:space="0" w:color="1F497D"/>
              <w:right w:val="single" w:sz="8" w:space="0" w:color="1F497D"/>
            </w:tcBorders>
            <w:vAlign w:val="center"/>
            <w:hideMark/>
          </w:tcPr>
          <w:p w:rsidR="00676BDD" w:rsidRPr="00676BDD" w:rsidRDefault="00676BDD" w:rsidP="00676BDD">
            <w:pPr>
              <w:rPr>
                <w:b/>
                <w:bCs/>
                <w:color w:val="000000"/>
                <w:sz w:val="16"/>
                <w:szCs w:val="16"/>
              </w:rPr>
            </w:pPr>
          </w:p>
        </w:tc>
        <w:tc>
          <w:tcPr>
            <w:tcW w:w="276" w:type="pct"/>
            <w:tcBorders>
              <w:top w:val="nil"/>
              <w:left w:val="nil"/>
              <w:bottom w:val="single" w:sz="8" w:space="0" w:color="1F497D"/>
              <w:right w:val="single" w:sz="8" w:space="0" w:color="1F497D"/>
            </w:tcBorders>
            <w:shd w:val="clear" w:color="000000" w:fill="DCE6F1"/>
            <w:vAlign w:val="center"/>
            <w:hideMark/>
          </w:tcPr>
          <w:p w:rsidR="00676BDD" w:rsidRPr="00676BDD" w:rsidRDefault="00676BDD" w:rsidP="00676BDD">
            <w:pPr>
              <w:jc w:val="center"/>
              <w:rPr>
                <w:b/>
                <w:bCs/>
                <w:color w:val="000000"/>
                <w:sz w:val="16"/>
                <w:szCs w:val="16"/>
              </w:rPr>
            </w:pPr>
            <w:r w:rsidRPr="00676BDD">
              <w:rPr>
                <w:b/>
                <w:bCs/>
                <w:color w:val="000000"/>
                <w:sz w:val="16"/>
                <w:szCs w:val="16"/>
              </w:rPr>
              <w:t xml:space="preserve">a </w:t>
            </w:r>
          </w:p>
        </w:tc>
        <w:tc>
          <w:tcPr>
            <w:tcW w:w="247" w:type="pct"/>
            <w:vMerge/>
            <w:tcBorders>
              <w:top w:val="nil"/>
              <w:left w:val="single" w:sz="8" w:space="0" w:color="1F497D"/>
              <w:bottom w:val="single" w:sz="8" w:space="0" w:color="1F497D"/>
              <w:right w:val="single" w:sz="8" w:space="0" w:color="1F497D"/>
            </w:tcBorders>
            <w:vAlign w:val="center"/>
            <w:hideMark/>
          </w:tcPr>
          <w:p w:rsidR="00676BDD" w:rsidRPr="00676BDD" w:rsidRDefault="00676BDD" w:rsidP="00676BDD">
            <w:pPr>
              <w:rPr>
                <w:b/>
                <w:bCs/>
                <w:color w:val="000000"/>
                <w:sz w:val="16"/>
                <w:szCs w:val="16"/>
              </w:rPr>
            </w:pPr>
          </w:p>
        </w:tc>
        <w:tc>
          <w:tcPr>
            <w:tcW w:w="229" w:type="pct"/>
            <w:tcBorders>
              <w:top w:val="nil"/>
              <w:left w:val="nil"/>
              <w:bottom w:val="single" w:sz="8" w:space="0" w:color="1F497D"/>
              <w:right w:val="single" w:sz="8" w:space="0" w:color="1F497D"/>
            </w:tcBorders>
            <w:shd w:val="clear" w:color="000000" w:fill="DCE6F1"/>
            <w:vAlign w:val="center"/>
            <w:hideMark/>
          </w:tcPr>
          <w:p w:rsidR="00676BDD" w:rsidRPr="00676BDD" w:rsidRDefault="00676BDD" w:rsidP="00676BDD">
            <w:pPr>
              <w:jc w:val="center"/>
              <w:rPr>
                <w:b/>
                <w:bCs/>
                <w:color w:val="000000"/>
                <w:sz w:val="16"/>
                <w:szCs w:val="16"/>
              </w:rPr>
            </w:pPr>
            <w:r w:rsidRPr="00676BDD">
              <w:rPr>
                <w:b/>
                <w:bCs/>
                <w:color w:val="000000"/>
                <w:sz w:val="16"/>
                <w:szCs w:val="16"/>
              </w:rPr>
              <w:t>b</w:t>
            </w:r>
          </w:p>
        </w:tc>
        <w:tc>
          <w:tcPr>
            <w:tcW w:w="276" w:type="pct"/>
            <w:tcBorders>
              <w:top w:val="nil"/>
              <w:left w:val="nil"/>
              <w:bottom w:val="single" w:sz="8" w:space="0" w:color="1F497D"/>
              <w:right w:val="single" w:sz="8" w:space="0" w:color="1F497D"/>
            </w:tcBorders>
            <w:shd w:val="clear" w:color="000000" w:fill="DCE6F1"/>
            <w:vAlign w:val="center"/>
            <w:hideMark/>
          </w:tcPr>
          <w:p w:rsidR="00676BDD" w:rsidRPr="00676BDD" w:rsidRDefault="00676BDD" w:rsidP="00676BDD">
            <w:pPr>
              <w:jc w:val="center"/>
              <w:rPr>
                <w:b/>
                <w:bCs/>
                <w:color w:val="000000"/>
                <w:sz w:val="16"/>
                <w:szCs w:val="16"/>
              </w:rPr>
            </w:pPr>
            <w:r w:rsidRPr="00676BDD">
              <w:rPr>
                <w:b/>
                <w:bCs/>
                <w:color w:val="000000"/>
                <w:sz w:val="16"/>
                <w:szCs w:val="16"/>
              </w:rPr>
              <w:t>c</w:t>
            </w:r>
          </w:p>
        </w:tc>
        <w:tc>
          <w:tcPr>
            <w:tcW w:w="238" w:type="pct"/>
            <w:tcBorders>
              <w:top w:val="nil"/>
              <w:left w:val="nil"/>
              <w:bottom w:val="single" w:sz="8" w:space="0" w:color="1F497D"/>
              <w:right w:val="single" w:sz="8" w:space="0" w:color="1F497D"/>
            </w:tcBorders>
            <w:shd w:val="clear" w:color="000000" w:fill="DCE6F1"/>
            <w:vAlign w:val="center"/>
            <w:hideMark/>
          </w:tcPr>
          <w:p w:rsidR="00676BDD" w:rsidRPr="00676BDD" w:rsidRDefault="00676BDD" w:rsidP="00676BDD">
            <w:pPr>
              <w:jc w:val="center"/>
              <w:rPr>
                <w:b/>
                <w:bCs/>
                <w:color w:val="000000"/>
                <w:sz w:val="16"/>
                <w:szCs w:val="16"/>
              </w:rPr>
            </w:pPr>
            <w:r w:rsidRPr="00676BDD">
              <w:rPr>
                <w:b/>
                <w:bCs/>
                <w:color w:val="000000"/>
                <w:sz w:val="16"/>
                <w:szCs w:val="16"/>
              </w:rPr>
              <w:t>c/a</w:t>
            </w:r>
          </w:p>
        </w:tc>
        <w:tc>
          <w:tcPr>
            <w:tcW w:w="247" w:type="pct"/>
            <w:vMerge/>
            <w:tcBorders>
              <w:top w:val="nil"/>
              <w:left w:val="single" w:sz="8" w:space="0" w:color="1F497D"/>
              <w:bottom w:val="single" w:sz="8" w:space="0" w:color="1F497D"/>
              <w:right w:val="single" w:sz="8" w:space="0" w:color="1F497D"/>
            </w:tcBorders>
            <w:vAlign w:val="center"/>
            <w:hideMark/>
          </w:tcPr>
          <w:p w:rsidR="00676BDD" w:rsidRPr="00676BDD" w:rsidRDefault="00676BDD" w:rsidP="00676BDD">
            <w:pPr>
              <w:rPr>
                <w:b/>
                <w:bCs/>
                <w:color w:val="000000"/>
                <w:sz w:val="16"/>
                <w:szCs w:val="16"/>
              </w:rPr>
            </w:pPr>
          </w:p>
        </w:tc>
        <w:tc>
          <w:tcPr>
            <w:tcW w:w="229" w:type="pct"/>
            <w:tcBorders>
              <w:top w:val="nil"/>
              <w:left w:val="nil"/>
              <w:bottom w:val="single" w:sz="8" w:space="0" w:color="1F497D"/>
              <w:right w:val="single" w:sz="8" w:space="0" w:color="1F497D"/>
            </w:tcBorders>
            <w:shd w:val="clear" w:color="000000" w:fill="DCE6F1"/>
            <w:vAlign w:val="center"/>
            <w:hideMark/>
          </w:tcPr>
          <w:p w:rsidR="00676BDD" w:rsidRPr="00676BDD" w:rsidRDefault="00676BDD" w:rsidP="00676BDD">
            <w:pPr>
              <w:jc w:val="center"/>
              <w:rPr>
                <w:b/>
                <w:bCs/>
                <w:color w:val="000000"/>
                <w:sz w:val="16"/>
                <w:szCs w:val="16"/>
              </w:rPr>
            </w:pPr>
            <w:r w:rsidRPr="00676BDD">
              <w:rPr>
                <w:b/>
                <w:bCs/>
                <w:color w:val="000000"/>
                <w:sz w:val="16"/>
                <w:szCs w:val="16"/>
              </w:rPr>
              <w:t>d</w:t>
            </w:r>
          </w:p>
        </w:tc>
        <w:tc>
          <w:tcPr>
            <w:tcW w:w="276" w:type="pct"/>
            <w:tcBorders>
              <w:top w:val="nil"/>
              <w:left w:val="nil"/>
              <w:bottom w:val="single" w:sz="8" w:space="0" w:color="1F497D"/>
              <w:right w:val="single" w:sz="8" w:space="0" w:color="1F497D"/>
            </w:tcBorders>
            <w:shd w:val="clear" w:color="000000" w:fill="DCE6F1"/>
            <w:vAlign w:val="center"/>
            <w:hideMark/>
          </w:tcPr>
          <w:p w:rsidR="00676BDD" w:rsidRPr="00676BDD" w:rsidRDefault="00676BDD" w:rsidP="00676BDD">
            <w:pPr>
              <w:jc w:val="center"/>
              <w:rPr>
                <w:b/>
                <w:bCs/>
                <w:color w:val="000000"/>
                <w:sz w:val="16"/>
                <w:szCs w:val="16"/>
              </w:rPr>
            </w:pPr>
            <w:r w:rsidRPr="00676BDD">
              <w:rPr>
                <w:b/>
                <w:bCs/>
                <w:color w:val="000000"/>
                <w:sz w:val="16"/>
                <w:szCs w:val="16"/>
              </w:rPr>
              <w:t>e</w:t>
            </w:r>
          </w:p>
        </w:tc>
        <w:tc>
          <w:tcPr>
            <w:tcW w:w="238" w:type="pct"/>
            <w:tcBorders>
              <w:top w:val="nil"/>
              <w:left w:val="nil"/>
              <w:bottom w:val="single" w:sz="8" w:space="0" w:color="1F497D"/>
              <w:right w:val="single" w:sz="8" w:space="0" w:color="1F497D"/>
            </w:tcBorders>
            <w:shd w:val="clear" w:color="000000" w:fill="DCE6F1"/>
            <w:vAlign w:val="center"/>
            <w:hideMark/>
          </w:tcPr>
          <w:p w:rsidR="00676BDD" w:rsidRPr="00676BDD" w:rsidRDefault="00676BDD" w:rsidP="00676BDD">
            <w:pPr>
              <w:jc w:val="center"/>
              <w:rPr>
                <w:b/>
                <w:bCs/>
                <w:color w:val="000000"/>
                <w:sz w:val="16"/>
                <w:szCs w:val="16"/>
              </w:rPr>
            </w:pPr>
            <w:r w:rsidRPr="00676BDD">
              <w:rPr>
                <w:b/>
                <w:bCs/>
                <w:color w:val="000000"/>
                <w:sz w:val="16"/>
                <w:szCs w:val="16"/>
              </w:rPr>
              <w:t xml:space="preserve">e/a </w:t>
            </w:r>
          </w:p>
        </w:tc>
        <w:tc>
          <w:tcPr>
            <w:tcW w:w="247" w:type="pct"/>
            <w:vMerge/>
            <w:tcBorders>
              <w:top w:val="nil"/>
              <w:left w:val="single" w:sz="8" w:space="0" w:color="1F497D"/>
              <w:bottom w:val="single" w:sz="8" w:space="0" w:color="1F497D"/>
              <w:right w:val="single" w:sz="8" w:space="0" w:color="1F497D"/>
            </w:tcBorders>
            <w:vAlign w:val="center"/>
            <w:hideMark/>
          </w:tcPr>
          <w:p w:rsidR="00676BDD" w:rsidRPr="00676BDD" w:rsidRDefault="00676BDD" w:rsidP="00676BDD">
            <w:pPr>
              <w:rPr>
                <w:b/>
                <w:bCs/>
                <w:color w:val="000000"/>
                <w:sz w:val="16"/>
                <w:szCs w:val="16"/>
              </w:rPr>
            </w:pPr>
          </w:p>
        </w:tc>
        <w:tc>
          <w:tcPr>
            <w:tcW w:w="276" w:type="pct"/>
            <w:tcBorders>
              <w:top w:val="nil"/>
              <w:left w:val="nil"/>
              <w:bottom w:val="single" w:sz="8" w:space="0" w:color="1F497D"/>
              <w:right w:val="single" w:sz="8" w:space="0" w:color="1F497D"/>
            </w:tcBorders>
            <w:shd w:val="clear" w:color="000000" w:fill="DCE6F1"/>
            <w:vAlign w:val="center"/>
            <w:hideMark/>
          </w:tcPr>
          <w:p w:rsidR="00676BDD" w:rsidRPr="00676BDD" w:rsidRDefault="00676BDD" w:rsidP="00676BDD">
            <w:pPr>
              <w:jc w:val="center"/>
              <w:rPr>
                <w:b/>
                <w:bCs/>
                <w:color w:val="000000"/>
                <w:sz w:val="16"/>
                <w:szCs w:val="16"/>
              </w:rPr>
            </w:pPr>
            <w:r w:rsidRPr="00676BDD">
              <w:rPr>
                <w:b/>
                <w:bCs/>
                <w:color w:val="000000"/>
                <w:sz w:val="16"/>
                <w:szCs w:val="16"/>
              </w:rPr>
              <w:t>f</w:t>
            </w:r>
          </w:p>
        </w:tc>
        <w:tc>
          <w:tcPr>
            <w:tcW w:w="229" w:type="pct"/>
            <w:tcBorders>
              <w:top w:val="nil"/>
              <w:left w:val="nil"/>
              <w:bottom w:val="single" w:sz="8" w:space="0" w:color="1F497D"/>
              <w:right w:val="single" w:sz="8" w:space="0" w:color="1F497D"/>
            </w:tcBorders>
            <w:shd w:val="clear" w:color="000000" w:fill="DCE6F1"/>
            <w:vAlign w:val="center"/>
            <w:hideMark/>
          </w:tcPr>
          <w:p w:rsidR="00676BDD" w:rsidRPr="00676BDD" w:rsidRDefault="00676BDD" w:rsidP="00676BDD">
            <w:pPr>
              <w:jc w:val="center"/>
              <w:rPr>
                <w:b/>
                <w:bCs/>
                <w:color w:val="000000"/>
                <w:sz w:val="16"/>
                <w:szCs w:val="16"/>
              </w:rPr>
            </w:pPr>
            <w:r w:rsidRPr="00676BDD">
              <w:rPr>
                <w:b/>
                <w:bCs/>
                <w:color w:val="000000"/>
                <w:sz w:val="16"/>
                <w:szCs w:val="16"/>
              </w:rPr>
              <w:t xml:space="preserve">f/a </w:t>
            </w:r>
          </w:p>
        </w:tc>
        <w:tc>
          <w:tcPr>
            <w:tcW w:w="247" w:type="pct"/>
            <w:vMerge/>
            <w:tcBorders>
              <w:top w:val="nil"/>
              <w:left w:val="single" w:sz="8" w:space="0" w:color="1F497D"/>
              <w:bottom w:val="single" w:sz="8" w:space="0" w:color="1F497D"/>
              <w:right w:val="single" w:sz="8" w:space="0" w:color="1F497D"/>
            </w:tcBorders>
            <w:vAlign w:val="center"/>
            <w:hideMark/>
          </w:tcPr>
          <w:p w:rsidR="00676BDD" w:rsidRPr="00676BDD" w:rsidRDefault="00676BDD" w:rsidP="00676BDD">
            <w:pPr>
              <w:rPr>
                <w:b/>
                <w:bCs/>
                <w:color w:val="000000"/>
                <w:sz w:val="16"/>
                <w:szCs w:val="16"/>
              </w:rPr>
            </w:pPr>
          </w:p>
        </w:tc>
        <w:tc>
          <w:tcPr>
            <w:tcW w:w="276" w:type="pct"/>
            <w:tcBorders>
              <w:top w:val="nil"/>
              <w:left w:val="nil"/>
              <w:bottom w:val="single" w:sz="8" w:space="0" w:color="1F497D"/>
              <w:right w:val="single" w:sz="8" w:space="0" w:color="1F497D"/>
            </w:tcBorders>
            <w:shd w:val="clear" w:color="000000" w:fill="DCE6F1"/>
            <w:vAlign w:val="center"/>
            <w:hideMark/>
          </w:tcPr>
          <w:p w:rsidR="00676BDD" w:rsidRPr="00676BDD" w:rsidRDefault="00676BDD" w:rsidP="00676BDD">
            <w:pPr>
              <w:jc w:val="center"/>
              <w:rPr>
                <w:b/>
                <w:bCs/>
                <w:color w:val="000000"/>
                <w:sz w:val="16"/>
                <w:szCs w:val="16"/>
              </w:rPr>
            </w:pPr>
            <w:r w:rsidRPr="00676BDD">
              <w:rPr>
                <w:b/>
                <w:bCs/>
                <w:color w:val="000000"/>
                <w:sz w:val="16"/>
                <w:szCs w:val="16"/>
              </w:rPr>
              <w:t>g</w:t>
            </w:r>
          </w:p>
        </w:tc>
        <w:tc>
          <w:tcPr>
            <w:tcW w:w="229" w:type="pct"/>
            <w:tcBorders>
              <w:top w:val="nil"/>
              <w:left w:val="nil"/>
              <w:bottom w:val="single" w:sz="8" w:space="0" w:color="1F497D"/>
              <w:right w:val="single" w:sz="8" w:space="0" w:color="1F497D"/>
            </w:tcBorders>
            <w:shd w:val="clear" w:color="000000" w:fill="DCE6F1"/>
            <w:vAlign w:val="center"/>
            <w:hideMark/>
          </w:tcPr>
          <w:p w:rsidR="00676BDD" w:rsidRPr="00676BDD" w:rsidRDefault="00676BDD" w:rsidP="00676BDD">
            <w:pPr>
              <w:jc w:val="center"/>
              <w:rPr>
                <w:b/>
                <w:bCs/>
                <w:color w:val="000000"/>
                <w:sz w:val="16"/>
                <w:szCs w:val="16"/>
              </w:rPr>
            </w:pPr>
            <w:r w:rsidRPr="00676BDD">
              <w:rPr>
                <w:b/>
                <w:bCs/>
                <w:color w:val="000000"/>
                <w:sz w:val="16"/>
                <w:szCs w:val="16"/>
              </w:rPr>
              <w:t xml:space="preserve">g/a </w:t>
            </w:r>
          </w:p>
        </w:tc>
        <w:tc>
          <w:tcPr>
            <w:tcW w:w="247" w:type="pct"/>
            <w:vMerge/>
            <w:tcBorders>
              <w:top w:val="nil"/>
              <w:left w:val="single" w:sz="8" w:space="0" w:color="1F497D"/>
              <w:bottom w:val="single" w:sz="8" w:space="0" w:color="1F497D"/>
              <w:right w:val="single" w:sz="8" w:space="0" w:color="1F497D"/>
            </w:tcBorders>
            <w:vAlign w:val="center"/>
            <w:hideMark/>
          </w:tcPr>
          <w:p w:rsidR="00676BDD" w:rsidRPr="00676BDD" w:rsidRDefault="00676BDD" w:rsidP="00676BDD">
            <w:pPr>
              <w:rPr>
                <w:b/>
                <w:bCs/>
                <w:color w:val="000000"/>
                <w:sz w:val="16"/>
                <w:szCs w:val="16"/>
              </w:rPr>
            </w:pPr>
          </w:p>
        </w:tc>
        <w:tc>
          <w:tcPr>
            <w:tcW w:w="276" w:type="pct"/>
            <w:tcBorders>
              <w:top w:val="nil"/>
              <w:left w:val="nil"/>
              <w:bottom w:val="single" w:sz="8" w:space="0" w:color="1F497D"/>
              <w:right w:val="single" w:sz="8" w:space="0" w:color="1F497D"/>
            </w:tcBorders>
            <w:shd w:val="clear" w:color="000000" w:fill="DCE6F1"/>
            <w:vAlign w:val="center"/>
            <w:hideMark/>
          </w:tcPr>
          <w:p w:rsidR="00676BDD" w:rsidRPr="00676BDD" w:rsidRDefault="00676BDD" w:rsidP="00676BDD">
            <w:pPr>
              <w:jc w:val="center"/>
              <w:rPr>
                <w:b/>
                <w:bCs/>
                <w:color w:val="000000"/>
                <w:sz w:val="16"/>
                <w:szCs w:val="16"/>
              </w:rPr>
            </w:pPr>
            <w:r w:rsidRPr="00676BDD">
              <w:rPr>
                <w:b/>
                <w:bCs/>
                <w:color w:val="000000"/>
                <w:sz w:val="16"/>
                <w:szCs w:val="16"/>
              </w:rPr>
              <w:t>h</w:t>
            </w:r>
          </w:p>
        </w:tc>
        <w:tc>
          <w:tcPr>
            <w:tcW w:w="229" w:type="pct"/>
            <w:tcBorders>
              <w:top w:val="nil"/>
              <w:left w:val="nil"/>
              <w:bottom w:val="single" w:sz="8" w:space="0" w:color="1F497D"/>
              <w:right w:val="single" w:sz="8" w:space="0" w:color="1F497D"/>
            </w:tcBorders>
            <w:shd w:val="clear" w:color="000000" w:fill="DCE6F1"/>
            <w:vAlign w:val="center"/>
            <w:hideMark/>
          </w:tcPr>
          <w:p w:rsidR="00676BDD" w:rsidRPr="00676BDD" w:rsidRDefault="00676BDD" w:rsidP="00676BDD">
            <w:pPr>
              <w:jc w:val="center"/>
              <w:rPr>
                <w:b/>
                <w:bCs/>
                <w:color w:val="000000"/>
                <w:sz w:val="16"/>
                <w:szCs w:val="16"/>
              </w:rPr>
            </w:pPr>
            <w:r w:rsidRPr="00676BDD">
              <w:rPr>
                <w:b/>
                <w:bCs/>
                <w:color w:val="000000"/>
                <w:sz w:val="16"/>
                <w:szCs w:val="16"/>
              </w:rPr>
              <w:t xml:space="preserve">h/a </w:t>
            </w:r>
          </w:p>
        </w:tc>
        <w:tc>
          <w:tcPr>
            <w:tcW w:w="247" w:type="pct"/>
            <w:vMerge/>
            <w:tcBorders>
              <w:top w:val="nil"/>
              <w:left w:val="single" w:sz="8" w:space="0" w:color="1F497D"/>
              <w:bottom w:val="single" w:sz="8" w:space="0" w:color="1F497D"/>
              <w:right w:val="double" w:sz="6" w:space="0" w:color="1F497D"/>
            </w:tcBorders>
            <w:vAlign w:val="center"/>
            <w:hideMark/>
          </w:tcPr>
          <w:p w:rsidR="00676BDD" w:rsidRPr="00676BDD" w:rsidRDefault="00676BDD" w:rsidP="00676BDD">
            <w:pPr>
              <w:rPr>
                <w:b/>
                <w:bCs/>
                <w:color w:val="000000"/>
                <w:sz w:val="16"/>
                <w:szCs w:val="16"/>
              </w:rPr>
            </w:pPr>
          </w:p>
        </w:tc>
      </w:tr>
      <w:tr w:rsidR="00676BDD" w:rsidRPr="00676BDD" w:rsidTr="00DA04F7">
        <w:trPr>
          <w:trHeight w:val="315"/>
        </w:trPr>
        <w:tc>
          <w:tcPr>
            <w:tcW w:w="238" w:type="pct"/>
            <w:tcBorders>
              <w:top w:val="nil"/>
              <w:left w:val="double" w:sz="6" w:space="0" w:color="1F497D"/>
              <w:bottom w:val="single" w:sz="8" w:space="0" w:color="1F497D"/>
              <w:right w:val="single" w:sz="8" w:space="0" w:color="1F497D"/>
            </w:tcBorders>
            <w:shd w:val="clear" w:color="000000" w:fill="FFFFFF"/>
            <w:vAlign w:val="center"/>
            <w:hideMark/>
          </w:tcPr>
          <w:p w:rsidR="00676BDD" w:rsidRPr="00676BDD" w:rsidRDefault="00676BDD" w:rsidP="00676BDD">
            <w:pPr>
              <w:jc w:val="center"/>
              <w:rPr>
                <w:color w:val="000000"/>
                <w:sz w:val="16"/>
                <w:szCs w:val="16"/>
              </w:rPr>
            </w:pPr>
            <w:r w:rsidRPr="00676BDD">
              <w:rPr>
                <w:color w:val="000000"/>
                <w:sz w:val="16"/>
                <w:szCs w:val="16"/>
              </w:rPr>
              <w:t>1.1a</w:t>
            </w:r>
          </w:p>
        </w:tc>
        <w:tc>
          <w:tcPr>
            <w:tcW w:w="276"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7 624,07</w:t>
            </w:r>
          </w:p>
        </w:tc>
        <w:tc>
          <w:tcPr>
            <w:tcW w:w="247"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290,94</w:t>
            </w:r>
          </w:p>
        </w:tc>
        <w:tc>
          <w:tcPr>
            <w:tcW w:w="229" w:type="pct"/>
            <w:tcBorders>
              <w:top w:val="nil"/>
              <w:left w:val="nil"/>
              <w:bottom w:val="single" w:sz="8" w:space="0" w:color="1F497D"/>
              <w:right w:val="single" w:sz="8" w:space="0" w:color="1F497D"/>
            </w:tcBorders>
            <w:shd w:val="clear" w:color="000000" w:fill="FFFFFF"/>
            <w:vAlign w:val="center"/>
            <w:hideMark/>
          </w:tcPr>
          <w:p w:rsidR="00676BDD" w:rsidRPr="00676BDD" w:rsidRDefault="00676BDD" w:rsidP="00676BDD">
            <w:pPr>
              <w:jc w:val="center"/>
              <w:rPr>
                <w:color w:val="000000"/>
                <w:sz w:val="16"/>
                <w:szCs w:val="16"/>
              </w:rPr>
            </w:pPr>
            <w:r w:rsidRPr="00676BDD">
              <w:rPr>
                <w:color w:val="000000"/>
                <w:sz w:val="16"/>
                <w:szCs w:val="16"/>
              </w:rPr>
              <w:t>141</w:t>
            </w:r>
          </w:p>
        </w:tc>
        <w:tc>
          <w:tcPr>
            <w:tcW w:w="276"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12 273,40</w:t>
            </w:r>
          </w:p>
        </w:tc>
        <w:tc>
          <w:tcPr>
            <w:tcW w:w="238"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160,98</w:t>
            </w:r>
          </w:p>
        </w:tc>
        <w:tc>
          <w:tcPr>
            <w:tcW w:w="247"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461,82</w:t>
            </w:r>
          </w:p>
        </w:tc>
        <w:tc>
          <w:tcPr>
            <w:tcW w:w="229"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76</w:t>
            </w:r>
          </w:p>
        </w:tc>
        <w:tc>
          <w:tcPr>
            <w:tcW w:w="276"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6 887,63</w:t>
            </w:r>
          </w:p>
        </w:tc>
        <w:tc>
          <w:tcPr>
            <w:tcW w:w="238"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90,34</w:t>
            </w:r>
          </w:p>
        </w:tc>
        <w:tc>
          <w:tcPr>
            <w:tcW w:w="247"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263,81</w:t>
            </w:r>
          </w:p>
        </w:tc>
        <w:tc>
          <w:tcPr>
            <w:tcW w:w="276"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4 926,61</w:t>
            </w:r>
          </w:p>
        </w:tc>
        <w:tc>
          <w:tcPr>
            <w:tcW w:w="229"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64,62</w:t>
            </w:r>
          </w:p>
        </w:tc>
        <w:tc>
          <w:tcPr>
            <w:tcW w:w="247"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191,8</w:t>
            </w:r>
          </w:p>
        </w:tc>
        <w:tc>
          <w:tcPr>
            <w:tcW w:w="276"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4 911,21</w:t>
            </w:r>
          </w:p>
        </w:tc>
        <w:tc>
          <w:tcPr>
            <w:tcW w:w="229"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64,42</w:t>
            </w:r>
          </w:p>
        </w:tc>
        <w:tc>
          <w:tcPr>
            <w:tcW w:w="247"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191,23</w:t>
            </w:r>
          </w:p>
        </w:tc>
        <w:tc>
          <w:tcPr>
            <w:tcW w:w="276"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4 726,84</w:t>
            </w:r>
          </w:p>
        </w:tc>
        <w:tc>
          <w:tcPr>
            <w:tcW w:w="229"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62</w:t>
            </w:r>
          </w:p>
        </w:tc>
        <w:tc>
          <w:tcPr>
            <w:tcW w:w="247" w:type="pct"/>
            <w:tcBorders>
              <w:top w:val="nil"/>
              <w:left w:val="nil"/>
              <w:bottom w:val="single" w:sz="8" w:space="0" w:color="1F497D"/>
              <w:right w:val="double" w:sz="6"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184,09</w:t>
            </w:r>
          </w:p>
        </w:tc>
      </w:tr>
      <w:tr w:rsidR="00676BDD" w:rsidRPr="00676BDD" w:rsidTr="00DA04F7">
        <w:trPr>
          <w:trHeight w:val="315"/>
        </w:trPr>
        <w:tc>
          <w:tcPr>
            <w:tcW w:w="238" w:type="pct"/>
            <w:tcBorders>
              <w:top w:val="nil"/>
              <w:left w:val="double" w:sz="6" w:space="0" w:color="1F497D"/>
              <w:bottom w:val="single" w:sz="8" w:space="0" w:color="1F497D"/>
              <w:right w:val="single" w:sz="8" w:space="0" w:color="1F497D"/>
            </w:tcBorders>
            <w:shd w:val="clear" w:color="000000" w:fill="E4DFEC"/>
            <w:vAlign w:val="center"/>
            <w:hideMark/>
          </w:tcPr>
          <w:p w:rsidR="00676BDD" w:rsidRPr="00676BDD" w:rsidRDefault="00676BDD" w:rsidP="00676BDD">
            <w:pPr>
              <w:jc w:val="center"/>
              <w:rPr>
                <w:color w:val="000000"/>
                <w:sz w:val="16"/>
                <w:szCs w:val="16"/>
              </w:rPr>
            </w:pPr>
            <w:r w:rsidRPr="00676BDD">
              <w:rPr>
                <w:color w:val="000000"/>
                <w:sz w:val="16"/>
                <w:szCs w:val="16"/>
              </w:rPr>
              <w:t>1.1a</w:t>
            </w:r>
          </w:p>
        </w:tc>
        <w:tc>
          <w:tcPr>
            <w:tcW w:w="276"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7 624,07</w:t>
            </w:r>
          </w:p>
        </w:tc>
        <w:tc>
          <w:tcPr>
            <w:tcW w:w="247"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290,94</w:t>
            </w:r>
          </w:p>
        </w:tc>
        <w:tc>
          <w:tcPr>
            <w:tcW w:w="229" w:type="pct"/>
            <w:tcBorders>
              <w:top w:val="nil"/>
              <w:left w:val="nil"/>
              <w:bottom w:val="single" w:sz="8" w:space="0" w:color="1F497D"/>
              <w:right w:val="single" w:sz="8" w:space="0" w:color="1F497D"/>
            </w:tcBorders>
            <w:shd w:val="clear" w:color="000000" w:fill="E4DFEC"/>
            <w:vAlign w:val="center"/>
            <w:hideMark/>
          </w:tcPr>
          <w:p w:rsidR="00676BDD" w:rsidRPr="00676BDD" w:rsidRDefault="00676BDD" w:rsidP="00676BDD">
            <w:pPr>
              <w:jc w:val="center"/>
              <w:rPr>
                <w:b/>
                <w:bCs/>
                <w:color w:val="000000"/>
                <w:sz w:val="16"/>
                <w:szCs w:val="16"/>
              </w:rPr>
            </w:pPr>
            <w:r w:rsidRPr="00676BDD">
              <w:rPr>
                <w:b/>
                <w:bCs/>
                <w:color w:val="000000"/>
                <w:sz w:val="16"/>
                <w:szCs w:val="16"/>
              </w:rPr>
              <w:t>141</w:t>
            </w:r>
          </w:p>
        </w:tc>
        <w:tc>
          <w:tcPr>
            <w:tcW w:w="276"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12 273,40</w:t>
            </w:r>
          </w:p>
        </w:tc>
        <w:tc>
          <w:tcPr>
            <w:tcW w:w="238"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160,98</w:t>
            </w:r>
          </w:p>
        </w:tc>
        <w:tc>
          <w:tcPr>
            <w:tcW w:w="247"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461,82</w:t>
            </w:r>
          </w:p>
        </w:tc>
        <w:tc>
          <w:tcPr>
            <w:tcW w:w="229"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76</w:t>
            </w:r>
          </w:p>
        </w:tc>
        <w:tc>
          <w:tcPr>
            <w:tcW w:w="276"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6 887,63</w:t>
            </w:r>
          </w:p>
        </w:tc>
        <w:tc>
          <w:tcPr>
            <w:tcW w:w="238"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90,34</w:t>
            </w:r>
          </w:p>
        </w:tc>
        <w:tc>
          <w:tcPr>
            <w:tcW w:w="247"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263,81</w:t>
            </w:r>
          </w:p>
        </w:tc>
        <w:tc>
          <w:tcPr>
            <w:tcW w:w="276"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4 926,61</w:t>
            </w:r>
          </w:p>
        </w:tc>
        <w:tc>
          <w:tcPr>
            <w:tcW w:w="229"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64,62</w:t>
            </w:r>
          </w:p>
        </w:tc>
        <w:tc>
          <w:tcPr>
            <w:tcW w:w="247"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191,8</w:t>
            </w:r>
          </w:p>
        </w:tc>
        <w:tc>
          <w:tcPr>
            <w:tcW w:w="276"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4 911,21</w:t>
            </w:r>
          </w:p>
        </w:tc>
        <w:tc>
          <w:tcPr>
            <w:tcW w:w="229"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64,42</w:t>
            </w:r>
          </w:p>
        </w:tc>
        <w:tc>
          <w:tcPr>
            <w:tcW w:w="247"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191,23</w:t>
            </w:r>
          </w:p>
        </w:tc>
        <w:tc>
          <w:tcPr>
            <w:tcW w:w="276"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4 726,84</w:t>
            </w:r>
          </w:p>
        </w:tc>
        <w:tc>
          <w:tcPr>
            <w:tcW w:w="229"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62</w:t>
            </w:r>
          </w:p>
        </w:tc>
        <w:tc>
          <w:tcPr>
            <w:tcW w:w="247" w:type="pct"/>
            <w:tcBorders>
              <w:top w:val="nil"/>
              <w:left w:val="nil"/>
              <w:bottom w:val="single" w:sz="8" w:space="0" w:color="1F497D"/>
              <w:right w:val="double" w:sz="6"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184,09</w:t>
            </w:r>
          </w:p>
        </w:tc>
      </w:tr>
      <w:tr w:rsidR="00676BDD" w:rsidRPr="00676BDD" w:rsidTr="00DA04F7">
        <w:trPr>
          <w:trHeight w:val="315"/>
        </w:trPr>
        <w:tc>
          <w:tcPr>
            <w:tcW w:w="238" w:type="pct"/>
            <w:tcBorders>
              <w:top w:val="nil"/>
              <w:left w:val="double" w:sz="6" w:space="0" w:color="1F497D"/>
              <w:bottom w:val="single" w:sz="8" w:space="0" w:color="1F497D"/>
              <w:right w:val="single" w:sz="8" w:space="0" w:color="1F497D"/>
            </w:tcBorders>
            <w:shd w:val="clear" w:color="000000" w:fill="FFFFFF"/>
            <w:vAlign w:val="center"/>
            <w:hideMark/>
          </w:tcPr>
          <w:p w:rsidR="00676BDD" w:rsidRPr="00676BDD" w:rsidRDefault="00676BDD" w:rsidP="00676BDD">
            <w:pPr>
              <w:jc w:val="center"/>
              <w:rPr>
                <w:color w:val="000000"/>
                <w:sz w:val="16"/>
                <w:szCs w:val="16"/>
              </w:rPr>
            </w:pPr>
            <w:r w:rsidRPr="00676BDD">
              <w:rPr>
                <w:color w:val="000000"/>
                <w:sz w:val="16"/>
                <w:szCs w:val="16"/>
              </w:rPr>
              <w:t>1.1b</w:t>
            </w:r>
          </w:p>
        </w:tc>
        <w:tc>
          <w:tcPr>
            <w:tcW w:w="276"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523,72</w:t>
            </w:r>
          </w:p>
        </w:tc>
        <w:tc>
          <w:tcPr>
            <w:tcW w:w="247"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20,07</w:t>
            </w:r>
          </w:p>
        </w:tc>
        <w:tc>
          <w:tcPr>
            <w:tcW w:w="229" w:type="pct"/>
            <w:tcBorders>
              <w:top w:val="nil"/>
              <w:left w:val="nil"/>
              <w:bottom w:val="single" w:sz="8" w:space="0" w:color="1F497D"/>
              <w:right w:val="single" w:sz="8" w:space="0" w:color="1F497D"/>
            </w:tcBorders>
            <w:shd w:val="clear" w:color="000000" w:fill="FFFFFF"/>
            <w:vAlign w:val="center"/>
            <w:hideMark/>
          </w:tcPr>
          <w:p w:rsidR="00676BDD" w:rsidRPr="00676BDD" w:rsidRDefault="00676BDD" w:rsidP="00676BDD">
            <w:pPr>
              <w:jc w:val="center"/>
              <w:rPr>
                <w:color w:val="000000"/>
                <w:sz w:val="16"/>
                <w:szCs w:val="16"/>
              </w:rPr>
            </w:pPr>
            <w:r w:rsidRPr="00676BDD">
              <w:rPr>
                <w:color w:val="000000"/>
                <w:sz w:val="16"/>
                <w:szCs w:val="16"/>
              </w:rPr>
              <w:t>0</w:t>
            </w:r>
          </w:p>
        </w:tc>
        <w:tc>
          <w:tcPr>
            <w:tcW w:w="276"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944,11</w:t>
            </w:r>
          </w:p>
        </w:tc>
        <w:tc>
          <w:tcPr>
            <w:tcW w:w="238"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180,27</w:t>
            </w:r>
          </w:p>
        </w:tc>
        <w:tc>
          <w:tcPr>
            <w:tcW w:w="247"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35,52</w:t>
            </w:r>
          </w:p>
        </w:tc>
        <w:tc>
          <w:tcPr>
            <w:tcW w:w="229"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0</w:t>
            </w:r>
          </w:p>
        </w:tc>
        <w:tc>
          <w:tcPr>
            <w:tcW w:w="276"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529,82</w:t>
            </w:r>
          </w:p>
        </w:tc>
        <w:tc>
          <w:tcPr>
            <w:tcW w:w="238"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101,16</w:t>
            </w:r>
          </w:p>
        </w:tc>
        <w:tc>
          <w:tcPr>
            <w:tcW w:w="247"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20,29</w:t>
            </w:r>
          </w:p>
        </w:tc>
        <w:tc>
          <w:tcPr>
            <w:tcW w:w="276"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378,97</w:t>
            </w:r>
          </w:p>
        </w:tc>
        <w:tc>
          <w:tcPr>
            <w:tcW w:w="229"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72,36</w:t>
            </w:r>
          </w:p>
        </w:tc>
        <w:tc>
          <w:tcPr>
            <w:tcW w:w="247"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14,75</w:t>
            </w:r>
          </w:p>
        </w:tc>
        <w:tc>
          <w:tcPr>
            <w:tcW w:w="276"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377,79</w:t>
            </w:r>
          </w:p>
        </w:tc>
        <w:tc>
          <w:tcPr>
            <w:tcW w:w="229"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72,13</w:t>
            </w:r>
          </w:p>
        </w:tc>
        <w:tc>
          <w:tcPr>
            <w:tcW w:w="247"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14,71</w:t>
            </w:r>
          </w:p>
        </w:tc>
        <w:tc>
          <w:tcPr>
            <w:tcW w:w="276"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363,6</w:t>
            </w:r>
          </w:p>
        </w:tc>
        <w:tc>
          <w:tcPr>
            <w:tcW w:w="229"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69,43</w:t>
            </w:r>
          </w:p>
        </w:tc>
        <w:tc>
          <w:tcPr>
            <w:tcW w:w="247" w:type="pct"/>
            <w:tcBorders>
              <w:top w:val="nil"/>
              <w:left w:val="nil"/>
              <w:bottom w:val="single" w:sz="8" w:space="0" w:color="1F497D"/>
              <w:right w:val="double" w:sz="6"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14,16</w:t>
            </w:r>
          </w:p>
        </w:tc>
      </w:tr>
      <w:tr w:rsidR="00676BDD" w:rsidRPr="00676BDD" w:rsidTr="00DA04F7">
        <w:trPr>
          <w:trHeight w:val="315"/>
        </w:trPr>
        <w:tc>
          <w:tcPr>
            <w:tcW w:w="238" w:type="pct"/>
            <w:tcBorders>
              <w:top w:val="nil"/>
              <w:left w:val="double" w:sz="6" w:space="0" w:color="1F497D"/>
              <w:bottom w:val="single" w:sz="8" w:space="0" w:color="1F497D"/>
              <w:right w:val="single" w:sz="8" w:space="0" w:color="1F497D"/>
            </w:tcBorders>
            <w:shd w:val="clear" w:color="000000" w:fill="E4DFEC"/>
            <w:vAlign w:val="center"/>
            <w:hideMark/>
          </w:tcPr>
          <w:p w:rsidR="00676BDD" w:rsidRPr="00676BDD" w:rsidRDefault="00676BDD" w:rsidP="00676BDD">
            <w:pPr>
              <w:jc w:val="center"/>
              <w:rPr>
                <w:color w:val="000000"/>
                <w:sz w:val="16"/>
                <w:szCs w:val="16"/>
              </w:rPr>
            </w:pPr>
            <w:r w:rsidRPr="00676BDD">
              <w:rPr>
                <w:color w:val="000000"/>
                <w:sz w:val="16"/>
                <w:szCs w:val="16"/>
              </w:rPr>
              <w:t>1.1b</w:t>
            </w:r>
          </w:p>
        </w:tc>
        <w:tc>
          <w:tcPr>
            <w:tcW w:w="276"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523,72</w:t>
            </w:r>
          </w:p>
        </w:tc>
        <w:tc>
          <w:tcPr>
            <w:tcW w:w="247"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20,07</w:t>
            </w:r>
          </w:p>
        </w:tc>
        <w:tc>
          <w:tcPr>
            <w:tcW w:w="229" w:type="pct"/>
            <w:tcBorders>
              <w:top w:val="nil"/>
              <w:left w:val="nil"/>
              <w:bottom w:val="single" w:sz="8" w:space="0" w:color="1F497D"/>
              <w:right w:val="single" w:sz="8" w:space="0" w:color="1F497D"/>
            </w:tcBorders>
            <w:shd w:val="clear" w:color="000000" w:fill="E4DFEC"/>
            <w:vAlign w:val="center"/>
            <w:hideMark/>
          </w:tcPr>
          <w:p w:rsidR="00676BDD" w:rsidRPr="00676BDD" w:rsidRDefault="00676BDD" w:rsidP="00676BDD">
            <w:pPr>
              <w:jc w:val="center"/>
              <w:rPr>
                <w:b/>
                <w:bCs/>
                <w:color w:val="000000"/>
                <w:sz w:val="16"/>
                <w:szCs w:val="16"/>
              </w:rPr>
            </w:pPr>
            <w:r w:rsidRPr="00676BDD">
              <w:rPr>
                <w:b/>
                <w:bCs/>
                <w:color w:val="000000"/>
                <w:sz w:val="16"/>
                <w:szCs w:val="16"/>
              </w:rPr>
              <w:t>0</w:t>
            </w:r>
          </w:p>
        </w:tc>
        <w:tc>
          <w:tcPr>
            <w:tcW w:w="276"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944,11</w:t>
            </w:r>
          </w:p>
        </w:tc>
        <w:tc>
          <w:tcPr>
            <w:tcW w:w="238"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180,27</w:t>
            </w:r>
          </w:p>
        </w:tc>
        <w:tc>
          <w:tcPr>
            <w:tcW w:w="247"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35,52</w:t>
            </w:r>
          </w:p>
        </w:tc>
        <w:tc>
          <w:tcPr>
            <w:tcW w:w="229"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0</w:t>
            </w:r>
          </w:p>
        </w:tc>
        <w:tc>
          <w:tcPr>
            <w:tcW w:w="276"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529,82</w:t>
            </w:r>
          </w:p>
        </w:tc>
        <w:tc>
          <w:tcPr>
            <w:tcW w:w="238"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101,16</w:t>
            </w:r>
          </w:p>
        </w:tc>
        <w:tc>
          <w:tcPr>
            <w:tcW w:w="247"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20,29</w:t>
            </w:r>
          </w:p>
        </w:tc>
        <w:tc>
          <w:tcPr>
            <w:tcW w:w="276"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378,97</w:t>
            </w:r>
          </w:p>
        </w:tc>
        <w:tc>
          <w:tcPr>
            <w:tcW w:w="229"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72,36</w:t>
            </w:r>
          </w:p>
        </w:tc>
        <w:tc>
          <w:tcPr>
            <w:tcW w:w="247"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14,75</w:t>
            </w:r>
          </w:p>
        </w:tc>
        <w:tc>
          <w:tcPr>
            <w:tcW w:w="276"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377,79</w:t>
            </w:r>
          </w:p>
        </w:tc>
        <w:tc>
          <w:tcPr>
            <w:tcW w:w="229"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72,13</w:t>
            </w:r>
          </w:p>
        </w:tc>
        <w:tc>
          <w:tcPr>
            <w:tcW w:w="247"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14,71</w:t>
            </w:r>
          </w:p>
        </w:tc>
        <w:tc>
          <w:tcPr>
            <w:tcW w:w="276"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363,6</w:t>
            </w:r>
          </w:p>
        </w:tc>
        <w:tc>
          <w:tcPr>
            <w:tcW w:w="229"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69,43</w:t>
            </w:r>
          </w:p>
        </w:tc>
        <w:tc>
          <w:tcPr>
            <w:tcW w:w="247" w:type="pct"/>
            <w:tcBorders>
              <w:top w:val="nil"/>
              <w:left w:val="nil"/>
              <w:bottom w:val="single" w:sz="8" w:space="0" w:color="1F497D"/>
              <w:right w:val="double" w:sz="6"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14,16</w:t>
            </w:r>
          </w:p>
        </w:tc>
      </w:tr>
      <w:tr w:rsidR="00676BDD" w:rsidRPr="00676BDD" w:rsidTr="00DA04F7">
        <w:trPr>
          <w:trHeight w:val="315"/>
        </w:trPr>
        <w:tc>
          <w:tcPr>
            <w:tcW w:w="238" w:type="pct"/>
            <w:tcBorders>
              <w:top w:val="nil"/>
              <w:left w:val="double" w:sz="6" w:space="0" w:color="1F497D"/>
              <w:bottom w:val="single" w:sz="8" w:space="0" w:color="1F497D"/>
              <w:right w:val="single" w:sz="8" w:space="0" w:color="1F497D"/>
            </w:tcBorders>
            <w:shd w:val="clear" w:color="000000" w:fill="FFFFFF"/>
            <w:vAlign w:val="center"/>
            <w:hideMark/>
          </w:tcPr>
          <w:p w:rsidR="00676BDD" w:rsidRPr="00676BDD" w:rsidRDefault="00676BDD" w:rsidP="00676BDD">
            <w:pPr>
              <w:jc w:val="center"/>
              <w:rPr>
                <w:color w:val="000000"/>
                <w:sz w:val="16"/>
                <w:szCs w:val="16"/>
              </w:rPr>
            </w:pPr>
            <w:r w:rsidRPr="00676BDD">
              <w:rPr>
                <w:color w:val="000000"/>
                <w:sz w:val="16"/>
                <w:szCs w:val="16"/>
              </w:rPr>
              <w:t>2.1</w:t>
            </w:r>
          </w:p>
        </w:tc>
        <w:tc>
          <w:tcPr>
            <w:tcW w:w="276"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3 912,66</w:t>
            </w:r>
          </w:p>
        </w:tc>
        <w:tc>
          <w:tcPr>
            <w:tcW w:w="247"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148,51</w:t>
            </w:r>
          </w:p>
        </w:tc>
        <w:tc>
          <w:tcPr>
            <w:tcW w:w="229" w:type="pct"/>
            <w:tcBorders>
              <w:top w:val="nil"/>
              <w:left w:val="nil"/>
              <w:bottom w:val="single" w:sz="8" w:space="0" w:color="1F497D"/>
              <w:right w:val="single" w:sz="8" w:space="0" w:color="1F497D"/>
            </w:tcBorders>
            <w:shd w:val="clear" w:color="000000" w:fill="FFFFFF"/>
            <w:vAlign w:val="center"/>
            <w:hideMark/>
          </w:tcPr>
          <w:p w:rsidR="00676BDD" w:rsidRPr="00676BDD" w:rsidRDefault="00676BDD" w:rsidP="00676BDD">
            <w:pPr>
              <w:jc w:val="center"/>
              <w:rPr>
                <w:color w:val="000000"/>
                <w:sz w:val="16"/>
                <w:szCs w:val="16"/>
              </w:rPr>
            </w:pPr>
            <w:r w:rsidRPr="00676BDD">
              <w:rPr>
                <w:color w:val="000000"/>
                <w:sz w:val="16"/>
                <w:szCs w:val="16"/>
              </w:rPr>
              <w:t>6 069</w:t>
            </w:r>
          </w:p>
        </w:tc>
        <w:tc>
          <w:tcPr>
            <w:tcW w:w="276"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5 618,21</w:t>
            </w:r>
          </w:p>
        </w:tc>
        <w:tc>
          <w:tcPr>
            <w:tcW w:w="238"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143,59</w:t>
            </w:r>
          </w:p>
        </w:tc>
        <w:tc>
          <w:tcPr>
            <w:tcW w:w="247"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211,2</w:t>
            </w:r>
          </w:p>
        </w:tc>
        <w:tc>
          <w:tcPr>
            <w:tcW w:w="229"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5 672</w:t>
            </w:r>
          </w:p>
        </w:tc>
        <w:tc>
          <w:tcPr>
            <w:tcW w:w="276"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4 322,32</w:t>
            </w:r>
          </w:p>
        </w:tc>
        <w:tc>
          <w:tcPr>
            <w:tcW w:w="238"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110,47</w:t>
            </w:r>
          </w:p>
        </w:tc>
        <w:tc>
          <w:tcPr>
            <w:tcW w:w="247"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163,57</w:t>
            </w:r>
          </w:p>
        </w:tc>
        <w:tc>
          <w:tcPr>
            <w:tcW w:w="276"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2 730,32</w:t>
            </w:r>
          </w:p>
        </w:tc>
        <w:tc>
          <w:tcPr>
            <w:tcW w:w="229"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69,78</w:t>
            </w:r>
          </w:p>
        </w:tc>
        <w:tc>
          <w:tcPr>
            <w:tcW w:w="247"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105,06</w:t>
            </w:r>
          </w:p>
        </w:tc>
        <w:tc>
          <w:tcPr>
            <w:tcW w:w="276"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2 631,56</w:t>
            </w:r>
          </w:p>
        </w:tc>
        <w:tc>
          <w:tcPr>
            <w:tcW w:w="229"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67,26</w:t>
            </w:r>
          </w:p>
        </w:tc>
        <w:tc>
          <w:tcPr>
            <w:tcW w:w="247"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101,43</w:t>
            </w:r>
          </w:p>
        </w:tc>
        <w:tc>
          <w:tcPr>
            <w:tcW w:w="276"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2 479,87</w:t>
            </w:r>
          </w:p>
        </w:tc>
        <w:tc>
          <w:tcPr>
            <w:tcW w:w="229"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63,38</w:t>
            </w:r>
          </w:p>
        </w:tc>
        <w:tc>
          <w:tcPr>
            <w:tcW w:w="247" w:type="pct"/>
            <w:tcBorders>
              <w:top w:val="nil"/>
              <w:left w:val="nil"/>
              <w:bottom w:val="single" w:sz="8" w:space="0" w:color="1F497D"/>
              <w:right w:val="double" w:sz="6"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95,78</w:t>
            </w:r>
          </w:p>
        </w:tc>
      </w:tr>
      <w:tr w:rsidR="00676BDD" w:rsidRPr="00676BDD" w:rsidTr="00DA04F7">
        <w:trPr>
          <w:trHeight w:val="315"/>
        </w:trPr>
        <w:tc>
          <w:tcPr>
            <w:tcW w:w="238" w:type="pct"/>
            <w:tcBorders>
              <w:top w:val="nil"/>
              <w:left w:val="double" w:sz="6" w:space="0" w:color="1F497D"/>
              <w:bottom w:val="single" w:sz="8" w:space="0" w:color="1F497D"/>
              <w:right w:val="single" w:sz="8" w:space="0" w:color="1F497D"/>
            </w:tcBorders>
            <w:shd w:val="clear" w:color="000000" w:fill="E4DFEC"/>
            <w:vAlign w:val="center"/>
            <w:hideMark/>
          </w:tcPr>
          <w:p w:rsidR="00676BDD" w:rsidRPr="00676BDD" w:rsidRDefault="00676BDD" w:rsidP="00676BDD">
            <w:pPr>
              <w:jc w:val="center"/>
              <w:rPr>
                <w:color w:val="000000"/>
                <w:sz w:val="16"/>
                <w:szCs w:val="16"/>
              </w:rPr>
            </w:pPr>
            <w:r w:rsidRPr="00676BDD">
              <w:rPr>
                <w:color w:val="000000"/>
                <w:sz w:val="16"/>
                <w:szCs w:val="16"/>
              </w:rPr>
              <w:t>2.1</w:t>
            </w:r>
          </w:p>
        </w:tc>
        <w:tc>
          <w:tcPr>
            <w:tcW w:w="276"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3 912,66</w:t>
            </w:r>
          </w:p>
        </w:tc>
        <w:tc>
          <w:tcPr>
            <w:tcW w:w="247"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148,51</w:t>
            </w:r>
          </w:p>
        </w:tc>
        <w:tc>
          <w:tcPr>
            <w:tcW w:w="229" w:type="pct"/>
            <w:tcBorders>
              <w:top w:val="nil"/>
              <w:left w:val="nil"/>
              <w:bottom w:val="single" w:sz="8" w:space="0" w:color="1F497D"/>
              <w:right w:val="single" w:sz="8" w:space="0" w:color="1F497D"/>
            </w:tcBorders>
            <w:shd w:val="clear" w:color="000000" w:fill="E4DFEC"/>
            <w:vAlign w:val="center"/>
            <w:hideMark/>
          </w:tcPr>
          <w:p w:rsidR="00676BDD" w:rsidRPr="00676BDD" w:rsidRDefault="00676BDD" w:rsidP="00676BDD">
            <w:pPr>
              <w:jc w:val="center"/>
              <w:rPr>
                <w:b/>
                <w:bCs/>
                <w:color w:val="000000"/>
                <w:sz w:val="16"/>
                <w:szCs w:val="16"/>
              </w:rPr>
            </w:pPr>
            <w:r w:rsidRPr="00676BDD">
              <w:rPr>
                <w:b/>
                <w:bCs/>
                <w:color w:val="000000"/>
                <w:sz w:val="16"/>
                <w:szCs w:val="16"/>
              </w:rPr>
              <w:t>6 069</w:t>
            </w:r>
          </w:p>
        </w:tc>
        <w:tc>
          <w:tcPr>
            <w:tcW w:w="276"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5 618,21</w:t>
            </w:r>
          </w:p>
        </w:tc>
        <w:tc>
          <w:tcPr>
            <w:tcW w:w="238"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143,59</w:t>
            </w:r>
          </w:p>
        </w:tc>
        <w:tc>
          <w:tcPr>
            <w:tcW w:w="247"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211,2</w:t>
            </w:r>
          </w:p>
        </w:tc>
        <w:tc>
          <w:tcPr>
            <w:tcW w:w="229"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5 672</w:t>
            </w:r>
          </w:p>
        </w:tc>
        <w:tc>
          <w:tcPr>
            <w:tcW w:w="276"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4 322,32</w:t>
            </w:r>
          </w:p>
        </w:tc>
        <w:tc>
          <w:tcPr>
            <w:tcW w:w="238"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110,47</w:t>
            </w:r>
          </w:p>
        </w:tc>
        <w:tc>
          <w:tcPr>
            <w:tcW w:w="247"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163,57</w:t>
            </w:r>
          </w:p>
        </w:tc>
        <w:tc>
          <w:tcPr>
            <w:tcW w:w="276"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2 730,32</w:t>
            </w:r>
          </w:p>
        </w:tc>
        <w:tc>
          <w:tcPr>
            <w:tcW w:w="229"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69,78</w:t>
            </w:r>
          </w:p>
        </w:tc>
        <w:tc>
          <w:tcPr>
            <w:tcW w:w="247"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105,06</w:t>
            </w:r>
          </w:p>
        </w:tc>
        <w:tc>
          <w:tcPr>
            <w:tcW w:w="276"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2 631,56</w:t>
            </w:r>
          </w:p>
        </w:tc>
        <w:tc>
          <w:tcPr>
            <w:tcW w:w="229"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67,26</w:t>
            </w:r>
          </w:p>
        </w:tc>
        <w:tc>
          <w:tcPr>
            <w:tcW w:w="247"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101,43</w:t>
            </w:r>
          </w:p>
        </w:tc>
        <w:tc>
          <w:tcPr>
            <w:tcW w:w="276"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2 479,87</w:t>
            </w:r>
          </w:p>
        </w:tc>
        <w:tc>
          <w:tcPr>
            <w:tcW w:w="229"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63,38</w:t>
            </w:r>
          </w:p>
        </w:tc>
        <w:tc>
          <w:tcPr>
            <w:tcW w:w="247" w:type="pct"/>
            <w:tcBorders>
              <w:top w:val="nil"/>
              <w:left w:val="nil"/>
              <w:bottom w:val="single" w:sz="8" w:space="0" w:color="1F497D"/>
              <w:right w:val="double" w:sz="6"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95,78</w:t>
            </w:r>
          </w:p>
        </w:tc>
      </w:tr>
      <w:tr w:rsidR="00676BDD" w:rsidRPr="00676BDD" w:rsidTr="00DA04F7">
        <w:trPr>
          <w:trHeight w:val="315"/>
        </w:trPr>
        <w:tc>
          <w:tcPr>
            <w:tcW w:w="238" w:type="pct"/>
            <w:tcBorders>
              <w:top w:val="nil"/>
              <w:left w:val="double" w:sz="6" w:space="0" w:color="1F497D"/>
              <w:bottom w:val="single" w:sz="8" w:space="0" w:color="1F497D"/>
              <w:right w:val="single" w:sz="8" w:space="0" w:color="1F497D"/>
            </w:tcBorders>
            <w:shd w:val="clear" w:color="000000" w:fill="FFFFFF"/>
            <w:vAlign w:val="center"/>
            <w:hideMark/>
          </w:tcPr>
          <w:p w:rsidR="00676BDD" w:rsidRPr="00676BDD" w:rsidRDefault="00676BDD" w:rsidP="00676BDD">
            <w:pPr>
              <w:jc w:val="center"/>
              <w:rPr>
                <w:color w:val="000000"/>
                <w:sz w:val="16"/>
                <w:szCs w:val="16"/>
              </w:rPr>
            </w:pPr>
            <w:r w:rsidRPr="00676BDD">
              <w:rPr>
                <w:color w:val="000000"/>
                <w:sz w:val="16"/>
                <w:szCs w:val="16"/>
              </w:rPr>
              <w:t>3.1</w:t>
            </w:r>
          </w:p>
        </w:tc>
        <w:tc>
          <w:tcPr>
            <w:tcW w:w="276"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1 472,06</w:t>
            </w:r>
          </w:p>
        </w:tc>
        <w:tc>
          <w:tcPr>
            <w:tcW w:w="247"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54,64</w:t>
            </w:r>
          </w:p>
        </w:tc>
        <w:tc>
          <w:tcPr>
            <w:tcW w:w="229" w:type="pct"/>
            <w:tcBorders>
              <w:top w:val="nil"/>
              <w:left w:val="nil"/>
              <w:bottom w:val="single" w:sz="8" w:space="0" w:color="1F497D"/>
              <w:right w:val="single" w:sz="8" w:space="0" w:color="1F497D"/>
            </w:tcBorders>
            <w:shd w:val="clear" w:color="000000" w:fill="FFFFFF"/>
            <w:vAlign w:val="center"/>
            <w:hideMark/>
          </w:tcPr>
          <w:p w:rsidR="00676BDD" w:rsidRPr="00676BDD" w:rsidRDefault="00676BDD" w:rsidP="00676BDD">
            <w:pPr>
              <w:jc w:val="center"/>
              <w:rPr>
                <w:color w:val="000000"/>
                <w:sz w:val="16"/>
                <w:szCs w:val="16"/>
              </w:rPr>
            </w:pPr>
            <w:r w:rsidRPr="00676BDD">
              <w:rPr>
                <w:color w:val="000000"/>
                <w:sz w:val="16"/>
                <w:szCs w:val="16"/>
              </w:rPr>
              <w:t>474</w:t>
            </w:r>
          </w:p>
        </w:tc>
        <w:tc>
          <w:tcPr>
            <w:tcW w:w="276"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3 210,61</w:t>
            </w:r>
          </w:p>
        </w:tc>
        <w:tc>
          <w:tcPr>
            <w:tcW w:w="238"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218,1</w:t>
            </w:r>
          </w:p>
        </w:tc>
        <w:tc>
          <w:tcPr>
            <w:tcW w:w="247"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118,54</w:t>
            </w:r>
          </w:p>
        </w:tc>
        <w:tc>
          <w:tcPr>
            <w:tcW w:w="229"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128</w:t>
            </w:r>
          </w:p>
        </w:tc>
        <w:tc>
          <w:tcPr>
            <w:tcW w:w="276"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1 321,85</w:t>
            </w:r>
          </w:p>
        </w:tc>
        <w:tc>
          <w:tcPr>
            <w:tcW w:w="238"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89,8</w:t>
            </w:r>
          </w:p>
        </w:tc>
        <w:tc>
          <w:tcPr>
            <w:tcW w:w="247"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49,11</w:t>
            </w:r>
          </w:p>
        </w:tc>
        <w:tc>
          <w:tcPr>
            <w:tcW w:w="276"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915,69</w:t>
            </w:r>
          </w:p>
        </w:tc>
        <w:tc>
          <w:tcPr>
            <w:tcW w:w="229"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62,2</w:t>
            </w:r>
          </w:p>
        </w:tc>
        <w:tc>
          <w:tcPr>
            <w:tcW w:w="247"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34,19</w:t>
            </w:r>
          </w:p>
        </w:tc>
        <w:tc>
          <w:tcPr>
            <w:tcW w:w="276"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827,59</w:t>
            </w:r>
          </w:p>
        </w:tc>
        <w:tc>
          <w:tcPr>
            <w:tcW w:w="229"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56,22</w:t>
            </w:r>
          </w:p>
        </w:tc>
        <w:tc>
          <w:tcPr>
            <w:tcW w:w="247"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30,96</w:t>
            </w:r>
          </w:p>
        </w:tc>
        <w:tc>
          <w:tcPr>
            <w:tcW w:w="276"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764,04</w:t>
            </w:r>
          </w:p>
        </w:tc>
        <w:tc>
          <w:tcPr>
            <w:tcW w:w="229"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51,9</w:t>
            </w:r>
          </w:p>
        </w:tc>
        <w:tc>
          <w:tcPr>
            <w:tcW w:w="247" w:type="pct"/>
            <w:tcBorders>
              <w:top w:val="nil"/>
              <w:left w:val="nil"/>
              <w:bottom w:val="single" w:sz="8" w:space="0" w:color="1F497D"/>
              <w:right w:val="double" w:sz="6"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28,6</w:t>
            </w:r>
          </w:p>
        </w:tc>
      </w:tr>
      <w:tr w:rsidR="00676BDD" w:rsidRPr="00676BDD" w:rsidTr="00DA04F7">
        <w:trPr>
          <w:trHeight w:val="315"/>
        </w:trPr>
        <w:tc>
          <w:tcPr>
            <w:tcW w:w="238" w:type="pct"/>
            <w:tcBorders>
              <w:top w:val="nil"/>
              <w:left w:val="double" w:sz="6" w:space="0" w:color="1F497D"/>
              <w:bottom w:val="single" w:sz="8" w:space="0" w:color="1F497D"/>
              <w:right w:val="single" w:sz="8" w:space="0" w:color="1F497D"/>
            </w:tcBorders>
            <w:shd w:val="clear" w:color="000000" w:fill="FFFFFF"/>
            <w:vAlign w:val="center"/>
            <w:hideMark/>
          </w:tcPr>
          <w:p w:rsidR="00676BDD" w:rsidRPr="00676BDD" w:rsidRDefault="00676BDD" w:rsidP="00676BDD">
            <w:pPr>
              <w:jc w:val="center"/>
              <w:rPr>
                <w:color w:val="000000"/>
                <w:sz w:val="16"/>
                <w:szCs w:val="16"/>
              </w:rPr>
            </w:pPr>
            <w:r w:rsidRPr="00676BDD">
              <w:rPr>
                <w:color w:val="000000"/>
                <w:sz w:val="16"/>
                <w:szCs w:val="16"/>
              </w:rPr>
              <w:t>3.2</w:t>
            </w:r>
          </w:p>
        </w:tc>
        <w:tc>
          <w:tcPr>
            <w:tcW w:w="276"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6 501,32</w:t>
            </w:r>
          </w:p>
        </w:tc>
        <w:tc>
          <w:tcPr>
            <w:tcW w:w="247"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248,48</w:t>
            </w:r>
          </w:p>
        </w:tc>
        <w:tc>
          <w:tcPr>
            <w:tcW w:w="229" w:type="pct"/>
            <w:tcBorders>
              <w:top w:val="nil"/>
              <w:left w:val="nil"/>
              <w:bottom w:val="single" w:sz="8" w:space="0" w:color="1F497D"/>
              <w:right w:val="single" w:sz="8" w:space="0" w:color="1F497D"/>
            </w:tcBorders>
            <w:shd w:val="clear" w:color="000000" w:fill="FFFFFF"/>
            <w:vAlign w:val="center"/>
            <w:hideMark/>
          </w:tcPr>
          <w:p w:rsidR="00676BDD" w:rsidRPr="00676BDD" w:rsidRDefault="00676BDD" w:rsidP="00676BDD">
            <w:pPr>
              <w:jc w:val="center"/>
              <w:rPr>
                <w:color w:val="000000"/>
                <w:sz w:val="16"/>
                <w:szCs w:val="16"/>
              </w:rPr>
            </w:pPr>
            <w:r w:rsidRPr="00676BDD">
              <w:rPr>
                <w:color w:val="000000"/>
                <w:sz w:val="16"/>
                <w:szCs w:val="16"/>
              </w:rPr>
              <w:t>267</w:t>
            </w:r>
          </w:p>
        </w:tc>
        <w:tc>
          <w:tcPr>
            <w:tcW w:w="276"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11 258,47</w:t>
            </w:r>
          </w:p>
        </w:tc>
        <w:tc>
          <w:tcPr>
            <w:tcW w:w="238"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173,17</w:t>
            </w:r>
          </w:p>
        </w:tc>
        <w:tc>
          <w:tcPr>
            <w:tcW w:w="247"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423,33</w:t>
            </w:r>
          </w:p>
        </w:tc>
        <w:tc>
          <w:tcPr>
            <w:tcW w:w="229"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212</w:t>
            </w:r>
          </w:p>
        </w:tc>
        <w:tc>
          <w:tcPr>
            <w:tcW w:w="276"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8 350,69</w:t>
            </w:r>
          </w:p>
        </w:tc>
        <w:tc>
          <w:tcPr>
            <w:tcW w:w="238"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128,45</w:t>
            </w:r>
          </w:p>
        </w:tc>
        <w:tc>
          <w:tcPr>
            <w:tcW w:w="247"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316,45</w:t>
            </w:r>
          </w:p>
        </w:tc>
        <w:tc>
          <w:tcPr>
            <w:tcW w:w="276"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5 307,39</w:t>
            </w:r>
          </w:p>
        </w:tc>
        <w:tc>
          <w:tcPr>
            <w:tcW w:w="229"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81,64</w:t>
            </w:r>
          </w:p>
        </w:tc>
        <w:tc>
          <w:tcPr>
            <w:tcW w:w="247"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204,6</w:t>
            </w:r>
          </w:p>
        </w:tc>
        <w:tc>
          <w:tcPr>
            <w:tcW w:w="276"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5 095,32</w:t>
            </w:r>
          </w:p>
        </w:tc>
        <w:tc>
          <w:tcPr>
            <w:tcW w:w="229"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78,37</w:t>
            </w:r>
          </w:p>
        </w:tc>
        <w:tc>
          <w:tcPr>
            <w:tcW w:w="247"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196,81</w:t>
            </w:r>
          </w:p>
        </w:tc>
        <w:tc>
          <w:tcPr>
            <w:tcW w:w="276"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4 677,46</w:t>
            </w:r>
          </w:p>
        </w:tc>
        <w:tc>
          <w:tcPr>
            <w:tcW w:w="229"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71,95</w:t>
            </w:r>
          </w:p>
        </w:tc>
        <w:tc>
          <w:tcPr>
            <w:tcW w:w="247" w:type="pct"/>
            <w:tcBorders>
              <w:top w:val="nil"/>
              <w:left w:val="nil"/>
              <w:bottom w:val="single" w:sz="8" w:space="0" w:color="1F497D"/>
              <w:right w:val="double" w:sz="6"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180,87</w:t>
            </w:r>
          </w:p>
        </w:tc>
      </w:tr>
      <w:tr w:rsidR="00676BDD" w:rsidRPr="00676BDD" w:rsidTr="00DA04F7">
        <w:trPr>
          <w:trHeight w:val="315"/>
        </w:trPr>
        <w:tc>
          <w:tcPr>
            <w:tcW w:w="238" w:type="pct"/>
            <w:tcBorders>
              <w:top w:val="nil"/>
              <w:left w:val="double" w:sz="6" w:space="0" w:color="1F497D"/>
              <w:bottom w:val="single" w:sz="8" w:space="0" w:color="1F497D"/>
              <w:right w:val="single" w:sz="8" w:space="0" w:color="1F497D"/>
            </w:tcBorders>
            <w:shd w:val="clear" w:color="000000" w:fill="FFFFFF"/>
            <w:vAlign w:val="center"/>
            <w:hideMark/>
          </w:tcPr>
          <w:p w:rsidR="00676BDD" w:rsidRPr="00676BDD" w:rsidRDefault="00676BDD" w:rsidP="00676BDD">
            <w:pPr>
              <w:jc w:val="center"/>
              <w:rPr>
                <w:color w:val="000000"/>
                <w:sz w:val="16"/>
                <w:szCs w:val="16"/>
              </w:rPr>
            </w:pPr>
            <w:r w:rsidRPr="00676BDD">
              <w:rPr>
                <w:color w:val="000000"/>
                <w:sz w:val="16"/>
                <w:szCs w:val="16"/>
              </w:rPr>
              <w:t>3.3</w:t>
            </w:r>
          </w:p>
        </w:tc>
        <w:tc>
          <w:tcPr>
            <w:tcW w:w="276"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1 065,43</w:t>
            </w:r>
          </w:p>
        </w:tc>
        <w:tc>
          <w:tcPr>
            <w:tcW w:w="247"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40,21</w:t>
            </w:r>
          </w:p>
        </w:tc>
        <w:tc>
          <w:tcPr>
            <w:tcW w:w="229" w:type="pct"/>
            <w:tcBorders>
              <w:top w:val="nil"/>
              <w:left w:val="nil"/>
              <w:bottom w:val="single" w:sz="8" w:space="0" w:color="1F497D"/>
              <w:right w:val="single" w:sz="8" w:space="0" w:color="1F497D"/>
            </w:tcBorders>
            <w:shd w:val="clear" w:color="000000" w:fill="FFFFFF"/>
            <w:vAlign w:val="center"/>
            <w:hideMark/>
          </w:tcPr>
          <w:p w:rsidR="00676BDD" w:rsidRPr="00676BDD" w:rsidRDefault="00676BDD" w:rsidP="00676BDD">
            <w:pPr>
              <w:jc w:val="center"/>
              <w:rPr>
                <w:color w:val="000000"/>
                <w:sz w:val="16"/>
                <w:szCs w:val="16"/>
              </w:rPr>
            </w:pPr>
            <w:r w:rsidRPr="00676BDD">
              <w:rPr>
                <w:color w:val="000000"/>
                <w:sz w:val="16"/>
                <w:szCs w:val="16"/>
              </w:rPr>
              <w:t>29</w:t>
            </w:r>
          </w:p>
        </w:tc>
        <w:tc>
          <w:tcPr>
            <w:tcW w:w="276"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1 854,55</w:t>
            </w:r>
          </w:p>
        </w:tc>
        <w:tc>
          <w:tcPr>
            <w:tcW w:w="238"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174,07</w:t>
            </w:r>
          </w:p>
        </w:tc>
        <w:tc>
          <w:tcPr>
            <w:tcW w:w="247"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69,21</w:t>
            </w:r>
          </w:p>
        </w:tc>
        <w:tc>
          <w:tcPr>
            <w:tcW w:w="229"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17</w:t>
            </w:r>
          </w:p>
        </w:tc>
        <w:tc>
          <w:tcPr>
            <w:tcW w:w="276"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774,24</w:t>
            </w:r>
          </w:p>
        </w:tc>
        <w:tc>
          <w:tcPr>
            <w:tcW w:w="238"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72,67</w:t>
            </w:r>
          </w:p>
        </w:tc>
        <w:tc>
          <w:tcPr>
            <w:tcW w:w="247"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29,35</w:t>
            </w:r>
          </w:p>
        </w:tc>
        <w:tc>
          <w:tcPr>
            <w:tcW w:w="276"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536,04</w:t>
            </w:r>
          </w:p>
        </w:tc>
        <w:tc>
          <w:tcPr>
            <w:tcW w:w="229"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50,31</w:t>
            </w:r>
          </w:p>
        </w:tc>
        <w:tc>
          <w:tcPr>
            <w:tcW w:w="247"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20,75</w:t>
            </w:r>
          </w:p>
        </w:tc>
        <w:tc>
          <w:tcPr>
            <w:tcW w:w="276"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536,04</w:t>
            </w:r>
          </w:p>
        </w:tc>
        <w:tc>
          <w:tcPr>
            <w:tcW w:w="229"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50,31</w:t>
            </w:r>
          </w:p>
        </w:tc>
        <w:tc>
          <w:tcPr>
            <w:tcW w:w="247"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20,75</w:t>
            </w:r>
          </w:p>
        </w:tc>
        <w:tc>
          <w:tcPr>
            <w:tcW w:w="276"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375,25</w:t>
            </w:r>
          </w:p>
        </w:tc>
        <w:tc>
          <w:tcPr>
            <w:tcW w:w="229"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35,22</w:t>
            </w:r>
          </w:p>
        </w:tc>
        <w:tc>
          <w:tcPr>
            <w:tcW w:w="247" w:type="pct"/>
            <w:tcBorders>
              <w:top w:val="nil"/>
              <w:left w:val="nil"/>
              <w:bottom w:val="single" w:sz="8" w:space="0" w:color="1F497D"/>
              <w:right w:val="double" w:sz="6"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14,5</w:t>
            </w:r>
          </w:p>
        </w:tc>
      </w:tr>
      <w:tr w:rsidR="00676BDD" w:rsidRPr="00676BDD" w:rsidTr="00DA04F7">
        <w:trPr>
          <w:trHeight w:val="315"/>
        </w:trPr>
        <w:tc>
          <w:tcPr>
            <w:tcW w:w="238" w:type="pct"/>
            <w:tcBorders>
              <w:top w:val="nil"/>
              <w:left w:val="double" w:sz="6" w:space="0" w:color="1F497D"/>
              <w:bottom w:val="single" w:sz="8" w:space="0" w:color="1F497D"/>
              <w:right w:val="single" w:sz="8" w:space="0" w:color="1F497D"/>
            </w:tcBorders>
            <w:shd w:val="clear" w:color="000000" w:fill="FFFFFF"/>
            <w:vAlign w:val="center"/>
            <w:hideMark/>
          </w:tcPr>
          <w:p w:rsidR="00676BDD" w:rsidRPr="00676BDD" w:rsidRDefault="00676BDD" w:rsidP="00676BDD">
            <w:pPr>
              <w:jc w:val="center"/>
              <w:rPr>
                <w:color w:val="000000"/>
                <w:sz w:val="16"/>
                <w:szCs w:val="16"/>
              </w:rPr>
            </w:pPr>
            <w:r w:rsidRPr="00676BDD">
              <w:rPr>
                <w:color w:val="000000"/>
                <w:sz w:val="16"/>
                <w:szCs w:val="16"/>
              </w:rPr>
              <w:t>3.4</w:t>
            </w:r>
          </w:p>
        </w:tc>
        <w:tc>
          <w:tcPr>
            <w:tcW w:w="276"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7 294,69</w:t>
            </w:r>
          </w:p>
        </w:tc>
        <w:tc>
          <w:tcPr>
            <w:tcW w:w="247"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271,29</w:t>
            </w:r>
          </w:p>
        </w:tc>
        <w:tc>
          <w:tcPr>
            <w:tcW w:w="229" w:type="pct"/>
            <w:tcBorders>
              <w:top w:val="nil"/>
              <w:left w:val="nil"/>
              <w:bottom w:val="single" w:sz="8" w:space="0" w:color="1F497D"/>
              <w:right w:val="single" w:sz="8" w:space="0" w:color="1F497D"/>
            </w:tcBorders>
            <w:shd w:val="clear" w:color="000000" w:fill="FFFFFF"/>
            <w:vAlign w:val="center"/>
            <w:hideMark/>
          </w:tcPr>
          <w:p w:rsidR="00676BDD" w:rsidRPr="00676BDD" w:rsidRDefault="00676BDD" w:rsidP="00676BDD">
            <w:pPr>
              <w:jc w:val="center"/>
              <w:rPr>
                <w:color w:val="000000"/>
                <w:sz w:val="16"/>
                <w:szCs w:val="16"/>
              </w:rPr>
            </w:pPr>
            <w:r w:rsidRPr="00676BDD">
              <w:rPr>
                <w:color w:val="000000"/>
                <w:sz w:val="16"/>
                <w:szCs w:val="16"/>
              </w:rPr>
              <w:t>159</w:t>
            </w:r>
          </w:p>
        </w:tc>
        <w:tc>
          <w:tcPr>
            <w:tcW w:w="276"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10 511,86</w:t>
            </w:r>
          </w:p>
        </w:tc>
        <w:tc>
          <w:tcPr>
            <w:tcW w:w="238"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144,1</w:t>
            </w:r>
          </w:p>
        </w:tc>
        <w:tc>
          <w:tcPr>
            <w:tcW w:w="247"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389,53</w:t>
            </w:r>
          </w:p>
        </w:tc>
        <w:tc>
          <w:tcPr>
            <w:tcW w:w="229"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154</w:t>
            </w:r>
          </w:p>
        </w:tc>
        <w:tc>
          <w:tcPr>
            <w:tcW w:w="276"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7 735,31</w:t>
            </w:r>
          </w:p>
        </w:tc>
        <w:tc>
          <w:tcPr>
            <w:tcW w:w="238"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106,04</w:t>
            </w:r>
          </w:p>
        </w:tc>
        <w:tc>
          <w:tcPr>
            <w:tcW w:w="247"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287,48</w:t>
            </w:r>
          </w:p>
        </w:tc>
        <w:tc>
          <w:tcPr>
            <w:tcW w:w="276"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2 908,43</w:t>
            </w:r>
          </w:p>
        </w:tc>
        <w:tc>
          <w:tcPr>
            <w:tcW w:w="229"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39,87</w:t>
            </w:r>
          </w:p>
        </w:tc>
        <w:tc>
          <w:tcPr>
            <w:tcW w:w="247"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110,07</w:t>
            </w:r>
          </w:p>
        </w:tc>
        <w:tc>
          <w:tcPr>
            <w:tcW w:w="276"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2 773,37</w:t>
            </w:r>
          </w:p>
        </w:tc>
        <w:tc>
          <w:tcPr>
            <w:tcW w:w="229"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38,02</w:t>
            </w:r>
          </w:p>
        </w:tc>
        <w:tc>
          <w:tcPr>
            <w:tcW w:w="247"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105,11</w:t>
            </w:r>
          </w:p>
        </w:tc>
        <w:tc>
          <w:tcPr>
            <w:tcW w:w="276"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2 709,11</w:t>
            </w:r>
          </w:p>
        </w:tc>
        <w:tc>
          <w:tcPr>
            <w:tcW w:w="229"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37,14</w:t>
            </w:r>
          </w:p>
        </w:tc>
        <w:tc>
          <w:tcPr>
            <w:tcW w:w="247" w:type="pct"/>
            <w:tcBorders>
              <w:top w:val="nil"/>
              <w:left w:val="nil"/>
              <w:bottom w:val="single" w:sz="8" w:space="0" w:color="1F497D"/>
              <w:right w:val="double" w:sz="6"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102,73</w:t>
            </w:r>
          </w:p>
        </w:tc>
      </w:tr>
      <w:tr w:rsidR="00676BDD" w:rsidRPr="00676BDD" w:rsidTr="00DA04F7">
        <w:trPr>
          <w:trHeight w:val="315"/>
        </w:trPr>
        <w:tc>
          <w:tcPr>
            <w:tcW w:w="238" w:type="pct"/>
            <w:tcBorders>
              <w:top w:val="nil"/>
              <w:left w:val="double" w:sz="6" w:space="0" w:color="1F497D"/>
              <w:bottom w:val="single" w:sz="8" w:space="0" w:color="1F497D"/>
              <w:right w:val="single" w:sz="8" w:space="0" w:color="1F497D"/>
            </w:tcBorders>
            <w:shd w:val="clear" w:color="000000" w:fill="E4DFEC"/>
            <w:vAlign w:val="center"/>
            <w:hideMark/>
          </w:tcPr>
          <w:p w:rsidR="00676BDD" w:rsidRPr="00676BDD" w:rsidRDefault="00676BDD" w:rsidP="00676BDD">
            <w:pPr>
              <w:jc w:val="center"/>
              <w:rPr>
                <w:color w:val="000000"/>
                <w:sz w:val="16"/>
                <w:szCs w:val="16"/>
              </w:rPr>
            </w:pPr>
            <w:r w:rsidRPr="00676BDD">
              <w:rPr>
                <w:color w:val="000000"/>
                <w:sz w:val="16"/>
                <w:szCs w:val="16"/>
              </w:rPr>
              <w:t>3</w:t>
            </w:r>
          </w:p>
        </w:tc>
        <w:tc>
          <w:tcPr>
            <w:tcW w:w="276"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16 333,50</w:t>
            </w:r>
          </w:p>
        </w:tc>
        <w:tc>
          <w:tcPr>
            <w:tcW w:w="247"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614,62</w:t>
            </w:r>
          </w:p>
        </w:tc>
        <w:tc>
          <w:tcPr>
            <w:tcW w:w="229" w:type="pct"/>
            <w:tcBorders>
              <w:top w:val="nil"/>
              <w:left w:val="nil"/>
              <w:bottom w:val="single" w:sz="8" w:space="0" w:color="1F497D"/>
              <w:right w:val="single" w:sz="8" w:space="0" w:color="1F497D"/>
            </w:tcBorders>
            <w:shd w:val="clear" w:color="000000" w:fill="E4DFEC"/>
            <w:vAlign w:val="center"/>
            <w:hideMark/>
          </w:tcPr>
          <w:p w:rsidR="00676BDD" w:rsidRPr="00676BDD" w:rsidRDefault="00676BDD" w:rsidP="00676BDD">
            <w:pPr>
              <w:jc w:val="center"/>
              <w:rPr>
                <w:b/>
                <w:bCs/>
                <w:color w:val="000000"/>
                <w:sz w:val="16"/>
                <w:szCs w:val="16"/>
              </w:rPr>
            </w:pPr>
            <w:r w:rsidRPr="00676BDD">
              <w:rPr>
                <w:b/>
                <w:bCs/>
                <w:color w:val="000000"/>
                <w:sz w:val="16"/>
                <w:szCs w:val="16"/>
              </w:rPr>
              <w:t>929</w:t>
            </w:r>
          </w:p>
        </w:tc>
        <w:tc>
          <w:tcPr>
            <w:tcW w:w="276"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26 835,48</w:t>
            </w:r>
          </w:p>
        </w:tc>
        <w:tc>
          <w:tcPr>
            <w:tcW w:w="238"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164,3</w:t>
            </w:r>
          </w:p>
        </w:tc>
        <w:tc>
          <w:tcPr>
            <w:tcW w:w="247"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1 000,61</w:t>
            </w:r>
          </w:p>
        </w:tc>
        <w:tc>
          <w:tcPr>
            <w:tcW w:w="229"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511</w:t>
            </w:r>
          </w:p>
        </w:tc>
        <w:tc>
          <w:tcPr>
            <w:tcW w:w="276"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18 182,10</w:t>
            </w:r>
          </w:p>
        </w:tc>
        <w:tc>
          <w:tcPr>
            <w:tcW w:w="238"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111,32</w:t>
            </w:r>
          </w:p>
        </w:tc>
        <w:tc>
          <w:tcPr>
            <w:tcW w:w="247"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682,4</w:t>
            </w:r>
          </w:p>
        </w:tc>
        <w:tc>
          <w:tcPr>
            <w:tcW w:w="276"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9 667,55</w:t>
            </w:r>
          </w:p>
        </w:tc>
        <w:tc>
          <w:tcPr>
            <w:tcW w:w="229"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59,19</w:t>
            </w:r>
          </w:p>
        </w:tc>
        <w:tc>
          <w:tcPr>
            <w:tcW w:w="247"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369,62</w:t>
            </w:r>
          </w:p>
        </w:tc>
        <w:tc>
          <w:tcPr>
            <w:tcW w:w="276"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9 232,32</w:t>
            </w:r>
          </w:p>
        </w:tc>
        <w:tc>
          <w:tcPr>
            <w:tcW w:w="229"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56,52</w:t>
            </w:r>
          </w:p>
        </w:tc>
        <w:tc>
          <w:tcPr>
            <w:tcW w:w="247"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353,62</w:t>
            </w:r>
          </w:p>
        </w:tc>
        <w:tc>
          <w:tcPr>
            <w:tcW w:w="276"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8 525,86</w:t>
            </w:r>
          </w:p>
        </w:tc>
        <w:tc>
          <w:tcPr>
            <w:tcW w:w="229"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52,2</w:t>
            </w:r>
          </w:p>
        </w:tc>
        <w:tc>
          <w:tcPr>
            <w:tcW w:w="247" w:type="pct"/>
            <w:tcBorders>
              <w:top w:val="nil"/>
              <w:left w:val="nil"/>
              <w:bottom w:val="single" w:sz="8" w:space="0" w:color="1F497D"/>
              <w:right w:val="double" w:sz="6"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326,71</w:t>
            </w:r>
          </w:p>
        </w:tc>
      </w:tr>
      <w:tr w:rsidR="00676BDD" w:rsidRPr="00676BDD" w:rsidTr="00DA04F7">
        <w:trPr>
          <w:trHeight w:val="315"/>
        </w:trPr>
        <w:tc>
          <w:tcPr>
            <w:tcW w:w="238" w:type="pct"/>
            <w:tcBorders>
              <w:top w:val="nil"/>
              <w:left w:val="double" w:sz="6" w:space="0" w:color="1F497D"/>
              <w:bottom w:val="single" w:sz="8" w:space="0" w:color="1F497D"/>
              <w:right w:val="single" w:sz="8" w:space="0" w:color="1F497D"/>
            </w:tcBorders>
            <w:shd w:val="clear" w:color="000000" w:fill="FFFFFF"/>
            <w:vAlign w:val="center"/>
            <w:hideMark/>
          </w:tcPr>
          <w:p w:rsidR="00676BDD" w:rsidRPr="00676BDD" w:rsidRDefault="00676BDD" w:rsidP="00676BDD">
            <w:pPr>
              <w:jc w:val="center"/>
              <w:rPr>
                <w:color w:val="000000"/>
                <w:sz w:val="16"/>
                <w:szCs w:val="16"/>
              </w:rPr>
            </w:pPr>
            <w:r w:rsidRPr="00676BDD">
              <w:rPr>
                <w:color w:val="000000"/>
                <w:sz w:val="16"/>
                <w:szCs w:val="16"/>
              </w:rPr>
              <w:t>4.1a</w:t>
            </w:r>
          </w:p>
        </w:tc>
        <w:tc>
          <w:tcPr>
            <w:tcW w:w="276"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1 604,28</w:t>
            </w:r>
          </w:p>
        </w:tc>
        <w:tc>
          <w:tcPr>
            <w:tcW w:w="247"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60,57</w:t>
            </w:r>
          </w:p>
        </w:tc>
        <w:tc>
          <w:tcPr>
            <w:tcW w:w="229" w:type="pct"/>
            <w:tcBorders>
              <w:top w:val="nil"/>
              <w:left w:val="nil"/>
              <w:bottom w:val="single" w:sz="8" w:space="0" w:color="1F497D"/>
              <w:right w:val="single" w:sz="8" w:space="0" w:color="1F497D"/>
            </w:tcBorders>
            <w:shd w:val="clear" w:color="000000" w:fill="FFFFFF"/>
            <w:vAlign w:val="center"/>
            <w:hideMark/>
          </w:tcPr>
          <w:p w:rsidR="00676BDD" w:rsidRPr="00676BDD" w:rsidRDefault="00676BDD" w:rsidP="00676BDD">
            <w:pPr>
              <w:jc w:val="center"/>
              <w:rPr>
                <w:color w:val="000000"/>
                <w:sz w:val="16"/>
                <w:szCs w:val="16"/>
              </w:rPr>
            </w:pPr>
            <w:r w:rsidRPr="00676BDD">
              <w:rPr>
                <w:color w:val="000000"/>
                <w:sz w:val="16"/>
                <w:szCs w:val="16"/>
              </w:rPr>
              <w:t>113</w:t>
            </w:r>
          </w:p>
        </w:tc>
        <w:tc>
          <w:tcPr>
            <w:tcW w:w="276"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3 970,60</w:t>
            </w:r>
          </w:p>
        </w:tc>
        <w:tc>
          <w:tcPr>
            <w:tcW w:w="238"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247,5</w:t>
            </w:r>
          </w:p>
        </w:tc>
        <w:tc>
          <w:tcPr>
            <w:tcW w:w="247"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147,54</w:t>
            </w:r>
          </w:p>
        </w:tc>
        <w:tc>
          <w:tcPr>
            <w:tcW w:w="229"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42</w:t>
            </w:r>
          </w:p>
        </w:tc>
        <w:tc>
          <w:tcPr>
            <w:tcW w:w="276"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1 467,44</w:t>
            </w:r>
          </w:p>
        </w:tc>
        <w:tc>
          <w:tcPr>
            <w:tcW w:w="238"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91,47</w:t>
            </w:r>
          </w:p>
        </w:tc>
        <w:tc>
          <w:tcPr>
            <w:tcW w:w="247"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55,51</w:t>
            </w:r>
          </w:p>
        </w:tc>
        <w:tc>
          <w:tcPr>
            <w:tcW w:w="276"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1 194,19</w:t>
            </w:r>
          </w:p>
        </w:tc>
        <w:tc>
          <w:tcPr>
            <w:tcW w:w="229"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74,44</w:t>
            </w:r>
          </w:p>
        </w:tc>
        <w:tc>
          <w:tcPr>
            <w:tcW w:w="247"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45,49</w:t>
            </w:r>
          </w:p>
        </w:tc>
        <w:tc>
          <w:tcPr>
            <w:tcW w:w="276"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1 157,12</w:t>
            </w:r>
          </w:p>
        </w:tc>
        <w:tc>
          <w:tcPr>
            <w:tcW w:w="229"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72,13</w:t>
            </w:r>
          </w:p>
        </w:tc>
        <w:tc>
          <w:tcPr>
            <w:tcW w:w="247"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44,13</w:t>
            </w:r>
          </w:p>
        </w:tc>
        <w:tc>
          <w:tcPr>
            <w:tcW w:w="276"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1 054,14</w:t>
            </w:r>
          </w:p>
        </w:tc>
        <w:tc>
          <w:tcPr>
            <w:tcW w:w="229"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65,71</w:t>
            </w:r>
          </w:p>
        </w:tc>
        <w:tc>
          <w:tcPr>
            <w:tcW w:w="247" w:type="pct"/>
            <w:tcBorders>
              <w:top w:val="nil"/>
              <w:left w:val="nil"/>
              <w:bottom w:val="single" w:sz="8" w:space="0" w:color="1F497D"/>
              <w:right w:val="double" w:sz="6"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40,22</w:t>
            </w:r>
          </w:p>
        </w:tc>
      </w:tr>
      <w:tr w:rsidR="00676BDD" w:rsidRPr="00676BDD" w:rsidTr="00DA04F7">
        <w:trPr>
          <w:trHeight w:val="315"/>
        </w:trPr>
        <w:tc>
          <w:tcPr>
            <w:tcW w:w="238" w:type="pct"/>
            <w:tcBorders>
              <w:top w:val="nil"/>
              <w:left w:val="double" w:sz="6" w:space="0" w:color="1F497D"/>
              <w:bottom w:val="single" w:sz="8" w:space="0" w:color="1F497D"/>
              <w:right w:val="single" w:sz="8" w:space="0" w:color="1F497D"/>
            </w:tcBorders>
            <w:shd w:val="clear" w:color="000000" w:fill="E4DFEC"/>
            <w:vAlign w:val="center"/>
            <w:hideMark/>
          </w:tcPr>
          <w:p w:rsidR="00676BDD" w:rsidRPr="00676BDD" w:rsidRDefault="00676BDD" w:rsidP="00676BDD">
            <w:pPr>
              <w:jc w:val="center"/>
              <w:rPr>
                <w:color w:val="000000"/>
                <w:sz w:val="16"/>
                <w:szCs w:val="16"/>
              </w:rPr>
            </w:pPr>
            <w:r w:rsidRPr="00676BDD">
              <w:rPr>
                <w:color w:val="000000"/>
                <w:sz w:val="16"/>
                <w:szCs w:val="16"/>
              </w:rPr>
              <w:lastRenderedPageBreak/>
              <w:t>4.1a</w:t>
            </w:r>
          </w:p>
        </w:tc>
        <w:tc>
          <w:tcPr>
            <w:tcW w:w="276"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1 604,28</w:t>
            </w:r>
          </w:p>
        </w:tc>
        <w:tc>
          <w:tcPr>
            <w:tcW w:w="247"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60,57</w:t>
            </w:r>
          </w:p>
        </w:tc>
        <w:tc>
          <w:tcPr>
            <w:tcW w:w="229" w:type="pct"/>
            <w:tcBorders>
              <w:top w:val="nil"/>
              <w:left w:val="nil"/>
              <w:bottom w:val="single" w:sz="8" w:space="0" w:color="1F497D"/>
              <w:right w:val="single" w:sz="8" w:space="0" w:color="1F497D"/>
            </w:tcBorders>
            <w:shd w:val="clear" w:color="000000" w:fill="E4DFEC"/>
            <w:vAlign w:val="center"/>
            <w:hideMark/>
          </w:tcPr>
          <w:p w:rsidR="00676BDD" w:rsidRPr="00676BDD" w:rsidRDefault="00676BDD" w:rsidP="00676BDD">
            <w:pPr>
              <w:jc w:val="center"/>
              <w:rPr>
                <w:b/>
                <w:bCs/>
                <w:color w:val="000000"/>
                <w:sz w:val="16"/>
                <w:szCs w:val="16"/>
              </w:rPr>
            </w:pPr>
            <w:r w:rsidRPr="00676BDD">
              <w:rPr>
                <w:b/>
                <w:bCs/>
                <w:color w:val="000000"/>
                <w:sz w:val="16"/>
                <w:szCs w:val="16"/>
              </w:rPr>
              <w:t>113</w:t>
            </w:r>
          </w:p>
        </w:tc>
        <w:tc>
          <w:tcPr>
            <w:tcW w:w="276"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3 970,60</w:t>
            </w:r>
          </w:p>
        </w:tc>
        <w:tc>
          <w:tcPr>
            <w:tcW w:w="238"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247,5</w:t>
            </w:r>
          </w:p>
        </w:tc>
        <w:tc>
          <w:tcPr>
            <w:tcW w:w="247"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147,54</w:t>
            </w:r>
          </w:p>
        </w:tc>
        <w:tc>
          <w:tcPr>
            <w:tcW w:w="229"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42</w:t>
            </w:r>
          </w:p>
        </w:tc>
        <w:tc>
          <w:tcPr>
            <w:tcW w:w="276"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1 467,44</w:t>
            </w:r>
          </w:p>
        </w:tc>
        <w:tc>
          <w:tcPr>
            <w:tcW w:w="238"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91,47</w:t>
            </w:r>
          </w:p>
        </w:tc>
        <w:tc>
          <w:tcPr>
            <w:tcW w:w="247"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55,51</w:t>
            </w:r>
          </w:p>
        </w:tc>
        <w:tc>
          <w:tcPr>
            <w:tcW w:w="276"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1 194,19</w:t>
            </w:r>
          </w:p>
        </w:tc>
        <w:tc>
          <w:tcPr>
            <w:tcW w:w="229"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74,44</w:t>
            </w:r>
          </w:p>
        </w:tc>
        <w:tc>
          <w:tcPr>
            <w:tcW w:w="247"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45,49</w:t>
            </w:r>
          </w:p>
        </w:tc>
        <w:tc>
          <w:tcPr>
            <w:tcW w:w="276"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1 157,12</w:t>
            </w:r>
          </w:p>
        </w:tc>
        <w:tc>
          <w:tcPr>
            <w:tcW w:w="229"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72,13</w:t>
            </w:r>
          </w:p>
        </w:tc>
        <w:tc>
          <w:tcPr>
            <w:tcW w:w="247"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44,13</w:t>
            </w:r>
          </w:p>
        </w:tc>
        <w:tc>
          <w:tcPr>
            <w:tcW w:w="276"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1 054,14</w:t>
            </w:r>
          </w:p>
        </w:tc>
        <w:tc>
          <w:tcPr>
            <w:tcW w:w="229"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65,71</w:t>
            </w:r>
          </w:p>
        </w:tc>
        <w:tc>
          <w:tcPr>
            <w:tcW w:w="247" w:type="pct"/>
            <w:tcBorders>
              <w:top w:val="nil"/>
              <w:left w:val="nil"/>
              <w:bottom w:val="single" w:sz="8" w:space="0" w:color="1F497D"/>
              <w:right w:val="double" w:sz="6"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40,22</w:t>
            </w:r>
          </w:p>
        </w:tc>
      </w:tr>
      <w:tr w:rsidR="00676BDD" w:rsidRPr="00676BDD" w:rsidTr="00DA04F7">
        <w:trPr>
          <w:trHeight w:val="315"/>
        </w:trPr>
        <w:tc>
          <w:tcPr>
            <w:tcW w:w="238" w:type="pct"/>
            <w:tcBorders>
              <w:top w:val="nil"/>
              <w:left w:val="double" w:sz="6" w:space="0" w:color="1F497D"/>
              <w:bottom w:val="single" w:sz="8" w:space="0" w:color="1F497D"/>
              <w:right w:val="single" w:sz="8" w:space="0" w:color="1F497D"/>
            </w:tcBorders>
            <w:shd w:val="clear" w:color="000000" w:fill="FFFFFF"/>
            <w:vAlign w:val="center"/>
            <w:hideMark/>
          </w:tcPr>
          <w:p w:rsidR="00676BDD" w:rsidRPr="00676BDD" w:rsidRDefault="00676BDD" w:rsidP="00676BDD">
            <w:pPr>
              <w:jc w:val="center"/>
              <w:rPr>
                <w:color w:val="000000"/>
                <w:sz w:val="16"/>
                <w:szCs w:val="16"/>
              </w:rPr>
            </w:pPr>
            <w:r w:rsidRPr="00676BDD">
              <w:rPr>
                <w:color w:val="000000"/>
                <w:sz w:val="16"/>
                <w:szCs w:val="16"/>
              </w:rPr>
              <w:t>4.1b</w:t>
            </w:r>
          </w:p>
        </w:tc>
        <w:tc>
          <w:tcPr>
            <w:tcW w:w="276"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81,01</w:t>
            </w:r>
          </w:p>
        </w:tc>
        <w:tc>
          <w:tcPr>
            <w:tcW w:w="247"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3,1</w:t>
            </w:r>
          </w:p>
        </w:tc>
        <w:tc>
          <w:tcPr>
            <w:tcW w:w="229" w:type="pct"/>
            <w:tcBorders>
              <w:top w:val="nil"/>
              <w:left w:val="nil"/>
              <w:bottom w:val="single" w:sz="8" w:space="0" w:color="1F497D"/>
              <w:right w:val="single" w:sz="8" w:space="0" w:color="1F497D"/>
            </w:tcBorders>
            <w:shd w:val="clear" w:color="000000" w:fill="FFFFFF"/>
            <w:vAlign w:val="center"/>
            <w:hideMark/>
          </w:tcPr>
          <w:p w:rsidR="00676BDD" w:rsidRPr="00676BDD" w:rsidRDefault="00676BDD" w:rsidP="00676BDD">
            <w:pPr>
              <w:jc w:val="center"/>
              <w:rPr>
                <w:color w:val="000000"/>
                <w:sz w:val="16"/>
                <w:szCs w:val="16"/>
              </w:rPr>
            </w:pPr>
            <w:r w:rsidRPr="00676BDD">
              <w:rPr>
                <w:color w:val="000000"/>
                <w:sz w:val="16"/>
                <w:szCs w:val="16"/>
              </w:rPr>
              <w:t>0</w:t>
            </w:r>
          </w:p>
        </w:tc>
        <w:tc>
          <w:tcPr>
            <w:tcW w:w="276"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396,61</w:t>
            </w:r>
          </w:p>
        </w:tc>
        <w:tc>
          <w:tcPr>
            <w:tcW w:w="238"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489,57</w:t>
            </w:r>
          </w:p>
        </w:tc>
        <w:tc>
          <w:tcPr>
            <w:tcW w:w="247"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14,7</w:t>
            </w:r>
          </w:p>
        </w:tc>
        <w:tc>
          <w:tcPr>
            <w:tcW w:w="229"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0</w:t>
            </w:r>
          </w:p>
        </w:tc>
        <w:tc>
          <w:tcPr>
            <w:tcW w:w="276"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112,87</w:t>
            </w:r>
          </w:p>
        </w:tc>
        <w:tc>
          <w:tcPr>
            <w:tcW w:w="238"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139,32</w:t>
            </w:r>
          </w:p>
        </w:tc>
        <w:tc>
          <w:tcPr>
            <w:tcW w:w="247"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4,27</w:t>
            </w:r>
          </w:p>
        </w:tc>
        <w:tc>
          <w:tcPr>
            <w:tcW w:w="276"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91,86</w:t>
            </w:r>
          </w:p>
        </w:tc>
        <w:tc>
          <w:tcPr>
            <w:tcW w:w="229"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113,39</w:t>
            </w:r>
          </w:p>
        </w:tc>
        <w:tc>
          <w:tcPr>
            <w:tcW w:w="247"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3,5</w:t>
            </w:r>
          </w:p>
        </w:tc>
        <w:tc>
          <w:tcPr>
            <w:tcW w:w="276"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89,01</w:t>
            </w:r>
          </w:p>
        </w:tc>
        <w:tc>
          <w:tcPr>
            <w:tcW w:w="229"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109,87</w:t>
            </w:r>
          </w:p>
        </w:tc>
        <w:tc>
          <w:tcPr>
            <w:tcW w:w="247"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3,39</w:t>
            </w:r>
          </w:p>
        </w:tc>
        <w:tc>
          <w:tcPr>
            <w:tcW w:w="276"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81,5</w:t>
            </w:r>
          </w:p>
        </w:tc>
        <w:tc>
          <w:tcPr>
            <w:tcW w:w="229"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100,6</w:t>
            </w:r>
          </w:p>
        </w:tc>
        <w:tc>
          <w:tcPr>
            <w:tcW w:w="247" w:type="pct"/>
            <w:tcBorders>
              <w:top w:val="nil"/>
              <w:left w:val="nil"/>
              <w:bottom w:val="single" w:sz="8" w:space="0" w:color="1F497D"/>
              <w:right w:val="double" w:sz="6"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3,11</w:t>
            </w:r>
          </w:p>
        </w:tc>
      </w:tr>
      <w:tr w:rsidR="00676BDD" w:rsidRPr="00676BDD" w:rsidTr="00DA04F7">
        <w:trPr>
          <w:trHeight w:val="315"/>
        </w:trPr>
        <w:tc>
          <w:tcPr>
            <w:tcW w:w="238" w:type="pct"/>
            <w:tcBorders>
              <w:top w:val="nil"/>
              <w:left w:val="double" w:sz="6" w:space="0" w:color="1F497D"/>
              <w:bottom w:val="single" w:sz="8" w:space="0" w:color="1F497D"/>
              <w:right w:val="single" w:sz="8" w:space="0" w:color="1F497D"/>
            </w:tcBorders>
            <w:shd w:val="clear" w:color="000000" w:fill="E4DFEC"/>
            <w:vAlign w:val="center"/>
            <w:hideMark/>
          </w:tcPr>
          <w:p w:rsidR="00676BDD" w:rsidRPr="00676BDD" w:rsidRDefault="00676BDD" w:rsidP="00676BDD">
            <w:pPr>
              <w:jc w:val="center"/>
              <w:rPr>
                <w:color w:val="000000"/>
                <w:sz w:val="16"/>
                <w:szCs w:val="16"/>
              </w:rPr>
            </w:pPr>
            <w:r w:rsidRPr="00676BDD">
              <w:rPr>
                <w:color w:val="000000"/>
                <w:sz w:val="16"/>
                <w:szCs w:val="16"/>
              </w:rPr>
              <w:t>4.1b</w:t>
            </w:r>
          </w:p>
        </w:tc>
        <w:tc>
          <w:tcPr>
            <w:tcW w:w="276"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81,01</w:t>
            </w:r>
          </w:p>
        </w:tc>
        <w:tc>
          <w:tcPr>
            <w:tcW w:w="247"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3,1</w:t>
            </w:r>
          </w:p>
        </w:tc>
        <w:tc>
          <w:tcPr>
            <w:tcW w:w="229" w:type="pct"/>
            <w:tcBorders>
              <w:top w:val="nil"/>
              <w:left w:val="nil"/>
              <w:bottom w:val="single" w:sz="8" w:space="0" w:color="1F497D"/>
              <w:right w:val="single" w:sz="8" w:space="0" w:color="1F497D"/>
            </w:tcBorders>
            <w:shd w:val="clear" w:color="000000" w:fill="E4DFEC"/>
            <w:vAlign w:val="center"/>
            <w:hideMark/>
          </w:tcPr>
          <w:p w:rsidR="00676BDD" w:rsidRPr="00676BDD" w:rsidRDefault="00676BDD" w:rsidP="00676BDD">
            <w:pPr>
              <w:jc w:val="center"/>
              <w:rPr>
                <w:b/>
                <w:bCs/>
                <w:color w:val="000000"/>
                <w:sz w:val="16"/>
                <w:szCs w:val="16"/>
              </w:rPr>
            </w:pPr>
            <w:r w:rsidRPr="00676BDD">
              <w:rPr>
                <w:b/>
                <w:bCs/>
                <w:color w:val="000000"/>
                <w:sz w:val="16"/>
                <w:szCs w:val="16"/>
              </w:rPr>
              <w:t>0</w:t>
            </w:r>
          </w:p>
        </w:tc>
        <w:tc>
          <w:tcPr>
            <w:tcW w:w="276"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396,61</w:t>
            </w:r>
          </w:p>
        </w:tc>
        <w:tc>
          <w:tcPr>
            <w:tcW w:w="238"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489,57</w:t>
            </w:r>
          </w:p>
        </w:tc>
        <w:tc>
          <w:tcPr>
            <w:tcW w:w="247"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14,7</w:t>
            </w:r>
          </w:p>
        </w:tc>
        <w:tc>
          <w:tcPr>
            <w:tcW w:w="229"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0</w:t>
            </w:r>
          </w:p>
        </w:tc>
        <w:tc>
          <w:tcPr>
            <w:tcW w:w="276"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112,87</w:t>
            </w:r>
          </w:p>
        </w:tc>
        <w:tc>
          <w:tcPr>
            <w:tcW w:w="238"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139,32</w:t>
            </w:r>
          </w:p>
        </w:tc>
        <w:tc>
          <w:tcPr>
            <w:tcW w:w="247"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4,27</w:t>
            </w:r>
          </w:p>
        </w:tc>
        <w:tc>
          <w:tcPr>
            <w:tcW w:w="276"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91,86</w:t>
            </w:r>
          </w:p>
        </w:tc>
        <w:tc>
          <w:tcPr>
            <w:tcW w:w="229"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113,39</w:t>
            </w:r>
          </w:p>
        </w:tc>
        <w:tc>
          <w:tcPr>
            <w:tcW w:w="247"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3,5</w:t>
            </w:r>
          </w:p>
        </w:tc>
        <w:tc>
          <w:tcPr>
            <w:tcW w:w="276"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89,01</w:t>
            </w:r>
          </w:p>
        </w:tc>
        <w:tc>
          <w:tcPr>
            <w:tcW w:w="229"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109,87</w:t>
            </w:r>
          </w:p>
        </w:tc>
        <w:tc>
          <w:tcPr>
            <w:tcW w:w="247"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3,39</w:t>
            </w:r>
          </w:p>
        </w:tc>
        <w:tc>
          <w:tcPr>
            <w:tcW w:w="276"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81,5</w:t>
            </w:r>
          </w:p>
        </w:tc>
        <w:tc>
          <w:tcPr>
            <w:tcW w:w="229"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100,6</w:t>
            </w:r>
          </w:p>
        </w:tc>
        <w:tc>
          <w:tcPr>
            <w:tcW w:w="247" w:type="pct"/>
            <w:tcBorders>
              <w:top w:val="nil"/>
              <w:left w:val="nil"/>
              <w:bottom w:val="single" w:sz="8" w:space="0" w:color="1F497D"/>
              <w:right w:val="double" w:sz="6"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3,11</w:t>
            </w:r>
          </w:p>
        </w:tc>
      </w:tr>
      <w:tr w:rsidR="00676BDD" w:rsidRPr="00676BDD" w:rsidTr="00DA04F7">
        <w:trPr>
          <w:trHeight w:val="315"/>
        </w:trPr>
        <w:tc>
          <w:tcPr>
            <w:tcW w:w="238" w:type="pct"/>
            <w:tcBorders>
              <w:top w:val="nil"/>
              <w:left w:val="double" w:sz="6" w:space="0" w:color="1F497D"/>
              <w:bottom w:val="single" w:sz="8" w:space="0" w:color="1F497D"/>
              <w:right w:val="single" w:sz="8" w:space="0" w:color="1F497D"/>
            </w:tcBorders>
            <w:shd w:val="clear" w:color="000000" w:fill="FFFFFF"/>
            <w:vAlign w:val="center"/>
            <w:hideMark/>
          </w:tcPr>
          <w:p w:rsidR="00676BDD" w:rsidRPr="00676BDD" w:rsidRDefault="00676BDD" w:rsidP="00676BDD">
            <w:pPr>
              <w:jc w:val="center"/>
              <w:rPr>
                <w:color w:val="000000"/>
                <w:sz w:val="16"/>
                <w:szCs w:val="16"/>
              </w:rPr>
            </w:pPr>
            <w:r w:rsidRPr="00676BDD">
              <w:rPr>
                <w:color w:val="000000"/>
                <w:sz w:val="16"/>
                <w:szCs w:val="16"/>
              </w:rPr>
              <w:t>5.1</w:t>
            </w:r>
          </w:p>
        </w:tc>
        <w:tc>
          <w:tcPr>
            <w:tcW w:w="276"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5 676,33</w:t>
            </w:r>
          </w:p>
        </w:tc>
        <w:tc>
          <w:tcPr>
            <w:tcW w:w="247"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213,74</w:t>
            </w:r>
          </w:p>
        </w:tc>
        <w:tc>
          <w:tcPr>
            <w:tcW w:w="229" w:type="pct"/>
            <w:tcBorders>
              <w:top w:val="nil"/>
              <w:left w:val="nil"/>
              <w:bottom w:val="single" w:sz="8" w:space="0" w:color="1F497D"/>
              <w:right w:val="single" w:sz="8" w:space="0" w:color="1F497D"/>
            </w:tcBorders>
            <w:shd w:val="clear" w:color="000000" w:fill="FFFFFF"/>
            <w:vAlign w:val="center"/>
            <w:hideMark/>
          </w:tcPr>
          <w:p w:rsidR="00676BDD" w:rsidRPr="00676BDD" w:rsidRDefault="00676BDD" w:rsidP="00676BDD">
            <w:pPr>
              <w:jc w:val="center"/>
              <w:rPr>
                <w:color w:val="000000"/>
                <w:sz w:val="16"/>
                <w:szCs w:val="16"/>
              </w:rPr>
            </w:pPr>
            <w:r w:rsidRPr="00676BDD">
              <w:rPr>
                <w:color w:val="000000"/>
                <w:sz w:val="16"/>
                <w:szCs w:val="16"/>
              </w:rPr>
              <w:t>70</w:t>
            </w:r>
          </w:p>
        </w:tc>
        <w:tc>
          <w:tcPr>
            <w:tcW w:w="276"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14 902,98</w:t>
            </w:r>
          </w:p>
        </w:tc>
        <w:tc>
          <w:tcPr>
            <w:tcW w:w="238"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262,55</w:t>
            </w:r>
          </w:p>
        </w:tc>
        <w:tc>
          <w:tcPr>
            <w:tcW w:w="247"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552,85</w:t>
            </w:r>
          </w:p>
        </w:tc>
        <w:tc>
          <w:tcPr>
            <w:tcW w:w="229"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25</w:t>
            </w:r>
          </w:p>
        </w:tc>
        <w:tc>
          <w:tcPr>
            <w:tcW w:w="276"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5 627,13</w:t>
            </w:r>
          </w:p>
        </w:tc>
        <w:tc>
          <w:tcPr>
            <w:tcW w:w="238"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99,13</w:t>
            </w:r>
          </w:p>
        </w:tc>
        <w:tc>
          <w:tcPr>
            <w:tcW w:w="247"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211,93</w:t>
            </w:r>
          </w:p>
        </w:tc>
        <w:tc>
          <w:tcPr>
            <w:tcW w:w="276"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4 376,20</w:t>
            </w:r>
          </w:p>
        </w:tc>
        <w:tc>
          <w:tcPr>
            <w:tcW w:w="229"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77,1</w:t>
            </w:r>
          </w:p>
        </w:tc>
        <w:tc>
          <w:tcPr>
            <w:tcW w:w="247"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165,95</w:t>
            </w:r>
          </w:p>
        </w:tc>
        <w:tc>
          <w:tcPr>
            <w:tcW w:w="276"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4 198,81</w:t>
            </w:r>
          </w:p>
        </w:tc>
        <w:tc>
          <w:tcPr>
            <w:tcW w:w="229"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73,97</w:t>
            </w:r>
          </w:p>
        </w:tc>
        <w:tc>
          <w:tcPr>
            <w:tcW w:w="247"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159,43</w:t>
            </w:r>
          </w:p>
        </w:tc>
        <w:tc>
          <w:tcPr>
            <w:tcW w:w="276"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3 642,22</w:t>
            </w:r>
          </w:p>
        </w:tc>
        <w:tc>
          <w:tcPr>
            <w:tcW w:w="229"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64,17</w:t>
            </w:r>
          </w:p>
        </w:tc>
        <w:tc>
          <w:tcPr>
            <w:tcW w:w="247" w:type="pct"/>
            <w:tcBorders>
              <w:top w:val="nil"/>
              <w:left w:val="nil"/>
              <w:bottom w:val="single" w:sz="8" w:space="0" w:color="1F497D"/>
              <w:right w:val="double" w:sz="6"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139,06</w:t>
            </w:r>
          </w:p>
        </w:tc>
      </w:tr>
      <w:tr w:rsidR="00676BDD" w:rsidRPr="00676BDD" w:rsidTr="00DA04F7">
        <w:trPr>
          <w:trHeight w:val="315"/>
        </w:trPr>
        <w:tc>
          <w:tcPr>
            <w:tcW w:w="238" w:type="pct"/>
            <w:tcBorders>
              <w:top w:val="nil"/>
              <w:left w:val="double" w:sz="6" w:space="0" w:color="1F497D"/>
              <w:bottom w:val="single" w:sz="8" w:space="0" w:color="1F497D"/>
              <w:right w:val="single" w:sz="8" w:space="0" w:color="1F497D"/>
            </w:tcBorders>
            <w:shd w:val="clear" w:color="000000" w:fill="FFFFFF"/>
            <w:vAlign w:val="center"/>
            <w:hideMark/>
          </w:tcPr>
          <w:p w:rsidR="00676BDD" w:rsidRPr="00676BDD" w:rsidRDefault="00676BDD" w:rsidP="00676BDD">
            <w:pPr>
              <w:jc w:val="center"/>
              <w:rPr>
                <w:color w:val="000000"/>
                <w:sz w:val="16"/>
                <w:szCs w:val="16"/>
              </w:rPr>
            </w:pPr>
            <w:r w:rsidRPr="00676BDD">
              <w:rPr>
                <w:color w:val="000000"/>
                <w:sz w:val="16"/>
                <w:szCs w:val="16"/>
              </w:rPr>
              <w:t>5.2</w:t>
            </w:r>
          </w:p>
        </w:tc>
        <w:tc>
          <w:tcPr>
            <w:tcW w:w="276"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5 522,10</w:t>
            </w:r>
          </w:p>
        </w:tc>
        <w:tc>
          <w:tcPr>
            <w:tcW w:w="247"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213,38</w:t>
            </w:r>
          </w:p>
        </w:tc>
        <w:tc>
          <w:tcPr>
            <w:tcW w:w="229" w:type="pct"/>
            <w:tcBorders>
              <w:top w:val="nil"/>
              <w:left w:val="nil"/>
              <w:bottom w:val="single" w:sz="8" w:space="0" w:color="1F497D"/>
              <w:right w:val="single" w:sz="8" w:space="0" w:color="1F497D"/>
            </w:tcBorders>
            <w:shd w:val="clear" w:color="000000" w:fill="FFFFFF"/>
            <w:vAlign w:val="center"/>
            <w:hideMark/>
          </w:tcPr>
          <w:p w:rsidR="00676BDD" w:rsidRPr="00676BDD" w:rsidRDefault="00676BDD" w:rsidP="00676BDD">
            <w:pPr>
              <w:jc w:val="center"/>
              <w:rPr>
                <w:color w:val="000000"/>
                <w:sz w:val="16"/>
                <w:szCs w:val="16"/>
              </w:rPr>
            </w:pPr>
            <w:r w:rsidRPr="00676BDD">
              <w:rPr>
                <w:color w:val="000000"/>
                <w:sz w:val="16"/>
                <w:szCs w:val="16"/>
              </w:rPr>
              <w:t>1 547</w:t>
            </w:r>
          </w:p>
        </w:tc>
        <w:tc>
          <w:tcPr>
            <w:tcW w:w="276"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6 917,79</w:t>
            </w:r>
          </w:p>
        </w:tc>
        <w:tc>
          <w:tcPr>
            <w:tcW w:w="238"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125,27</w:t>
            </w:r>
          </w:p>
        </w:tc>
        <w:tc>
          <w:tcPr>
            <w:tcW w:w="247"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264,68</w:t>
            </w:r>
          </w:p>
        </w:tc>
        <w:tc>
          <w:tcPr>
            <w:tcW w:w="229"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1 466</w:t>
            </w:r>
          </w:p>
        </w:tc>
        <w:tc>
          <w:tcPr>
            <w:tcW w:w="276"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6 176,64</w:t>
            </w:r>
          </w:p>
        </w:tc>
        <w:tc>
          <w:tcPr>
            <w:tcW w:w="238"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111,85</w:t>
            </w:r>
          </w:p>
        </w:tc>
        <w:tc>
          <w:tcPr>
            <w:tcW w:w="247"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237,43</w:t>
            </w:r>
          </w:p>
        </w:tc>
        <w:tc>
          <w:tcPr>
            <w:tcW w:w="276"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4 640,95</w:t>
            </w:r>
          </w:p>
        </w:tc>
        <w:tc>
          <w:tcPr>
            <w:tcW w:w="229"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84,04</w:t>
            </w:r>
          </w:p>
        </w:tc>
        <w:tc>
          <w:tcPr>
            <w:tcW w:w="247"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180,99</w:t>
            </w:r>
          </w:p>
        </w:tc>
        <w:tc>
          <w:tcPr>
            <w:tcW w:w="276"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4 606,46</w:t>
            </w:r>
          </w:p>
        </w:tc>
        <w:tc>
          <w:tcPr>
            <w:tcW w:w="229"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83,42</w:t>
            </w:r>
          </w:p>
        </w:tc>
        <w:tc>
          <w:tcPr>
            <w:tcW w:w="247"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179,72</w:t>
            </w:r>
          </w:p>
        </w:tc>
        <w:tc>
          <w:tcPr>
            <w:tcW w:w="276"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4 370,09</w:t>
            </w:r>
          </w:p>
        </w:tc>
        <w:tc>
          <w:tcPr>
            <w:tcW w:w="229"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79,14</w:t>
            </w:r>
          </w:p>
        </w:tc>
        <w:tc>
          <w:tcPr>
            <w:tcW w:w="247" w:type="pct"/>
            <w:tcBorders>
              <w:top w:val="nil"/>
              <w:left w:val="nil"/>
              <w:bottom w:val="single" w:sz="8" w:space="0" w:color="1F497D"/>
              <w:right w:val="double" w:sz="6"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170,73</w:t>
            </w:r>
          </w:p>
        </w:tc>
      </w:tr>
      <w:tr w:rsidR="00676BDD" w:rsidRPr="00676BDD" w:rsidTr="00DA04F7">
        <w:trPr>
          <w:trHeight w:val="315"/>
        </w:trPr>
        <w:tc>
          <w:tcPr>
            <w:tcW w:w="238" w:type="pct"/>
            <w:tcBorders>
              <w:top w:val="nil"/>
              <w:left w:val="double" w:sz="6" w:space="0" w:color="1F497D"/>
              <w:bottom w:val="single" w:sz="8" w:space="0" w:color="1F497D"/>
              <w:right w:val="single" w:sz="8" w:space="0" w:color="1F497D"/>
            </w:tcBorders>
            <w:shd w:val="clear" w:color="000000" w:fill="FFFFFF"/>
            <w:vAlign w:val="center"/>
            <w:hideMark/>
          </w:tcPr>
          <w:p w:rsidR="00676BDD" w:rsidRPr="00676BDD" w:rsidRDefault="00676BDD" w:rsidP="00676BDD">
            <w:pPr>
              <w:jc w:val="center"/>
              <w:rPr>
                <w:color w:val="000000"/>
                <w:sz w:val="16"/>
                <w:szCs w:val="16"/>
              </w:rPr>
            </w:pPr>
            <w:r w:rsidRPr="00676BDD">
              <w:rPr>
                <w:color w:val="000000"/>
                <w:sz w:val="16"/>
                <w:szCs w:val="16"/>
              </w:rPr>
              <w:t>5.3</w:t>
            </w:r>
          </w:p>
        </w:tc>
        <w:tc>
          <w:tcPr>
            <w:tcW w:w="276"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400,01</w:t>
            </w:r>
          </w:p>
        </w:tc>
        <w:tc>
          <w:tcPr>
            <w:tcW w:w="247"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15,53</w:t>
            </w:r>
          </w:p>
        </w:tc>
        <w:tc>
          <w:tcPr>
            <w:tcW w:w="229" w:type="pct"/>
            <w:tcBorders>
              <w:top w:val="nil"/>
              <w:left w:val="nil"/>
              <w:bottom w:val="single" w:sz="8" w:space="0" w:color="1F497D"/>
              <w:right w:val="single" w:sz="8" w:space="0" w:color="1F497D"/>
            </w:tcBorders>
            <w:shd w:val="clear" w:color="000000" w:fill="FFFFFF"/>
            <w:vAlign w:val="center"/>
            <w:hideMark/>
          </w:tcPr>
          <w:p w:rsidR="00676BDD" w:rsidRPr="00676BDD" w:rsidRDefault="00676BDD" w:rsidP="00676BDD">
            <w:pPr>
              <w:jc w:val="center"/>
              <w:rPr>
                <w:color w:val="000000"/>
                <w:sz w:val="16"/>
                <w:szCs w:val="16"/>
              </w:rPr>
            </w:pPr>
            <w:r w:rsidRPr="00676BDD">
              <w:rPr>
                <w:color w:val="000000"/>
                <w:sz w:val="16"/>
                <w:szCs w:val="16"/>
              </w:rPr>
              <w:t>700</w:t>
            </w:r>
          </w:p>
        </w:tc>
        <w:tc>
          <w:tcPr>
            <w:tcW w:w="276"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498,69</w:t>
            </w:r>
          </w:p>
        </w:tc>
        <w:tc>
          <w:tcPr>
            <w:tcW w:w="238"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124,67</w:t>
            </w:r>
          </w:p>
        </w:tc>
        <w:tc>
          <w:tcPr>
            <w:tcW w:w="247"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19,16</w:t>
            </w:r>
          </w:p>
        </w:tc>
        <w:tc>
          <w:tcPr>
            <w:tcW w:w="229"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591</w:t>
            </w:r>
          </w:p>
        </w:tc>
        <w:tc>
          <w:tcPr>
            <w:tcW w:w="276"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404,61</w:t>
            </w:r>
          </w:p>
        </w:tc>
        <w:tc>
          <w:tcPr>
            <w:tcW w:w="238"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101,15</w:t>
            </w:r>
          </w:p>
        </w:tc>
        <w:tc>
          <w:tcPr>
            <w:tcW w:w="247"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15,7</w:t>
            </w:r>
          </w:p>
        </w:tc>
        <w:tc>
          <w:tcPr>
            <w:tcW w:w="276"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402,5</w:t>
            </w:r>
          </w:p>
        </w:tc>
        <w:tc>
          <w:tcPr>
            <w:tcW w:w="229"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100,62</w:t>
            </w:r>
          </w:p>
        </w:tc>
        <w:tc>
          <w:tcPr>
            <w:tcW w:w="247"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15,62</w:t>
            </w:r>
          </w:p>
        </w:tc>
        <w:tc>
          <w:tcPr>
            <w:tcW w:w="276"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402,5</w:t>
            </w:r>
          </w:p>
        </w:tc>
        <w:tc>
          <w:tcPr>
            <w:tcW w:w="229"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100,62</w:t>
            </w:r>
          </w:p>
        </w:tc>
        <w:tc>
          <w:tcPr>
            <w:tcW w:w="247"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15,62</w:t>
            </w:r>
          </w:p>
        </w:tc>
        <w:tc>
          <w:tcPr>
            <w:tcW w:w="276"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397,48</w:t>
            </w:r>
          </w:p>
        </w:tc>
        <w:tc>
          <w:tcPr>
            <w:tcW w:w="229"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99,37</w:t>
            </w:r>
          </w:p>
        </w:tc>
        <w:tc>
          <w:tcPr>
            <w:tcW w:w="247" w:type="pct"/>
            <w:tcBorders>
              <w:top w:val="nil"/>
              <w:left w:val="nil"/>
              <w:bottom w:val="single" w:sz="8" w:space="0" w:color="1F497D"/>
              <w:right w:val="double" w:sz="6"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15,42</w:t>
            </w:r>
          </w:p>
        </w:tc>
      </w:tr>
      <w:tr w:rsidR="00676BDD" w:rsidRPr="00676BDD" w:rsidTr="00DA04F7">
        <w:trPr>
          <w:trHeight w:val="315"/>
        </w:trPr>
        <w:tc>
          <w:tcPr>
            <w:tcW w:w="238" w:type="pct"/>
            <w:tcBorders>
              <w:top w:val="nil"/>
              <w:left w:val="double" w:sz="6" w:space="0" w:color="1F497D"/>
              <w:bottom w:val="single" w:sz="8" w:space="0" w:color="1F497D"/>
              <w:right w:val="single" w:sz="8" w:space="0" w:color="1F497D"/>
            </w:tcBorders>
            <w:shd w:val="clear" w:color="000000" w:fill="E4DFEC"/>
            <w:vAlign w:val="center"/>
            <w:hideMark/>
          </w:tcPr>
          <w:p w:rsidR="00676BDD" w:rsidRPr="00676BDD" w:rsidRDefault="00676BDD" w:rsidP="00676BDD">
            <w:pPr>
              <w:jc w:val="center"/>
              <w:rPr>
                <w:color w:val="000000"/>
                <w:sz w:val="16"/>
                <w:szCs w:val="16"/>
              </w:rPr>
            </w:pPr>
            <w:r w:rsidRPr="00676BDD">
              <w:rPr>
                <w:color w:val="000000"/>
                <w:sz w:val="16"/>
                <w:szCs w:val="16"/>
              </w:rPr>
              <w:t>5</w:t>
            </w:r>
          </w:p>
        </w:tc>
        <w:tc>
          <w:tcPr>
            <w:tcW w:w="276"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11 598,43</w:t>
            </w:r>
          </w:p>
        </w:tc>
        <w:tc>
          <w:tcPr>
            <w:tcW w:w="247"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442,64</w:t>
            </w:r>
          </w:p>
        </w:tc>
        <w:tc>
          <w:tcPr>
            <w:tcW w:w="229" w:type="pct"/>
            <w:tcBorders>
              <w:top w:val="nil"/>
              <w:left w:val="nil"/>
              <w:bottom w:val="single" w:sz="8" w:space="0" w:color="1F497D"/>
              <w:right w:val="single" w:sz="8" w:space="0" w:color="1F497D"/>
            </w:tcBorders>
            <w:shd w:val="clear" w:color="000000" w:fill="E4DFEC"/>
            <w:vAlign w:val="center"/>
            <w:hideMark/>
          </w:tcPr>
          <w:p w:rsidR="00676BDD" w:rsidRPr="00676BDD" w:rsidRDefault="00676BDD" w:rsidP="00676BDD">
            <w:pPr>
              <w:jc w:val="center"/>
              <w:rPr>
                <w:b/>
                <w:bCs/>
                <w:color w:val="000000"/>
                <w:sz w:val="16"/>
                <w:szCs w:val="16"/>
              </w:rPr>
            </w:pPr>
            <w:r w:rsidRPr="00676BDD">
              <w:rPr>
                <w:b/>
                <w:bCs/>
                <w:color w:val="000000"/>
                <w:sz w:val="16"/>
                <w:szCs w:val="16"/>
              </w:rPr>
              <w:t>2 317</w:t>
            </w:r>
          </w:p>
        </w:tc>
        <w:tc>
          <w:tcPr>
            <w:tcW w:w="276"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22 319,46</w:t>
            </w:r>
          </w:p>
        </w:tc>
        <w:tc>
          <w:tcPr>
            <w:tcW w:w="238"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192,44</w:t>
            </w:r>
          </w:p>
        </w:tc>
        <w:tc>
          <w:tcPr>
            <w:tcW w:w="247"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836,68</w:t>
            </w:r>
          </w:p>
        </w:tc>
        <w:tc>
          <w:tcPr>
            <w:tcW w:w="229"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2 082</w:t>
            </w:r>
          </w:p>
        </w:tc>
        <w:tc>
          <w:tcPr>
            <w:tcW w:w="276"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12 208,38</w:t>
            </w:r>
          </w:p>
        </w:tc>
        <w:tc>
          <w:tcPr>
            <w:tcW w:w="238"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105,26</w:t>
            </w:r>
          </w:p>
        </w:tc>
        <w:tc>
          <w:tcPr>
            <w:tcW w:w="247"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465,06</w:t>
            </w:r>
          </w:p>
        </w:tc>
        <w:tc>
          <w:tcPr>
            <w:tcW w:w="276"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9 419,65</w:t>
            </w:r>
          </w:p>
        </w:tc>
        <w:tc>
          <w:tcPr>
            <w:tcW w:w="229"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81,21</w:t>
            </w:r>
          </w:p>
        </w:tc>
        <w:tc>
          <w:tcPr>
            <w:tcW w:w="247"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362,56</w:t>
            </w:r>
          </w:p>
        </w:tc>
        <w:tc>
          <w:tcPr>
            <w:tcW w:w="276"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9 207,77</w:t>
            </w:r>
          </w:p>
        </w:tc>
        <w:tc>
          <w:tcPr>
            <w:tcW w:w="229"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79,39</w:t>
            </w:r>
          </w:p>
        </w:tc>
        <w:tc>
          <w:tcPr>
            <w:tcW w:w="247"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354,78</w:t>
            </w:r>
          </w:p>
        </w:tc>
        <w:tc>
          <w:tcPr>
            <w:tcW w:w="276"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8 409,79</w:t>
            </w:r>
          </w:p>
        </w:tc>
        <w:tc>
          <w:tcPr>
            <w:tcW w:w="229"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72,51</w:t>
            </w:r>
          </w:p>
        </w:tc>
        <w:tc>
          <w:tcPr>
            <w:tcW w:w="247" w:type="pct"/>
            <w:tcBorders>
              <w:top w:val="nil"/>
              <w:left w:val="nil"/>
              <w:bottom w:val="single" w:sz="8" w:space="0" w:color="1F497D"/>
              <w:right w:val="double" w:sz="6"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325,22</w:t>
            </w:r>
          </w:p>
        </w:tc>
      </w:tr>
      <w:tr w:rsidR="00676BDD" w:rsidRPr="00676BDD" w:rsidTr="00DA04F7">
        <w:trPr>
          <w:trHeight w:val="315"/>
        </w:trPr>
        <w:tc>
          <w:tcPr>
            <w:tcW w:w="238" w:type="pct"/>
            <w:tcBorders>
              <w:top w:val="nil"/>
              <w:left w:val="double" w:sz="6" w:space="0" w:color="1F497D"/>
              <w:bottom w:val="single" w:sz="8" w:space="0" w:color="1F497D"/>
              <w:right w:val="single" w:sz="8" w:space="0" w:color="1F497D"/>
            </w:tcBorders>
            <w:shd w:val="clear" w:color="000000" w:fill="FFFFFF"/>
            <w:vAlign w:val="center"/>
            <w:hideMark/>
          </w:tcPr>
          <w:p w:rsidR="00676BDD" w:rsidRPr="00676BDD" w:rsidRDefault="00676BDD" w:rsidP="00676BDD">
            <w:pPr>
              <w:jc w:val="center"/>
              <w:rPr>
                <w:color w:val="000000"/>
                <w:sz w:val="16"/>
                <w:szCs w:val="16"/>
              </w:rPr>
            </w:pPr>
            <w:r w:rsidRPr="00676BDD">
              <w:rPr>
                <w:color w:val="000000"/>
                <w:sz w:val="16"/>
                <w:szCs w:val="16"/>
              </w:rPr>
              <w:t>6.1a</w:t>
            </w:r>
          </w:p>
        </w:tc>
        <w:tc>
          <w:tcPr>
            <w:tcW w:w="276"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705,34</w:t>
            </w:r>
          </w:p>
        </w:tc>
        <w:tc>
          <w:tcPr>
            <w:tcW w:w="247"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27,18</w:t>
            </w:r>
          </w:p>
        </w:tc>
        <w:tc>
          <w:tcPr>
            <w:tcW w:w="229" w:type="pct"/>
            <w:tcBorders>
              <w:top w:val="nil"/>
              <w:left w:val="nil"/>
              <w:bottom w:val="single" w:sz="8" w:space="0" w:color="1F497D"/>
              <w:right w:val="single" w:sz="8" w:space="0" w:color="1F497D"/>
            </w:tcBorders>
            <w:shd w:val="clear" w:color="000000" w:fill="FFFFFF"/>
            <w:vAlign w:val="center"/>
            <w:hideMark/>
          </w:tcPr>
          <w:p w:rsidR="00676BDD" w:rsidRPr="00676BDD" w:rsidRDefault="00676BDD" w:rsidP="00676BDD">
            <w:pPr>
              <w:jc w:val="center"/>
              <w:rPr>
                <w:color w:val="000000"/>
                <w:sz w:val="16"/>
                <w:szCs w:val="16"/>
              </w:rPr>
            </w:pPr>
            <w:r w:rsidRPr="00676BDD">
              <w:rPr>
                <w:color w:val="000000"/>
                <w:sz w:val="16"/>
                <w:szCs w:val="16"/>
              </w:rPr>
              <w:t>55</w:t>
            </w:r>
          </w:p>
        </w:tc>
        <w:tc>
          <w:tcPr>
            <w:tcW w:w="276"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1 231,07</w:t>
            </w:r>
          </w:p>
        </w:tc>
        <w:tc>
          <w:tcPr>
            <w:tcW w:w="238"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174,54</w:t>
            </w:r>
          </w:p>
        </w:tc>
        <w:tc>
          <w:tcPr>
            <w:tcW w:w="247"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46,5</w:t>
            </w:r>
          </w:p>
        </w:tc>
        <w:tc>
          <w:tcPr>
            <w:tcW w:w="229"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50</w:t>
            </w:r>
          </w:p>
        </w:tc>
        <w:tc>
          <w:tcPr>
            <w:tcW w:w="276"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813,19</w:t>
            </w:r>
          </w:p>
        </w:tc>
        <w:tc>
          <w:tcPr>
            <w:tcW w:w="238"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115,29</w:t>
            </w:r>
          </w:p>
        </w:tc>
        <w:tc>
          <w:tcPr>
            <w:tcW w:w="247"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31,14</w:t>
            </w:r>
          </w:p>
        </w:tc>
        <w:tc>
          <w:tcPr>
            <w:tcW w:w="276"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606</w:t>
            </w:r>
          </w:p>
        </w:tc>
        <w:tc>
          <w:tcPr>
            <w:tcW w:w="229"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85,92</w:t>
            </w:r>
          </w:p>
        </w:tc>
        <w:tc>
          <w:tcPr>
            <w:tcW w:w="247"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23,53</w:t>
            </w:r>
          </w:p>
        </w:tc>
        <w:tc>
          <w:tcPr>
            <w:tcW w:w="276"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600,33</w:t>
            </w:r>
          </w:p>
        </w:tc>
        <w:tc>
          <w:tcPr>
            <w:tcW w:w="229"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85,11</w:t>
            </w:r>
          </w:p>
        </w:tc>
        <w:tc>
          <w:tcPr>
            <w:tcW w:w="247"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23,32</w:t>
            </w:r>
          </w:p>
        </w:tc>
        <w:tc>
          <w:tcPr>
            <w:tcW w:w="276"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550,22</w:t>
            </w:r>
          </w:p>
        </w:tc>
        <w:tc>
          <w:tcPr>
            <w:tcW w:w="229"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78,01</w:t>
            </w:r>
          </w:p>
        </w:tc>
        <w:tc>
          <w:tcPr>
            <w:tcW w:w="247" w:type="pct"/>
            <w:tcBorders>
              <w:top w:val="nil"/>
              <w:left w:val="nil"/>
              <w:bottom w:val="single" w:sz="8" w:space="0" w:color="1F497D"/>
              <w:right w:val="double" w:sz="6"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21,36</w:t>
            </w:r>
          </w:p>
        </w:tc>
      </w:tr>
      <w:tr w:rsidR="00676BDD" w:rsidRPr="00676BDD" w:rsidTr="00DA04F7">
        <w:trPr>
          <w:trHeight w:val="315"/>
        </w:trPr>
        <w:tc>
          <w:tcPr>
            <w:tcW w:w="238" w:type="pct"/>
            <w:tcBorders>
              <w:top w:val="nil"/>
              <w:left w:val="double" w:sz="6" w:space="0" w:color="1F497D"/>
              <w:bottom w:val="single" w:sz="8" w:space="0" w:color="1F497D"/>
              <w:right w:val="single" w:sz="8" w:space="0" w:color="1F497D"/>
            </w:tcBorders>
            <w:shd w:val="clear" w:color="000000" w:fill="FFFFFF"/>
            <w:vAlign w:val="center"/>
            <w:hideMark/>
          </w:tcPr>
          <w:p w:rsidR="00676BDD" w:rsidRPr="00676BDD" w:rsidRDefault="00676BDD" w:rsidP="00676BDD">
            <w:pPr>
              <w:jc w:val="center"/>
              <w:rPr>
                <w:color w:val="000000"/>
                <w:sz w:val="16"/>
                <w:szCs w:val="16"/>
              </w:rPr>
            </w:pPr>
            <w:r w:rsidRPr="00676BDD">
              <w:rPr>
                <w:color w:val="000000"/>
                <w:sz w:val="16"/>
                <w:szCs w:val="16"/>
              </w:rPr>
              <w:t>6.2a</w:t>
            </w:r>
          </w:p>
        </w:tc>
        <w:tc>
          <w:tcPr>
            <w:tcW w:w="276"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180,56</w:t>
            </w:r>
          </w:p>
        </w:tc>
        <w:tc>
          <w:tcPr>
            <w:tcW w:w="247"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6,9</w:t>
            </w:r>
          </w:p>
        </w:tc>
        <w:tc>
          <w:tcPr>
            <w:tcW w:w="229" w:type="pct"/>
            <w:tcBorders>
              <w:top w:val="nil"/>
              <w:left w:val="nil"/>
              <w:bottom w:val="single" w:sz="8" w:space="0" w:color="1F497D"/>
              <w:right w:val="single" w:sz="8" w:space="0" w:color="1F497D"/>
            </w:tcBorders>
            <w:shd w:val="clear" w:color="000000" w:fill="FFFFFF"/>
            <w:vAlign w:val="center"/>
            <w:hideMark/>
          </w:tcPr>
          <w:p w:rsidR="00676BDD" w:rsidRPr="00676BDD" w:rsidRDefault="00676BDD" w:rsidP="00676BDD">
            <w:pPr>
              <w:jc w:val="center"/>
              <w:rPr>
                <w:color w:val="000000"/>
                <w:sz w:val="16"/>
                <w:szCs w:val="16"/>
              </w:rPr>
            </w:pPr>
            <w:r w:rsidRPr="00676BDD">
              <w:rPr>
                <w:color w:val="000000"/>
                <w:sz w:val="16"/>
                <w:szCs w:val="16"/>
              </w:rPr>
              <w:t>84</w:t>
            </w:r>
          </w:p>
        </w:tc>
        <w:tc>
          <w:tcPr>
            <w:tcW w:w="276"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382,89</w:t>
            </w:r>
          </w:p>
        </w:tc>
        <w:tc>
          <w:tcPr>
            <w:tcW w:w="238"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212,05</w:t>
            </w:r>
          </w:p>
        </w:tc>
        <w:tc>
          <w:tcPr>
            <w:tcW w:w="247"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14,33</w:t>
            </w:r>
          </w:p>
        </w:tc>
        <w:tc>
          <w:tcPr>
            <w:tcW w:w="229"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76</w:t>
            </w:r>
          </w:p>
        </w:tc>
        <w:tc>
          <w:tcPr>
            <w:tcW w:w="276"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186,26</w:t>
            </w:r>
          </w:p>
        </w:tc>
        <w:tc>
          <w:tcPr>
            <w:tcW w:w="238"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103,15</w:t>
            </w:r>
          </w:p>
        </w:tc>
        <w:tc>
          <w:tcPr>
            <w:tcW w:w="247"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7,11</w:t>
            </w:r>
          </w:p>
        </w:tc>
        <w:tc>
          <w:tcPr>
            <w:tcW w:w="276"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104,62</w:t>
            </w:r>
          </w:p>
        </w:tc>
        <w:tc>
          <w:tcPr>
            <w:tcW w:w="229"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57,94</w:t>
            </w:r>
          </w:p>
        </w:tc>
        <w:tc>
          <w:tcPr>
            <w:tcW w:w="247"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4,11</w:t>
            </w:r>
          </w:p>
        </w:tc>
        <w:tc>
          <w:tcPr>
            <w:tcW w:w="276"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104,01</w:t>
            </w:r>
          </w:p>
        </w:tc>
        <w:tc>
          <w:tcPr>
            <w:tcW w:w="229"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57,6</w:t>
            </w:r>
          </w:p>
        </w:tc>
        <w:tc>
          <w:tcPr>
            <w:tcW w:w="247"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4,08</w:t>
            </w:r>
          </w:p>
        </w:tc>
        <w:tc>
          <w:tcPr>
            <w:tcW w:w="276"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101,06</w:t>
            </w:r>
          </w:p>
        </w:tc>
        <w:tc>
          <w:tcPr>
            <w:tcW w:w="229"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55,97</w:t>
            </w:r>
          </w:p>
        </w:tc>
        <w:tc>
          <w:tcPr>
            <w:tcW w:w="247" w:type="pct"/>
            <w:tcBorders>
              <w:top w:val="nil"/>
              <w:left w:val="nil"/>
              <w:bottom w:val="single" w:sz="8" w:space="0" w:color="1F497D"/>
              <w:right w:val="double" w:sz="6"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3,97</w:t>
            </w:r>
          </w:p>
        </w:tc>
      </w:tr>
      <w:tr w:rsidR="00676BDD" w:rsidRPr="00676BDD" w:rsidTr="00DA04F7">
        <w:trPr>
          <w:trHeight w:val="315"/>
        </w:trPr>
        <w:tc>
          <w:tcPr>
            <w:tcW w:w="238" w:type="pct"/>
            <w:tcBorders>
              <w:top w:val="nil"/>
              <w:left w:val="double" w:sz="6" w:space="0" w:color="1F497D"/>
              <w:bottom w:val="single" w:sz="8" w:space="0" w:color="1F497D"/>
              <w:right w:val="single" w:sz="8" w:space="0" w:color="1F497D"/>
            </w:tcBorders>
            <w:shd w:val="clear" w:color="000000" w:fill="E4DFEC"/>
            <w:vAlign w:val="center"/>
            <w:hideMark/>
          </w:tcPr>
          <w:p w:rsidR="00676BDD" w:rsidRPr="00676BDD" w:rsidRDefault="00676BDD" w:rsidP="00676BDD">
            <w:pPr>
              <w:jc w:val="center"/>
              <w:rPr>
                <w:b/>
                <w:bCs/>
                <w:color w:val="000000"/>
                <w:sz w:val="16"/>
                <w:szCs w:val="16"/>
              </w:rPr>
            </w:pPr>
            <w:proofErr w:type="gramStart"/>
            <w:r w:rsidRPr="00676BDD">
              <w:rPr>
                <w:b/>
                <w:bCs/>
                <w:color w:val="000000"/>
                <w:sz w:val="16"/>
                <w:szCs w:val="16"/>
              </w:rPr>
              <w:t>6.a</w:t>
            </w:r>
            <w:proofErr w:type="gramEnd"/>
          </w:p>
        </w:tc>
        <w:tc>
          <w:tcPr>
            <w:tcW w:w="276"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885,9</w:t>
            </w:r>
          </w:p>
        </w:tc>
        <w:tc>
          <w:tcPr>
            <w:tcW w:w="247"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34,07</w:t>
            </w:r>
          </w:p>
        </w:tc>
        <w:tc>
          <w:tcPr>
            <w:tcW w:w="229" w:type="pct"/>
            <w:tcBorders>
              <w:top w:val="nil"/>
              <w:left w:val="nil"/>
              <w:bottom w:val="single" w:sz="8" w:space="0" w:color="1F497D"/>
              <w:right w:val="single" w:sz="8" w:space="0" w:color="1F497D"/>
            </w:tcBorders>
            <w:shd w:val="clear" w:color="000000" w:fill="E4DFEC"/>
            <w:vAlign w:val="center"/>
            <w:hideMark/>
          </w:tcPr>
          <w:p w:rsidR="00676BDD" w:rsidRPr="00676BDD" w:rsidRDefault="00676BDD" w:rsidP="00676BDD">
            <w:pPr>
              <w:jc w:val="center"/>
              <w:rPr>
                <w:b/>
                <w:bCs/>
                <w:color w:val="000000"/>
                <w:sz w:val="16"/>
                <w:szCs w:val="16"/>
              </w:rPr>
            </w:pPr>
            <w:r w:rsidRPr="00676BDD">
              <w:rPr>
                <w:b/>
                <w:bCs/>
                <w:color w:val="000000"/>
                <w:sz w:val="16"/>
                <w:szCs w:val="16"/>
              </w:rPr>
              <w:t>139</w:t>
            </w:r>
          </w:p>
        </w:tc>
        <w:tc>
          <w:tcPr>
            <w:tcW w:w="276"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1 613,96</w:t>
            </w:r>
          </w:p>
        </w:tc>
        <w:tc>
          <w:tcPr>
            <w:tcW w:w="238"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182,18</w:t>
            </w:r>
          </w:p>
        </w:tc>
        <w:tc>
          <w:tcPr>
            <w:tcW w:w="247"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60,83</w:t>
            </w:r>
          </w:p>
        </w:tc>
        <w:tc>
          <w:tcPr>
            <w:tcW w:w="229"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126</w:t>
            </w:r>
          </w:p>
        </w:tc>
        <w:tc>
          <w:tcPr>
            <w:tcW w:w="276"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999,45</w:t>
            </w:r>
          </w:p>
        </w:tc>
        <w:tc>
          <w:tcPr>
            <w:tcW w:w="238"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112,82</w:t>
            </w:r>
          </w:p>
        </w:tc>
        <w:tc>
          <w:tcPr>
            <w:tcW w:w="247"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38,25</w:t>
            </w:r>
          </w:p>
        </w:tc>
        <w:tc>
          <w:tcPr>
            <w:tcW w:w="276"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710,62</w:t>
            </w:r>
          </w:p>
        </w:tc>
        <w:tc>
          <w:tcPr>
            <w:tcW w:w="229"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80,21</w:t>
            </w:r>
          </w:p>
        </w:tc>
        <w:tc>
          <w:tcPr>
            <w:tcW w:w="247"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27,63</w:t>
            </w:r>
          </w:p>
        </w:tc>
        <w:tc>
          <w:tcPr>
            <w:tcW w:w="276"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704,34</w:t>
            </w:r>
          </w:p>
        </w:tc>
        <w:tc>
          <w:tcPr>
            <w:tcW w:w="229"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79,51</w:t>
            </w:r>
          </w:p>
        </w:tc>
        <w:tc>
          <w:tcPr>
            <w:tcW w:w="247"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27,4</w:t>
            </w:r>
          </w:p>
        </w:tc>
        <w:tc>
          <w:tcPr>
            <w:tcW w:w="276"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651,28</w:t>
            </w:r>
          </w:p>
        </w:tc>
        <w:tc>
          <w:tcPr>
            <w:tcW w:w="229"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73,52</w:t>
            </w:r>
          </w:p>
        </w:tc>
        <w:tc>
          <w:tcPr>
            <w:tcW w:w="247" w:type="pct"/>
            <w:tcBorders>
              <w:top w:val="nil"/>
              <w:left w:val="nil"/>
              <w:bottom w:val="single" w:sz="8" w:space="0" w:color="1F497D"/>
              <w:right w:val="double" w:sz="6"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25,33</w:t>
            </w:r>
          </w:p>
        </w:tc>
      </w:tr>
      <w:tr w:rsidR="00676BDD" w:rsidRPr="00676BDD" w:rsidTr="00DA04F7">
        <w:trPr>
          <w:trHeight w:val="315"/>
        </w:trPr>
        <w:tc>
          <w:tcPr>
            <w:tcW w:w="238" w:type="pct"/>
            <w:tcBorders>
              <w:top w:val="nil"/>
              <w:left w:val="double" w:sz="6" w:space="0" w:color="1F497D"/>
              <w:bottom w:val="single" w:sz="8" w:space="0" w:color="1F497D"/>
              <w:right w:val="single" w:sz="8" w:space="0" w:color="1F497D"/>
            </w:tcBorders>
            <w:shd w:val="clear" w:color="000000" w:fill="FFFFFF"/>
            <w:vAlign w:val="center"/>
            <w:hideMark/>
          </w:tcPr>
          <w:p w:rsidR="00676BDD" w:rsidRPr="00676BDD" w:rsidRDefault="00676BDD" w:rsidP="00676BDD">
            <w:pPr>
              <w:jc w:val="center"/>
              <w:rPr>
                <w:color w:val="000000"/>
                <w:sz w:val="16"/>
                <w:szCs w:val="16"/>
              </w:rPr>
            </w:pPr>
            <w:r w:rsidRPr="00676BDD">
              <w:rPr>
                <w:color w:val="000000"/>
                <w:sz w:val="16"/>
                <w:szCs w:val="16"/>
              </w:rPr>
              <w:t>6.1b</w:t>
            </w:r>
          </w:p>
        </w:tc>
        <w:tc>
          <w:tcPr>
            <w:tcW w:w="276"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12,97</w:t>
            </w:r>
          </w:p>
        </w:tc>
        <w:tc>
          <w:tcPr>
            <w:tcW w:w="247"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0,5</w:t>
            </w:r>
          </w:p>
        </w:tc>
        <w:tc>
          <w:tcPr>
            <w:tcW w:w="229" w:type="pct"/>
            <w:tcBorders>
              <w:top w:val="nil"/>
              <w:left w:val="nil"/>
              <w:bottom w:val="single" w:sz="8" w:space="0" w:color="1F497D"/>
              <w:right w:val="single" w:sz="8" w:space="0" w:color="1F497D"/>
            </w:tcBorders>
            <w:shd w:val="clear" w:color="000000" w:fill="FFFFFF"/>
            <w:vAlign w:val="center"/>
            <w:hideMark/>
          </w:tcPr>
          <w:p w:rsidR="00676BDD" w:rsidRPr="00676BDD" w:rsidRDefault="00676BDD" w:rsidP="00676BDD">
            <w:pPr>
              <w:jc w:val="center"/>
              <w:rPr>
                <w:color w:val="000000"/>
                <w:sz w:val="16"/>
                <w:szCs w:val="16"/>
              </w:rPr>
            </w:pPr>
            <w:r w:rsidRPr="00676BDD">
              <w:rPr>
                <w:color w:val="000000"/>
                <w:sz w:val="16"/>
                <w:szCs w:val="16"/>
              </w:rPr>
              <w:t>0</w:t>
            </w:r>
          </w:p>
        </w:tc>
        <w:tc>
          <w:tcPr>
            <w:tcW w:w="276"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22,63</w:t>
            </w:r>
          </w:p>
        </w:tc>
        <w:tc>
          <w:tcPr>
            <w:tcW w:w="238"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174,55</w:t>
            </w:r>
          </w:p>
        </w:tc>
        <w:tc>
          <w:tcPr>
            <w:tcW w:w="247"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0,85</w:t>
            </w:r>
          </w:p>
        </w:tc>
        <w:tc>
          <w:tcPr>
            <w:tcW w:w="229"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0</w:t>
            </w:r>
          </w:p>
        </w:tc>
        <w:tc>
          <w:tcPr>
            <w:tcW w:w="276"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14,95</w:t>
            </w:r>
          </w:p>
        </w:tc>
        <w:tc>
          <w:tcPr>
            <w:tcW w:w="238"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115,3</w:t>
            </w:r>
          </w:p>
        </w:tc>
        <w:tc>
          <w:tcPr>
            <w:tcW w:w="247"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0,57</w:t>
            </w:r>
          </w:p>
        </w:tc>
        <w:tc>
          <w:tcPr>
            <w:tcW w:w="276"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11,14</w:t>
            </w:r>
          </w:p>
        </w:tc>
        <w:tc>
          <w:tcPr>
            <w:tcW w:w="229"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85,94</w:t>
            </w:r>
          </w:p>
        </w:tc>
        <w:tc>
          <w:tcPr>
            <w:tcW w:w="247"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0,43</w:t>
            </w:r>
          </w:p>
        </w:tc>
        <w:tc>
          <w:tcPr>
            <w:tcW w:w="276"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11,04</w:t>
            </w:r>
          </w:p>
        </w:tc>
        <w:tc>
          <w:tcPr>
            <w:tcW w:w="229"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85,14</w:t>
            </w:r>
          </w:p>
        </w:tc>
        <w:tc>
          <w:tcPr>
            <w:tcW w:w="247"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0,43</w:t>
            </w:r>
          </w:p>
        </w:tc>
        <w:tc>
          <w:tcPr>
            <w:tcW w:w="276"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10,12</w:t>
            </w:r>
          </w:p>
        </w:tc>
        <w:tc>
          <w:tcPr>
            <w:tcW w:w="229"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78,03</w:t>
            </w:r>
          </w:p>
        </w:tc>
        <w:tc>
          <w:tcPr>
            <w:tcW w:w="247" w:type="pct"/>
            <w:tcBorders>
              <w:top w:val="nil"/>
              <w:left w:val="nil"/>
              <w:bottom w:val="single" w:sz="8" w:space="0" w:color="1F497D"/>
              <w:right w:val="double" w:sz="6"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0,39</w:t>
            </w:r>
          </w:p>
        </w:tc>
      </w:tr>
      <w:tr w:rsidR="00676BDD" w:rsidRPr="00676BDD" w:rsidTr="00DA04F7">
        <w:trPr>
          <w:trHeight w:val="315"/>
        </w:trPr>
        <w:tc>
          <w:tcPr>
            <w:tcW w:w="238" w:type="pct"/>
            <w:tcBorders>
              <w:top w:val="nil"/>
              <w:left w:val="double" w:sz="6" w:space="0" w:color="1F497D"/>
              <w:bottom w:val="single" w:sz="8" w:space="0" w:color="1F497D"/>
              <w:right w:val="single" w:sz="8" w:space="0" w:color="1F497D"/>
            </w:tcBorders>
            <w:shd w:val="clear" w:color="000000" w:fill="FFFFFF"/>
            <w:vAlign w:val="center"/>
            <w:hideMark/>
          </w:tcPr>
          <w:p w:rsidR="00676BDD" w:rsidRPr="00676BDD" w:rsidRDefault="00676BDD" w:rsidP="00676BDD">
            <w:pPr>
              <w:jc w:val="center"/>
              <w:rPr>
                <w:color w:val="000000"/>
                <w:sz w:val="16"/>
                <w:szCs w:val="16"/>
              </w:rPr>
            </w:pPr>
            <w:r w:rsidRPr="00676BDD">
              <w:rPr>
                <w:color w:val="000000"/>
                <w:sz w:val="16"/>
                <w:szCs w:val="16"/>
              </w:rPr>
              <w:t>6.2b</w:t>
            </w:r>
          </w:p>
        </w:tc>
        <w:tc>
          <w:tcPr>
            <w:tcW w:w="276"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3,32</w:t>
            </w:r>
          </w:p>
        </w:tc>
        <w:tc>
          <w:tcPr>
            <w:tcW w:w="247"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0,13</w:t>
            </w:r>
          </w:p>
        </w:tc>
        <w:tc>
          <w:tcPr>
            <w:tcW w:w="229" w:type="pct"/>
            <w:tcBorders>
              <w:top w:val="nil"/>
              <w:left w:val="nil"/>
              <w:bottom w:val="single" w:sz="8" w:space="0" w:color="1F497D"/>
              <w:right w:val="single" w:sz="8" w:space="0" w:color="1F497D"/>
            </w:tcBorders>
            <w:shd w:val="clear" w:color="000000" w:fill="FFFFFF"/>
            <w:vAlign w:val="center"/>
            <w:hideMark/>
          </w:tcPr>
          <w:p w:rsidR="00676BDD" w:rsidRPr="00676BDD" w:rsidRDefault="00676BDD" w:rsidP="00676BDD">
            <w:pPr>
              <w:jc w:val="center"/>
              <w:rPr>
                <w:color w:val="000000"/>
                <w:sz w:val="16"/>
                <w:szCs w:val="16"/>
              </w:rPr>
            </w:pPr>
            <w:r w:rsidRPr="00676BDD">
              <w:rPr>
                <w:color w:val="000000"/>
                <w:sz w:val="16"/>
                <w:szCs w:val="16"/>
              </w:rPr>
              <w:t>0</w:t>
            </w:r>
          </w:p>
        </w:tc>
        <w:tc>
          <w:tcPr>
            <w:tcW w:w="276"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7,04</w:t>
            </w:r>
          </w:p>
        </w:tc>
        <w:tc>
          <w:tcPr>
            <w:tcW w:w="238"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212,03</w:t>
            </w:r>
          </w:p>
        </w:tc>
        <w:tc>
          <w:tcPr>
            <w:tcW w:w="247"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0,26</w:t>
            </w:r>
          </w:p>
        </w:tc>
        <w:tc>
          <w:tcPr>
            <w:tcW w:w="229"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0</w:t>
            </w:r>
          </w:p>
        </w:tc>
        <w:tc>
          <w:tcPr>
            <w:tcW w:w="276"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3,42</w:t>
            </w:r>
          </w:p>
        </w:tc>
        <w:tc>
          <w:tcPr>
            <w:tcW w:w="238"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103,14</w:t>
            </w:r>
          </w:p>
        </w:tc>
        <w:tc>
          <w:tcPr>
            <w:tcW w:w="247"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0,13</w:t>
            </w:r>
          </w:p>
        </w:tc>
        <w:tc>
          <w:tcPr>
            <w:tcW w:w="276"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1,92</w:t>
            </w:r>
          </w:p>
        </w:tc>
        <w:tc>
          <w:tcPr>
            <w:tcW w:w="229"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57,96</w:t>
            </w:r>
          </w:p>
        </w:tc>
        <w:tc>
          <w:tcPr>
            <w:tcW w:w="247"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0,08</w:t>
            </w:r>
          </w:p>
        </w:tc>
        <w:tc>
          <w:tcPr>
            <w:tcW w:w="276"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1,91</w:t>
            </w:r>
          </w:p>
        </w:tc>
        <w:tc>
          <w:tcPr>
            <w:tcW w:w="229"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57,61</w:t>
            </w:r>
          </w:p>
        </w:tc>
        <w:tc>
          <w:tcPr>
            <w:tcW w:w="247"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0,08</w:t>
            </w:r>
          </w:p>
        </w:tc>
        <w:tc>
          <w:tcPr>
            <w:tcW w:w="276"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1,86</w:t>
            </w:r>
          </w:p>
        </w:tc>
        <w:tc>
          <w:tcPr>
            <w:tcW w:w="229" w:type="pct"/>
            <w:tcBorders>
              <w:top w:val="nil"/>
              <w:left w:val="nil"/>
              <w:bottom w:val="single" w:sz="8" w:space="0" w:color="1F497D"/>
              <w:right w:val="single" w:sz="8"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55,98</w:t>
            </w:r>
          </w:p>
        </w:tc>
        <w:tc>
          <w:tcPr>
            <w:tcW w:w="247" w:type="pct"/>
            <w:tcBorders>
              <w:top w:val="nil"/>
              <w:left w:val="nil"/>
              <w:bottom w:val="single" w:sz="8" w:space="0" w:color="1F497D"/>
              <w:right w:val="double" w:sz="6" w:space="0" w:color="1F497D"/>
            </w:tcBorders>
            <w:shd w:val="clear" w:color="000000" w:fill="FFFFFF"/>
            <w:noWrap/>
            <w:vAlign w:val="center"/>
            <w:hideMark/>
          </w:tcPr>
          <w:p w:rsidR="00676BDD" w:rsidRPr="00676BDD" w:rsidRDefault="00676BDD" w:rsidP="00676BDD">
            <w:pPr>
              <w:jc w:val="center"/>
              <w:rPr>
                <w:color w:val="000000"/>
                <w:sz w:val="16"/>
                <w:szCs w:val="16"/>
              </w:rPr>
            </w:pPr>
            <w:r w:rsidRPr="00676BDD">
              <w:rPr>
                <w:color w:val="000000"/>
                <w:sz w:val="16"/>
                <w:szCs w:val="16"/>
              </w:rPr>
              <w:t>0,07</w:t>
            </w:r>
          </w:p>
        </w:tc>
      </w:tr>
      <w:tr w:rsidR="00676BDD" w:rsidRPr="00676BDD" w:rsidTr="00DA04F7">
        <w:trPr>
          <w:trHeight w:val="315"/>
        </w:trPr>
        <w:tc>
          <w:tcPr>
            <w:tcW w:w="238" w:type="pct"/>
            <w:tcBorders>
              <w:top w:val="nil"/>
              <w:left w:val="double" w:sz="6" w:space="0" w:color="1F497D"/>
              <w:bottom w:val="single" w:sz="8" w:space="0" w:color="1F497D"/>
              <w:right w:val="single" w:sz="8" w:space="0" w:color="1F497D"/>
            </w:tcBorders>
            <w:shd w:val="clear" w:color="000000" w:fill="E4DFEC"/>
            <w:vAlign w:val="center"/>
            <w:hideMark/>
          </w:tcPr>
          <w:p w:rsidR="00676BDD" w:rsidRPr="00676BDD" w:rsidRDefault="00676BDD" w:rsidP="00676BDD">
            <w:pPr>
              <w:jc w:val="center"/>
              <w:rPr>
                <w:b/>
                <w:bCs/>
                <w:color w:val="000000"/>
                <w:sz w:val="16"/>
                <w:szCs w:val="16"/>
              </w:rPr>
            </w:pPr>
            <w:proofErr w:type="gramStart"/>
            <w:r w:rsidRPr="00676BDD">
              <w:rPr>
                <w:b/>
                <w:bCs/>
                <w:color w:val="000000"/>
                <w:sz w:val="16"/>
                <w:szCs w:val="16"/>
              </w:rPr>
              <w:t>6.b</w:t>
            </w:r>
            <w:proofErr w:type="gramEnd"/>
          </w:p>
        </w:tc>
        <w:tc>
          <w:tcPr>
            <w:tcW w:w="276"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16,29</w:t>
            </w:r>
          </w:p>
        </w:tc>
        <w:tc>
          <w:tcPr>
            <w:tcW w:w="247"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0,63</w:t>
            </w:r>
          </w:p>
        </w:tc>
        <w:tc>
          <w:tcPr>
            <w:tcW w:w="229" w:type="pct"/>
            <w:tcBorders>
              <w:top w:val="nil"/>
              <w:left w:val="nil"/>
              <w:bottom w:val="single" w:sz="8" w:space="0" w:color="1F497D"/>
              <w:right w:val="single" w:sz="8" w:space="0" w:color="1F497D"/>
            </w:tcBorders>
            <w:shd w:val="clear" w:color="000000" w:fill="E4DFEC"/>
            <w:vAlign w:val="center"/>
            <w:hideMark/>
          </w:tcPr>
          <w:p w:rsidR="00676BDD" w:rsidRPr="00676BDD" w:rsidRDefault="00676BDD" w:rsidP="00676BDD">
            <w:pPr>
              <w:jc w:val="center"/>
              <w:rPr>
                <w:b/>
                <w:bCs/>
                <w:color w:val="000000"/>
                <w:sz w:val="16"/>
                <w:szCs w:val="16"/>
              </w:rPr>
            </w:pPr>
            <w:r w:rsidRPr="00676BDD">
              <w:rPr>
                <w:b/>
                <w:bCs/>
                <w:color w:val="000000"/>
                <w:sz w:val="16"/>
                <w:szCs w:val="16"/>
              </w:rPr>
              <w:t>0</w:t>
            </w:r>
          </w:p>
        </w:tc>
        <w:tc>
          <w:tcPr>
            <w:tcW w:w="276"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29,67</w:t>
            </w:r>
          </w:p>
        </w:tc>
        <w:tc>
          <w:tcPr>
            <w:tcW w:w="238"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182,19</w:t>
            </w:r>
          </w:p>
        </w:tc>
        <w:tc>
          <w:tcPr>
            <w:tcW w:w="247"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1,12</w:t>
            </w:r>
          </w:p>
        </w:tc>
        <w:tc>
          <w:tcPr>
            <w:tcW w:w="229"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0</w:t>
            </w:r>
          </w:p>
        </w:tc>
        <w:tc>
          <w:tcPr>
            <w:tcW w:w="276"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18,37</w:t>
            </w:r>
          </w:p>
        </w:tc>
        <w:tc>
          <w:tcPr>
            <w:tcW w:w="238"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112,82</w:t>
            </w:r>
          </w:p>
        </w:tc>
        <w:tc>
          <w:tcPr>
            <w:tcW w:w="247"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0,7</w:t>
            </w:r>
          </w:p>
        </w:tc>
        <w:tc>
          <w:tcPr>
            <w:tcW w:w="276"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13,07</w:t>
            </w:r>
          </w:p>
        </w:tc>
        <w:tc>
          <w:tcPr>
            <w:tcW w:w="229"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80,24</w:t>
            </w:r>
          </w:p>
        </w:tc>
        <w:tc>
          <w:tcPr>
            <w:tcW w:w="247"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0,51</w:t>
            </w:r>
          </w:p>
        </w:tc>
        <w:tc>
          <w:tcPr>
            <w:tcW w:w="276"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12,95</w:t>
            </w:r>
          </w:p>
        </w:tc>
        <w:tc>
          <w:tcPr>
            <w:tcW w:w="229"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79,53</w:t>
            </w:r>
          </w:p>
        </w:tc>
        <w:tc>
          <w:tcPr>
            <w:tcW w:w="247"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0,5</w:t>
            </w:r>
          </w:p>
        </w:tc>
        <w:tc>
          <w:tcPr>
            <w:tcW w:w="276"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11,98</w:t>
            </w:r>
          </w:p>
        </w:tc>
        <w:tc>
          <w:tcPr>
            <w:tcW w:w="229" w:type="pct"/>
            <w:tcBorders>
              <w:top w:val="nil"/>
              <w:left w:val="nil"/>
              <w:bottom w:val="single" w:sz="8" w:space="0" w:color="1F497D"/>
              <w:right w:val="single" w:sz="8"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73,54</w:t>
            </w:r>
          </w:p>
        </w:tc>
        <w:tc>
          <w:tcPr>
            <w:tcW w:w="247" w:type="pct"/>
            <w:tcBorders>
              <w:top w:val="nil"/>
              <w:left w:val="nil"/>
              <w:bottom w:val="single" w:sz="8" w:space="0" w:color="1F497D"/>
              <w:right w:val="double" w:sz="6" w:space="0" w:color="1F497D"/>
            </w:tcBorders>
            <w:shd w:val="clear" w:color="000000" w:fill="E4DFEC"/>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0,47</w:t>
            </w:r>
          </w:p>
        </w:tc>
      </w:tr>
      <w:tr w:rsidR="00676BDD" w:rsidRPr="00676BDD" w:rsidTr="00DA04F7">
        <w:trPr>
          <w:trHeight w:val="315"/>
        </w:trPr>
        <w:tc>
          <w:tcPr>
            <w:tcW w:w="238" w:type="pct"/>
            <w:tcBorders>
              <w:top w:val="nil"/>
              <w:left w:val="double" w:sz="6" w:space="0" w:color="1F497D"/>
              <w:bottom w:val="double" w:sz="6" w:space="0" w:color="1F497D"/>
              <w:right w:val="single" w:sz="8" w:space="0" w:color="1F497D"/>
            </w:tcBorders>
            <w:shd w:val="clear" w:color="000000" w:fill="DCE6F1"/>
            <w:vAlign w:val="center"/>
            <w:hideMark/>
          </w:tcPr>
          <w:p w:rsidR="00676BDD" w:rsidRPr="00676BDD" w:rsidRDefault="00676BDD" w:rsidP="00676BDD">
            <w:pPr>
              <w:jc w:val="center"/>
              <w:rPr>
                <w:b/>
                <w:bCs/>
                <w:color w:val="000000"/>
                <w:sz w:val="16"/>
                <w:szCs w:val="16"/>
              </w:rPr>
            </w:pPr>
            <w:r w:rsidRPr="00676BDD">
              <w:rPr>
                <w:b/>
                <w:bCs/>
                <w:color w:val="000000"/>
                <w:sz w:val="16"/>
                <w:szCs w:val="16"/>
              </w:rPr>
              <w:t>Celkem</w:t>
            </w:r>
          </w:p>
        </w:tc>
        <w:tc>
          <w:tcPr>
            <w:tcW w:w="276" w:type="pct"/>
            <w:tcBorders>
              <w:top w:val="nil"/>
              <w:left w:val="nil"/>
              <w:bottom w:val="double" w:sz="6" w:space="0" w:color="1F497D"/>
              <w:right w:val="single" w:sz="8" w:space="0" w:color="1F497D"/>
            </w:tcBorders>
            <w:shd w:val="clear" w:color="000000" w:fill="DCE6F1"/>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42 579,87</w:t>
            </w:r>
          </w:p>
        </w:tc>
        <w:tc>
          <w:tcPr>
            <w:tcW w:w="247" w:type="pct"/>
            <w:tcBorders>
              <w:top w:val="nil"/>
              <w:left w:val="nil"/>
              <w:bottom w:val="double" w:sz="6" w:space="0" w:color="1F497D"/>
              <w:right w:val="single" w:sz="8" w:space="0" w:color="1F497D"/>
            </w:tcBorders>
            <w:shd w:val="clear" w:color="000000" w:fill="DCE6F1"/>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1 615,16</w:t>
            </w:r>
          </w:p>
        </w:tc>
        <w:tc>
          <w:tcPr>
            <w:tcW w:w="229" w:type="pct"/>
            <w:tcBorders>
              <w:top w:val="nil"/>
              <w:left w:val="nil"/>
              <w:bottom w:val="double" w:sz="6" w:space="0" w:color="1F497D"/>
              <w:right w:val="single" w:sz="8" w:space="0" w:color="1F497D"/>
            </w:tcBorders>
            <w:shd w:val="clear" w:color="000000" w:fill="DCE6F1"/>
            <w:vAlign w:val="center"/>
            <w:hideMark/>
          </w:tcPr>
          <w:p w:rsidR="00676BDD" w:rsidRPr="00676BDD" w:rsidRDefault="00676BDD" w:rsidP="00676BDD">
            <w:pPr>
              <w:jc w:val="center"/>
              <w:rPr>
                <w:b/>
                <w:bCs/>
                <w:color w:val="000000"/>
                <w:sz w:val="16"/>
                <w:szCs w:val="16"/>
              </w:rPr>
            </w:pPr>
            <w:r w:rsidRPr="00676BDD">
              <w:rPr>
                <w:b/>
                <w:bCs/>
                <w:color w:val="000000"/>
                <w:sz w:val="16"/>
                <w:szCs w:val="16"/>
              </w:rPr>
              <w:t>9 708</w:t>
            </w:r>
          </w:p>
        </w:tc>
        <w:tc>
          <w:tcPr>
            <w:tcW w:w="276" w:type="pct"/>
            <w:tcBorders>
              <w:top w:val="nil"/>
              <w:left w:val="nil"/>
              <w:bottom w:val="double" w:sz="6" w:space="0" w:color="1F497D"/>
              <w:right w:val="single" w:sz="8" w:space="0" w:color="1F497D"/>
            </w:tcBorders>
            <w:shd w:val="clear" w:color="000000" w:fill="DCE6F1"/>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74 001,50</w:t>
            </w:r>
          </w:p>
        </w:tc>
        <w:tc>
          <w:tcPr>
            <w:tcW w:w="238" w:type="pct"/>
            <w:tcBorders>
              <w:top w:val="nil"/>
              <w:left w:val="nil"/>
              <w:bottom w:val="double" w:sz="6" w:space="0" w:color="1F497D"/>
              <w:right w:val="single" w:sz="8" w:space="0" w:color="1F497D"/>
            </w:tcBorders>
            <w:shd w:val="clear" w:color="000000" w:fill="DCE6F1"/>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173,79</w:t>
            </w:r>
          </w:p>
        </w:tc>
        <w:tc>
          <w:tcPr>
            <w:tcW w:w="247" w:type="pct"/>
            <w:tcBorders>
              <w:top w:val="nil"/>
              <w:left w:val="nil"/>
              <w:bottom w:val="double" w:sz="6" w:space="0" w:color="1F497D"/>
              <w:right w:val="single" w:sz="8" w:space="0" w:color="1F497D"/>
            </w:tcBorders>
            <w:shd w:val="clear" w:color="000000" w:fill="DCE6F1"/>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2 770,03</w:t>
            </w:r>
          </w:p>
        </w:tc>
        <w:tc>
          <w:tcPr>
            <w:tcW w:w="229" w:type="pct"/>
            <w:tcBorders>
              <w:top w:val="nil"/>
              <w:left w:val="nil"/>
              <w:bottom w:val="double" w:sz="6" w:space="0" w:color="1F497D"/>
              <w:right w:val="single" w:sz="8" w:space="0" w:color="1F497D"/>
            </w:tcBorders>
            <w:shd w:val="clear" w:color="000000" w:fill="DCE6F1"/>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8 509</w:t>
            </w:r>
          </w:p>
        </w:tc>
        <w:tc>
          <w:tcPr>
            <w:tcW w:w="276" w:type="pct"/>
            <w:tcBorders>
              <w:top w:val="nil"/>
              <w:left w:val="nil"/>
              <w:bottom w:val="double" w:sz="6" w:space="0" w:color="1F497D"/>
              <w:right w:val="single" w:sz="8" w:space="0" w:color="1F497D"/>
            </w:tcBorders>
            <w:shd w:val="clear" w:color="000000" w:fill="DCE6F1"/>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44 728,38</w:t>
            </w:r>
          </w:p>
        </w:tc>
        <w:tc>
          <w:tcPr>
            <w:tcW w:w="238" w:type="pct"/>
            <w:tcBorders>
              <w:top w:val="nil"/>
              <w:left w:val="nil"/>
              <w:bottom w:val="double" w:sz="6" w:space="0" w:color="1F497D"/>
              <w:right w:val="single" w:sz="8" w:space="0" w:color="1F497D"/>
            </w:tcBorders>
            <w:shd w:val="clear" w:color="000000" w:fill="DCE6F1"/>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105,05</w:t>
            </w:r>
          </w:p>
        </w:tc>
        <w:tc>
          <w:tcPr>
            <w:tcW w:w="247" w:type="pct"/>
            <w:tcBorders>
              <w:top w:val="nil"/>
              <w:left w:val="nil"/>
              <w:bottom w:val="double" w:sz="6" w:space="0" w:color="1F497D"/>
              <w:right w:val="single" w:sz="8" w:space="0" w:color="1F497D"/>
            </w:tcBorders>
            <w:shd w:val="clear" w:color="000000" w:fill="DCE6F1"/>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1 693,86</w:t>
            </w:r>
          </w:p>
        </w:tc>
        <w:tc>
          <w:tcPr>
            <w:tcW w:w="276" w:type="pct"/>
            <w:tcBorders>
              <w:top w:val="nil"/>
              <w:left w:val="nil"/>
              <w:bottom w:val="double" w:sz="6" w:space="0" w:color="1F497D"/>
              <w:right w:val="single" w:sz="8" w:space="0" w:color="1F497D"/>
            </w:tcBorders>
            <w:shd w:val="clear" w:color="000000" w:fill="DCE6F1"/>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29 132,83</w:t>
            </w:r>
          </w:p>
        </w:tc>
        <w:tc>
          <w:tcPr>
            <w:tcW w:w="229" w:type="pct"/>
            <w:tcBorders>
              <w:top w:val="nil"/>
              <w:left w:val="nil"/>
              <w:bottom w:val="double" w:sz="6" w:space="0" w:color="1F497D"/>
              <w:right w:val="single" w:sz="8" w:space="0" w:color="1F497D"/>
            </w:tcBorders>
            <w:shd w:val="clear" w:color="000000" w:fill="DCE6F1"/>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68,42</w:t>
            </w:r>
          </w:p>
        </w:tc>
        <w:tc>
          <w:tcPr>
            <w:tcW w:w="247" w:type="pct"/>
            <w:tcBorders>
              <w:top w:val="nil"/>
              <w:left w:val="nil"/>
              <w:bottom w:val="double" w:sz="6" w:space="0" w:color="1F497D"/>
              <w:right w:val="single" w:sz="8" w:space="0" w:color="1F497D"/>
            </w:tcBorders>
            <w:shd w:val="clear" w:color="000000" w:fill="DCE6F1"/>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1 120,93</w:t>
            </w:r>
          </w:p>
        </w:tc>
        <w:tc>
          <w:tcPr>
            <w:tcW w:w="276" w:type="pct"/>
            <w:tcBorders>
              <w:top w:val="nil"/>
              <w:left w:val="nil"/>
              <w:bottom w:val="double" w:sz="6" w:space="0" w:color="1F497D"/>
              <w:right w:val="single" w:sz="8" w:space="0" w:color="1F497D"/>
            </w:tcBorders>
            <w:shd w:val="clear" w:color="000000" w:fill="DCE6F1"/>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28 324,07</w:t>
            </w:r>
          </w:p>
        </w:tc>
        <w:tc>
          <w:tcPr>
            <w:tcW w:w="229" w:type="pct"/>
            <w:tcBorders>
              <w:top w:val="nil"/>
              <w:left w:val="nil"/>
              <w:bottom w:val="double" w:sz="6" w:space="0" w:color="1F497D"/>
              <w:right w:val="single" w:sz="8" w:space="0" w:color="1F497D"/>
            </w:tcBorders>
            <w:shd w:val="clear" w:color="000000" w:fill="DCE6F1"/>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66,52</w:t>
            </w:r>
          </w:p>
        </w:tc>
        <w:tc>
          <w:tcPr>
            <w:tcW w:w="247" w:type="pct"/>
            <w:tcBorders>
              <w:top w:val="nil"/>
              <w:left w:val="nil"/>
              <w:bottom w:val="double" w:sz="6" w:space="0" w:color="1F497D"/>
              <w:right w:val="single" w:sz="8" w:space="0" w:color="1F497D"/>
            </w:tcBorders>
            <w:shd w:val="clear" w:color="000000" w:fill="DCE6F1"/>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1 091,20</w:t>
            </w:r>
          </w:p>
        </w:tc>
        <w:tc>
          <w:tcPr>
            <w:tcW w:w="276" w:type="pct"/>
            <w:tcBorders>
              <w:top w:val="nil"/>
              <w:left w:val="nil"/>
              <w:bottom w:val="double" w:sz="6" w:space="0" w:color="1F497D"/>
              <w:right w:val="single" w:sz="8" w:space="0" w:color="1F497D"/>
            </w:tcBorders>
            <w:shd w:val="clear" w:color="000000" w:fill="DCE6F1"/>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26 304,85</w:t>
            </w:r>
          </w:p>
        </w:tc>
        <w:tc>
          <w:tcPr>
            <w:tcW w:w="229" w:type="pct"/>
            <w:tcBorders>
              <w:top w:val="nil"/>
              <w:left w:val="nil"/>
              <w:bottom w:val="double" w:sz="6" w:space="0" w:color="1F497D"/>
              <w:right w:val="single" w:sz="8" w:space="0" w:color="1F497D"/>
            </w:tcBorders>
            <w:shd w:val="clear" w:color="000000" w:fill="DCE6F1"/>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61,78</w:t>
            </w:r>
          </w:p>
        </w:tc>
        <w:tc>
          <w:tcPr>
            <w:tcW w:w="247" w:type="pct"/>
            <w:tcBorders>
              <w:top w:val="nil"/>
              <w:left w:val="nil"/>
              <w:bottom w:val="double" w:sz="6" w:space="0" w:color="1F497D"/>
              <w:right w:val="double" w:sz="6" w:space="0" w:color="1F497D"/>
            </w:tcBorders>
            <w:shd w:val="clear" w:color="000000" w:fill="DCE6F1"/>
            <w:noWrap/>
            <w:vAlign w:val="center"/>
            <w:hideMark/>
          </w:tcPr>
          <w:p w:rsidR="00676BDD" w:rsidRPr="00676BDD" w:rsidRDefault="00676BDD" w:rsidP="00676BDD">
            <w:pPr>
              <w:jc w:val="center"/>
              <w:rPr>
                <w:b/>
                <w:bCs/>
                <w:color w:val="000000"/>
                <w:sz w:val="16"/>
                <w:szCs w:val="16"/>
              </w:rPr>
            </w:pPr>
            <w:r w:rsidRPr="00676BDD">
              <w:rPr>
                <w:b/>
                <w:bCs/>
                <w:color w:val="000000"/>
                <w:sz w:val="16"/>
                <w:szCs w:val="16"/>
              </w:rPr>
              <w:t>1 015,09</w:t>
            </w:r>
          </w:p>
        </w:tc>
      </w:tr>
    </w:tbl>
    <w:p w:rsidR="008C489E" w:rsidRDefault="00EF0B58" w:rsidP="00EF0B58">
      <w:pPr>
        <w:rPr>
          <w:i/>
          <w:sz w:val="18"/>
          <w:szCs w:val="18"/>
        </w:rPr>
      </w:pPr>
      <w:r w:rsidRPr="00DB3CBC">
        <w:rPr>
          <w:i/>
          <w:sz w:val="18"/>
          <w:szCs w:val="18"/>
        </w:rPr>
        <w:t xml:space="preserve">Zdroj dat: </w:t>
      </w:r>
      <w:r w:rsidR="00CE119D" w:rsidRPr="00DB3CBC">
        <w:rPr>
          <w:i/>
          <w:sz w:val="18"/>
          <w:szCs w:val="18"/>
        </w:rPr>
        <w:t>MSC2007</w:t>
      </w:r>
      <w:r w:rsidRPr="00DB3CBC">
        <w:rPr>
          <w:i/>
          <w:sz w:val="18"/>
          <w:szCs w:val="18"/>
        </w:rPr>
        <w:t xml:space="preserve"> k</w:t>
      </w:r>
      <w:r w:rsidR="00914BC7">
        <w:rPr>
          <w:i/>
          <w:sz w:val="18"/>
          <w:szCs w:val="18"/>
        </w:rPr>
        <w:t> </w:t>
      </w:r>
      <w:r w:rsidR="004E5886">
        <w:rPr>
          <w:i/>
          <w:sz w:val="18"/>
          <w:szCs w:val="18"/>
        </w:rPr>
        <w:t>30. 9. 2015</w:t>
      </w:r>
      <w:r w:rsidR="008C489E">
        <w:rPr>
          <w:i/>
          <w:sz w:val="18"/>
          <w:szCs w:val="18"/>
        </w:rPr>
        <w:t>,</w:t>
      </w:r>
    </w:p>
    <w:p w:rsidR="00EF0B58" w:rsidRPr="00DB3CBC" w:rsidRDefault="008C489E" w:rsidP="00EF0B58">
      <w:pPr>
        <w:rPr>
          <w:i/>
          <w:sz w:val="18"/>
          <w:szCs w:val="18"/>
        </w:rPr>
      </w:pPr>
      <w:r>
        <w:rPr>
          <w:i/>
          <w:sz w:val="18"/>
          <w:szCs w:val="18"/>
        </w:rPr>
        <w:t xml:space="preserve">Data </w:t>
      </w:r>
      <w:r w:rsidR="001E2A60">
        <w:rPr>
          <w:i/>
          <w:sz w:val="18"/>
          <w:szCs w:val="18"/>
        </w:rPr>
        <w:t>za certifikované prostředky byla</w:t>
      </w:r>
      <w:r>
        <w:rPr>
          <w:i/>
          <w:sz w:val="18"/>
          <w:szCs w:val="18"/>
        </w:rPr>
        <w:t xml:space="preserve"> v celé zprávě generován</w:t>
      </w:r>
      <w:r w:rsidR="001E2A60">
        <w:rPr>
          <w:i/>
          <w:sz w:val="18"/>
          <w:szCs w:val="18"/>
        </w:rPr>
        <w:t>a</w:t>
      </w:r>
      <w:r>
        <w:rPr>
          <w:i/>
          <w:sz w:val="18"/>
          <w:szCs w:val="18"/>
        </w:rPr>
        <w:t xml:space="preserve"> k datu </w:t>
      </w:r>
      <w:r w:rsidR="00F03F3D">
        <w:rPr>
          <w:i/>
          <w:sz w:val="18"/>
          <w:szCs w:val="18"/>
        </w:rPr>
        <w:t>8. 10. 2015</w:t>
      </w:r>
      <w:r>
        <w:rPr>
          <w:i/>
          <w:sz w:val="18"/>
          <w:szCs w:val="18"/>
        </w:rPr>
        <w:t xml:space="preserve">, důvodem </w:t>
      </w:r>
      <w:r w:rsidR="001E2A60">
        <w:rPr>
          <w:i/>
          <w:sz w:val="18"/>
          <w:szCs w:val="18"/>
        </w:rPr>
        <w:t xml:space="preserve">je </w:t>
      </w:r>
      <w:r>
        <w:rPr>
          <w:i/>
          <w:sz w:val="18"/>
          <w:szCs w:val="18"/>
        </w:rPr>
        <w:t xml:space="preserve">technická chyba způsobena chybným přenosem dat </w:t>
      </w:r>
      <w:proofErr w:type="gramStart"/>
      <w:r>
        <w:rPr>
          <w:i/>
          <w:sz w:val="18"/>
          <w:szCs w:val="18"/>
        </w:rPr>
        <w:t>mezi</w:t>
      </w:r>
      <w:proofErr w:type="gramEnd"/>
      <w:r>
        <w:rPr>
          <w:i/>
          <w:sz w:val="18"/>
          <w:szCs w:val="18"/>
        </w:rPr>
        <w:t xml:space="preserve"> IS Viola a MSC2007</w:t>
      </w:r>
    </w:p>
    <w:p w:rsidR="00EF0B58" w:rsidRPr="00DB3CBC" w:rsidRDefault="00EF0B58" w:rsidP="00EF0B58">
      <w:pPr>
        <w:rPr>
          <w:i/>
          <w:sz w:val="18"/>
          <w:szCs w:val="18"/>
        </w:rPr>
      </w:pPr>
      <w:r w:rsidRPr="00DB3CBC">
        <w:rPr>
          <w:i/>
          <w:sz w:val="18"/>
          <w:szCs w:val="18"/>
        </w:rPr>
        <w:t xml:space="preserve">Zdroj financování: podíl EU </w:t>
      </w:r>
    </w:p>
    <w:p w:rsidR="006D6F5E" w:rsidRPr="006D6F5E" w:rsidRDefault="006D6F5E" w:rsidP="006D6F5E">
      <w:pPr>
        <w:rPr>
          <w:i/>
          <w:sz w:val="18"/>
          <w:szCs w:val="18"/>
        </w:rPr>
      </w:pPr>
      <w:bookmarkStart w:id="6" w:name="_Toc384104383"/>
      <w:bookmarkStart w:id="7" w:name="_Toc384104384"/>
      <w:bookmarkStart w:id="8" w:name="_Toc384104385"/>
      <w:bookmarkStart w:id="9" w:name="_Toc384104386"/>
      <w:bookmarkStart w:id="10" w:name="_Toc384104387"/>
      <w:bookmarkStart w:id="11" w:name="_Toc384104388"/>
      <w:bookmarkStart w:id="12" w:name="_Toc384104389"/>
      <w:bookmarkStart w:id="13" w:name="_Toc384104390"/>
      <w:bookmarkStart w:id="14" w:name="_Toc384104391"/>
      <w:bookmarkEnd w:id="6"/>
      <w:bookmarkEnd w:id="7"/>
      <w:bookmarkEnd w:id="8"/>
      <w:bookmarkEnd w:id="9"/>
      <w:bookmarkEnd w:id="10"/>
      <w:bookmarkEnd w:id="11"/>
      <w:bookmarkEnd w:id="12"/>
      <w:bookmarkEnd w:id="13"/>
      <w:bookmarkEnd w:id="14"/>
      <w:r w:rsidRPr="006D6F5E">
        <w:rPr>
          <w:i/>
          <w:sz w:val="18"/>
          <w:szCs w:val="18"/>
        </w:rPr>
        <w:t>kurz CZK/EUR:</w:t>
      </w:r>
    </w:p>
    <w:p w:rsidR="006D6F5E" w:rsidRPr="006D6F5E" w:rsidRDefault="006D6F5E" w:rsidP="00FB2466">
      <w:pPr>
        <w:numPr>
          <w:ilvl w:val="0"/>
          <w:numId w:val="25"/>
        </w:numPr>
        <w:rPr>
          <w:i/>
          <w:sz w:val="18"/>
          <w:szCs w:val="18"/>
        </w:rPr>
      </w:pPr>
      <w:r w:rsidRPr="006D6F5E">
        <w:rPr>
          <w:i/>
          <w:sz w:val="18"/>
          <w:szCs w:val="18"/>
        </w:rPr>
        <w:t xml:space="preserve">pro přepočet alokace ve sloupci a) nejsou částky přímo přepočítávány platným kurzem, neboť dochází ke zpřesnění údajů pomocí souhrnných žádostí </w:t>
      </w:r>
      <w:proofErr w:type="gramStart"/>
      <w:r w:rsidRPr="006D6F5E">
        <w:rPr>
          <w:i/>
          <w:sz w:val="18"/>
          <w:szCs w:val="18"/>
        </w:rPr>
        <w:t>zaúčtovaných v IS</w:t>
      </w:r>
      <w:proofErr w:type="gramEnd"/>
      <w:r w:rsidRPr="006D6F5E">
        <w:rPr>
          <w:i/>
          <w:sz w:val="18"/>
          <w:szCs w:val="18"/>
        </w:rPr>
        <w:t xml:space="preserve"> Viola dle algoritmu jako ve sloupcích c) – f);</w:t>
      </w:r>
    </w:p>
    <w:p w:rsidR="006D6F5E" w:rsidRPr="006D6F5E" w:rsidRDefault="006D6F5E" w:rsidP="00FB2466">
      <w:pPr>
        <w:numPr>
          <w:ilvl w:val="0"/>
          <w:numId w:val="25"/>
        </w:numPr>
        <w:rPr>
          <w:i/>
          <w:sz w:val="18"/>
          <w:szCs w:val="18"/>
        </w:rPr>
      </w:pPr>
      <w:r w:rsidRPr="006D6F5E">
        <w:rPr>
          <w:i/>
          <w:sz w:val="18"/>
          <w:szCs w:val="18"/>
        </w:rPr>
        <w:t xml:space="preserve">pro přepočet sloupců c) – f): </w:t>
      </w:r>
      <w:r w:rsidR="00D37617" w:rsidRPr="00EC26E5">
        <w:rPr>
          <w:i/>
          <w:sz w:val="18"/>
          <w:szCs w:val="18"/>
        </w:rPr>
        <w:t>27,</w:t>
      </w:r>
      <w:r w:rsidR="00EC26E5" w:rsidRPr="00EC26E5">
        <w:rPr>
          <w:i/>
          <w:sz w:val="18"/>
          <w:szCs w:val="18"/>
        </w:rPr>
        <w:t>208</w:t>
      </w:r>
      <w:r w:rsidRPr="006D6F5E">
        <w:rPr>
          <w:i/>
          <w:sz w:val="18"/>
          <w:szCs w:val="18"/>
        </w:rPr>
        <w:t xml:space="preserve">, příp. kurz platný v době zaúčtování žádosti o </w:t>
      </w:r>
      <w:proofErr w:type="gramStart"/>
      <w:r w:rsidRPr="006D6F5E">
        <w:rPr>
          <w:i/>
          <w:sz w:val="18"/>
          <w:szCs w:val="18"/>
        </w:rPr>
        <w:t>platbu v IS</w:t>
      </w:r>
      <w:proofErr w:type="gramEnd"/>
      <w:r w:rsidRPr="006D6F5E">
        <w:rPr>
          <w:i/>
          <w:sz w:val="18"/>
          <w:szCs w:val="18"/>
        </w:rPr>
        <w:t xml:space="preserve"> Viola;</w:t>
      </w:r>
    </w:p>
    <w:p w:rsidR="006D6F5E" w:rsidRDefault="006D6F5E" w:rsidP="00FB2466">
      <w:pPr>
        <w:numPr>
          <w:ilvl w:val="0"/>
          <w:numId w:val="25"/>
        </w:numPr>
        <w:rPr>
          <w:i/>
          <w:sz w:val="18"/>
          <w:szCs w:val="18"/>
        </w:rPr>
      </w:pPr>
      <w:r w:rsidRPr="006D6F5E">
        <w:rPr>
          <w:i/>
          <w:sz w:val="18"/>
          <w:szCs w:val="18"/>
        </w:rPr>
        <w:t xml:space="preserve">pro přepočet sloupců g) – h) je použit </w:t>
      </w:r>
      <w:r w:rsidR="003F7A08">
        <w:rPr>
          <w:i/>
          <w:sz w:val="18"/>
          <w:szCs w:val="18"/>
        </w:rPr>
        <w:t xml:space="preserve">kurz </w:t>
      </w:r>
      <w:r w:rsidRPr="006D6F5E">
        <w:rPr>
          <w:i/>
          <w:sz w:val="18"/>
          <w:szCs w:val="18"/>
        </w:rPr>
        <w:t xml:space="preserve">z doby zaúčtování souhrnné </w:t>
      </w:r>
      <w:proofErr w:type="gramStart"/>
      <w:r w:rsidRPr="006D6F5E">
        <w:rPr>
          <w:i/>
          <w:sz w:val="18"/>
          <w:szCs w:val="18"/>
        </w:rPr>
        <w:t>žádosti v IS</w:t>
      </w:r>
      <w:proofErr w:type="gramEnd"/>
      <w:r w:rsidRPr="006D6F5E">
        <w:rPr>
          <w:i/>
          <w:sz w:val="18"/>
          <w:szCs w:val="18"/>
        </w:rPr>
        <w:t xml:space="preserve"> Viola.</w:t>
      </w:r>
    </w:p>
    <w:p w:rsidR="000F4F71" w:rsidRPr="000F4F71" w:rsidRDefault="000F4F71" w:rsidP="000F4F71">
      <w:pPr>
        <w:jc w:val="both"/>
      </w:pPr>
      <w:r w:rsidRPr="000F4F71">
        <w:t xml:space="preserve">Počet podaných žádostí a Projektů s vydaným Rozhodnutím/podepsanou smlouvou je vzhledem k </w:t>
      </w:r>
      <w:proofErr w:type="spellStart"/>
      <w:r w:rsidRPr="000F4F71">
        <w:t>vícecílovosti</w:t>
      </w:r>
      <w:proofErr w:type="spellEnd"/>
      <w:r w:rsidRPr="000F4F71">
        <w:t xml:space="preserve"> prioritních os uveden u oblastí podpory</w:t>
      </w:r>
      <w:r w:rsidR="00992B3F">
        <w:t>,</w:t>
      </w:r>
      <w:r w:rsidRPr="000F4F71">
        <w:t xml:space="preserve"> vztahující</w:t>
      </w:r>
      <w:r w:rsidR="00992B3F">
        <w:t>ch</w:t>
      </w:r>
      <w:r w:rsidRPr="000F4F71">
        <w:t xml:space="preserve"> </w:t>
      </w:r>
      <w:r>
        <w:br/>
      </w:r>
      <w:r w:rsidRPr="000F4F71">
        <w:t>se k cíli Konvergence (a). V oblastech podpory, které spadají pod cíl Regionální konkurenceschopnost a zaměstnanost (b)</w:t>
      </w:r>
      <w:r w:rsidR="00992B3F">
        <w:t>,</w:t>
      </w:r>
      <w:r w:rsidRPr="000F4F71">
        <w:t xml:space="preserve"> je počet nulový.</w:t>
      </w:r>
    </w:p>
    <w:p w:rsidR="000F4F71" w:rsidRPr="006D6F5E" w:rsidRDefault="000F4F71" w:rsidP="000F4F71">
      <w:pPr>
        <w:rPr>
          <w:i/>
          <w:sz w:val="18"/>
          <w:szCs w:val="18"/>
        </w:rPr>
      </w:pPr>
    </w:p>
    <w:p w:rsidR="00EA03FF" w:rsidRDefault="00EA03FF" w:rsidP="00EC59A1">
      <w:pPr>
        <w:jc w:val="both"/>
        <w:rPr>
          <w:b/>
          <w:sz w:val="22"/>
          <w:szCs w:val="22"/>
        </w:rPr>
      </w:pPr>
    </w:p>
    <w:p w:rsidR="00676BDD" w:rsidRDefault="00676BDD" w:rsidP="00EC59A1">
      <w:pPr>
        <w:jc w:val="both"/>
        <w:rPr>
          <w:b/>
          <w:sz w:val="22"/>
          <w:szCs w:val="22"/>
        </w:rPr>
      </w:pPr>
    </w:p>
    <w:p w:rsidR="00EC59A1" w:rsidRPr="00077667" w:rsidRDefault="008F673C" w:rsidP="00EC59A1">
      <w:pPr>
        <w:jc w:val="both"/>
        <w:rPr>
          <w:sz w:val="22"/>
          <w:szCs w:val="22"/>
          <w:highlight w:val="yellow"/>
        </w:rPr>
      </w:pPr>
      <w:r>
        <w:rPr>
          <w:b/>
          <w:sz w:val="22"/>
          <w:szCs w:val="22"/>
        </w:rPr>
        <w:lastRenderedPageBreak/>
        <w:t>Kumulativně bylo k</w:t>
      </w:r>
      <w:r w:rsidR="00914BC7">
        <w:rPr>
          <w:b/>
          <w:sz w:val="22"/>
          <w:szCs w:val="22"/>
        </w:rPr>
        <w:t> 30. 9</w:t>
      </w:r>
      <w:r w:rsidR="006722CE">
        <w:rPr>
          <w:b/>
          <w:sz w:val="22"/>
          <w:szCs w:val="22"/>
        </w:rPr>
        <w:t>. 2015</w:t>
      </w:r>
      <w:r w:rsidR="00EC59A1" w:rsidRPr="00B95B61">
        <w:rPr>
          <w:sz w:val="22"/>
          <w:szCs w:val="22"/>
        </w:rPr>
        <w:t xml:space="preserve"> předloženo</w:t>
      </w:r>
      <w:r w:rsidR="00F84086">
        <w:rPr>
          <w:sz w:val="22"/>
          <w:szCs w:val="22"/>
        </w:rPr>
        <w:t xml:space="preserve"> </w:t>
      </w:r>
      <w:r w:rsidR="00085233">
        <w:rPr>
          <w:sz w:val="22"/>
          <w:szCs w:val="22"/>
        </w:rPr>
        <w:t>9 </w:t>
      </w:r>
      <w:r w:rsidR="006311E4">
        <w:rPr>
          <w:sz w:val="22"/>
          <w:szCs w:val="22"/>
        </w:rPr>
        <w:t>708 projektových</w:t>
      </w:r>
      <w:r w:rsidR="00EC59A1" w:rsidRPr="00B95B61">
        <w:rPr>
          <w:sz w:val="22"/>
          <w:szCs w:val="22"/>
        </w:rPr>
        <w:t xml:space="preserve"> žádostí v celkové hodnotě</w:t>
      </w:r>
      <w:r w:rsidR="00077667">
        <w:rPr>
          <w:sz w:val="22"/>
          <w:szCs w:val="22"/>
        </w:rPr>
        <w:t xml:space="preserve"> </w:t>
      </w:r>
      <w:r w:rsidR="006311E4">
        <w:rPr>
          <w:sz w:val="22"/>
          <w:szCs w:val="22"/>
        </w:rPr>
        <w:t>2 770,03 mil.</w:t>
      </w:r>
      <w:r w:rsidR="00EC59A1" w:rsidRPr="00B95B61">
        <w:rPr>
          <w:sz w:val="22"/>
          <w:szCs w:val="22"/>
        </w:rPr>
        <w:t xml:space="preserve"> EUR, představující</w:t>
      </w:r>
      <w:r w:rsidR="006311E4">
        <w:rPr>
          <w:sz w:val="22"/>
          <w:szCs w:val="22"/>
        </w:rPr>
        <w:t xml:space="preserve"> 173,79</w:t>
      </w:r>
      <w:r w:rsidR="006311E4" w:rsidRPr="00B95B61">
        <w:rPr>
          <w:sz w:val="22"/>
          <w:szCs w:val="22"/>
        </w:rPr>
        <w:t xml:space="preserve"> </w:t>
      </w:r>
      <w:r w:rsidR="006311E4">
        <w:rPr>
          <w:sz w:val="22"/>
          <w:szCs w:val="22"/>
        </w:rPr>
        <w:t>% celkové</w:t>
      </w:r>
      <w:r w:rsidR="00EC59A1" w:rsidRPr="00B95B61">
        <w:rPr>
          <w:sz w:val="22"/>
          <w:szCs w:val="22"/>
        </w:rPr>
        <w:t xml:space="preserve"> alokace </w:t>
      </w:r>
      <w:r>
        <w:rPr>
          <w:sz w:val="22"/>
          <w:szCs w:val="22"/>
        </w:rPr>
        <w:t>p</w:t>
      </w:r>
      <w:r w:rsidR="00EC59A1" w:rsidRPr="00B95B61">
        <w:rPr>
          <w:sz w:val="22"/>
          <w:szCs w:val="22"/>
        </w:rPr>
        <w:t xml:space="preserve">rogramu. </w:t>
      </w:r>
      <w:r w:rsidR="00EC59A1" w:rsidRPr="006B3597">
        <w:rPr>
          <w:sz w:val="22"/>
          <w:szCs w:val="22"/>
        </w:rPr>
        <w:t>Výrazný převis projektových žádostí</w:t>
      </w:r>
      <w:r w:rsidR="009475FD" w:rsidRPr="006B3597">
        <w:rPr>
          <w:sz w:val="22"/>
          <w:szCs w:val="22"/>
        </w:rPr>
        <w:t xml:space="preserve"> byl zaznamená</w:t>
      </w:r>
      <w:r w:rsidR="008859E6" w:rsidRPr="006B3597">
        <w:rPr>
          <w:sz w:val="22"/>
          <w:szCs w:val="22"/>
        </w:rPr>
        <w:t>n</w:t>
      </w:r>
      <w:r w:rsidR="00EC59A1" w:rsidRPr="006B3597">
        <w:rPr>
          <w:sz w:val="22"/>
          <w:szCs w:val="22"/>
        </w:rPr>
        <w:t xml:space="preserve"> v oblast</w:t>
      </w:r>
      <w:r w:rsidR="009D2E7A" w:rsidRPr="006B3597">
        <w:rPr>
          <w:sz w:val="22"/>
          <w:szCs w:val="22"/>
        </w:rPr>
        <w:t>ech</w:t>
      </w:r>
      <w:r w:rsidR="00EC59A1" w:rsidRPr="006B3597">
        <w:rPr>
          <w:sz w:val="22"/>
          <w:szCs w:val="22"/>
        </w:rPr>
        <w:t xml:space="preserve"> intervence</w:t>
      </w:r>
      <w:r w:rsidR="006311E4">
        <w:rPr>
          <w:sz w:val="22"/>
          <w:szCs w:val="22"/>
        </w:rPr>
        <w:t xml:space="preserve"> 4.1 (247,5 %) a 3.1 (218,1 %).</w:t>
      </w:r>
      <w:r w:rsidR="009475FD" w:rsidRPr="006B3597">
        <w:rPr>
          <w:sz w:val="22"/>
          <w:szCs w:val="22"/>
        </w:rPr>
        <w:t xml:space="preserve"> </w:t>
      </w:r>
      <w:r w:rsidR="00EC59A1" w:rsidRPr="006B3597">
        <w:rPr>
          <w:sz w:val="22"/>
          <w:szCs w:val="22"/>
        </w:rPr>
        <w:t xml:space="preserve"> </w:t>
      </w:r>
    </w:p>
    <w:p w:rsidR="00EC59A1" w:rsidRPr="00EC59A1" w:rsidRDefault="008F673C" w:rsidP="00EC59A1">
      <w:pPr>
        <w:jc w:val="both"/>
        <w:rPr>
          <w:sz w:val="22"/>
          <w:szCs w:val="22"/>
          <w:highlight w:val="yellow"/>
        </w:rPr>
      </w:pPr>
      <w:r>
        <w:rPr>
          <w:sz w:val="22"/>
          <w:szCs w:val="22"/>
          <w:highlight w:val="yellow"/>
        </w:rPr>
        <w:t xml:space="preserve"> </w:t>
      </w:r>
    </w:p>
    <w:p w:rsidR="001219A3" w:rsidRDefault="00EC59A1" w:rsidP="00EC59A1">
      <w:pPr>
        <w:jc w:val="both"/>
        <w:rPr>
          <w:sz w:val="22"/>
          <w:szCs w:val="22"/>
        </w:rPr>
      </w:pPr>
      <w:r w:rsidRPr="004F212C">
        <w:rPr>
          <w:b/>
          <w:sz w:val="22"/>
          <w:szCs w:val="22"/>
        </w:rPr>
        <w:t>Schváleno</w:t>
      </w:r>
      <w:r w:rsidRPr="00F16B0E">
        <w:rPr>
          <w:sz w:val="22"/>
          <w:szCs w:val="22"/>
        </w:rPr>
        <w:t xml:space="preserve"> bylo</w:t>
      </w:r>
      <w:r w:rsidR="006311E4">
        <w:rPr>
          <w:sz w:val="22"/>
          <w:szCs w:val="22"/>
        </w:rPr>
        <w:t xml:space="preserve"> 8 509</w:t>
      </w:r>
      <w:r w:rsidR="00077667">
        <w:rPr>
          <w:sz w:val="22"/>
          <w:szCs w:val="22"/>
        </w:rPr>
        <w:t xml:space="preserve"> </w:t>
      </w:r>
      <w:r w:rsidR="00F16B0E">
        <w:rPr>
          <w:sz w:val="22"/>
          <w:szCs w:val="22"/>
        </w:rPr>
        <w:t>projektů na částku</w:t>
      </w:r>
      <w:r w:rsidR="00077667">
        <w:rPr>
          <w:sz w:val="22"/>
          <w:szCs w:val="22"/>
        </w:rPr>
        <w:t xml:space="preserve"> </w:t>
      </w:r>
      <w:r w:rsidR="006311E4">
        <w:rPr>
          <w:sz w:val="22"/>
          <w:szCs w:val="22"/>
        </w:rPr>
        <w:t>1 693,86 mil.</w:t>
      </w:r>
      <w:r w:rsidRPr="00F16B0E">
        <w:rPr>
          <w:sz w:val="22"/>
          <w:szCs w:val="22"/>
        </w:rPr>
        <w:t xml:space="preserve"> EUR, které </w:t>
      </w:r>
      <w:r w:rsidR="006311E4" w:rsidRPr="00F16B0E">
        <w:rPr>
          <w:sz w:val="22"/>
          <w:szCs w:val="22"/>
        </w:rPr>
        <w:t xml:space="preserve">představují </w:t>
      </w:r>
      <w:r w:rsidR="006311E4">
        <w:rPr>
          <w:sz w:val="22"/>
          <w:szCs w:val="22"/>
        </w:rPr>
        <w:t>105,05</w:t>
      </w:r>
      <w:r w:rsidR="00914BC7">
        <w:rPr>
          <w:sz w:val="22"/>
          <w:szCs w:val="22"/>
        </w:rPr>
        <w:t xml:space="preserve"> </w:t>
      </w:r>
      <w:r w:rsidRPr="00F16B0E">
        <w:rPr>
          <w:sz w:val="22"/>
          <w:szCs w:val="22"/>
        </w:rPr>
        <w:t>% c</w:t>
      </w:r>
      <w:r w:rsidR="001219A3">
        <w:rPr>
          <w:sz w:val="22"/>
          <w:szCs w:val="22"/>
        </w:rPr>
        <w:t xml:space="preserve">elkové alokace programu. </w:t>
      </w:r>
      <w:r w:rsidR="00614B79">
        <w:rPr>
          <w:sz w:val="22"/>
          <w:szCs w:val="22"/>
        </w:rPr>
        <w:t>V</w:t>
      </w:r>
      <w:r w:rsidR="00874302">
        <w:rPr>
          <w:sz w:val="22"/>
          <w:szCs w:val="22"/>
        </w:rPr>
        <w:t xml:space="preserve"> některých oblast</w:t>
      </w:r>
      <w:r w:rsidR="00614B79">
        <w:rPr>
          <w:sz w:val="22"/>
          <w:szCs w:val="22"/>
        </w:rPr>
        <w:t>ech</w:t>
      </w:r>
      <w:r w:rsidR="00874302">
        <w:rPr>
          <w:sz w:val="22"/>
          <w:szCs w:val="22"/>
        </w:rPr>
        <w:t xml:space="preserve"> intervence přesahuje podíl schválených pros</w:t>
      </w:r>
      <w:r w:rsidR="00874302" w:rsidRPr="00874302">
        <w:rPr>
          <w:sz w:val="22"/>
          <w:szCs w:val="22"/>
        </w:rPr>
        <w:t xml:space="preserve">tředků </w:t>
      </w:r>
      <w:r w:rsidR="00F03EA8" w:rsidRPr="00874302">
        <w:rPr>
          <w:sz w:val="22"/>
          <w:szCs w:val="22"/>
        </w:rPr>
        <w:t xml:space="preserve">100 % alokace. ŘO IOP předpokládá, že </w:t>
      </w:r>
      <w:r w:rsidR="001219A3" w:rsidRPr="00874302">
        <w:rPr>
          <w:sz w:val="22"/>
          <w:szCs w:val="22"/>
        </w:rPr>
        <w:t xml:space="preserve">díky úsporám v projektech se vyplatí příjemcům nižší částky a tím se pokryjí výdaje projektů, které tvoří </w:t>
      </w:r>
      <w:proofErr w:type="spellStart"/>
      <w:r w:rsidR="001219A3" w:rsidRPr="00874302">
        <w:rPr>
          <w:sz w:val="22"/>
          <w:szCs w:val="22"/>
        </w:rPr>
        <w:t>přezávazkování</w:t>
      </w:r>
      <w:proofErr w:type="spellEnd"/>
      <w:r w:rsidR="001219A3" w:rsidRPr="00874302">
        <w:rPr>
          <w:sz w:val="22"/>
          <w:szCs w:val="22"/>
        </w:rPr>
        <w:t>.</w:t>
      </w:r>
      <w:r w:rsidR="001219A3" w:rsidRPr="00F03EA8">
        <w:rPr>
          <w:sz w:val="22"/>
          <w:szCs w:val="22"/>
        </w:rPr>
        <w:t xml:space="preserve"> </w:t>
      </w:r>
    </w:p>
    <w:p w:rsidR="009475FD" w:rsidRPr="00EC59A1" w:rsidRDefault="009475FD" w:rsidP="00EC59A1">
      <w:pPr>
        <w:jc w:val="both"/>
        <w:rPr>
          <w:sz w:val="22"/>
          <w:szCs w:val="22"/>
          <w:highlight w:val="yellow"/>
        </w:rPr>
      </w:pPr>
    </w:p>
    <w:p w:rsidR="00EC59A1" w:rsidRPr="002B3BB6" w:rsidRDefault="00EC59A1" w:rsidP="00EC59A1">
      <w:pPr>
        <w:jc w:val="both"/>
        <w:rPr>
          <w:sz w:val="22"/>
          <w:szCs w:val="22"/>
        </w:rPr>
      </w:pPr>
      <w:r w:rsidRPr="004F212C">
        <w:rPr>
          <w:b/>
          <w:sz w:val="22"/>
          <w:szCs w:val="22"/>
        </w:rPr>
        <w:t>Příjemcům bylo celkem proplaceno</w:t>
      </w:r>
      <w:r w:rsidR="00F84086">
        <w:rPr>
          <w:b/>
          <w:sz w:val="22"/>
          <w:szCs w:val="22"/>
        </w:rPr>
        <w:t xml:space="preserve"> </w:t>
      </w:r>
      <w:r w:rsidR="00F84086" w:rsidRPr="00F84086">
        <w:rPr>
          <w:sz w:val="22"/>
          <w:szCs w:val="22"/>
        </w:rPr>
        <w:t>1</w:t>
      </w:r>
      <w:r w:rsidR="00F84086">
        <w:rPr>
          <w:sz w:val="22"/>
          <w:szCs w:val="22"/>
        </w:rPr>
        <w:t xml:space="preserve"> </w:t>
      </w:r>
      <w:r w:rsidR="00F84086" w:rsidRPr="00F84086">
        <w:rPr>
          <w:sz w:val="22"/>
          <w:szCs w:val="22"/>
        </w:rPr>
        <w:t>120,93 mil.</w:t>
      </w:r>
      <w:r w:rsidRPr="00F16B0E">
        <w:rPr>
          <w:sz w:val="22"/>
          <w:szCs w:val="22"/>
        </w:rPr>
        <w:t xml:space="preserve"> EUR, </w:t>
      </w:r>
      <w:r w:rsidR="00F84086" w:rsidRPr="00F16B0E">
        <w:rPr>
          <w:sz w:val="22"/>
          <w:szCs w:val="22"/>
        </w:rPr>
        <w:t>představujících</w:t>
      </w:r>
      <w:r w:rsidR="00F84086">
        <w:rPr>
          <w:sz w:val="22"/>
          <w:szCs w:val="22"/>
        </w:rPr>
        <w:t xml:space="preserve"> 68,42 % celkové</w:t>
      </w:r>
      <w:r w:rsidRPr="00F16B0E">
        <w:rPr>
          <w:sz w:val="22"/>
          <w:szCs w:val="22"/>
        </w:rPr>
        <w:t xml:space="preserve"> alokace. </w:t>
      </w:r>
      <w:r w:rsidRPr="002E0407">
        <w:rPr>
          <w:sz w:val="22"/>
          <w:szCs w:val="22"/>
        </w:rPr>
        <w:t xml:space="preserve">Největší podíl proplacených prostředků </w:t>
      </w:r>
      <w:r w:rsidR="009D2E7A">
        <w:rPr>
          <w:sz w:val="22"/>
          <w:szCs w:val="22"/>
        </w:rPr>
        <w:t xml:space="preserve">je </w:t>
      </w:r>
      <w:r w:rsidR="00614B79">
        <w:rPr>
          <w:sz w:val="22"/>
          <w:szCs w:val="22"/>
        </w:rPr>
        <w:t xml:space="preserve">- </w:t>
      </w:r>
      <w:r w:rsidRPr="002E0407">
        <w:rPr>
          <w:sz w:val="22"/>
          <w:szCs w:val="22"/>
        </w:rPr>
        <w:t>vzhledem ke své alokaci</w:t>
      </w:r>
      <w:r w:rsidR="00614B79">
        <w:rPr>
          <w:sz w:val="22"/>
          <w:szCs w:val="22"/>
        </w:rPr>
        <w:t xml:space="preserve"> -</w:t>
      </w:r>
      <w:r w:rsidRPr="002E0407">
        <w:rPr>
          <w:sz w:val="22"/>
          <w:szCs w:val="22"/>
        </w:rPr>
        <w:t xml:space="preserve"> v oblast</w:t>
      </w:r>
      <w:r w:rsidR="009D2E7A">
        <w:rPr>
          <w:sz w:val="22"/>
          <w:szCs w:val="22"/>
        </w:rPr>
        <w:t>ech</w:t>
      </w:r>
      <w:r w:rsidRPr="002E0407">
        <w:rPr>
          <w:sz w:val="22"/>
          <w:szCs w:val="22"/>
        </w:rPr>
        <w:t xml:space="preserve"> </w:t>
      </w:r>
      <w:r w:rsidR="00BB1E0D" w:rsidRPr="002E0407">
        <w:rPr>
          <w:sz w:val="22"/>
          <w:szCs w:val="22"/>
        </w:rPr>
        <w:t>intervence</w:t>
      </w:r>
      <w:r w:rsidR="00BB1E0D">
        <w:rPr>
          <w:sz w:val="22"/>
          <w:szCs w:val="22"/>
        </w:rPr>
        <w:t xml:space="preserve"> </w:t>
      </w:r>
      <w:r w:rsidR="00AD5A12">
        <w:rPr>
          <w:sz w:val="22"/>
          <w:szCs w:val="22"/>
        </w:rPr>
        <w:t xml:space="preserve">5.3 (100,62), </w:t>
      </w:r>
      <w:r w:rsidR="00BB1E0D">
        <w:rPr>
          <w:sz w:val="22"/>
          <w:szCs w:val="22"/>
        </w:rPr>
        <w:t>5.2</w:t>
      </w:r>
      <w:r w:rsidR="00F84086">
        <w:rPr>
          <w:sz w:val="22"/>
          <w:szCs w:val="22"/>
        </w:rPr>
        <w:t xml:space="preserve"> (84,04 %) a 3.2 (81,64 %). </w:t>
      </w:r>
      <w:r w:rsidR="00914BC7">
        <w:rPr>
          <w:sz w:val="22"/>
          <w:szCs w:val="22"/>
        </w:rPr>
        <w:t xml:space="preserve"> </w:t>
      </w:r>
      <w:r w:rsidRPr="002B3BB6">
        <w:rPr>
          <w:sz w:val="22"/>
          <w:szCs w:val="22"/>
        </w:rPr>
        <w:t>Nejmenší podíl finančních prostředků byl p</w:t>
      </w:r>
      <w:r w:rsidR="00C52B2F">
        <w:rPr>
          <w:sz w:val="22"/>
          <w:szCs w:val="22"/>
        </w:rPr>
        <w:t>roplacen v oblast</w:t>
      </w:r>
      <w:r w:rsidR="00614B79">
        <w:rPr>
          <w:sz w:val="22"/>
          <w:szCs w:val="22"/>
        </w:rPr>
        <w:t>i</w:t>
      </w:r>
      <w:r w:rsidR="00C52B2F">
        <w:rPr>
          <w:sz w:val="22"/>
          <w:szCs w:val="22"/>
        </w:rPr>
        <w:t xml:space="preserve"> </w:t>
      </w:r>
      <w:r w:rsidR="00BB1E0D">
        <w:rPr>
          <w:sz w:val="22"/>
          <w:szCs w:val="22"/>
        </w:rPr>
        <w:t xml:space="preserve">intervence </w:t>
      </w:r>
      <w:r w:rsidR="005E120B">
        <w:rPr>
          <w:sz w:val="22"/>
          <w:szCs w:val="22"/>
        </w:rPr>
        <w:br/>
      </w:r>
      <w:r w:rsidR="00BB1E0D">
        <w:rPr>
          <w:sz w:val="22"/>
          <w:szCs w:val="22"/>
        </w:rPr>
        <w:t>3.4 (39,87 %) a v oblasti intervence 3.3 (50,31 %).</w:t>
      </w:r>
    </w:p>
    <w:p w:rsidR="00EC59A1" w:rsidRPr="002B3BB6" w:rsidRDefault="00EC59A1" w:rsidP="00EC59A1">
      <w:pPr>
        <w:jc w:val="both"/>
        <w:rPr>
          <w:sz w:val="22"/>
          <w:szCs w:val="22"/>
        </w:rPr>
      </w:pPr>
    </w:p>
    <w:p w:rsidR="00EC59A1" w:rsidRPr="004415C9" w:rsidRDefault="00EC59A1" w:rsidP="00EC59A1">
      <w:pPr>
        <w:jc w:val="both"/>
        <w:rPr>
          <w:sz w:val="22"/>
          <w:szCs w:val="22"/>
        </w:rPr>
      </w:pPr>
      <w:r w:rsidRPr="004F212C">
        <w:rPr>
          <w:b/>
          <w:sz w:val="22"/>
          <w:szCs w:val="22"/>
        </w:rPr>
        <w:t>V souhrnných žádostech o platbu</w:t>
      </w:r>
      <w:r w:rsidRPr="000B5DC1">
        <w:rPr>
          <w:sz w:val="22"/>
          <w:szCs w:val="22"/>
        </w:rPr>
        <w:t xml:space="preserve"> zaúčtoval PCO celkem</w:t>
      </w:r>
      <w:r w:rsidR="004415C9">
        <w:rPr>
          <w:sz w:val="22"/>
          <w:szCs w:val="22"/>
        </w:rPr>
        <w:t xml:space="preserve"> </w:t>
      </w:r>
      <w:r w:rsidR="00AD5A12">
        <w:rPr>
          <w:sz w:val="22"/>
          <w:szCs w:val="22"/>
        </w:rPr>
        <w:t>1</w:t>
      </w:r>
      <w:r w:rsidR="00B84178">
        <w:rPr>
          <w:sz w:val="22"/>
          <w:szCs w:val="22"/>
        </w:rPr>
        <w:t xml:space="preserve"> </w:t>
      </w:r>
      <w:r w:rsidR="00AD5A12">
        <w:rPr>
          <w:sz w:val="22"/>
          <w:szCs w:val="22"/>
        </w:rPr>
        <w:t>091,2</w:t>
      </w:r>
      <w:r w:rsidR="004415C9" w:rsidRPr="000B5DC1">
        <w:rPr>
          <w:sz w:val="22"/>
          <w:szCs w:val="22"/>
        </w:rPr>
        <w:t xml:space="preserve"> </w:t>
      </w:r>
      <w:r w:rsidR="004415C9">
        <w:rPr>
          <w:sz w:val="22"/>
          <w:szCs w:val="22"/>
        </w:rPr>
        <w:t>mil.</w:t>
      </w:r>
      <w:r w:rsidRPr="000B5DC1">
        <w:rPr>
          <w:sz w:val="22"/>
          <w:szCs w:val="22"/>
        </w:rPr>
        <w:t xml:space="preserve"> EUR, které představují </w:t>
      </w:r>
      <w:r w:rsidR="00AD5A12">
        <w:rPr>
          <w:sz w:val="22"/>
          <w:szCs w:val="22"/>
        </w:rPr>
        <w:t>66,52</w:t>
      </w:r>
      <w:r w:rsidR="00C52B2F">
        <w:rPr>
          <w:sz w:val="22"/>
          <w:szCs w:val="22"/>
        </w:rPr>
        <w:t xml:space="preserve"> </w:t>
      </w:r>
      <w:r w:rsidRPr="000B5DC1">
        <w:rPr>
          <w:sz w:val="22"/>
          <w:szCs w:val="22"/>
        </w:rPr>
        <w:t xml:space="preserve">% alokace programu. Trend je stejný jako </w:t>
      </w:r>
      <w:r w:rsidR="004415C9">
        <w:rPr>
          <w:sz w:val="22"/>
          <w:szCs w:val="22"/>
        </w:rPr>
        <w:br/>
      </w:r>
      <w:r w:rsidRPr="000B5DC1">
        <w:rPr>
          <w:sz w:val="22"/>
          <w:szCs w:val="22"/>
        </w:rPr>
        <w:t>u prostředků proplacených příjemcům. Největší podíl prostředků</w:t>
      </w:r>
      <w:r w:rsidR="00992B3F">
        <w:rPr>
          <w:sz w:val="22"/>
          <w:szCs w:val="22"/>
        </w:rPr>
        <w:t>,</w:t>
      </w:r>
      <w:r w:rsidRPr="000B5DC1">
        <w:rPr>
          <w:sz w:val="22"/>
          <w:szCs w:val="22"/>
        </w:rPr>
        <w:t xml:space="preserve"> zaúčtovaných v souhrnných žádo</w:t>
      </w:r>
      <w:r w:rsidR="00C52B2F">
        <w:rPr>
          <w:sz w:val="22"/>
          <w:szCs w:val="22"/>
        </w:rPr>
        <w:t>stech</w:t>
      </w:r>
      <w:r w:rsidR="00992B3F">
        <w:rPr>
          <w:sz w:val="22"/>
          <w:szCs w:val="22"/>
        </w:rPr>
        <w:t>,</w:t>
      </w:r>
      <w:r w:rsidR="00C52B2F">
        <w:rPr>
          <w:sz w:val="22"/>
          <w:szCs w:val="22"/>
        </w:rPr>
        <w:t xml:space="preserve"> je v oblastech intervence</w:t>
      </w:r>
      <w:r w:rsidR="00AD5A12">
        <w:rPr>
          <w:sz w:val="22"/>
          <w:szCs w:val="22"/>
        </w:rPr>
        <w:t xml:space="preserve"> 5.3 (100,62 %), </w:t>
      </w:r>
      <w:r w:rsidR="00AD5A12">
        <w:rPr>
          <w:sz w:val="22"/>
          <w:szCs w:val="22"/>
        </w:rPr>
        <w:br/>
        <w:t>5.2 (83,42 %) a 3.2 (78,37 %)</w:t>
      </w:r>
      <w:r w:rsidR="00C52B2F">
        <w:rPr>
          <w:sz w:val="22"/>
          <w:szCs w:val="22"/>
        </w:rPr>
        <w:t xml:space="preserve">. </w:t>
      </w:r>
      <w:r w:rsidRPr="000B5DC1">
        <w:rPr>
          <w:sz w:val="22"/>
          <w:szCs w:val="22"/>
        </w:rPr>
        <w:t xml:space="preserve">Nejmenší podíl </w:t>
      </w:r>
      <w:r w:rsidR="0063638B">
        <w:rPr>
          <w:sz w:val="22"/>
          <w:szCs w:val="22"/>
        </w:rPr>
        <w:t xml:space="preserve">je </w:t>
      </w:r>
      <w:r w:rsidRPr="000B5DC1">
        <w:rPr>
          <w:sz w:val="22"/>
          <w:szCs w:val="22"/>
        </w:rPr>
        <w:t>v o</w:t>
      </w:r>
      <w:r w:rsidR="0063638B">
        <w:rPr>
          <w:sz w:val="22"/>
          <w:szCs w:val="22"/>
        </w:rPr>
        <w:t>blasti</w:t>
      </w:r>
      <w:r w:rsidRPr="000B5DC1">
        <w:rPr>
          <w:sz w:val="22"/>
          <w:szCs w:val="22"/>
        </w:rPr>
        <w:t xml:space="preserve"> intervence</w:t>
      </w:r>
      <w:r w:rsidR="008C3E90">
        <w:rPr>
          <w:sz w:val="22"/>
          <w:szCs w:val="22"/>
        </w:rPr>
        <w:t xml:space="preserve"> 3.4</w:t>
      </w:r>
      <w:r w:rsidR="008738A7">
        <w:rPr>
          <w:sz w:val="22"/>
          <w:szCs w:val="22"/>
        </w:rPr>
        <w:t>, kde před</w:t>
      </w:r>
      <w:r w:rsidR="0063638B">
        <w:rPr>
          <w:sz w:val="22"/>
          <w:szCs w:val="22"/>
        </w:rPr>
        <w:t xml:space="preserve">stavuje </w:t>
      </w:r>
      <w:r w:rsidR="008C3E90">
        <w:rPr>
          <w:sz w:val="22"/>
          <w:szCs w:val="22"/>
        </w:rPr>
        <w:t>38,02</w:t>
      </w:r>
      <w:r w:rsidR="0063638B">
        <w:rPr>
          <w:sz w:val="22"/>
          <w:szCs w:val="22"/>
        </w:rPr>
        <w:t xml:space="preserve"> % alokace.</w:t>
      </w:r>
      <w:r w:rsidRPr="000B5DC1">
        <w:rPr>
          <w:sz w:val="22"/>
          <w:szCs w:val="22"/>
        </w:rPr>
        <w:t xml:space="preserve"> </w:t>
      </w:r>
    </w:p>
    <w:p w:rsidR="00EC59A1" w:rsidRPr="00EC59A1" w:rsidRDefault="00EC59A1" w:rsidP="00EC59A1">
      <w:pPr>
        <w:jc w:val="both"/>
        <w:rPr>
          <w:sz w:val="22"/>
          <w:szCs w:val="22"/>
          <w:highlight w:val="yellow"/>
        </w:rPr>
      </w:pPr>
    </w:p>
    <w:p w:rsidR="0072171E" w:rsidRDefault="00EC59A1" w:rsidP="00E1460A">
      <w:pPr>
        <w:jc w:val="both"/>
        <w:rPr>
          <w:sz w:val="22"/>
          <w:szCs w:val="22"/>
        </w:rPr>
      </w:pPr>
      <w:r w:rsidRPr="004F212C">
        <w:rPr>
          <w:b/>
          <w:sz w:val="22"/>
          <w:szCs w:val="22"/>
        </w:rPr>
        <w:t>Certifikované výdaje</w:t>
      </w:r>
      <w:r w:rsidR="00FF2FCC">
        <w:rPr>
          <w:b/>
          <w:sz w:val="22"/>
          <w:szCs w:val="22"/>
        </w:rPr>
        <w:t>,</w:t>
      </w:r>
      <w:r w:rsidRPr="00D25BE9">
        <w:rPr>
          <w:sz w:val="22"/>
          <w:szCs w:val="22"/>
        </w:rPr>
        <w:t xml:space="preserve"> předložené EK</w:t>
      </w:r>
      <w:r w:rsidR="00FF2FCC">
        <w:rPr>
          <w:sz w:val="22"/>
          <w:szCs w:val="22"/>
        </w:rPr>
        <w:t>,</w:t>
      </w:r>
      <w:r w:rsidRPr="00D25BE9">
        <w:rPr>
          <w:sz w:val="22"/>
          <w:szCs w:val="22"/>
        </w:rPr>
        <w:t xml:space="preserve"> jsou ve </w:t>
      </w:r>
      <w:r w:rsidR="00284B18" w:rsidRPr="00D25BE9">
        <w:rPr>
          <w:sz w:val="22"/>
          <w:szCs w:val="22"/>
        </w:rPr>
        <w:t>výši</w:t>
      </w:r>
      <w:r w:rsidR="00284B18">
        <w:rPr>
          <w:sz w:val="22"/>
          <w:szCs w:val="22"/>
        </w:rPr>
        <w:t xml:space="preserve"> 1 0</w:t>
      </w:r>
      <w:r w:rsidR="00904E8C">
        <w:rPr>
          <w:sz w:val="22"/>
          <w:szCs w:val="22"/>
        </w:rPr>
        <w:t>15</w:t>
      </w:r>
      <w:r w:rsidR="00284B18">
        <w:rPr>
          <w:sz w:val="22"/>
          <w:szCs w:val="22"/>
        </w:rPr>
        <w:t>,</w:t>
      </w:r>
      <w:r w:rsidR="00904E8C">
        <w:rPr>
          <w:sz w:val="22"/>
          <w:szCs w:val="22"/>
        </w:rPr>
        <w:t>09</w:t>
      </w:r>
      <w:r w:rsidR="00284B18">
        <w:rPr>
          <w:sz w:val="22"/>
          <w:szCs w:val="22"/>
        </w:rPr>
        <w:t xml:space="preserve"> </w:t>
      </w:r>
      <w:r w:rsidR="008738A7">
        <w:rPr>
          <w:sz w:val="22"/>
          <w:szCs w:val="22"/>
        </w:rPr>
        <w:t>mil.</w:t>
      </w:r>
      <w:r w:rsidRPr="00D25BE9">
        <w:rPr>
          <w:sz w:val="22"/>
          <w:szCs w:val="22"/>
        </w:rPr>
        <w:t xml:space="preserve"> EUR, což představuje </w:t>
      </w:r>
      <w:r w:rsidR="00284B18">
        <w:rPr>
          <w:sz w:val="22"/>
          <w:szCs w:val="22"/>
        </w:rPr>
        <w:t>6</w:t>
      </w:r>
      <w:r w:rsidR="00904E8C">
        <w:rPr>
          <w:sz w:val="22"/>
          <w:szCs w:val="22"/>
        </w:rPr>
        <w:t>1</w:t>
      </w:r>
      <w:r w:rsidR="00284B18">
        <w:rPr>
          <w:sz w:val="22"/>
          <w:szCs w:val="22"/>
        </w:rPr>
        <w:t>,</w:t>
      </w:r>
      <w:r w:rsidR="00904E8C">
        <w:rPr>
          <w:sz w:val="22"/>
          <w:szCs w:val="22"/>
        </w:rPr>
        <w:t>7</w:t>
      </w:r>
      <w:r w:rsidR="00284B18">
        <w:rPr>
          <w:sz w:val="22"/>
          <w:szCs w:val="22"/>
        </w:rPr>
        <w:t>8 % celkové</w:t>
      </w:r>
      <w:r w:rsidRPr="00D25BE9">
        <w:rPr>
          <w:sz w:val="22"/>
          <w:szCs w:val="22"/>
        </w:rPr>
        <w:t xml:space="preserve"> alokace programu. </w:t>
      </w:r>
      <w:r w:rsidR="007513AD">
        <w:rPr>
          <w:sz w:val="22"/>
          <w:szCs w:val="22"/>
        </w:rPr>
        <w:t>Nejvíce certifikovaných výdajů vzhledem k alokaci oblast</w:t>
      </w:r>
      <w:r w:rsidR="00FF2FCC">
        <w:rPr>
          <w:sz w:val="22"/>
          <w:szCs w:val="22"/>
        </w:rPr>
        <w:t>i</w:t>
      </w:r>
      <w:r w:rsidR="007513AD">
        <w:rPr>
          <w:sz w:val="22"/>
          <w:szCs w:val="22"/>
        </w:rPr>
        <w:t xml:space="preserve"> intervence je v</w:t>
      </w:r>
      <w:r w:rsidR="00585B6D">
        <w:rPr>
          <w:sz w:val="22"/>
          <w:szCs w:val="22"/>
        </w:rPr>
        <w:t> oblast</w:t>
      </w:r>
      <w:r w:rsidR="00992B3F">
        <w:rPr>
          <w:sz w:val="22"/>
          <w:szCs w:val="22"/>
        </w:rPr>
        <w:t>ech</w:t>
      </w:r>
      <w:r w:rsidR="00585B6D">
        <w:rPr>
          <w:sz w:val="22"/>
          <w:szCs w:val="22"/>
        </w:rPr>
        <w:t xml:space="preserve"> intervence 5.3 (99,</w:t>
      </w:r>
      <w:r w:rsidR="00904E8C">
        <w:rPr>
          <w:sz w:val="22"/>
          <w:szCs w:val="22"/>
        </w:rPr>
        <w:t>37</w:t>
      </w:r>
      <w:r w:rsidR="00585B6D">
        <w:rPr>
          <w:sz w:val="22"/>
          <w:szCs w:val="22"/>
        </w:rPr>
        <w:t xml:space="preserve"> %), 5.2 (</w:t>
      </w:r>
      <w:r w:rsidR="00904E8C">
        <w:rPr>
          <w:sz w:val="22"/>
          <w:szCs w:val="22"/>
        </w:rPr>
        <w:t>79,13</w:t>
      </w:r>
      <w:r w:rsidR="00585B6D">
        <w:rPr>
          <w:sz w:val="22"/>
          <w:szCs w:val="22"/>
        </w:rPr>
        <w:t xml:space="preserve"> %) a 3.2 (</w:t>
      </w:r>
      <w:r w:rsidR="00904E8C">
        <w:rPr>
          <w:sz w:val="22"/>
          <w:szCs w:val="22"/>
        </w:rPr>
        <w:t>71,95</w:t>
      </w:r>
      <w:r w:rsidR="00585B6D">
        <w:rPr>
          <w:sz w:val="22"/>
          <w:szCs w:val="22"/>
        </w:rPr>
        <w:t xml:space="preserve"> %). </w:t>
      </w:r>
      <w:r w:rsidR="000921D0">
        <w:rPr>
          <w:sz w:val="22"/>
          <w:szCs w:val="22"/>
        </w:rPr>
        <w:t xml:space="preserve">  </w:t>
      </w:r>
    </w:p>
    <w:p w:rsidR="00EC59A1" w:rsidRDefault="00EC59A1" w:rsidP="00AF5A02">
      <w:pPr>
        <w:rPr>
          <w:b/>
          <w:i/>
          <w:sz w:val="18"/>
          <w:szCs w:val="18"/>
        </w:rPr>
      </w:pPr>
    </w:p>
    <w:p w:rsidR="000A3543" w:rsidRPr="00F90726" w:rsidRDefault="00EC59A1" w:rsidP="00637A99">
      <w:pPr>
        <w:pStyle w:val="Tabulkanzev"/>
        <w:rPr>
          <w:sz w:val="22"/>
          <w:szCs w:val="22"/>
        </w:rPr>
      </w:pPr>
      <w:bookmarkStart w:id="15" w:name="_Toc433873542"/>
      <w:r w:rsidRPr="005A6291">
        <w:rPr>
          <w:rStyle w:val="Siln"/>
        </w:rPr>
        <w:t xml:space="preserve">Pokrok čerpání IOP za období </w:t>
      </w:r>
      <w:r w:rsidR="00E37E3B" w:rsidRPr="005A6291">
        <w:rPr>
          <w:rStyle w:val="Siln"/>
        </w:rPr>
        <w:t>od 1</w:t>
      </w:r>
      <w:r w:rsidR="00914BC7">
        <w:rPr>
          <w:rStyle w:val="Siln"/>
        </w:rPr>
        <w:t>7</w:t>
      </w:r>
      <w:r w:rsidR="00E37E3B" w:rsidRPr="005A6291">
        <w:rPr>
          <w:rStyle w:val="Siln"/>
        </w:rPr>
        <w:t xml:space="preserve">. </w:t>
      </w:r>
      <w:r w:rsidR="00914BC7">
        <w:rPr>
          <w:rStyle w:val="Siln"/>
        </w:rPr>
        <w:t>4</w:t>
      </w:r>
      <w:r>
        <w:rPr>
          <w:rStyle w:val="Siln"/>
        </w:rPr>
        <w:t>.</w:t>
      </w:r>
      <w:r w:rsidR="00E37E3B">
        <w:rPr>
          <w:rStyle w:val="Siln"/>
        </w:rPr>
        <w:t xml:space="preserve"> </w:t>
      </w:r>
      <w:r>
        <w:rPr>
          <w:rStyle w:val="Siln"/>
        </w:rPr>
        <w:t>201</w:t>
      </w:r>
      <w:r w:rsidR="00914BC7">
        <w:rPr>
          <w:rStyle w:val="Siln"/>
        </w:rPr>
        <w:t>5</w:t>
      </w:r>
      <w:r w:rsidRPr="005A6291">
        <w:rPr>
          <w:rStyle w:val="Siln"/>
        </w:rPr>
        <w:t xml:space="preserve"> do </w:t>
      </w:r>
      <w:r w:rsidR="00914BC7">
        <w:rPr>
          <w:rStyle w:val="Siln"/>
        </w:rPr>
        <w:t>30</w:t>
      </w:r>
      <w:r w:rsidR="00E37E3B">
        <w:rPr>
          <w:rStyle w:val="Siln"/>
        </w:rPr>
        <w:t xml:space="preserve">. </w:t>
      </w:r>
      <w:r w:rsidR="00914BC7">
        <w:rPr>
          <w:rStyle w:val="Siln"/>
        </w:rPr>
        <w:t>9</w:t>
      </w:r>
      <w:r w:rsidR="00E37E3B">
        <w:rPr>
          <w:rStyle w:val="Siln"/>
        </w:rPr>
        <w:t>. 2015</w:t>
      </w:r>
      <w:r w:rsidRPr="005A6291">
        <w:rPr>
          <w:rStyle w:val="Siln"/>
        </w:rPr>
        <w:t xml:space="preserve"> (v mil.</w:t>
      </w:r>
      <w:r w:rsidR="00FF2FCC">
        <w:rPr>
          <w:rStyle w:val="Siln"/>
        </w:rPr>
        <w:t xml:space="preserve"> </w:t>
      </w:r>
      <w:r w:rsidRPr="005A6291">
        <w:rPr>
          <w:rStyle w:val="Siln"/>
        </w:rPr>
        <w:t>CZK/EUR)</w:t>
      </w:r>
      <w:r w:rsidRPr="000402EB">
        <w:rPr>
          <w:rStyle w:val="Znakapoznpodarou"/>
          <w:sz w:val="22"/>
          <w:szCs w:val="22"/>
        </w:rPr>
        <w:t xml:space="preserve"> </w:t>
      </w:r>
      <w:r w:rsidRPr="005A6291">
        <w:rPr>
          <w:rStyle w:val="Znakapoznpodarou"/>
          <w:sz w:val="22"/>
          <w:szCs w:val="22"/>
        </w:rPr>
        <w:footnoteReference w:id="2"/>
      </w:r>
      <w:bookmarkEnd w:id="15"/>
    </w:p>
    <w:tbl>
      <w:tblPr>
        <w:tblW w:w="13742" w:type="dxa"/>
        <w:tblInd w:w="55" w:type="dxa"/>
        <w:tblBorders>
          <w:top w:val="double" w:sz="4" w:space="0" w:color="1F497D" w:themeColor="text2"/>
          <w:left w:val="double" w:sz="4" w:space="0" w:color="1F497D" w:themeColor="text2"/>
          <w:bottom w:val="double" w:sz="4" w:space="0" w:color="1F497D" w:themeColor="text2"/>
          <w:right w:val="double" w:sz="4" w:space="0" w:color="1F497D" w:themeColor="text2"/>
          <w:insideH w:val="single" w:sz="4" w:space="0" w:color="1F497D" w:themeColor="text2"/>
          <w:insideV w:val="single" w:sz="4" w:space="0" w:color="1F497D" w:themeColor="text2"/>
        </w:tblBorders>
        <w:tblCellMar>
          <w:left w:w="70" w:type="dxa"/>
          <w:right w:w="70" w:type="dxa"/>
        </w:tblCellMar>
        <w:tblLook w:val="04A0" w:firstRow="1" w:lastRow="0" w:firstColumn="1" w:lastColumn="0" w:noHBand="0" w:noVBand="1"/>
      </w:tblPr>
      <w:tblGrid>
        <w:gridCol w:w="841"/>
        <w:gridCol w:w="871"/>
        <w:gridCol w:w="744"/>
        <w:gridCol w:w="595"/>
        <w:gridCol w:w="680"/>
        <w:gridCol w:w="553"/>
        <w:gridCol w:w="616"/>
        <w:gridCol w:w="595"/>
        <w:gridCol w:w="765"/>
        <w:gridCol w:w="659"/>
        <w:gridCol w:w="659"/>
        <w:gridCol w:w="850"/>
        <w:gridCol w:w="531"/>
        <w:gridCol w:w="617"/>
        <w:gridCol w:w="808"/>
        <w:gridCol w:w="744"/>
        <w:gridCol w:w="680"/>
        <w:gridCol w:w="744"/>
        <w:gridCol w:w="616"/>
        <w:gridCol w:w="574"/>
      </w:tblGrid>
      <w:tr w:rsidR="00F90726" w:rsidRPr="00F90726" w:rsidTr="00634AD9">
        <w:trPr>
          <w:trHeight w:val="931"/>
          <w:tblHeader/>
        </w:trPr>
        <w:tc>
          <w:tcPr>
            <w:tcW w:w="841" w:type="dxa"/>
            <w:vMerge w:val="restart"/>
            <w:shd w:val="clear" w:color="000000" w:fill="DCE6F1"/>
            <w:vAlign w:val="center"/>
            <w:hideMark/>
          </w:tcPr>
          <w:p w:rsidR="00F90726" w:rsidRPr="00F90726" w:rsidRDefault="00F90726" w:rsidP="00F90726">
            <w:pPr>
              <w:jc w:val="center"/>
              <w:rPr>
                <w:b/>
                <w:bCs/>
                <w:color w:val="000000"/>
                <w:sz w:val="18"/>
                <w:szCs w:val="18"/>
              </w:rPr>
            </w:pPr>
            <w:r w:rsidRPr="00F90726">
              <w:rPr>
                <w:b/>
                <w:bCs/>
                <w:color w:val="000000"/>
                <w:sz w:val="18"/>
                <w:szCs w:val="18"/>
              </w:rPr>
              <w:t>Oblast podpory</w:t>
            </w:r>
          </w:p>
        </w:tc>
        <w:tc>
          <w:tcPr>
            <w:tcW w:w="1615" w:type="dxa"/>
            <w:gridSpan w:val="2"/>
            <w:shd w:val="clear" w:color="000000" w:fill="DCE6F1"/>
            <w:vAlign w:val="center"/>
            <w:hideMark/>
          </w:tcPr>
          <w:p w:rsidR="00F90726" w:rsidRPr="00F90726" w:rsidRDefault="00F90726" w:rsidP="00F90726">
            <w:pPr>
              <w:jc w:val="center"/>
              <w:rPr>
                <w:b/>
                <w:bCs/>
                <w:color w:val="000000"/>
                <w:sz w:val="18"/>
                <w:szCs w:val="18"/>
              </w:rPr>
            </w:pPr>
            <w:r w:rsidRPr="00F90726">
              <w:rPr>
                <w:b/>
                <w:bCs/>
                <w:color w:val="000000"/>
                <w:sz w:val="18"/>
                <w:szCs w:val="18"/>
              </w:rPr>
              <w:t>Celková alokace podpory 2007-2013</w:t>
            </w:r>
          </w:p>
        </w:tc>
        <w:tc>
          <w:tcPr>
            <w:tcW w:w="2444" w:type="dxa"/>
            <w:gridSpan w:val="4"/>
            <w:shd w:val="clear" w:color="000000" w:fill="DCE6F1"/>
            <w:vAlign w:val="center"/>
            <w:hideMark/>
          </w:tcPr>
          <w:p w:rsidR="00F90726" w:rsidRPr="00F90726" w:rsidRDefault="00F90726" w:rsidP="00F90726">
            <w:pPr>
              <w:jc w:val="center"/>
              <w:rPr>
                <w:b/>
                <w:bCs/>
                <w:color w:val="000000"/>
                <w:sz w:val="18"/>
                <w:szCs w:val="18"/>
              </w:rPr>
            </w:pPr>
            <w:r w:rsidRPr="00F90726">
              <w:rPr>
                <w:b/>
                <w:bCs/>
                <w:color w:val="000000"/>
                <w:sz w:val="18"/>
                <w:szCs w:val="18"/>
              </w:rPr>
              <w:t>Podané žádosti</w:t>
            </w:r>
          </w:p>
        </w:tc>
        <w:tc>
          <w:tcPr>
            <w:tcW w:w="2678" w:type="dxa"/>
            <w:gridSpan w:val="4"/>
            <w:shd w:val="clear" w:color="000000" w:fill="DCE6F1"/>
            <w:vAlign w:val="center"/>
            <w:hideMark/>
          </w:tcPr>
          <w:p w:rsidR="00F90726" w:rsidRPr="00F90726" w:rsidRDefault="00F90726" w:rsidP="00F90726">
            <w:pPr>
              <w:jc w:val="center"/>
              <w:rPr>
                <w:b/>
                <w:bCs/>
                <w:color w:val="000000"/>
                <w:sz w:val="18"/>
                <w:szCs w:val="18"/>
              </w:rPr>
            </w:pPr>
            <w:r w:rsidRPr="00F90726">
              <w:rPr>
                <w:b/>
                <w:bCs/>
                <w:color w:val="000000"/>
                <w:sz w:val="18"/>
                <w:szCs w:val="18"/>
              </w:rPr>
              <w:t>Prostředky kryté Rozhodnutím / Smlouvou (dodatkem)</w:t>
            </w:r>
          </w:p>
        </w:tc>
        <w:tc>
          <w:tcPr>
            <w:tcW w:w="1998" w:type="dxa"/>
            <w:gridSpan w:val="3"/>
            <w:shd w:val="clear" w:color="000000" w:fill="DCE6F1"/>
            <w:vAlign w:val="center"/>
            <w:hideMark/>
          </w:tcPr>
          <w:p w:rsidR="00F90726" w:rsidRPr="00F90726" w:rsidRDefault="00F90726" w:rsidP="00F90726">
            <w:pPr>
              <w:jc w:val="center"/>
              <w:rPr>
                <w:b/>
                <w:bCs/>
                <w:color w:val="000000"/>
                <w:sz w:val="18"/>
                <w:szCs w:val="18"/>
              </w:rPr>
            </w:pPr>
            <w:r w:rsidRPr="00F90726">
              <w:rPr>
                <w:b/>
                <w:bCs/>
                <w:color w:val="000000"/>
                <w:sz w:val="18"/>
                <w:szCs w:val="18"/>
              </w:rPr>
              <w:t>Proplacené prostředky příjemcům (vyúčtované prostředky)</w:t>
            </w:r>
          </w:p>
        </w:tc>
        <w:tc>
          <w:tcPr>
            <w:tcW w:w="2232" w:type="dxa"/>
            <w:gridSpan w:val="3"/>
            <w:shd w:val="clear" w:color="000000" w:fill="DCE6F1"/>
            <w:vAlign w:val="center"/>
            <w:hideMark/>
          </w:tcPr>
          <w:p w:rsidR="00F90726" w:rsidRPr="00F90726" w:rsidRDefault="00F90726" w:rsidP="00F90726">
            <w:pPr>
              <w:jc w:val="center"/>
              <w:rPr>
                <w:b/>
                <w:bCs/>
                <w:color w:val="000000"/>
                <w:sz w:val="18"/>
                <w:szCs w:val="18"/>
              </w:rPr>
            </w:pPr>
            <w:r w:rsidRPr="00F90726">
              <w:rPr>
                <w:b/>
                <w:bCs/>
                <w:color w:val="000000"/>
                <w:sz w:val="18"/>
                <w:szCs w:val="18"/>
              </w:rPr>
              <w:t>Souhrnné žádosti zaúčtované PCO</w:t>
            </w:r>
          </w:p>
        </w:tc>
        <w:tc>
          <w:tcPr>
            <w:tcW w:w="1934" w:type="dxa"/>
            <w:gridSpan w:val="3"/>
            <w:shd w:val="clear" w:color="000000" w:fill="DCE6F1"/>
            <w:vAlign w:val="center"/>
            <w:hideMark/>
          </w:tcPr>
          <w:p w:rsidR="00F90726" w:rsidRPr="00F90726" w:rsidRDefault="00F90726" w:rsidP="00F90726">
            <w:pPr>
              <w:jc w:val="center"/>
              <w:rPr>
                <w:b/>
                <w:bCs/>
                <w:color w:val="000000"/>
                <w:sz w:val="18"/>
                <w:szCs w:val="18"/>
              </w:rPr>
            </w:pPr>
            <w:r w:rsidRPr="00F90726">
              <w:rPr>
                <w:b/>
                <w:bCs/>
                <w:color w:val="000000"/>
                <w:sz w:val="18"/>
                <w:szCs w:val="18"/>
              </w:rPr>
              <w:t>Certifikované prostředky (včetně vratek)</w:t>
            </w:r>
          </w:p>
        </w:tc>
      </w:tr>
      <w:tr w:rsidR="00F90726" w:rsidRPr="00F90726" w:rsidTr="00634AD9">
        <w:trPr>
          <w:trHeight w:val="428"/>
          <w:tblHeader/>
        </w:trPr>
        <w:tc>
          <w:tcPr>
            <w:tcW w:w="841" w:type="dxa"/>
            <w:vMerge/>
            <w:vAlign w:val="center"/>
            <w:hideMark/>
          </w:tcPr>
          <w:p w:rsidR="00F90726" w:rsidRPr="00F90726" w:rsidRDefault="00F90726" w:rsidP="00F90726">
            <w:pPr>
              <w:rPr>
                <w:b/>
                <w:bCs/>
                <w:color w:val="000000"/>
                <w:sz w:val="18"/>
                <w:szCs w:val="18"/>
              </w:rPr>
            </w:pPr>
          </w:p>
        </w:tc>
        <w:tc>
          <w:tcPr>
            <w:tcW w:w="871" w:type="dxa"/>
            <w:shd w:val="clear" w:color="000000" w:fill="DCE6F1"/>
            <w:vAlign w:val="center"/>
            <w:hideMark/>
          </w:tcPr>
          <w:p w:rsidR="00F90726" w:rsidRPr="00F90726" w:rsidRDefault="00F90726" w:rsidP="00F90726">
            <w:pPr>
              <w:jc w:val="center"/>
              <w:rPr>
                <w:b/>
                <w:bCs/>
                <w:color w:val="000000"/>
                <w:sz w:val="18"/>
                <w:szCs w:val="18"/>
              </w:rPr>
            </w:pPr>
            <w:r w:rsidRPr="00F90726">
              <w:rPr>
                <w:b/>
                <w:bCs/>
                <w:color w:val="000000"/>
                <w:sz w:val="18"/>
                <w:szCs w:val="18"/>
              </w:rPr>
              <w:t>mil. CZK</w:t>
            </w:r>
          </w:p>
        </w:tc>
        <w:tc>
          <w:tcPr>
            <w:tcW w:w="744" w:type="dxa"/>
            <w:vMerge w:val="restart"/>
            <w:shd w:val="clear" w:color="000000" w:fill="DCE6F1"/>
            <w:vAlign w:val="center"/>
            <w:hideMark/>
          </w:tcPr>
          <w:p w:rsidR="00F90726" w:rsidRPr="00F90726" w:rsidRDefault="00F90726" w:rsidP="00F90726">
            <w:pPr>
              <w:jc w:val="center"/>
              <w:rPr>
                <w:b/>
                <w:bCs/>
                <w:color w:val="000000"/>
                <w:sz w:val="18"/>
                <w:szCs w:val="18"/>
              </w:rPr>
            </w:pPr>
            <w:r w:rsidRPr="00F90726">
              <w:rPr>
                <w:b/>
                <w:bCs/>
                <w:color w:val="000000"/>
                <w:sz w:val="18"/>
                <w:szCs w:val="18"/>
              </w:rPr>
              <w:t>mil. EUR</w:t>
            </w:r>
          </w:p>
        </w:tc>
        <w:tc>
          <w:tcPr>
            <w:tcW w:w="595" w:type="dxa"/>
            <w:shd w:val="clear" w:color="000000" w:fill="DCE6F1"/>
            <w:vAlign w:val="center"/>
            <w:hideMark/>
          </w:tcPr>
          <w:p w:rsidR="00F90726" w:rsidRPr="00F90726" w:rsidRDefault="00F90726" w:rsidP="00F90726">
            <w:pPr>
              <w:jc w:val="center"/>
              <w:rPr>
                <w:b/>
                <w:bCs/>
                <w:color w:val="000000"/>
                <w:sz w:val="18"/>
                <w:szCs w:val="18"/>
              </w:rPr>
            </w:pPr>
            <w:r w:rsidRPr="00F90726">
              <w:rPr>
                <w:b/>
                <w:bCs/>
                <w:color w:val="000000"/>
                <w:sz w:val="18"/>
                <w:szCs w:val="18"/>
              </w:rPr>
              <w:t>Počet</w:t>
            </w:r>
          </w:p>
        </w:tc>
        <w:tc>
          <w:tcPr>
            <w:tcW w:w="680" w:type="dxa"/>
            <w:shd w:val="clear" w:color="000000" w:fill="DCE6F1"/>
            <w:vAlign w:val="center"/>
            <w:hideMark/>
          </w:tcPr>
          <w:p w:rsidR="00F90726" w:rsidRPr="00F90726" w:rsidRDefault="00F90726" w:rsidP="00F90726">
            <w:pPr>
              <w:jc w:val="center"/>
              <w:rPr>
                <w:b/>
                <w:bCs/>
                <w:color w:val="000000"/>
                <w:sz w:val="18"/>
                <w:szCs w:val="18"/>
              </w:rPr>
            </w:pPr>
            <w:r w:rsidRPr="00F90726">
              <w:rPr>
                <w:b/>
                <w:bCs/>
                <w:color w:val="000000"/>
                <w:sz w:val="18"/>
                <w:szCs w:val="18"/>
              </w:rPr>
              <w:t>mil. CZK</w:t>
            </w:r>
          </w:p>
        </w:tc>
        <w:tc>
          <w:tcPr>
            <w:tcW w:w="553" w:type="dxa"/>
            <w:shd w:val="clear" w:color="000000" w:fill="DCE6F1"/>
            <w:vAlign w:val="center"/>
            <w:hideMark/>
          </w:tcPr>
          <w:p w:rsidR="00F90726" w:rsidRPr="00F90726" w:rsidRDefault="00F90726" w:rsidP="00F90726">
            <w:pPr>
              <w:jc w:val="center"/>
              <w:rPr>
                <w:b/>
                <w:bCs/>
                <w:color w:val="000000"/>
                <w:sz w:val="18"/>
                <w:szCs w:val="18"/>
              </w:rPr>
            </w:pPr>
            <w:r w:rsidRPr="00F90726">
              <w:rPr>
                <w:b/>
                <w:bCs/>
                <w:color w:val="000000"/>
                <w:sz w:val="18"/>
                <w:szCs w:val="18"/>
              </w:rPr>
              <w:t>%</w:t>
            </w:r>
          </w:p>
        </w:tc>
        <w:tc>
          <w:tcPr>
            <w:tcW w:w="616" w:type="dxa"/>
            <w:vMerge w:val="restart"/>
            <w:shd w:val="clear" w:color="000000" w:fill="DCE6F1"/>
            <w:vAlign w:val="center"/>
            <w:hideMark/>
          </w:tcPr>
          <w:p w:rsidR="00F90726" w:rsidRPr="00F90726" w:rsidRDefault="00F90726" w:rsidP="00F90726">
            <w:pPr>
              <w:jc w:val="center"/>
              <w:rPr>
                <w:b/>
                <w:bCs/>
                <w:color w:val="000000"/>
                <w:sz w:val="18"/>
                <w:szCs w:val="18"/>
              </w:rPr>
            </w:pPr>
            <w:r w:rsidRPr="00F90726">
              <w:rPr>
                <w:b/>
                <w:bCs/>
                <w:color w:val="000000"/>
                <w:sz w:val="18"/>
                <w:szCs w:val="18"/>
              </w:rPr>
              <w:t>mil. EUR</w:t>
            </w:r>
          </w:p>
        </w:tc>
        <w:tc>
          <w:tcPr>
            <w:tcW w:w="595" w:type="dxa"/>
            <w:shd w:val="clear" w:color="000000" w:fill="DCE6F1"/>
            <w:vAlign w:val="center"/>
            <w:hideMark/>
          </w:tcPr>
          <w:p w:rsidR="00F90726" w:rsidRPr="00F90726" w:rsidRDefault="00F90726" w:rsidP="00F90726">
            <w:pPr>
              <w:jc w:val="center"/>
              <w:rPr>
                <w:b/>
                <w:bCs/>
                <w:color w:val="000000"/>
                <w:sz w:val="18"/>
                <w:szCs w:val="18"/>
              </w:rPr>
            </w:pPr>
            <w:r w:rsidRPr="00F90726">
              <w:rPr>
                <w:b/>
                <w:bCs/>
                <w:color w:val="000000"/>
                <w:sz w:val="18"/>
                <w:szCs w:val="18"/>
              </w:rPr>
              <w:t>Počet</w:t>
            </w:r>
          </w:p>
        </w:tc>
        <w:tc>
          <w:tcPr>
            <w:tcW w:w="765" w:type="dxa"/>
            <w:shd w:val="clear" w:color="000000" w:fill="DCE6F1"/>
            <w:vAlign w:val="center"/>
            <w:hideMark/>
          </w:tcPr>
          <w:p w:rsidR="00F90726" w:rsidRPr="00F90726" w:rsidRDefault="00F90726" w:rsidP="00F90726">
            <w:pPr>
              <w:jc w:val="center"/>
              <w:rPr>
                <w:b/>
                <w:bCs/>
                <w:color w:val="000000"/>
                <w:sz w:val="18"/>
                <w:szCs w:val="18"/>
              </w:rPr>
            </w:pPr>
            <w:r w:rsidRPr="00F90726">
              <w:rPr>
                <w:b/>
                <w:bCs/>
                <w:color w:val="000000"/>
                <w:sz w:val="18"/>
                <w:szCs w:val="18"/>
              </w:rPr>
              <w:t>mil. CZK</w:t>
            </w:r>
          </w:p>
        </w:tc>
        <w:tc>
          <w:tcPr>
            <w:tcW w:w="659" w:type="dxa"/>
            <w:shd w:val="clear" w:color="000000" w:fill="DCE6F1"/>
            <w:vAlign w:val="center"/>
            <w:hideMark/>
          </w:tcPr>
          <w:p w:rsidR="00F90726" w:rsidRPr="00F90726" w:rsidRDefault="00F90726" w:rsidP="00F90726">
            <w:pPr>
              <w:jc w:val="center"/>
              <w:rPr>
                <w:b/>
                <w:bCs/>
                <w:color w:val="000000"/>
                <w:sz w:val="18"/>
                <w:szCs w:val="18"/>
              </w:rPr>
            </w:pPr>
            <w:r w:rsidRPr="00F90726">
              <w:rPr>
                <w:b/>
                <w:bCs/>
                <w:color w:val="000000"/>
                <w:sz w:val="18"/>
                <w:szCs w:val="18"/>
              </w:rPr>
              <w:t>%</w:t>
            </w:r>
          </w:p>
        </w:tc>
        <w:tc>
          <w:tcPr>
            <w:tcW w:w="659" w:type="dxa"/>
            <w:vMerge w:val="restart"/>
            <w:shd w:val="clear" w:color="000000" w:fill="DCE6F1"/>
            <w:vAlign w:val="center"/>
            <w:hideMark/>
          </w:tcPr>
          <w:p w:rsidR="00F90726" w:rsidRPr="00F90726" w:rsidRDefault="00F90726" w:rsidP="00F90726">
            <w:pPr>
              <w:jc w:val="center"/>
              <w:rPr>
                <w:b/>
                <w:bCs/>
                <w:color w:val="000000"/>
                <w:sz w:val="18"/>
                <w:szCs w:val="18"/>
              </w:rPr>
            </w:pPr>
            <w:r w:rsidRPr="00F90726">
              <w:rPr>
                <w:b/>
                <w:bCs/>
                <w:color w:val="000000"/>
                <w:sz w:val="18"/>
                <w:szCs w:val="18"/>
              </w:rPr>
              <w:t>mil. EUR</w:t>
            </w:r>
          </w:p>
        </w:tc>
        <w:tc>
          <w:tcPr>
            <w:tcW w:w="850" w:type="dxa"/>
            <w:shd w:val="clear" w:color="000000" w:fill="DCE6F1"/>
            <w:vAlign w:val="center"/>
            <w:hideMark/>
          </w:tcPr>
          <w:p w:rsidR="00F90726" w:rsidRPr="00F90726" w:rsidRDefault="00F90726" w:rsidP="00F90726">
            <w:pPr>
              <w:jc w:val="center"/>
              <w:rPr>
                <w:b/>
                <w:bCs/>
                <w:color w:val="000000"/>
                <w:sz w:val="18"/>
                <w:szCs w:val="18"/>
              </w:rPr>
            </w:pPr>
            <w:r w:rsidRPr="00F90726">
              <w:rPr>
                <w:b/>
                <w:bCs/>
                <w:color w:val="000000"/>
                <w:sz w:val="18"/>
                <w:szCs w:val="18"/>
              </w:rPr>
              <w:t>mil. CZK</w:t>
            </w:r>
          </w:p>
        </w:tc>
        <w:tc>
          <w:tcPr>
            <w:tcW w:w="531" w:type="dxa"/>
            <w:shd w:val="clear" w:color="000000" w:fill="DCE6F1"/>
            <w:vAlign w:val="center"/>
            <w:hideMark/>
          </w:tcPr>
          <w:p w:rsidR="00F90726" w:rsidRPr="00F90726" w:rsidRDefault="00F90726" w:rsidP="00F90726">
            <w:pPr>
              <w:jc w:val="center"/>
              <w:rPr>
                <w:b/>
                <w:bCs/>
                <w:color w:val="000000"/>
                <w:sz w:val="18"/>
                <w:szCs w:val="18"/>
              </w:rPr>
            </w:pPr>
            <w:r w:rsidRPr="00F90726">
              <w:rPr>
                <w:b/>
                <w:bCs/>
                <w:color w:val="000000"/>
                <w:sz w:val="18"/>
                <w:szCs w:val="18"/>
              </w:rPr>
              <w:t>%</w:t>
            </w:r>
          </w:p>
        </w:tc>
        <w:tc>
          <w:tcPr>
            <w:tcW w:w="616" w:type="dxa"/>
            <w:vMerge w:val="restart"/>
            <w:shd w:val="clear" w:color="000000" w:fill="DCE6F1"/>
            <w:vAlign w:val="center"/>
            <w:hideMark/>
          </w:tcPr>
          <w:p w:rsidR="00F90726" w:rsidRPr="00F90726" w:rsidRDefault="00F90726" w:rsidP="00F90726">
            <w:pPr>
              <w:jc w:val="center"/>
              <w:rPr>
                <w:b/>
                <w:bCs/>
                <w:color w:val="000000"/>
                <w:sz w:val="18"/>
                <w:szCs w:val="18"/>
              </w:rPr>
            </w:pPr>
            <w:r w:rsidRPr="00F90726">
              <w:rPr>
                <w:b/>
                <w:bCs/>
                <w:color w:val="000000"/>
                <w:sz w:val="18"/>
                <w:szCs w:val="18"/>
              </w:rPr>
              <w:t>mil. EUR</w:t>
            </w:r>
          </w:p>
        </w:tc>
        <w:tc>
          <w:tcPr>
            <w:tcW w:w="808" w:type="dxa"/>
            <w:shd w:val="clear" w:color="000000" w:fill="DCE6F1"/>
            <w:vAlign w:val="center"/>
            <w:hideMark/>
          </w:tcPr>
          <w:p w:rsidR="00F90726" w:rsidRPr="00F90726" w:rsidRDefault="00F90726" w:rsidP="00F90726">
            <w:pPr>
              <w:jc w:val="center"/>
              <w:rPr>
                <w:b/>
                <w:bCs/>
                <w:color w:val="000000"/>
                <w:sz w:val="18"/>
                <w:szCs w:val="18"/>
              </w:rPr>
            </w:pPr>
            <w:r w:rsidRPr="00F90726">
              <w:rPr>
                <w:b/>
                <w:bCs/>
                <w:color w:val="000000"/>
                <w:sz w:val="18"/>
                <w:szCs w:val="18"/>
              </w:rPr>
              <w:t>mil. CZK</w:t>
            </w:r>
          </w:p>
        </w:tc>
        <w:tc>
          <w:tcPr>
            <w:tcW w:w="744" w:type="dxa"/>
            <w:shd w:val="clear" w:color="000000" w:fill="DCE6F1"/>
            <w:vAlign w:val="center"/>
            <w:hideMark/>
          </w:tcPr>
          <w:p w:rsidR="00F90726" w:rsidRPr="00F90726" w:rsidRDefault="00F90726" w:rsidP="00F90726">
            <w:pPr>
              <w:jc w:val="center"/>
              <w:rPr>
                <w:b/>
                <w:bCs/>
                <w:color w:val="000000"/>
                <w:sz w:val="18"/>
                <w:szCs w:val="18"/>
              </w:rPr>
            </w:pPr>
            <w:r w:rsidRPr="00F90726">
              <w:rPr>
                <w:b/>
                <w:bCs/>
                <w:color w:val="000000"/>
                <w:sz w:val="18"/>
                <w:szCs w:val="18"/>
              </w:rPr>
              <w:t>%</w:t>
            </w:r>
          </w:p>
        </w:tc>
        <w:tc>
          <w:tcPr>
            <w:tcW w:w="680" w:type="dxa"/>
            <w:vMerge w:val="restart"/>
            <w:shd w:val="clear" w:color="000000" w:fill="DCE6F1"/>
            <w:vAlign w:val="center"/>
            <w:hideMark/>
          </w:tcPr>
          <w:p w:rsidR="00F90726" w:rsidRPr="00F90726" w:rsidRDefault="00F90726" w:rsidP="00F90726">
            <w:pPr>
              <w:jc w:val="center"/>
              <w:rPr>
                <w:b/>
                <w:bCs/>
                <w:color w:val="000000"/>
                <w:sz w:val="18"/>
                <w:szCs w:val="18"/>
              </w:rPr>
            </w:pPr>
            <w:r w:rsidRPr="00F90726">
              <w:rPr>
                <w:b/>
                <w:bCs/>
                <w:color w:val="000000"/>
                <w:sz w:val="18"/>
                <w:szCs w:val="18"/>
              </w:rPr>
              <w:t>mil. EUR</w:t>
            </w:r>
          </w:p>
        </w:tc>
        <w:tc>
          <w:tcPr>
            <w:tcW w:w="744" w:type="dxa"/>
            <w:shd w:val="clear" w:color="000000" w:fill="DCE6F1"/>
            <w:vAlign w:val="center"/>
            <w:hideMark/>
          </w:tcPr>
          <w:p w:rsidR="00F90726" w:rsidRPr="00F90726" w:rsidRDefault="00F90726" w:rsidP="00F90726">
            <w:pPr>
              <w:jc w:val="center"/>
              <w:rPr>
                <w:b/>
                <w:bCs/>
                <w:color w:val="000000"/>
                <w:sz w:val="18"/>
                <w:szCs w:val="18"/>
              </w:rPr>
            </w:pPr>
            <w:r w:rsidRPr="00F90726">
              <w:rPr>
                <w:b/>
                <w:bCs/>
                <w:color w:val="000000"/>
                <w:sz w:val="18"/>
                <w:szCs w:val="18"/>
              </w:rPr>
              <w:t>mil. CZK</w:t>
            </w:r>
          </w:p>
        </w:tc>
        <w:tc>
          <w:tcPr>
            <w:tcW w:w="616" w:type="dxa"/>
            <w:shd w:val="clear" w:color="000000" w:fill="DCE6F1"/>
            <w:vAlign w:val="center"/>
            <w:hideMark/>
          </w:tcPr>
          <w:p w:rsidR="00F90726" w:rsidRPr="00F90726" w:rsidRDefault="00F90726" w:rsidP="00F90726">
            <w:pPr>
              <w:jc w:val="center"/>
              <w:rPr>
                <w:b/>
                <w:bCs/>
                <w:color w:val="000000"/>
                <w:sz w:val="18"/>
                <w:szCs w:val="18"/>
              </w:rPr>
            </w:pPr>
            <w:r w:rsidRPr="00F90726">
              <w:rPr>
                <w:b/>
                <w:bCs/>
                <w:color w:val="000000"/>
                <w:sz w:val="18"/>
                <w:szCs w:val="18"/>
              </w:rPr>
              <w:t>%</w:t>
            </w:r>
          </w:p>
        </w:tc>
        <w:tc>
          <w:tcPr>
            <w:tcW w:w="574" w:type="dxa"/>
            <w:vMerge w:val="restart"/>
            <w:shd w:val="clear" w:color="000000" w:fill="DCE6F1"/>
            <w:vAlign w:val="center"/>
            <w:hideMark/>
          </w:tcPr>
          <w:p w:rsidR="00F90726" w:rsidRPr="00F90726" w:rsidRDefault="00F90726" w:rsidP="00F90726">
            <w:pPr>
              <w:jc w:val="center"/>
              <w:rPr>
                <w:b/>
                <w:bCs/>
                <w:color w:val="000000"/>
                <w:sz w:val="18"/>
                <w:szCs w:val="18"/>
              </w:rPr>
            </w:pPr>
            <w:r w:rsidRPr="00F90726">
              <w:rPr>
                <w:b/>
                <w:bCs/>
                <w:color w:val="000000"/>
                <w:sz w:val="18"/>
                <w:szCs w:val="18"/>
              </w:rPr>
              <w:t>mil. EUR</w:t>
            </w:r>
          </w:p>
        </w:tc>
      </w:tr>
      <w:tr w:rsidR="00F90726" w:rsidRPr="00F90726" w:rsidTr="00634AD9">
        <w:trPr>
          <w:trHeight w:val="236"/>
          <w:tblHeader/>
        </w:trPr>
        <w:tc>
          <w:tcPr>
            <w:tcW w:w="841" w:type="dxa"/>
            <w:vMerge/>
            <w:vAlign w:val="center"/>
            <w:hideMark/>
          </w:tcPr>
          <w:p w:rsidR="00F90726" w:rsidRPr="00F90726" w:rsidRDefault="00F90726" w:rsidP="00F90726">
            <w:pPr>
              <w:rPr>
                <w:b/>
                <w:bCs/>
                <w:color w:val="000000"/>
                <w:sz w:val="18"/>
                <w:szCs w:val="18"/>
              </w:rPr>
            </w:pPr>
          </w:p>
        </w:tc>
        <w:tc>
          <w:tcPr>
            <w:tcW w:w="871" w:type="dxa"/>
            <w:shd w:val="clear" w:color="000000" w:fill="DCE6F1"/>
            <w:vAlign w:val="center"/>
            <w:hideMark/>
          </w:tcPr>
          <w:p w:rsidR="00F90726" w:rsidRPr="00F90726" w:rsidRDefault="00F90726" w:rsidP="00F90726">
            <w:pPr>
              <w:jc w:val="center"/>
              <w:rPr>
                <w:b/>
                <w:bCs/>
                <w:color w:val="000000"/>
                <w:sz w:val="18"/>
                <w:szCs w:val="18"/>
              </w:rPr>
            </w:pPr>
            <w:r w:rsidRPr="00F90726">
              <w:rPr>
                <w:b/>
                <w:bCs/>
                <w:color w:val="000000"/>
                <w:sz w:val="18"/>
                <w:szCs w:val="18"/>
              </w:rPr>
              <w:t xml:space="preserve">a </w:t>
            </w:r>
          </w:p>
        </w:tc>
        <w:tc>
          <w:tcPr>
            <w:tcW w:w="744" w:type="dxa"/>
            <w:vMerge/>
            <w:vAlign w:val="center"/>
            <w:hideMark/>
          </w:tcPr>
          <w:p w:rsidR="00F90726" w:rsidRPr="00F90726" w:rsidRDefault="00F90726" w:rsidP="00F90726">
            <w:pPr>
              <w:rPr>
                <w:b/>
                <w:bCs/>
                <w:color w:val="000000"/>
                <w:sz w:val="18"/>
                <w:szCs w:val="18"/>
              </w:rPr>
            </w:pPr>
          </w:p>
        </w:tc>
        <w:tc>
          <w:tcPr>
            <w:tcW w:w="595" w:type="dxa"/>
            <w:shd w:val="clear" w:color="000000" w:fill="DCE6F1"/>
            <w:vAlign w:val="center"/>
            <w:hideMark/>
          </w:tcPr>
          <w:p w:rsidR="00F90726" w:rsidRPr="00F90726" w:rsidRDefault="00F90726" w:rsidP="00F90726">
            <w:pPr>
              <w:jc w:val="center"/>
              <w:rPr>
                <w:b/>
                <w:bCs/>
                <w:color w:val="000000"/>
                <w:sz w:val="18"/>
                <w:szCs w:val="18"/>
              </w:rPr>
            </w:pPr>
            <w:r w:rsidRPr="00F90726">
              <w:rPr>
                <w:b/>
                <w:bCs/>
                <w:color w:val="000000"/>
                <w:sz w:val="18"/>
                <w:szCs w:val="18"/>
              </w:rPr>
              <w:t>b</w:t>
            </w:r>
          </w:p>
        </w:tc>
        <w:tc>
          <w:tcPr>
            <w:tcW w:w="680" w:type="dxa"/>
            <w:shd w:val="clear" w:color="000000" w:fill="DCE6F1"/>
            <w:vAlign w:val="center"/>
            <w:hideMark/>
          </w:tcPr>
          <w:p w:rsidR="00F90726" w:rsidRPr="00F90726" w:rsidRDefault="00F90726" w:rsidP="00F90726">
            <w:pPr>
              <w:jc w:val="center"/>
              <w:rPr>
                <w:b/>
                <w:bCs/>
                <w:color w:val="000000"/>
                <w:sz w:val="18"/>
                <w:szCs w:val="18"/>
              </w:rPr>
            </w:pPr>
            <w:r w:rsidRPr="00F90726">
              <w:rPr>
                <w:b/>
                <w:bCs/>
                <w:color w:val="000000"/>
                <w:sz w:val="18"/>
                <w:szCs w:val="18"/>
              </w:rPr>
              <w:t>c</w:t>
            </w:r>
          </w:p>
        </w:tc>
        <w:tc>
          <w:tcPr>
            <w:tcW w:w="553" w:type="dxa"/>
            <w:shd w:val="clear" w:color="000000" w:fill="DCE6F1"/>
            <w:vAlign w:val="center"/>
            <w:hideMark/>
          </w:tcPr>
          <w:p w:rsidR="00F90726" w:rsidRPr="00F90726" w:rsidRDefault="00F90726" w:rsidP="00F90726">
            <w:pPr>
              <w:jc w:val="center"/>
              <w:rPr>
                <w:b/>
                <w:bCs/>
                <w:color w:val="000000"/>
                <w:sz w:val="18"/>
                <w:szCs w:val="18"/>
              </w:rPr>
            </w:pPr>
            <w:r w:rsidRPr="00F90726">
              <w:rPr>
                <w:b/>
                <w:bCs/>
                <w:color w:val="000000"/>
                <w:sz w:val="18"/>
                <w:szCs w:val="18"/>
              </w:rPr>
              <w:t>c/a</w:t>
            </w:r>
          </w:p>
        </w:tc>
        <w:tc>
          <w:tcPr>
            <w:tcW w:w="616" w:type="dxa"/>
            <w:vMerge/>
            <w:vAlign w:val="center"/>
            <w:hideMark/>
          </w:tcPr>
          <w:p w:rsidR="00F90726" w:rsidRPr="00F90726" w:rsidRDefault="00F90726" w:rsidP="00F90726">
            <w:pPr>
              <w:rPr>
                <w:b/>
                <w:bCs/>
                <w:color w:val="000000"/>
                <w:sz w:val="18"/>
                <w:szCs w:val="18"/>
              </w:rPr>
            </w:pPr>
          </w:p>
        </w:tc>
        <w:tc>
          <w:tcPr>
            <w:tcW w:w="595" w:type="dxa"/>
            <w:shd w:val="clear" w:color="000000" w:fill="DCE6F1"/>
            <w:vAlign w:val="center"/>
            <w:hideMark/>
          </w:tcPr>
          <w:p w:rsidR="00F90726" w:rsidRPr="00F90726" w:rsidRDefault="00F90726" w:rsidP="00F90726">
            <w:pPr>
              <w:jc w:val="center"/>
              <w:rPr>
                <w:b/>
                <w:bCs/>
                <w:color w:val="000000"/>
                <w:sz w:val="18"/>
                <w:szCs w:val="18"/>
              </w:rPr>
            </w:pPr>
            <w:r w:rsidRPr="00F90726">
              <w:rPr>
                <w:b/>
                <w:bCs/>
                <w:color w:val="000000"/>
                <w:sz w:val="18"/>
                <w:szCs w:val="18"/>
              </w:rPr>
              <w:t>d</w:t>
            </w:r>
          </w:p>
        </w:tc>
        <w:tc>
          <w:tcPr>
            <w:tcW w:w="765" w:type="dxa"/>
            <w:shd w:val="clear" w:color="000000" w:fill="DCE6F1"/>
            <w:vAlign w:val="center"/>
            <w:hideMark/>
          </w:tcPr>
          <w:p w:rsidR="00F90726" w:rsidRPr="00F90726" w:rsidRDefault="00F90726" w:rsidP="00F90726">
            <w:pPr>
              <w:jc w:val="center"/>
              <w:rPr>
                <w:b/>
                <w:bCs/>
                <w:color w:val="000000"/>
                <w:sz w:val="18"/>
                <w:szCs w:val="18"/>
              </w:rPr>
            </w:pPr>
            <w:r w:rsidRPr="00F90726">
              <w:rPr>
                <w:b/>
                <w:bCs/>
                <w:color w:val="000000"/>
                <w:sz w:val="18"/>
                <w:szCs w:val="18"/>
              </w:rPr>
              <w:t>e</w:t>
            </w:r>
          </w:p>
        </w:tc>
        <w:tc>
          <w:tcPr>
            <w:tcW w:w="659" w:type="dxa"/>
            <w:shd w:val="clear" w:color="000000" w:fill="DCE6F1"/>
            <w:vAlign w:val="center"/>
            <w:hideMark/>
          </w:tcPr>
          <w:p w:rsidR="00F90726" w:rsidRPr="00F90726" w:rsidRDefault="00F90726" w:rsidP="00F90726">
            <w:pPr>
              <w:jc w:val="center"/>
              <w:rPr>
                <w:b/>
                <w:bCs/>
                <w:color w:val="000000"/>
                <w:sz w:val="18"/>
                <w:szCs w:val="18"/>
              </w:rPr>
            </w:pPr>
            <w:r w:rsidRPr="00F90726">
              <w:rPr>
                <w:b/>
                <w:bCs/>
                <w:color w:val="000000"/>
                <w:sz w:val="18"/>
                <w:szCs w:val="18"/>
              </w:rPr>
              <w:t xml:space="preserve">e/a </w:t>
            </w:r>
          </w:p>
        </w:tc>
        <w:tc>
          <w:tcPr>
            <w:tcW w:w="659" w:type="dxa"/>
            <w:vMerge/>
            <w:vAlign w:val="center"/>
            <w:hideMark/>
          </w:tcPr>
          <w:p w:rsidR="00F90726" w:rsidRPr="00F90726" w:rsidRDefault="00F90726" w:rsidP="00F90726">
            <w:pPr>
              <w:rPr>
                <w:b/>
                <w:bCs/>
                <w:color w:val="000000"/>
                <w:sz w:val="18"/>
                <w:szCs w:val="18"/>
              </w:rPr>
            </w:pPr>
          </w:p>
        </w:tc>
        <w:tc>
          <w:tcPr>
            <w:tcW w:w="850" w:type="dxa"/>
            <w:shd w:val="clear" w:color="000000" w:fill="DCE6F1"/>
            <w:vAlign w:val="center"/>
            <w:hideMark/>
          </w:tcPr>
          <w:p w:rsidR="00F90726" w:rsidRPr="00F90726" w:rsidRDefault="00F90726" w:rsidP="00F90726">
            <w:pPr>
              <w:jc w:val="center"/>
              <w:rPr>
                <w:b/>
                <w:bCs/>
                <w:color w:val="000000"/>
                <w:sz w:val="18"/>
                <w:szCs w:val="18"/>
              </w:rPr>
            </w:pPr>
            <w:r w:rsidRPr="00F90726">
              <w:rPr>
                <w:b/>
                <w:bCs/>
                <w:color w:val="000000"/>
                <w:sz w:val="18"/>
                <w:szCs w:val="18"/>
              </w:rPr>
              <w:t>f</w:t>
            </w:r>
          </w:p>
        </w:tc>
        <w:tc>
          <w:tcPr>
            <w:tcW w:w="531" w:type="dxa"/>
            <w:shd w:val="clear" w:color="000000" w:fill="DCE6F1"/>
            <w:vAlign w:val="center"/>
            <w:hideMark/>
          </w:tcPr>
          <w:p w:rsidR="00F90726" w:rsidRPr="00F90726" w:rsidRDefault="00F90726" w:rsidP="00F90726">
            <w:pPr>
              <w:jc w:val="center"/>
              <w:rPr>
                <w:b/>
                <w:bCs/>
                <w:color w:val="000000"/>
                <w:sz w:val="18"/>
                <w:szCs w:val="18"/>
              </w:rPr>
            </w:pPr>
            <w:r w:rsidRPr="00F90726">
              <w:rPr>
                <w:b/>
                <w:bCs/>
                <w:color w:val="000000"/>
                <w:sz w:val="18"/>
                <w:szCs w:val="18"/>
              </w:rPr>
              <w:t xml:space="preserve">f/a </w:t>
            </w:r>
          </w:p>
        </w:tc>
        <w:tc>
          <w:tcPr>
            <w:tcW w:w="616" w:type="dxa"/>
            <w:vMerge/>
            <w:vAlign w:val="center"/>
            <w:hideMark/>
          </w:tcPr>
          <w:p w:rsidR="00F90726" w:rsidRPr="00F90726" w:rsidRDefault="00F90726" w:rsidP="00F90726">
            <w:pPr>
              <w:rPr>
                <w:b/>
                <w:bCs/>
                <w:color w:val="000000"/>
                <w:sz w:val="18"/>
                <w:szCs w:val="18"/>
              </w:rPr>
            </w:pPr>
          </w:p>
        </w:tc>
        <w:tc>
          <w:tcPr>
            <w:tcW w:w="808" w:type="dxa"/>
            <w:shd w:val="clear" w:color="000000" w:fill="DCE6F1"/>
            <w:vAlign w:val="center"/>
            <w:hideMark/>
          </w:tcPr>
          <w:p w:rsidR="00F90726" w:rsidRPr="00F90726" w:rsidRDefault="00F90726" w:rsidP="00F90726">
            <w:pPr>
              <w:jc w:val="center"/>
              <w:rPr>
                <w:b/>
                <w:bCs/>
                <w:color w:val="000000"/>
                <w:sz w:val="18"/>
                <w:szCs w:val="18"/>
              </w:rPr>
            </w:pPr>
            <w:r w:rsidRPr="00F90726">
              <w:rPr>
                <w:b/>
                <w:bCs/>
                <w:color w:val="000000"/>
                <w:sz w:val="18"/>
                <w:szCs w:val="18"/>
              </w:rPr>
              <w:t>g</w:t>
            </w:r>
          </w:p>
        </w:tc>
        <w:tc>
          <w:tcPr>
            <w:tcW w:w="744" w:type="dxa"/>
            <w:shd w:val="clear" w:color="000000" w:fill="DCE6F1"/>
            <w:vAlign w:val="center"/>
            <w:hideMark/>
          </w:tcPr>
          <w:p w:rsidR="00F90726" w:rsidRPr="00F90726" w:rsidRDefault="00F90726" w:rsidP="00F90726">
            <w:pPr>
              <w:jc w:val="center"/>
              <w:rPr>
                <w:b/>
                <w:bCs/>
                <w:color w:val="000000"/>
                <w:sz w:val="18"/>
                <w:szCs w:val="18"/>
              </w:rPr>
            </w:pPr>
            <w:r w:rsidRPr="00F90726">
              <w:rPr>
                <w:b/>
                <w:bCs/>
                <w:color w:val="000000"/>
                <w:sz w:val="18"/>
                <w:szCs w:val="18"/>
              </w:rPr>
              <w:t xml:space="preserve">g/a </w:t>
            </w:r>
          </w:p>
        </w:tc>
        <w:tc>
          <w:tcPr>
            <w:tcW w:w="680" w:type="dxa"/>
            <w:vMerge/>
            <w:vAlign w:val="center"/>
            <w:hideMark/>
          </w:tcPr>
          <w:p w:rsidR="00F90726" w:rsidRPr="00F90726" w:rsidRDefault="00F90726" w:rsidP="00F90726">
            <w:pPr>
              <w:rPr>
                <w:b/>
                <w:bCs/>
                <w:color w:val="000000"/>
                <w:sz w:val="18"/>
                <w:szCs w:val="18"/>
              </w:rPr>
            </w:pPr>
          </w:p>
        </w:tc>
        <w:tc>
          <w:tcPr>
            <w:tcW w:w="744" w:type="dxa"/>
            <w:shd w:val="clear" w:color="000000" w:fill="DCE6F1"/>
            <w:vAlign w:val="center"/>
            <w:hideMark/>
          </w:tcPr>
          <w:p w:rsidR="00F90726" w:rsidRPr="00F90726" w:rsidRDefault="00F90726" w:rsidP="00F90726">
            <w:pPr>
              <w:jc w:val="center"/>
              <w:rPr>
                <w:b/>
                <w:bCs/>
                <w:color w:val="000000"/>
                <w:sz w:val="18"/>
                <w:szCs w:val="18"/>
              </w:rPr>
            </w:pPr>
            <w:r w:rsidRPr="00F90726">
              <w:rPr>
                <w:b/>
                <w:bCs/>
                <w:color w:val="000000"/>
                <w:sz w:val="18"/>
                <w:szCs w:val="18"/>
              </w:rPr>
              <w:t>h</w:t>
            </w:r>
          </w:p>
        </w:tc>
        <w:tc>
          <w:tcPr>
            <w:tcW w:w="616" w:type="dxa"/>
            <w:shd w:val="clear" w:color="000000" w:fill="DCE6F1"/>
            <w:vAlign w:val="center"/>
            <w:hideMark/>
          </w:tcPr>
          <w:p w:rsidR="00F90726" w:rsidRPr="00F90726" w:rsidRDefault="00F90726" w:rsidP="00F90726">
            <w:pPr>
              <w:jc w:val="center"/>
              <w:rPr>
                <w:b/>
                <w:bCs/>
                <w:color w:val="000000"/>
                <w:sz w:val="18"/>
                <w:szCs w:val="18"/>
              </w:rPr>
            </w:pPr>
            <w:r w:rsidRPr="00F90726">
              <w:rPr>
                <w:b/>
                <w:bCs/>
                <w:color w:val="000000"/>
                <w:sz w:val="18"/>
                <w:szCs w:val="18"/>
              </w:rPr>
              <w:t xml:space="preserve">h/a </w:t>
            </w:r>
          </w:p>
        </w:tc>
        <w:tc>
          <w:tcPr>
            <w:tcW w:w="574" w:type="dxa"/>
            <w:vMerge/>
            <w:vAlign w:val="center"/>
            <w:hideMark/>
          </w:tcPr>
          <w:p w:rsidR="00F90726" w:rsidRPr="00F90726" w:rsidRDefault="00F90726" w:rsidP="00F90726">
            <w:pPr>
              <w:rPr>
                <w:b/>
                <w:bCs/>
                <w:color w:val="000000"/>
                <w:sz w:val="18"/>
                <w:szCs w:val="18"/>
              </w:rPr>
            </w:pPr>
          </w:p>
        </w:tc>
      </w:tr>
      <w:tr w:rsidR="00F90726" w:rsidRPr="00F90726" w:rsidTr="00634AD9">
        <w:trPr>
          <w:trHeight w:val="222"/>
        </w:trPr>
        <w:tc>
          <w:tcPr>
            <w:tcW w:w="841" w:type="dxa"/>
            <w:shd w:val="clear" w:color="000000" w:fill="FFFFFF"/>
            <w:vAlign w:val="center"/>
            <w:hideMark/>
          </w:tcPr>
          <w:p w:rsidR="00F90726" w:rsidRPr="00F90726" w:rsidRDefault="00F90726" w:rsidP="00634AD9">
            <w:pPr>
              <w:jc w:val="center"/>
              <w:rPr>
                <w:color w:val="000000"/>
                <w:sz w:val="16"/>
                <w:szCs w:val="16"/>
              </w:rPr>
            </w:pPr>
            <w:r w:rsidRPr="00F90726">
              <w:rPr>
                <w:color w:val="000000"/>
                <w:sz w:val="16"/>
                <w:szCs w:val="16"/>
              </w:rPr>
              <w:t>1.1a</w:t>
            </w:r>
          </w:p>
        </w:tc>
        <w:tc>
          <w:tcPr>
            <w:tcW w:w="871"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7 624,07</w:t>
            </w:r>
          </w:p>
        </w:tc>
        <w:tc>
          <w:tcPr>
            <w:tcW w:w="744"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290,94</w:t>
            </w:r>
          </w:p>
        </w:tc>
        <w:tc>
          <w:tcPr>
            <w:tcW w:w="595" w:type="dxa"/>
            <w:shd w:val="clear" w:color="000000" w:fill="FFFFFF"/>
            <w:vAlign w:val="center"/>
            <w:hideMark/>
          </w:tcPr>
          <w:p w:rsidR="00F90726" w:rsidRPr="00F90726" w:rsidRDefault="00F90726" w:rsidP="00634AD9">
            <w:pPr>
              <w:jc w:val="center"/>
              <w:rPr>
                <w:color w:val="000000"/>
                <w:sz w:val="16"/>
                <w:szCs w:val="16"/>
              </w:rPr>
            </w:pPr>
            <w:r w:rsidRPr="00F90726">
              <w:rPr>
                <w:color w:val="000000"/>
                <w:sz w:val="16"/>
                <w:szCs w:val="16"/>
              </w:rPr>
              <w:t>0</w:t>
            </w:r>
          </w:p>
        </w:tc>
        <w:tc>
          <w:tcPr>
            <w:tcW w:w="680"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0,00</w:t>
            </w:r>
          </w:p>
        </w:tc>
        <w:tc>
          <w:tcPr>
            <w:tcW w:w="553"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0,00</w:t>
            </w:r>
          </w:p>
        </w:tc>
        <w:tc>
          <w:tcPr>
            <w:tcW w:w="616"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2,62</w:t>
            </w:r>
          </w:p>
        </w:tc>
        <w:tc>
          <w:tcPr>
            <w:tcW w:w="595"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4</w:t>
            </w:r>
          </w:p>
        </w:tc>
        <w:tc>
          <w:tcPr>
            <w:tcW w:w="765"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167,49</w:t>
            </w:r>
          </w:p>
        </w:tc>
        <w:tc>
          <w:tcPr>
            <w:tcW w:w="659"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2,20</w:t>
            </w:r>
          </w:p>
        </w:tc>
        <w:tc>
          <w:tcPr>
            <w:tcW w:w="659"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6,82</w:t>
            </w:r>
          </w:p>
        </w:tc>
        <w:tc>
          <w:tcPr>
            <w:tcW w:w="850"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20,58</w:t>
            </w:r>
          </w:p>
        </w:tc>
        <w:tc>
          <w:tcPr>
            <w:tcW w:w="531"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0,27</w:t>
            </w:r>
          </w:p>
        </w:tc>
        <w:tc>
          <w:tcPr>
            <w:tcW w:w="616"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0,77</w:t>
            </w:r>
          </w:p>
        </w:tc>
        <w:tc>
          <w:tcPr>
            <w:tcW w:w="808"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48,62</w:t>
            </w:r>
          </w:p>
        </w:tc>
        <w:tc>
          <w:tcPr>
            <w:tcW w:w="744"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0,64</w:t>
            </w:r>
          </w:p>
        </w:tc>
        <w:tc>
          <w:tcPr>
            <w:tcW w:w="680"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1,78</w:t>
            </w:r>
          </w:p>
        </w:tc>
        <w:tc>
          <w:tcPr>
            <w:tcW w:w="744"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-40,93</w:t>
            </w:r>
          </w:p>
        </w:tc>
        <w:tc>
          <w:tcPr>
            <w:tcW w:w="616"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-0,54</w:t>
            </w:r>
          </w:p>
        </w:tc>
        <w:tc>
          <w:tcPr>
            <w:tcW w:w="574"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-1,58</w:t>
            </w:r>
          </w:p>
        </w:tc>
      </w:tr>
      <w:tr w:rsidR="00F90726" w:rsidRPr="00F90726" w:rsidTr="00634AD9">
        <w:trPr>
          <w:trHeight w:val="236"/>
        </w:trPr>
        <w:tc>
          <w:tcPr>
            <w:tcW w:w="841" w:type="dxa"/>
            <w:shd w:val="clear" w:color="000000" w:fill="E4DFEC"/>
            <w:vAlign w:val="center"/>
            <w:hideMark/>
          </w:tcPr>
          <w:p w:rsidR="00F90726" w:rsidRPr="00F90726" w:rsidRDefault="00F90726" w:rsidP="00634AD9">
            <w:pPr>
              <w:jc w:val="center"/>
              <w:rPr>
                <w:b/>
                <w:bCs/>
                <w:color w:val="000000"/>
                <w:sz w:val="16"/>
                <w:szCs w:val="16"/>
              </w:rPr>
            </w:pPr>
            <w:r w:rsidRPr="00F90726">
              <w:rPr>
                <w:b/>
                <w:bCs/>
                <w:color w:val="000000"/>
                <w:sz w:val="16"/>
                <w:szCs w:val="16"/>
              </w:rPr>
              <w:t>1.1a</w:t>
            </w:r>
          </w:p>
        </w:tc>
        <w:tc>
          <w:tcPr>
            <w:tcW w:w="871"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7 624,07</w:t>
            </w:r>
          </w:p>
        </w:tc>
        <w:tc>
          <w:tcPr>
            <w:tcW w:w="744"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290,94</w:t>
            </w:r>
          </w:p>
        </w:tc>
        <w:tc>
          <w:tcPr>
            <w:tcW w:w="595" w:type="dxa"/>
            <w:shd w:val="clear" w:color="000000" w:fill="E4DFEC"/>
            <w:vAlign w:val="center"/>
            <w:hideMark/>
          </w:tcPr>
          <w:p w:rsidR="00F90726" w:rsidRPr="00F90726" w:rsidRDefault="00F90726" w:rsidP="00634AD9">
            <w:pPr>
              <w:jc w:val="center"/>
              <w:rPr>
                <w:b/>
                <w:bCs/>
                <w:color w:val="000000"/>
                <w:sz w:val="16"/>
                <w:szCs w:val="16"/>
              </w:rPr>
            </w:pPr>
            <w:r w:rsidRPr="00F90726">
              <w:rPr>
                <w:b/>
                <w:bCs/>
                <w:color w:val="000000"/>
                <w:sz w:val="16"/>
                <w:szCs w:val="16"/>
              </w:rPr>
              <w:t>0</w:t>
            </w:r>
          </w:p>
        </w:tc>
        <w:tc>
          <w:tcPr>
            <w:tcW w:w="680"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0,00</w:t>
            </w:r>
          </w:p>
        </w:tc>
        <w:tc>
          <w:tcPr>
            <w:tcW w:w="553"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0,00</w:t>
            </w:r>
          </w:p>
        </w:tc>
        <w:tc>
          <w:tcPr>
            <w:tcW w:w="616"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2,62</w:t>
            </w:r>
          </w:p>
        </w:tc>
        <w:tc>
          <w:tcPr>
            <w:tcW w:w="595"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4</w:t>
            </w:r>
          </w:p>
        </w:tc>
        <w:tc>
          <w:tcPr>
            <w:tcW w:w="765"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167,49</w:t>
            </w:r>
          </w:p>
        </w:tc>
        <w:tc>
          <w:tcPr>
            <w:tcW w:w="659"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2,20</w:t>
            </w:r>
          </w:p>
        </w:tc>
        <w:tc>
          <w:tcPr>
            <w:tcW w:w="659"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6,82</w:t>
            </w:r>
          </w:p>
        </w:tc>
        <w:tc>
          <w:tcPr>
            <w:tcW w:w="850"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20,58</w:t>
            </w:r>
          </w:p>
        </w:tc>
        <w:tc>
          <w:tcPr>
            <w:tcW w:w="531"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0,27</w:t>
            </w:r>
          </w:p>
        </w:tc>
        <w:tc>
          <w:tcPr>
            <w:tcW w:w="616"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0,77</w:t>
            </w:r>
          </w:p>
        </w:tc>
        <w:tc>
          <w:tcPr>
            <w:tcW w:w="808"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48,62</w:t>
            </w:r>
          </w:p>
        </w:tc>
        <w:tc>
          <w:tcPr>
            <w:tcW w:w="744"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0,64</w:t>
            </w:r>
          </w:p>
        </w:tc>
        <w:tc>
          <w:tcPr>
            <w:tcW w:w="680"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1,78</w:t>
            </w:r>
          </w:p>
        </w:tc>
        <w:tc>
          <w:tcPr>
            <w:tcW w:w="744"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-40,93</w:t>
            </w:r>
          </w:p>
        </w:tc>
        <w:tc>
          <w:tcPr>
            <w:tcW w:w="616"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-0,54</w:t>
            </w:r>
          </w:p>
        </w:tc>
        <w:tc>
          <w:tcPr>
            <w:tcW w:w="574"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-1,58</w:t>
            </w:r>
          </w:p>
        </w:tc>
      </w:tr>
      <w:tr w:rsidR="00F90726" w:rsidRPr="00F90726" w:rsidTr="00634AD9">
        <w:trPr>
          <w:trHeight w:val="222"/>
        </w:trPr>
        <w:tc>
          <w:tcPr>
            <w:tcW w:w="841" w:type="dxa"/>
            <w:shd w:val="clear" w:color="000000" w:fill="FFFFFF"/>
            <w:vAlign w:val="center"/>
            <w:hideMark/>
          </w:tcPr>
          <w:p w:rsidR="00F90726" w:rsidRPr="00F90726" w:rsidRDefault="00F90726" w:rsidP="00634AD9">
            <w:pPr>
              <w:jc w:val="center"/>
              <w:rPr>
                <w:color w:val="000000"/>
                <w:sz w:val="16"/>
                <w:szCs w:val="16"/>
              </w:rPr>
            </w:pPr>
            <w:r w:rsidRPr="00F90726">
              <w:rPr>
                <w:color w:val="000000"/>
                <w:sz w:val="16"/>
                <w:szCs w:val="16"/>
              </w:rPr>
              <w:t>1.1b</w:t>
            </w:r>
          </w:p>
        </w:tc>
        <w:tc>
          <w:tcPr>
            <w:tcW w:w="871"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523,72</w:t>
            </w:r>
          </w:p>
        </w:tc>
        <w:tc>
          <w:tcPr>
            <w:tcW w:w="744"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20,07</w:t>
            </w:r>
          </w:p>
        </w:tc>
        <w:tc>
          <w:tcPr>
            <w:tcW w:w="595" w:type="dxa"/>
            <w:shd w:val="clear" w:color="000000" w:fill="FFFFFF"/>
            <w:vAlign w:val="center"/>
            <w:hideMark/>
          </w:tcPr>
          <w:p w:rsidR="00F90726" w:rsidRPr="00F90726" w:rsidRDefault="00F90726" w:rsidP="00634AD9">
            <w:pPr>
              <w:jc w:val="center"/>
              <w:rPr>
                <w:color w:val="000000"/>
                <w:sz w:val="16"/>
                <w:szCs w:val="16"/>
              </w:rPr>
            </w:pPr>
            <w:r w:rsidRPr="00F90726">
              <w:rPr>
                <w:color w:val="000000"/>
                <w:sz w:val="16"/>
                <w:szCs w:val="16"/>
              </w:rPr>
              <w:t>0</w:t>
            </w:r>
          </w:p>
        </w:tc>
        <w:tc>
          <w:tcPr>
            <w:tcW w:w="680"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0,00</w:t>
            </w:r>
          </w:p>
        </w:tc>
        <w:tc>
          <w:tcPr>
            <w:tcW w:w="553"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0,00</w:t>
            </w:r>
          </w:p>
        </w:tc>
        <w:tc>
          <w:tcPr>
            <w:tcW w:w="616"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0,20</w:t>
            </w:r>
          </w:p>
        </w:tc>
        <w:tc>
          <w:tcPr>
            <w:tcW w:w="595"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w:t>
            </w:r>
          </w:p>
        </w:tc>
        <w:tc>
          <w:tcPr>
            <w:tcW w:w="765"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12,88</w:t>
            </w:r>
          </w:p>
        </w:tc>
        <w:tc>
          <w:tcPr>
            <w:tcW w:w="659"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2,46</w:t>
            </w:r>
          </w:p>
        </w:tc>
        <w:tc>
          <w:tcPr>
            <w:tcW w:w="659"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0,52</w:t>
            </w:r>
          </w:p>
        </w:tc>
        <w:tc>
          <w:tcPr>
            <w:tcW w:w="850"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1,58</w:t>
            </w:r>
          </w:p>
        </w:tc>
        <w:tc>
          <w:tcPr>
            <w:tcW w:w="531"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0,30</w:t>
            </w:r>
          </w:p>
        </w:tc>
        <w:tc>
          <w:tcPr>
            <w:tcW w:w="616"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0,06</w:t>
            </w:r>
          </w:p>
        </w:tc>
        <w:tc>
          <w:tcPr>
            <w:tcW w:w="808"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3,74</w:t>
            </w:r>
          </w:p>
        </w:tc>
        <w:tc>
          <w:tcPr>
            <w:tcW w:w="744"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0,71</w:t>
            </w:r>
          </w:p>
        </w:tc>
        <w:tc>
          <w:tcPr>
            <w:tcW w:w="680"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0,14</w:t>
            </w:r>
          </w:p>
        </w:tc>
        <w:tc>
          <w:tcPr>
            <w:tcW w:w="744"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-3,15</w:t>
            </w:r>
          </w:p>
        </w:tc>
        <w:tc>
          <w:tcPr>
            <w:tcW w:w="616"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-0,60</w:t>
            </w:r>
          </w:p>
        </w:tc>
        <w:tc>
          <w:tcPr>
            <w:tcW w:w="574"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-0,12</w:t>
            </w:r>
          </w:p>
        </w:tc>
      </w:tr>
      <w:tr w:rsidR="00F90726" w:rsidRPr="00F90726" w:rsidTr="00634AD9">
        <w:trPr>
          <w:trHeight w:val="236"/>
        </w:trPr>
        <w:tc>
          <w:tcPr>
            <w:tcW w:w="841" w:type="dxa"/>
            <w:shd w:val="clear" w:color="000000" w:fill="E4DFEC"/>
            <w:vAlign w:val="center"/>
            <w:hideMark/>
          </w:tcPr>
          <w:p w:rsidR="00F90726" w:rsidRPr="00F90726" w:rsidRDefault="00F90726" w:rsidP="00634AD9">
            <w:pPr>
              <w:jc w:val="center"/>
              <w:rPr>
                <w:b/>
                <w:bCs/>
                <w:color w:val="000000"/>
                <w:sz w:val="16"/>
                <w:szCs w:val="16"/>
              </w:rPr>
            </w:pPr>
            <w:r w:rsidRPr="00F90726">
              <w:rPr>
                <w:b/>
                <w:bCs/>
                <w:color w:val="000000"/>
                <w:sz w:val="16"/>
                <w:szCs w:val="16"/>
              </w:rPr>
              <w:t>1.1b</w:t>
            </w:r>
          </w:p>
        </w:tc>
        <w:tc>
          <w:tcPr>
            <w:tcW w:w="871" w:type="dxa"/>
            <w:shd w:val="clear" w:color="000000" w:fill="E4DFEC"/>
            <w:vAlign w:val="center"/>
            <w:hideMark/>
          </w:tcPr>
          <w:p w:rsidR="00F90726" w:rsidRPr="00F90726" w:rsidRDefault="00F90726" w:rsidP="00634AD9">
            <w:pPr>
              <w:jc w:val="center"/>
              <w:rPr>
                <w:b/>
                <w:bCs/>
                <w:color w:val="000000"/>
                <w:sz w:val="16"/>
                <w:szCs w:val="16"/>
              </w:rPr>
            </w:pPr>
            <w:r w:rsidRPr="00F90726">
              <w:rPr>
                <w:b/>
                <w:bCs/>
                <w:color w:val="000000"/>
                <w:sz w:val="16"/>
                <w:szCs w:val="16"/>
              </w:rPr>
              <w:t>523,72</w:t>
            </w:r>
          </w:p>
        </w:tc>
        <w:tc>
          <w:tcPr>
            <w:tcW w:w="744" w:type="dxa"/>
            <w:shd w:val="clear" w:color="000000" w:fill="E4DFEC"/>
            <w:vAlign w:val="center"/>
            <w:hideMark/>
          </w:tcPr>
          <w:p w:rsidR="00F90726" w:rsidRPr="00F90726" w:rsidRDefault="00F90726" w:rsidP="00634AD9">
            <w:pPr>
              <w:jc w:val="center"/>
              <w:rPr>
                <w:b/>
                <w:bCs/>
                <w:color w:val="000000"/>
                <w:sz w:val="16"/>
                <w:szCs w:val="16"/>
              </w:rPr>
            </w:pPr>
            <w:r w:rsidRPr="00F90726">
              <w:rPr>
                <w:b/>
                <w:bCs/>
                <w:color w:val="000000"/>
                <w:sz w:val="16"/>
                <w:szCs w:val="16"/>
              </w:rPr>
              <w:t>20,07</w:t>
            </w:r>
          </w:p>
        </w:tc>
        <w:tc>
          <w:tcPr>
            <w:tcW w:w="595" w:type="dxa"/>
            <w:shd w:val="clear" w:color="000000" w:fill="E4DFEC"/>
            <w:vAlign w:val="center"/>
            <w:hideMark/>
          </w:tcPr>
          <w:p w:rsidR="00F90726" w:rsidRPr="00F90726" w:rsidRDefault="00F90726" w:rsidP="00634AD9">
            <w:pPr>
              <w:jc w:val="center"/>
              <w:rPr>
                <w:b/>
                <w:bCs/>
                <w:color w:val="000000"/>
                <w:sz w:val="16"/>
                <w:szCs w:val="16"/>
              </w:rPr>
            </w:pPr>
            <w:r w:rsidRPr="00F90726">
              <w:rPr>
                <w:b/>
                <w:bCs/>
                <w:color w:val="000000"/>
                <w:sz w:val="16"/>
                <w:szCs w:val="16"/>
              </w:rPr>
              <w:t>0</w:t>
            </w:r>
          </w:p>
        </w:tc>
        <w:tc>
          <w:tcPr>
            <w:tcW w:w="680" w:type="dxa"/>
            <w:shd w:val="clear" w:color="000000" w:fill="E4DFEC"/>
            <w:vAlign w:val="center"/>
            <w:hideMark/>
          </w:tcPr>
          <w:p w:rsidR="00F90726" w:rsidRPr="00F90726" w:rsidRDefault="00F90726" w:rsidP="00634AD9">
            <w:pPr>
              <w:jc w:val="center"/>
              <w:rPr>
                <w:b/>
                <w:bCs/>
                <w:color w:val="000000"/>
                <w:sz w:val="16"/>
                <w:szCs w:val="16"/>
              </w:rPr>
            </w:pPr>
            <w:r w:rsidRPr="00F90726">
              <w:rPr>
                <w:b/>
                <w:bCs/>
                <w:color w:val="000000"/>
                <w:sz w:val="16"/>
                <w:szCs w:val="16"/>
              </w:rPr>
              <w:t>0</w:t>
            </w:r>
          </w:p>
        </w:tc>
        <w:tc>
          <w:tcPr>
            <w:tcW w:w="553" w:type="dxa"/>
            <w:shd w:val="clear" w:color="000000" w:fill="E4DFEC"/>
            <w:vAlign w:val="center"/>
            <w:hideMark/>
          </w:tcPr>
          <w:p w:rsidR="00F90726" w:rsidRPr="00F90726" w:rsidRDefault="00F90726" w:rsidP="00634AD9">
            <w:pPr>
              <w:jc w:val="center"/>
              <w:rPr>
                <w:b/>
                <w:bCs/>
                <w:color w:val="000000"/>
                <w:sz w:val="16"/>
                <w:szCs w:val="16"/>
              </w:rPr>
            </w:pPr>
            <w:r w:rsidRPr="00F90726">
              <w:rPr>
                <w:b/>
                <w:bCs/>
                <w:color w:val="000000"/>
                <w:sz w:val="16"/>
                <w:szCs w:val="16"/>
              </w:rPr>
              <w:t>0</w:t>
            </w:r>
          </w:p>
        </w:tc>
        <w:tc>
          <w:tcPr>
            <w:tcW w:w="616" w:type="dxa"/>
            <w:shd w:val="clear" w:color="000000" w:fill="E4DFEC"/>
            <w:vAlign w:val="center"/>
            <w:hideMark/>
          </w:tcPr>
          <w:p w:rsidR="00F90726" w:rsidRPr="00F90726" w:rsidRDefault="00F90726" w:rsidP="00634AD9">
            <w:pPr>
              <w:jc w:val="center"/>
              <w:rPr>
                <w:b/>
                <w:bCs/>
                <w:color w:val="000000"/>
                <w:sz w:val="16"/>
                <w:szCs w:val="16"/>
              </w:rPr>
            </w:pPr>
            <w:r w:rsidRPr="00F90726">
              <w:rPr>
                <w:b/>
                <w:bCs/>
                <w:color w:val="000000"/>
                <w:sz w:val="16"/>
                <w:szCs w:val="16"/>
              </w:rPr>
              <w:t>0,2</w:t>
            </w:r>
          </w:p>
        </w:tc>
        <w:tc>
          <w:tcPr>
            <w:tcW w:w="595" w:type="dxa"/>
            <w:shd w:val="clear" w:color="000000" w:fill="E4DFEC"/>
            <w:vAlign w:val="center"/>
            <w:hideMark/>
          </w:tcPr>
          <w:p w:rsidR="00F90726" w:rsidRPr="00F90726" w:rsidRDefault="00F90726" w:rsidP="00634AD9">
            <w:pPr>
              <w:jc w:val="center"/>
              <w:rPr>
                <w:b/>
                <w:bCs/>
                <w:color w:val="000000"/>
                <w:sz w:val="16"/>
                <w:szCs w:val="16"/>
              </w:rPr>
            </w:pPr>
            <w:r w:rsidRPr="00F90726">
              <w:rPr>
                <w:b/>
                <w:bCs/>
                <w:color w:val="000000"/>
                <w:sz w:val="16"/>
                <w:szCs w:val="16"/>
              </w:rPr>
              <w:t>0</w:t>
            </w:r>
          </w:p>
        </w:tc>
        <w:tc>
          <w:tcPr>
            <w:tcW w:w="765" w:type="dxa"/>
            <w:shd w:val="clear" w:color="000000" w:fill="E4DFEC"/>
            <w:vAlign w:val="center"/>
            <w:hideMark/>
          </w:tcPr>
          <w:p w:rsidR="00F90726" w:rsidRPr="00F90726" w:rsidRDefault="00F90726" w:rsidP="00634AD9">
            <w:pPr>
              <w:jc w:val="center"/>
              <w:rPr>
                <w:b/>
                <w:bCs/>
                <w:color w:val="000000"/>
                <w:sz w:val="16"/>
                <w:szCs w:val="16"/>
              </w:rPr>
            </w:pPr>
            <w:r w:rsidRPr="00F90726">
              <w:rPr>
                <w:b/>
                <w:bCs/>
                <w:color w:val="000000"/>
                <w:sz w:val="16"/>
                <w:szCs w:val="16"/>
              </w:rPr>
              <w:t>12,88</w:t>
            </w:r>
          </w:p>
        </w:tc>
        <w:tc>
          <w:tcPr>
            <w:tcW w:w="659" w:type="dxa"/>
            <w:shd w:val="clear" w:color="000000" w:fill="E4DFEC"/>
            <w:vAlign w:val="center"/>
            <w:hideMark/>
          </w:tcPr>
          <w:p w:rsidR="00F90726" w:rsidRPr="00F90726" w:rsidRDefault="00F90726" w:rsidP="00634AD9">
            <w:pPr>
              <w:jc w:val="center"/>
              <w:rPr>
                <w:b/>
                <w:bCs/>
                <w:color w:val="000000"/>
                <w:sz w:val="16"/>
                <w:szCs w:val="16"/>
              </w:rPr>
            </w:pPr>
            <w:r w:rsidRPr="00F90726">
              <w:rPr>
                <w:b/>
                <w:bCs/>
                <w:color w:val="000000"/>
                <w:sz w:val="16"/>
                <w:szCs w:val="16"/>
              </w:rPr>
              <w:t>2,46</w:t>
            </w:r>
          </w:p>
        </w:tc>
        <w:tc>
          <w:tcPr>
            <w:tcW w:w="659" w:type="dxa"/>
            <w:shd w:val="clear" w:color="000000" w:fill="E4DFEC"/>
            <w:vAlign w:val="center"/>
            <w:hideMark/>
          </w:tcPr>
          <w:p w:rsidR="00F90726" w:rsidRPr="00F90726" w:rsidRDefault="00F90726" w:rsidP="00634AD9">
            <w:pPr>
              <w:jc w:val="center"/>
              <w:rPr>
                <w:b/>
                <w:bCs/>
                <w:color w:val="000000"/>
                <w:sz w:val="16"/>
                <w:szCs w:val="16"/>
              </w:rPr>
            </w:pPr>
            <w:r w:rsidRPr="00F90726">
              <w:rPr>
                <w:b/>
                <w:bCs/>
                <w:color w:val="000000"/>
                <w:sz w:val="16"/>
                <w:szCs w:val="16"/>
              </w:rPr>
              <w:t>0,52</w:t>
            </w:r>
          </w:p>
        </w:tc>
        <w:tc>
          <w:tcPr>
            <w:tcW w:w="850" w:type="dxa"/>
            <w:shd w:val="clear" w:color="000000" w:fill="E4DFEC"/>
            <w:vAlign w:val="center"/>
            <w:hideMark/>
          </w:tcPr>
          <w:p w:rsidR="00F90726" w:rsidRPr="00F90726" w:rsidRDefault="00F90726" w:rsidP="00634AD9">
            <w:pPr>
              <w:jc w:val="center"/>
              <w:rPr>
                <w:b/>
                <w:bCs/>
                <w:color w:val="000000"/>
                <w:sz w:val="16"/>
                <w:szCs w:val="16"/>
              </w:rPr>
            </w:pPr>
            <w:r w:rsidRPr="00F90726">
              <w:rPr>
                <w:b/>
                <w:bCs/>
                <w:color w:val="000000"/>
                <w:sz w:val="16"/>
                <w:szCs w:val="16"/>
              </w:rPr>
              <w:t>1,58</w:t>
            </w:r>
          </w:p>
        </w:tc>
        <w:tc>
          <w:tcPr>
            <w:tcW w:w="531" w:type="dxa"/>
            <w:shd w:val="clear" w:color="000000" w:fill="E4DFEC"/>
            <w:vAlign w:val="center"/>
            <w:hideMark/>
          </w:tcPr>
          <w:p w:rsidR="00F90726" w:rsidRPr="00F90726" w:rsidRDefault="00F90726" w:rsidP="00634AD9">
            <w:pPr>
              <w:jc w:val="center"/>
              <w:rPr>
                <w:b/>
                <w:bCs/>
                <w:color w:val="000000"/>
                <w:sz w:val="16"/>
                <w:szCs w:val="16"/>
              </w:rPr>
            </w:pPr>
            <w:r w:rsidRPr="00F90726">
              <w:rPr>
                <w:b/>
                <w:bCs/>
                <w:color w:val="000000"/>
                <w:sz w:val="16"/>
                <w:szCs w:val="16"/>
              </w:rPr>
              <w:t>0,3</w:t>
            </w:r>
          </w:p>
        </w:tc>
        <w:tc>
          <w:tcPr>
            <w:tcW w:w="616" w:type="dxa"/>
            <w:shd w:val="clear" w:color="000000" w:fill="E4DFEC"/>
            <w:vAlign w:val="center"/>
            <w:hideMark/>
          </w:tcPr>
          <w:p w:rsidR="00F90726" w:rsidRPr="00F90726" w:rsidRDefault="00F90726" w:rsidP="00634AD9">
            <w:pPr>
              <w:jc w:val="center"/>
              <w:rPr>
                <w:b/>
                <w:bCs/>
                <w:color w:val="000000"/>
                <w:sz w:val="16"/>
                <w:szCs w:val="16"/>
              </w:rPr>
            </w:pPr>
            <w:r w:rsidRPr="00F90726">
              <w:rPr>
                <w:b/>
                <w:bCs/>
                <w:color w:val="000000"/>
                <w:sz w:val="16"/>
                <w:szCs w:val="16"/>
              </w:rPr>
              <w:t>0,06</w:t>
            </w:r>
          </w:p>
        </w:tc>
        <w:tc>
          <w:tcPr>
            <w:tcW w:w="808" w:type="dxa"/>
            <w:shd w:val="clear" w:color="000000" w:fill="E4DFEC"/>
            <w:vAlign w:val="center"/>
            <w:hideMark/>
          </w:tcPr>
          <w:p w:rsidR="00F90726" w:rsidRPr="00F90726" w:rsidRDefault="00F90726" w:rsidP="00634AD9">
            <w:pPr>
              <w:jc w:val="center"/>
              <w:rPr>
                <w:b/>
                <w:bCs/>
                <w:color w:val="000000"/>
                <w:sz w:val="16"/>
                <w:szCs w:val="16"/>
              </w:rPr>
            </w:pPr>
            <w:r w:rsidRPr="00F90726">
              <w:rPr>
                <w:b/>
                <w:bCs/>
                <w:color w:val="000000"/>
                <w:sz w:val="16"/>
                <w:szCs w:val="16"/>
              </w:rPr>
              <w:t>3,74</w:t>
            </w:r>
          </w:p>
        </w:tc>
        <w:tc>
          <w:tcPr>
            <w:tcW w:w="744" w:type="dxa"/>
            <w:shd w:val="clear" w:color="000000" w:fill="E4DFEC"/>
            <w:vAlign w:val="center"/>
            <w:hideMark/>
          </w:tcPr>
          <w:p w:rsidR="00F90726" w:rsidRPr="00F90726" w:rsidRDefault="00F90726" w:rsidP="00634AD9">
            <w:pPr>
              <w:jc w:val="center"/>
              <w:rPr>
                <w:b/>
                <w:bCs/>
                <w:color w:val="000000"/>
                <w:sz w:val="16"/>
                <w:szCs w:val="16"/>
              </w:rPr>
            </w:pPr>
            <w:r w:rsidRPr="00F90726">
              <w:rPr>
                <w:b/>
                <w:bCs/>
                <w:color w:val="000000"/>
                <w:sz w:val="16"/>
                <w:szCs w:val="16"/>
              </w:rPr>
              <w:t>0,71</w:t>
            </w:r>
          </w:p>
        </w:tc>
        <w:tc>
          <w:tcPr>
            <w:tcW w:w="680" w:type="dxa"/>
            <w:shd w:val="clear" w:color="000000" w:fill="E4DFEC"/>
            <w:vAlign w:val="center"/>
            <w:hideMark/>
          </w:tcPr>
          <w:p w:rsidR="00F90726" w:rsidRPr="00F90726" w:rsidRDefault="00F90726" w:rsidP="00634AD9">
            <w:pPr>
              <w:jc w:val="center"/>
              <w:rPr>
                <w:b/>
                <w:bCs/>
                <w:color w:val="000000"/>
                <w:sz w:val="16"/>
                <w:szCs w:val="16"/>
              </w:rPr>
            </w:pPr>
            <w:r w:rsidRPr="00F90726">
              <w:rPr>
                <w:b/>
                <w:bCs/>
                <w:color w:val="000000"/>
                <w:sz w:val="16"/>
                <w:szCs w:val="16"/>
              </w:rPr>
              <w:t>0,14</w:t>
            </w:r>
          </w:p>
        </w:tc>
        <w:tc>
          <w:tcPr>
            <w:tcW w:w="744"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-3,15</w:t>
            </w:r>
          </w:p>
        </w:tc>
        <w:tc>
          <w:tcPr>
            <w:tcW w:w="616"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-0,60</w:t>
            </w:r>
          </w:p>
        </w:tc>
        <w:tc>
          <w:tcPr>
            <w:tcW w:w="574"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-0,12</w:t>
            </w:r>
          </w:p>
        </w:tc>
      </w:tr>
      <w:tr w:rsidR="00F90726" w:rsidRPr="00F90726" w:rsidTr="00634AD9">
        <w:trPr>
          <w:trHeight w:val="222"/>
        </w:trPr>
        <w:tc>
          <w:tcPr>
            <w:tcW w:w="841" w:type="dxa"/>
            <w:shd w:val="clear" w:color="000000" w:fill="FFFFFF"/>
            <w:vAlign w:val="center"/>
            <w:hideMark/>
          </w:tcPr>
          <w:p w:rsidR="00F90726" w:rsidRPr="00F90726" w:rsidRDefault="00F90726" w:rsidP="00634AD9">
            <w:pPr>
              <w:jc w:val="center"/>
              <w:rPr>
                <w:color w:val="000000"/>
                <w:sz w:val="16"/>
                <w:szCs w:val="16"/>
              </w:rPr>
            </w:pPr>
            <w:r w:rsidRPr="00F90726">
              <w:rPr>
                <w:color w:val="000000"/>
                <w:sz w:val="16"/>
                <w:szCs w:val="16"/>
              </w:rPr>
              <w:t>2.1</w:t>
            </w:r>
          </w:p>
        </w:tc>
        <w:tc>
          <w:tcPr>
            <w:tcW w:w="871"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3 912,66</w:t>
            </w:r>
          </w:p>
        </w:tc>
        <w:tc>
          <w:tcPr>
            <w:tcW w:w="744"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148,51</w:t>
            </w:r>
          </w:p>
        </w:tc>
        <w:tc>
          <w:tcPr>
            <w:tcW w:w="595" w:type="dxa"/>
            <w:shd w:val="clear" w:color="000000" w:fill="FFFFFF"/>
            <w:vAlign w:val="center"/>
            <w:hideMark/>
          </w:tcPr>
          <w:p w:rsidR="00F90726" w:rsidRPr="00F90726" w:rsidRDefault="00F90726" w:rsidP="00634AD9">
            <w:pPr>
              <w:jc w:val="center"/>
              <w:rPr>
                <w:color w:val="000000"/>
                <w:sz w:val="16"/>
                <w:szCs w:val="16"/>
              </w:rPr>
            </w:pPr>
            <w:r w:rsidRPr="00F90726">
              <w:rPr>
                <w:color w:val="000000"/>
                <w:sz w:val="16"/>
                <w:szCs w:val="16"/>
              </w:rPr>
              <w:t>0</w:t>
            </w:r>
          </w:p>
        </w:tc>
        <w:tc>
          <w:tcPr>
            <w:tcW w:w="680"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0,00</w:t>
            </w:r>
          </w:p>
        </w:tc>
        <w:tc>
          <w:tcPr>
            <w:tcW w:w="553"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0,00</w:t>
            </w:r>
          </w:p>
        </w:tc>
        <w:tc>
          <w:tcPr>
            <w:tcW w:w="616"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1,12</w:t>
            </w:r>
          </w:p>
        </w:tc>
        <w:tc>
          <w:tcPr>
            <w:tcW w:w="595"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3</w:t>
            </w:r>
          </w:p>
        </w:tc>
        <w:tc>
          <w:tcPr>
            <w:tcW w:w="765"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-20,65</w:t>
            </w:r>
          </w:p>
        </w:tc>
        <w:tc>
          <w:tcPr>
            <w:tcW w:w="659"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-0,53</w:t>
            </w:r>
          </w:p>
        </w:tc>
        <w:tc>
          <w:tcPr>
            <w:tcW w:w="659"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-0,09</w:t>
            </w:r>
          </w:p>
        </w:tc>
        <w:tc>
          <w:tcPr>
            <w:tcW w:w="850"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228,02</w:t>
            </w:r>
          </w:p>
        </w:tc>
        <w:tc>
          <w:tcPr>
            <w:tcW w:w="531"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5,83</w:t>
            </w:r>
          </w:p>
        </w:tc>
        <w:tc>
          <w:tcPr>
            <w:tcW w:w="616"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8,39</w:t>
            </w:r>
          </w:p>
        </w:tc>
        <w:tc>
          <w:tcPr>
            <w:tcW w:w="808"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194,80</w:t>
            </w:r>
          </w:p>
        </w:tc>
        <w:tc>
          <w:tcPr>
            <w:tcW w:w="744"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4,98</w:t>
            </w:r>
          </w:p>
        </w:tc>
        <w:tc>
          <w:tcPr>
            <w:tcW w:w="680"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7,15</w:t>
            </w:r>
          </w:p>
        </w:tc>
        <w:tc>
          <w:tcPr>
            <w:tcW w:w="744"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61,52</w:t>
            </w:r>
          </w:p>
        </w:tc>
        <w:tc>
          <w:tcPr>
            <w:tcW w:w="616"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1,57</w:t>
            </w:r>
          </w:p>
        </w:tc>
        <w:tc>
          <w:tcPr>
            <w:tcW w:w="574"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2,19</w:t>
            </w:r>
          </w:p>
        </w:tc>
      </w:tr>
      <w:tr w:rsidR="00F90726" w:rsidRPr="00F90726" w:rsidTr="00634AD9">
        <w:trPr>
          <w:trHeight w:val="236"/>
        </w:trPr>
        <w:tc>
          <w:tcPr>
            <w:tcW w:w="841" w:type="dxa"/>
            <w:shd w:val="clear" w:color="000000" w:fill="E4DFEC"/>
            <w:vAlign w:val="center"/>
            <w:hideMark/>
          </w:tcPr>
          <w:p w:rsidR="00F90726" w:rsidRPr="00F90726" w:rsidRDefault="00F90726" w:rsidP="00634AD9">
            <w:pPr>
              <w:jc w:val="center"/>
              <w:rPr>
                <w:b/>
                <w:bCs/>
                <w:color w:val="000000"/>
                <w:sz w:val="16"/>
                <w:szCs w:val="16"/>
              </w:rPr>
            </w:pPr>
            <w:r w:rsidRPr="00F90726">
              <w:rPr>
                <w:b/>
                <w:bCs/>
                <w:color w:val="000000"/>
                <w:sz w:val="16"/>
                <w:szCs w:val="16"/>
              </w:rPr>
              <w:t>2.1</w:t>
            </w:r>
          </w:p>
        </w:tc>
        <w:tc>
          <w:tcPr>
            <w:tcW w:w="871"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3 912,66</w:t>
            </w:r>
          </w:p>
        </w:tc>
        <w:tc>
          <w:tcPr>
            <w:tcW w:w="744"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148,51</w:t>
            </w:r>
          </w:p>
        </w:tc>
        <w:tc>
          <w:tcPr>
            <w:tcW w:w="595" w:type="dxa"/>
            <w:shd w:val="clear" w:color="000000" w:fill="E4DFEC"/>
            <w:vAlign w:val="center"/>
            <w:hideMark/>
          </w:tcPr>
          <w:p w:rsidR="00F90726" w:rsidRPr="00F90726" w:rsidRDefault="00F90726" w:rsidP="00634AD9">
            <w:pPr>
              <w:jc w:val="center"/>
              <w:rPr>
                <w:b/>
                <w:bCs/>
                <w:color w:val="000000"/>
                <w:sz w:val="16"/>
                <w:szCs w:val="16"/>
              </w:rPr>
            </w:pPr>
            <w:r w:rsidRPr="00F90726">
              <w:rPr>
                <w:b/>
                <w:bCs/>
                <w:color w:val="000000"/>
                <w:sz w:val="16"/>
                <w:szCs w:val="16"/>
              </w:rPr>
              <w:t>0</w:t>
            </w:r>
          </w:p>
        </w:tc>
        <w:tc>
          <w:tcPr>
            <w:tcW w:w="680"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0,00</w:t>
            </w:r>
          </w:p>
        </w:tc>
        <w:tc>
          <w:tcPr>
            <w:tcW w:w="553"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0,00</w:t>
            </w:r>
          </w:p>
        </w:tc>
        <w:tc>
          <w:tcPr>
            <w:tcW w:w="616"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1,12</w:t>
            </w:r>
          </w:p>
        </w:tc>
        <w:tc>
          <w:tcPr>
            <w:tcW w:w="595"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3</w:t>
            </w:r>
          </w:p>
        </w:tc>
        <w:tc>
          <w:tcPr>
            <w:tcW w:w="765"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-20,65</w:t>
            </w:r>
          </w:p>
        </w:tc>
        <w:tc>
          <w:tcPr>
            <w:tcW w:w="659"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-0,53</w:t>
            </w:r>
          </w:p>
        </w:tc>
        <w:tc>
          <w:tcPr>
            <w:tcW w:w="659"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-0,09</w:t>
            </w:r>
          </w:p>
        </w:tc>
        <w:tc>
          <w:tcPr>
            <w:tcW w:w="850"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228,02</w:t>
            </w:r>
          </w:p>
        </w:tc>
        <w:tc>
          <w:tcPr>
            <w:tcW w:w="531"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5,83</w:t>
            </w:r>
          </w:p>
        </w:tc>
        <w:tc>
          <w:tcPr>
            <w:tcW w:w="616"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8,39</w:t>
            </w:r>
          </w:p>
        </w:tc>
        <w:tc>
          <w:tcPr>
            <w:tcW w:w="808"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194,80</w:t>
            </w:r>
          </w:p>
        </w:tc>
        <w:tc>
          <w:tcPr>
            <w:tcW w:w="744"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4,98</w:t>
            </w:r>
          </w:p>
        </w:tc>
        <w:tc>
          <w:tcPr>
            <w:tcW w:w="680"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7,15</w:t>
            </w:r>
          </w:p>
        </w:tc>
        <w:tc>
          <w:tcPr>
            <w:tcW w:w="744"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61,52</w:t>
            </w:r>
          </w:p>
        </w:tc>
        <w:tc>
          <w:tcPr>
            <w:tcW w:w="616"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1,57</w:t>
            </w:r>
          </w:p>
        </w:tc>
        <w:tc>
          <w:tcPr>
            <w:tcW w:w="574"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2,19</w:t>
            </w:r>
          </w:p>
        </w:tc>
      </w:tr>
      <w:tr w:rsidR="00F90726" w:rsidRPr="00F90726" w:rsidTr="00634AD9">
        <w:trPr>
          <w:trHeight w:val="222"/>
        </w:trPr>
        <w:tc>
          <w:tcPr>
            <w:tcW w:w="841" w:type="dxa"/>
            <w:shd w:val="clear" w:color="000000" w:fill="FFFFFF"/>
            <w:vAlign w:val="center"/>
            <w:hideMark/>
          </w:tcPr>
          <w:p w:rsidR="00F90726" w:rsidRPr="00F90726" w:rsidRDefault="00F90726" w:rsidP="00634AD9">
            <w:pPr>
              <w:jc w:val="center"/>
              <w:rPr>
                <w:color w:val="000000"/>
                <w:sz w:val="16"/>
                <w:szCs w:val="16"/>
              </w:rPr>
            </w:pPr>
            <w:r w:rsidRPr="00F90726">
              <w:rPr>
                <w:color w:val="000000"/>
                <w:sz w:val="16"/>
                <w:szCs w:val="16"/>
              </w:rPr>
              <w:t>3.1</w:t>
            </w:r>
          </w:p>
        </w:tc>
        <w:tc>
          <w:tcPr>
            <w:tcW w:w="871" w:type="dxa"/>
            <w:shd w:val="clear" w:color="000000" w:fill="FFFFFF"/>
            <w:vAlign w:val="center"/>
            <w:hideMark/>
          </w:tcPr>
          <w:p w:rsidR="00F90726" w:rsidRPr="00F90726" w:rsidRDefault="00F90726" w:rsidP="00634AD9">
            <w:pPr>
              <w:jc w:val="center"/>
              <w:rPr>
                <w:color w:val="000000"/>
                <w:sz w:val="16"/>
                <w:szCs w:val="16"/>
              </w:rPr>
            </w:pPr>
            <w:r w:rsidRPr="00F90726">
              <w:rPr>
                <w:color w:val="000000"/>
                <w:sz w:val="16"/>
                <w:szCs w:val="16"/>
              </w:rPr>
              <w:t>1472,06</w:t>
            </w:r>
          </w:p>
        </w:tc>
        <w:tc>
          <w:tcPr>
            <w:tcW w:w="744"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54,64</w:t>
            </w:r>
          </w:p>
        </w:tc>
        <w:tc>
          <w:tcPr>
            <w:tcW w:w="595" w:type="dxa"/>
            <w:shd w:val="clear" w:color="000000" w:fill="FFFFFF"/>
            <w:vAlign w:val="center"/>
            <w:hideMark/>
          </w:tcPr>
          <w:p w:rsidR="00F90726" w:rsidRPr="00F90726" w:rsidRDefault="00F90726" w:rsidP="00634AD9">
            <w:pPr>
              <w:jc w:val="center"/>
              <w:rPr>
                <w:color w:val="000000"/>
                <w:sz w:val="16"/>
                <w:szCs w:val="16"/>
              </w:rPr>
            </w:pPr>
            <w:r w:rsidRPr="00F90726">
              <w:rPr>
                <w:color w:val="000000"/>
                <w:sz w:val="16"/>
                <w:szCs w:val="16"/>
              </w:rPr>
              <w:t>0</w:t>
            </w:r>
          </w:p>
        </w:tc>
        <w:tc>
          <w:tcPr>
            <w:tcW w:w="680"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0,00</w:t>
            </w:r>
          </w:p>
        </w:tc>
        <w:tc>
          <w:tcPr>
            <w:tcW w:w="553"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0,00</w:t>
            </w:r>
          </w:p>
        </w:tc>
        <w:tc>
          <w:tcPr>
            <w:tcW w:w="616"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0,89</w:t>
            </w:r>
          </w:p>
        </w:tc>
        <w:tc>
          <w:tcPr>
            <w:tcW w:w="595"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w:t>
            </w:r>
          </w:p>
        </w:tc>
        <w:tc>
          <w:tcPr>
            <w:tcW w:w="765"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-7,89</w:t>
            </w:r>
          </w:p>
        </w:tc>
        <w:tc>
          <w:tcPr>
            <w:tcW w:w="659"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-0,54</w:t>
            </w:r>
          </w:p>
        </w:tc>
        <w:tc>
          <w:tcPr>
            <w:tcW w:w="659"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-0,07</w:t>
            </w:r>
          </w:p>
        </w:tc>
        <w:tc>
          <w:tcPr>
            <w:tcW w:w="850"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167,91</w:t>
            </w:r>
          </w:p>
        </w:tc>
        <w:tc>
          <w:tcPr>
            <w:tcW w:w="531"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11,41</w:t>
            </w:r>
          </w:p>
        </w:tc>
        <w:tc>
          <w:tcPr>
            <w:tcW w:w="616"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6,19</w:t>
            </w:r>
          </w:p>
        </w:tc>
        <w:tc>
          <w:tcPr>
            <w:tcW w:w="808"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138,66</w:t>
            </w:r>
          </w:p>
        </w:tc>
        <w:tc>
          <w:tcPr>
            <w:tcW w:w="744"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9,42</w:t>
            </w:r>
          </w:p>
        </w:tc>
        <w:tc>
          <w:tcPr>
            <w:tcW w:w="680"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5,09</w:t>
            </w:r>
          </w:p>
        </w:tc>
        <w:tc>
          <w:tcPr>
            <w:tcW w:w="744"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101,59</w:t>
            </w:r>
          </w:p>
        </w:tc>
        <w:tc>
          <w:tcPr>
            <w:tcW w:w="616"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6,90</w:t>
            </w:r>
          </w:p>
        </w:tc>
        <w:tc>
          <w:tcPr>
            <w:tcW w:w="574"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3,69</w:t>
            </w:r>
          </w:p>
        </w:tc>
      </w:tr>
      <w:tr w:rsidR="00F90726" w:rsidRPr="00F90726" w:rsidTr="00634AD9">
        <w:trPr>
          <w:trHeight w:val="222"/>
        </w:trPr>
        <w:tc>
          <w:tcPr>
            <w:tcW w:w="841" w:type="dxa"/>
            <w:shd w:val="clear" w:color="000000" w:fill="FFFFFF"/>
            <w:vAlign w:val="center"/>
            <w:hideMark/>
          </w:tcPr>
          <w:p w:rsidR="00F90726" w:rsidRPr="00F90726" w:rsidRDefault="00F90726" w:rsidP="00634AD9">
            <w:pPr>
              <w:jc w:val="center"/>
              <w:rPr>
                <w:color w:val="000000"/>
                <w:sz w:val="16"/>
                <w:szCs w:val="16"/>
              </w:rPr>
            </w:pPr>
            <w:r w:rsidRPr="00F90726">
              <w:rPr>
                <w:color w:val="000000"/>
                <w:sz w:val="16"/>
                <w:szCs w:val="16"/>
              </w:rPr>
              <w:lastRenderedPageBreak/>
              <w:t>3.2</w:t>
            </w:r>
          </w:p>
        </w:tc>
        <w:tc>
          <w:tcPr>
            <w:tcW w:w="871"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6 501,32</w:t>
            </w:r>
          </w:p>
        </w:tc>
        <w:tc>
          <w:tcPr>
            <w:tcW w:w="744"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248,48</w:t>
            </w:r>
          </w:p>
        </w:tc>
        <w:tc>
          <w:tcPr>
            <w:tcW w:w="595" w:type="dxa"/>
            <w:shd w:val="clear" w:color="000000" w:fill="FFFFFF"/>
            <w:vAlign w:val="center"/>
            <w:hideMark/>
          </w:tcPr>
          <w:p w:rsidR="00F90726" w:rsidRPr="00F90726" w:rsidRDefault="00F90726" w:rsidP="00634AD9">
            <w:pPr>
              <w:jc w:val="center"/>
              <w:rPr>
                <w:color w:val="000000"/>
                <w:sz w:val="16"/>
                <w:szCs w:val="16"/>
              </w:rPr>
            </w:pPr>
            <w:r w:rsidRPr="00F90726">
              <w:rPr>
                <w:color w:val="000000"/>
                <w:sz w:val="16"/>
                <w:szCs w:val="16"/>
              </w:rPr>
              <w:t>0</w:t>
            </w:r>
          </w:p>
        </w:tc>
        <w:tc>
          <w:tcPr>
            <w:tcW w:w="680"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0,00</w:t>
            </w:r>
          </w:p>
        </w:tc>
        <w:tc>
          <w:tcPr>
            <w:tcW w:w="553"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0,00</w:t>
            </w:r>
          </w:p>
        </w:tc>
        <w:tc>
          <w:tcPr>
            <w:tcW w:w="616"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2,33</w:t>
            </w:r>
          </w:p>
        </w:tc>
        <w:tc>
          <w:tcPr>
            <w:tcW w:w="595"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15</w:t>
            </w:r>
          </w:p>
        </w:tc>
        <w:tc>
          <w:tcPr>
            <w:tcW w:w="765"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1 582,79</w:t>
            </w:r>
          </w:p>
        </w:tc>
        <w:tc>
          <w:tcPr>
            <w:tcW w:w="659"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24,35</w:t>
            </w:r>
          </w:p>
        </w:tc>
        <w:tc>
          <w:tcPr>
            <w:tcW w:w="659"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58,91</w:t>
            </w:r>
          </w:p>
        </w:tc>
        <w:tc>
          <w:tcPr>
            <w:tcW w:w="850"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508,87</w:t>
            </w:r>
          </w:p>
        </w:tc>
        <w:tc>
          <w:tcPr>
            <w:tcW w:w="531"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7,83</w:t>
            </w:r>
          </w:p>
        </w:tc>
        <w:tc>
          <w:tcPr>
            <w:tcW w:w="616"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18,74</w:t>
            </w:r>
          </w:p>
        </w:tc>
        <w:tc>
          <w:tcPr>
            <w:tcW w:w="808"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390,49</w:t>
            </w:r>
          </w:p>
        </w:tc>
        <w:tc>
          <w:tcPr>
            <w:tcW w:w="744"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6,01</w:t>
            </w:r>
          </w:p>
        </w:tc>
        <w:tc>
          <w:tcPr>
            <w:tcW w:w="680"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14,35</w:t>
            </w:r>
          </w:p>
        </w:tc>
        <w:tc>
          <w:tcPr>
            <w:tcW w:w="744"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63,54</w:t>
            </w:r>
          </w:p>
        </w:tc>
        <w:tc>
          <w:tcPr>
            <w:tcW w:w="616"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0,98</w:t>
            </w:r>
          </w:p>
        </w:tc>
        <w:tc>
          <w:tcPr>
            <w:tcW w:w="574"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2,01</w:t>
            </w:r>
          </w:p>
        </w:tc>
      </w:tr>
      <w:tr w:rsidR="00F90726" w:rsidRPr="00F90726" w:rsidTr="00634AD9">
        <w:trPr>
          <w:trHeight w:val="222"/>
        </w:trPr>
        <w:tc>
          <w:tcPr>
            <w:tcW w:w="841" w:type="dxa"/>
            <w:shd w:val="clear" w:color="000000" w:fill="FFFFFF"/>
            <w:vAlign w:val="center"/>
            <w:hideMark/>
          </w:tcPr>
          <w:p w:rsidR="00F90726" w:rsidRPr="00F90726" w:rsidRDefault="00F90726" w:rsidP="00634AD9">
            <w:pPr>
              <w:jc w:val="center"/>
              <w:rPr>
                <w:color w:val="000000"/>
                <w:sz w:val="16"/>
                <w:szCs w:val="16"/>
              </w:rPr>
            </w:pPr>
            <w:r w:rsidRPr="00F90726">
              <w:rPr>
                <w:color w:val="000000"/>
                <w:sz w:val="16"/>
                <w:szCs w:val="16"/>
              </w:rPr>
              <w:t>3.3</w:t>
            </w:r>
          </w:p>
        </w:tc>
        <w:tc>
          <w:tcPr>
            <w:tcW w:w="871"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1 065,43</w:t>
            </w:r>
          </w:p>
        </w:tc>
        <w:tc>
          <w:tcPr>
            <w:tcW w:w="744"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40,21</w:t>
            </w:r>
          </w:p>
        </w:tc>
        <w:tc>
          <w:tcPr>
            <w:tcW w:w="595" w:type="dxa"/>
            <w:shd w:val="clear" w:color="000000" w:fill="FFFFFF"/>
            <w:vAlign w:val="center"/>
            <w:hideMark/>
          </w:tcPr>
          <w:p w:rsidR="00F90726" w:rsidRPr="00F90726" w:rsidRDefault="00F90726" w:rsidP="00634AD9">
            <w:pPr>
              <w:jc w:val="center"/>
              <w:rPr>
                <w:color w:val="000000"/>
                <w:sz w:val="16"/>
                <w:szCs w:val="16"/>
              </w:rPr>
            </w:pPr>
            <w:r w:rsidRPr="00F90726">
              <w:rPr>
                <w:color w:val="000000"/>
                <w:sz w:val="16"/>
                <w:szCs w:val="16"/>
              </w:rPr>
              <w:t>0</w:t>
            </w:r>
          </w:p>
        </w:tc>
        <w:tc>
          <w:tcPr>
            <w:tcW w:w="680"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0,00</w:t>
            </w:r>
          </w:p>
        </w:tc>
        <w:tc>
          <w:tcPr>
            <w:tcW w:w="553"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0,00</w:t>
            </w:r>
          </w:p>
        </w:tc>
        <w:tc>
          <w:tcPr>
            <w:tcW w:w="616"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0,47</w:t>
            </w:r>
          </w:p>
        </w:tc>
        <w:tc>
          <w:tcPr>
            <w:tcW w:w="595"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w:t>
            </w:r>
          </w:p>
        </w:tc>
        <w:tc>
          <w:tcPr>
            <w:tcW w:w="765"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-5,95</w:t>
            </w:r>
          </w:p>
        </w:tc>
        <w:tc>
          <w:tcPr>
            <w:tcW w:w="659"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-0,56</w:t>
            </w:r>
          </w:p>
        </w:tc>
        <w:tc>
          <w:tcPr>
            <w:tcW w:w="659"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-0,11</w:t>
            </w:r>
          </w:p>
        </w:tc>
        <w:tc>
          <w:tcPr>
            <w:tcW w:w="850"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0,68</w:t>
            </w:r>
          </w:p>
        </w:tc>
        <w:tc>
          <w:tcPr>
            <w:tcW w:w="531"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0,06</w:t>
            </w:r>
          </w:p>
        </w:tc>
        <w:tc>
          <w:tcPr>
            <w:tcW w:w="616"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0,03</w:t>
            </w:r>
          </w:p>
        </w:tc>
        <w:tc>
          <w:tcPr>
            <w:tcW w:w="808"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0,68</w:t>
            </w:r>
          </w:p>
        </w:tc>
        <w:tc>
          <w:tcPr>
            <w:tcW w:w="744"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0,06</w:t>
            </w:r>
          </w:p>
        </w:tc>
        <w:tc>
          <w:tcPr>
            <w:tcW w:w="680"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0,03</w:t>
            </w:r>
          </w:p>
        </w:tc>
        <w:tc>
          <w:tcPr>
            <w:tcW w:w="744"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-160,11</w:t>
            </w:r>
          </w:p>
        </w:tc>
        <w:tc>
          <w:tcPr>
            <w:tcW w:w="616"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-15,03</w:t>
            </w:r>
          </w:p>
        </w:tc>
        <w:tc>
          <w:tcPr>
            <w:tcW w:w="574"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-6,22</w:t>
            </w:r>
          </w:p>
        </w:tc>
      </w:tr>
      <w:tr w:rsidR="00F90726" w:rsidRPr="00F90726" w:rsidTr="00634AD9">
        <w:trPr>
          <w:trHeight w:val="222"/>
        </w:trPr>
        <w:tc>
          <w:tcPr>
            <w:tcW w:w="841" w:type="dxa"/>
            <w:shd w:val="clear" w:color="000000" w:fill="FFFFFF"/>
            <w:vAlign w:val="center"/>
            <w:hideMark/>
          </w:tcPr>
          <w:p w:rsidR="00F90726" w:rsidRPr="00F90726" w:rsidRDefault="00F90726" w:rsidP="00634AD9">
            <w:pPr>
              <w:jc w:val="center"/>
              <w:rPr>
                <w:color w:val="000000"/>
                <w:sz w:val="16"/>
                <w:szCs w:val="16"/>
              </w:rPr>
            </w:pPr>
            <w:r w:rsidRPr="00F90726">
              <w:rPr>
                <w:color w:val="000000"/>
                <w:sz w:val="16"/>
                <w:szCs w:val="16"/>
              </w:rPr>
              <w:t>3.4</w:t>
            </w:r>
          </w:p>
        </w:tc>
        <w:tc>
          <w:tcPr>
            <w:tcW w:w="871"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7 294,69</w:t>
            </w:r>
          </w:p>
        </w:tc>
        <w:tc>
          <w:tcPr>
            <w:tcW w:w="744"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271,29</w:t>
            </w:r>
          </w:p>
        </w:tc>
        <w:tc>
          <w:tcPr>
            <w:tcW w:w="595" w:type="dxa"/>
            <w:shd w:val="clear" w:color="000000" w:fill="FFFFFF"/>
            <w:vAlign w:val="center"/>
            <w:hideMark/>
          </w:tcPr>
          <w:p w:rsidR="00F90726" w:rsidRPr="00F90726" w:rsidRDefault="00F90726" w:rsidP="00634AD9">
            <w:pPr>
              <w:jc w:val="center"/>
              <w:rPr>
                <w:color w:val="000000"/>
                <w:sz w:val="16"/>
                <w:szCs w:val="16"/>
              </w:rPr>
            </w:pPr>
            <w:r w:rsidRPr="00F90726">
              <w:rPr>
                <w:color w:val="000000"/>
                <w:sz w:val="16"/>
                <w:szCs w:val="16"/>
              </w:rPr>
              <w:t>0</w:t>
            </w:r>
          </w:p>
        </w:tc>
        <w:tc>
          <w:tcPr>
            <w:tcW w:w="680"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0,00</w:t>
            </w:r>
          </w:p>
        </w:tc>
        <w:tc>
          <w:tcPr>
            <w:tcW w:w="553"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0,00</w:t>
            </w:r>
          </w:p>
        </w:tc>
        <w:tc>
          <w:tcPr>
            <w:tcW w:w="616"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2,78</w:t>
            </w:r>
          </w:p>
        </w:tc>
        <w:tc>
          <w:tcPr>
            <w:tcW w:w="595"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-1</w:t>
            </w:r>
          </w:p>
        </w:tc>
        <w:tc>
          <w:tcPr>
            <w:tcW w:w="765"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-76,18</w:t>
            </w:r>
          </w:p>
        </w:tc>
        <w:tc>
          <w:tcPr>
            <w:tcW w:w="659"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-1,04</w:t>
            </w:r>
          </w:p>
        </w:tc>
        <w:tc>
          <w:tcPr>
            <w:tcW w:w="659"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-0,98</w:t>
            </w:r>
          </w:p>
        </w:tc>
        <w:tc>
          <w:tcPr>
            <w:tcW w:w="850"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233,55</w:t>
            </w:r>
          </w:p>
        </w:tc>
        <w:tc>
          <w:tcPr>
            <w:tcW w:w="531"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3,20</w:t>
            </w:r>
          </w:p>
        </w:tc>
        <w:tc>
          <w:tcPr>
            <w:tcW w:w="616"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8,59</w:t>
            </w:r>
          </w:p>
        </w:tc>
        <w:tc>
          <w:tcPr>
            <w:tcW w:w="808"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122,19</w:t>
            </w:r>
          </w:p>
        </w:tc>
        <w:tc>
          <w:tcPr>
            <w:tcW w:w="744"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1,68</w:t>
            </w:r>
          </w:p>
        </w:tc>
        <w:tc>
          <w:tcPr>
            <w:tcW w:w="680"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4,48</w:t>
            </w:r>
          </w:p>
        </w:tc>
        <w:tc>
          <w:tcPr>
            <w:tcW w:w="744"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68,62</w:t>
            </w:r>
          </w:p>
        </w:tc>
        <w:tc>
          <w:tcPr>
            <w:tcW w:w="616"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0,94</w:t>
            </w:r>
          </w:p>
        </w:tc>
        <w:tc>
          <w:tcPr>
            <w:tcW w:w="574"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2,50</w:t>
            </w:r>
          </w:p>
        </w:tc>
      </w:tr>
      <w:tr w:rsidR="00F90726" w:rsidRPr="00F90726" w:rsidTr="00634AD9">
        <w:trPr>
          <w:trHeight w:val="236"/>
        </w:trPr>
        <w:tc>
          <w:tcPr>
            <w:tcW w:w="841" w:type="dxa"/>
            <w:shd w:val="clear" w:color="000000" w:fill="E4DFEC"/>
            <w:vAlign w:val="center"/>
            <w:hideMark/>
          </w:tcPr>
          <w:p w:rsidR="00F90726" w:rsidRPr="00F90726" w:rsidRDefault="00F90726" w:rsidP="00634AD9">
            <w:pPr>
              <w:jc w:val="center"/>
              <w:rPr>
                <w:b/>
                <w:bCs/>
                <w:color w:val="000000"/>
                <w:sz w:val="16"/>
                <w:szCs w:val="16"/>
              </w:rPr>
            </w:pPr>
            <w:r w:rsidRPr="00F90726">
              <w:rPr>
                <w:b/>
                <w:bCs/>
                <w:color w:val="000000"/>
                <w:sz w:val="16"/>
                <w:szCs w:val="16"/>
              </w:rPr>
              <w:t>3</w:t>
            </w:r>
          </w:p>
        </w:tc>
        <w:tc>
          <w:tcPr>
            <w:tcW w:w="871"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16 333,50</w:t>
            </w:r>
          </w:p>
        </w:tc>
        <w:tc>
          <w:tcPr>
            <w:tcW w:w="744"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614,62</w:t>
            </w:r>
          </w:p>
        </w:tc>
        <w:tc>
          <w:tcPr>
            <w:tcW w:w="595" w:type="dxa"/>
            <w:shd w:val="clear" w:color="000000" w:fill="E4DFEC"/>
            <w:vAlign w:val="center"/>
            <w:hideMark/>
          </w:tcPr>
          <w:p w:rsidR="00F90726" w:rsidRPr="00F90726" w:rsidRDefault="00F90726" w:rsidP="00634AD9">
            <w:pPr>
              <w:jc w:val="center"/>
              <w:rPr>
                <w:b/>
                <w:bCs/>
                <w:color w:val="000000"/>
                <w:sz w:val="16"/>
                <w:szCs w:val="16"/>
              </w:rPr>
            </w:pPr>
            <w:r w:rsidRPr="00F90726">
              <w:rPr>
                <w:b/>
                <w:bCs/>
                <w:color w:val="000000"/>
                <w:sz w:val="16"/>
                <w:szCs w:val="16"/>
              </w:rPr>
              <w:t>0</w:t>
            </w:r>
          </w:p>
        </w:tc>
        <w:tc>
          <w:tcPr>
            <w:tcW w:w="680"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0,00</w:t>
            </w:r>
          </w:p>
        </w:tc>
        <w:tc>
          <w:tcPr>
            <w:tcW w:w="553"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0,00</w:t>
            </w:r>
          </w:p>
        </w:tc>
        <w:tc>
          <w:tcPr>
            <w:tcW w:w="616"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6,46</w:t>
            </w:r>
          </w:p>
        </w:tc>
        <w:tc>
          <w:tcPr>
            <w:tcW w:w="595"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14</w:t>
            </w:r>
          </w:p>
        </w:tc>
        <w:tc>
          <w:tcPr>
            <w:tcW w:w="765"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1 492,78</w:t>
            </w:r>
          </w:p>
        </w:tc>
        <w:tc>
          <w:tcPr>
            <w:tcW w:w="659"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9,14</w:t>
            </w:r>
          </w:p>
        </w:tc>
        <w:tc>
          <w:tcPr>
            <w:tcW w:w="659"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57,75</w:t>
            </w:r>
          </w:p>
        </w:tc>
        <w:tc>
          <w:tcPr>
            <w:tcW w:w="850"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911,01</w:t>
            </w:r>
          </w:p>
        </w:tc>
        <w:tc>
          <w:tcPr>
            <w:tcW w:w="531"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5,58</w:t>
            </w:r>
          </w:p>
        </w:tc>
        <w:tc>
          <w:tcPr>
            <w:tcW w:w="616"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33,54</w:t>
            </w:r>
          </w:p>
        </w:tc>
        <w:tc>
          <w:tcPr>
            <w:tcW w:w="808"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652,03</w:t>
            </w:r>
          </w:p>
        </w:tc>
        <w:tc>
          <w:tcPr>
            <w:tcW w:w="744"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3,99</w:t>
            </w:r>
          </w:p>
        </w:tc>
        <w:tc>
          <w:tcPr>
            <w:tcW w:w="680"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23,95</w:t>
            </w:r>
          </w:p>
        </w:tc>
        <w:tc>
          <w:tcPr>
            <w:tcW w:w="744"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73,64</w:t>
            </w:r>
          </w:p>
        </w:tc>
        <w:tc>
          <w:tcPr>
            <w:tcW w:w="616"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0,45</w:t>
            </w:r>
          </w:p>
        </w:tc>
        <w:tc>
          <w:tcPr>
            <w:tcW w:w="574"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1,98</w:t>
            </w:r>
          </w:p>
        </w:tc>
      </w:tr>
      <w:tr w:rsidR="00F90726" w:rsidRPr="00F90726" w:rsidTr="00634AD9">
        <w:trPr>
          <w:trHeight w:val="222"/>
        </w:trPr>
        <w:tc>
          <w:tcPr>
            <w:tcW w:w="841" w:type="dxa"/>
            <w:shd w:val="clear" w:color="000000" w:fill="FFFFFF"/>
            <w:vAlign w:val="center"/>
            <w:hideMark/>
          </w:tcPr>
          <w:p w:rsidR="00F90726" w:rsidRPr="00F90726" w:rsidRDefault="00F90726" w:rsidP="00634AD9">
            <w:pPr>
              <w:jc w:val="center"/>
              <w:rPr>
                <w:color w:val="000000"/>
                <w:sz w:val="16"/>
                <w:szCs w:val="16"/>
              </w:rPr>
            </w:pPr>
            <w:r w:rsidRPr="00F90726">
              <w:rPr>
                <w:color w:val="000000"/>
                <w:sz w:val="16"/>
                <w:szCs w:val="16"/>
              </w:rPr>
              <w:t>4.1a</w:t>
            </w:r>
          </w:p>
        </w:tc>
        <w:tc>
          <w:tcPr>
            <w:tcW w:w="871"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1 604,28</w:t>
            </w:r>
          </w:p>
        </w:tc>
        <w:tc>
          <w:tcPr>
            <w:tcW w:w="744"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60,57</w:t>
            </w:r>
          </w:p>
        </w:tc>
        <w:tc>
          <w:tcPr>
            <w:tcW w:w="595" w:type="dxa"/>
            <w:shd w:val="clear" w:color="000000" w:fill="FFFFFF"/>
            <w:vAlign w:val="center"/>
            <w:hideMark/>
          </w:tcPr>
          <w:p w:rsidR="00F90726" w:rsidRPr="00F90726" w:rsidRDefault="00F90726" w:rsidP="00634AD9">
            <w:pPr>
              <w:jc w:val="center"/>
              <w:rPr>
                <w:color w:val="000000"/>
                <w:sz w:val="16"/>
                <w:szCs w:val="16"/>
              </w:rPr>
            </w:pPr>
            <w:r w:rsidRPr="00F90726">
              <w:rPr>
                <w:color w:val="000000"/>
                <w:sz w:val="16"/>
                <w:szCs w:val="16"/>
              </w:rPr>
              <w:t>0</w:t>
            </w:r>
          </w:p>
        </w:tc>
        <w:tc>
          <w:tcPr>
            <w:tcW w:w="680"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0,00</w:t>
            </w:r>
          </w:p>
        </w:tc>
        <w:tc>
          <w:tcPr>
            <w:tcW w:w="553"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0,00</w:t>
            </w:r>
          </w:p>
        </w:tc>
        <w:tc>
          <w:tcPr>
            <w:tcW w:w="616"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1,02</w:t>
            </w:r>
          </w:p>
        </w:tc>
        <w:tc>
          <w:tcPr>
            <w:tcW w:w="595"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w:t>
            </w:r>
          </w:p>
        </w:tc>
        <w:tc>
          <w:tcPr>
            <w:tcW w:w="765"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-36,95</w:t>
            </w:r>
          </w:p>
        </w:tc>
        <w:tc>
          <w:tcPr>
            <w:tcW w:w="659"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-2,30</w:t>
            </w:r>
          </w:p>
        </w:tc>
        <w:tc>
          <w:tcPr>
            <w:tcW w:w="659"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-1,20</w:t>
            </w:r>
          </w:p>
        </w:tc>
        <w:tc>
          <w:tcPr>
            <w:tcW w:w="850"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82,52</w:t>
            </w:r>
          </w:p>
        </w:tc>
        <w:tc>
          <w:tcPr>
            <w:tcW w:w="531"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5,14</w:t>
            </w:r>
          </w:p>
        </w:tc>
        <w:tc>
          <w:tcPr>
            <w:tcW w:w="616"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3,04</w:t>
            </w:r>
          </w:p>
        </w:tc>
        <w:tc>
          <w:tcPr>
            <w:tcW w:w="808"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123,70</w:t>
            </w:r>
          </w:p>
        </w:tc>
        <w:tc>
          <w:tcPr>
            <w:tcW w:w="744"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7,71</w:t>
            </w:r>
          </w:p>
        </w:tc>
        <w:tc>
          <w:tcPr>
            <w:tcW w:w="680"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4,53</w:t>
            </w:r>
          </w:p>
        </w:tc>
        <w:tc>
          <w:tcPr>
            <w:tcW w:w="744"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34,34</w:t>
            </w:r>
          </w:p>
        </w:tc>
        <w:tc>
          <w:tcPr>
            <w:tcW w:w="616"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2,14</w:t>
            </w:r>
          </w:p>
        </w:tc>
        <w:tc>
          <w:tcPr>
            <w:tcW w:w="574"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1,14</w:t>
            </w:r>
          </w:p>
        </w:tc>
      </w:tr>
      <w:tr w:rsidR="00F90726" w:rsidRPr="00F90726" w:rsidTr="00634AD9">
        <w:trPr>
          <w:trHeight w:val="236"/>
        </w:trPr>
        <w:tc>
          <w:tcPr>
            <w:tcW w:w="841" w:type="dxa"/>
            <w:shd w:val="clear" w:color="000000" w:fill="E4DFEC"/>
            <w:vAlign w:val="center"/>
            <w:hideMark/>
          </w:tcPr>
          <w:p w:rsidR="00F90726" w:rsidRPr="00F90726" w:rsidRDefault="00F90726" w:rsidP="00634AD9">
            <w:pPr>
              <w:jc w:val="center"/>
              <w:rPr>
                <w:b/>
                <w:bCs/>
                <w:color w:val="000000"/>
                <w:sz w:val="16"/>
                <w:szCs w:val="16"/>
              </w:rPr>
            </w:pPr>
            <w:r w:rsidRPr="00F90726">
              <w:rPr>
                <w:b/>
                <w:bCs/>
                <w:color w:val="000000"/>
                <w:sz w:val="16"/>
                <w:szCs w:val="16"/>
              </w:rPr>
              <w:t>4.1a</w:t>
            </w:r>
          </w:p>
        </w:tc>
        <w:tc>
          <w:tcPr>
            <w:tcW w:w="871"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1 604,28</w:t>
            </w:r>
          </w:p>
        </w:tc>
        <w:tc>
          <w:tcPr>
            <w:tcW w:w="744"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60,57</w:t>
            </w:r>
          </w:p>
        </w:tc>
        <w:tc>
          <w:tcPr>
            <w:tcW w:w="595" w:type="dxa"/>
            <w:shd w:val="clear" w:color="000000" w:fill="E4DFEC"/>
            <w:vAlign w:val="center"/>
            <w:hideMark/>
          </w:tcPr>
          <w:p w:rsidR="00F90726" w:rsidRPr="00F90726" w:rsidRDefault="00F90726" w:rsidP="00634AD9">
            <w:pPr>
              <w:jc w:val="center"/>
              <w:rPr>
                <w:b/>
                <w:bCs/>
                <w:color w:val="000000"/>
                <w:sz w:val="16"/>
                <w:szCs w:val="16"/>
              </w:rPr>
            </w:pPr>
            <w:r w:rsidRPr="00F90726">
              <w:rPr>
                <w:b/>
                <w:bCs/>
                <w:color w:val="000000"/>
                <w:sz w:val="16"/>
                <w:szCs w:val="16"/>
              </w:rPr>
              <w:t>0</w:t>
            </w:r>
          </w:p>
        </w:tc>
        <w:tc>
          <w:tcPr>
            <w:tcW w:w="680"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0,00</w:t>
            </w:r>
          </w:p>
        </w:tc>
        <w:tc>
          <w:tcPr>
            <w:tcW w:w="553"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0,00</w:t>
            </w:r>
          </w:p>
        </w:tc>
        <w:tc>
          <w:tcPr>
            <w:tcW w:w="616"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1,02</w:t>
            </w:r>
          </w:p>
        </w:tc>
        <w:tc>
          <w:tcPr>
            <w:tcW w:w="595"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0</w:t>
            </w:r>
          </w:p>
        </w:tc>
        <w:tc>
          <w:tcPr>
            <w:tcW w:w="765"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-36,95</w:t>
            </w:r>
          </w:p>
        </w:tc>
        <w:tc>
          <w:tcPr>
            <w:tcW w:w="659"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-2,30</w:t>
            </w:r>
          </w:p>
        </w:tc>
        <w:tc>
          <w:tcPr>
            <w:tcW w:w="659"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-1,20</w:t>
            </w:r>
          </w:p>
        </w:tc>
        <w:tc>
          <w:tcPr>
            <w:tcW w:w="850"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82,52</w:t>
            </w:r>
          </w:p>
        </w:tc>
        <w:tc>
          <w:tcPr>
            <w:tcW w:w="531"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5,14</w:t>
            </w:r>
          </w:p>
        </w:tc>
        <w:tc>
          <w:tcPr>
            <w:tcW w:w="616"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3,04</w:t>
            </w:r>
          </w:p>
        </w:tc>
        <w:tc>
          <w:tcPr>
            <w:tcW w:w="808"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123,70</w:t>
            </w:r>
          </w:p>
        </w:tc>
        <w:tc>
          <w:tcPr>
            <w:tcW w:w="744"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7,71</w:t>
            </w:r>
          </w:p>
        </w:tc>
        <w:tc>
          <w:tcPr>
            <w:tcW w:w="680"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4,53</w:t>
            </w:r>
          </w:p>
        </w:tc>
        <w:tc>
          <w:tcPr>
            <w:tcW w:w="744"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34,34</w:t>
            </w:r>
          </w:p>
        </w:tc>
        <w:tc>
          <w:tcPr>
            <w:tcW w:w="616"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2,14</w:t>
            </w:r>
          </w:p>
        </w:tc>
        <w:tc>
          <w:tcPr>
            <w:tcW w:w="574"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1,14</w:t>
            </w:r>
          </w:p>
        </w:tc>
      </w:tr>
      <w:tr w:rsidR="00F90726" w:rsidRPr="00F90726" w:rsidTr="00634AD9">
        <w:trPr>
          <w:trHeight w:val="222"/>
        </w:trPr>
        <w:tc>
          <w:tcPr>
            <w:tcW w:w="841" w:type="dxa"/>
            <w:shd w:val="clear" w:color="000000" w:fill="FFFFFF"/>
            <w:vAlign w:val="center"/>
            <w:hideMark/>
          </w:tcPr>
          <w:p w:rsidR="00F90726" w:rsidRPr="00F90726" w:rsidRDefault="00F90726" w:rsidP="00634AD9">
            <w:pPr>
              <w:jc w:val="center"/>
              <w:rPr>
                <w:color w:val="000000"/>
                <w:sz w:val="16"/>
                <w:szCs w:val="16"/>
              </w:rPr>
            </w:pPr>
            <w:r w:rsidRPr="00F90726">
              <w:rPr>
                <w:color w:val="000000"/>
                <w:sz w:val="16"/>
                <w:szCs w:val="16"/>
              </w:rPr>
              <w:t>4.1b</w:t>
            </w:r>
          </w:p>
        </w:tc>
        <w:tc>
          <w:tcPr>
            <w:tcW w:w="871"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81,01</w:t>
            </w:r>
          </w:p>
        </w:tc>
        <w:tc>
          <w:tcPr>
            <w:tcW w:w="744"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3,10</w:t>
            </w:r>
          </w:p>
        </w:tc>
        <w:tc>
          <w:tcPr>
            <w:tcW w:w="595" w:type="dxa"/>
            <w:shd w:val="clear" w:color="000000" w:fill="FFFFFF"/>
            <w:vAlign w:val="center"/>
            <w:hideMark/>
          </w:tcPr>
          <w:p w:rsidR="00F90726" w:rsidRPr="00F90726" w:rsidRDefault="00F90726" w:rsidP="00634AD9">
            <w:pPr>
              <w:jc w:val="center"/>
              <w:rPr>
                <w:color w:val="000000"/>
                <w:sz w:val="16"/>
                <w:szCs w:val="16"/>
              </w:rPr>
            </w:pPr>
            <w:r w:rsidRPr="00F90726">
              <w:rPr>
                <w:color w:val="000000"/>
                <w:sz w:val="16"/>
                <w:szCs w:val="16"/>
              </w:rPr>
              <w:t>0</w:t>
            </w:r>
          </w:p>
        </w:tc>
        <w:tc>
          <w:tcPr>
            <w:tcW w:w="680"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1,56</w:t>
            </w:r>
          </w:p>
        </w:tc>
        <w:tc>
          <w:tcPr>
            <w:tcW w:w="553"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1,92</w:t>
            </w:r>
          </w:p>
        </w:tc>
        <w:tc>
          <w:tcPr>
            <w:tcW w:w="616"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0,17</w:t>
            </w:r>
          </w:p>
        </w:tc>
        <w:tc>
          <w:tcPr>
            <w:tcW w:w="595"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w:t>
            </w:r>
          </w:p>
        </w:tc>
        <w:tc>
          <w:tcPr>
            <w:tcW w:w="765"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-7,06</w:t>
            </w:r>
          </w:p>
        </w:tc>
        <w:tc>
          <w:tcPr>
            <w:tcW w:w="659"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-8,72</w:t>
            </w:r>
          </w:p>
        </w:tc>
        <w:tc>
          <w:tcPr>
            <w:tcW w:w="659"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-0,25</w:t>
            </w:r>
          </w:p>
        </w:tc>
        <w:tc>
          <w:tcPr>
            <w:tcW w:w="850"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6,35</w:t>
            </w:r>
          </w:p>
        </w:tc>
        <w:tc>
          <w:tcPr>
            <w:tcW w:w="531"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7,84</w:t>
            </w:r>
          </w:p>
        </w:tc>
        <w:tc>
          <w:tcPr>
            <w:tcW w:w="616"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0,23</w:t>
            </w:r>
          </w:p>
        </w:tc>
        <w:tc>
          <w:tcPr>
            <w:tcW w:w="808"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9,52</w:t>
            </w:r>
          </w:p>
        </w:tc>
        <w:tc>
          <w:tcPr>
            <w:tcW w:w="744"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11,75</w:t>
            </w:r>
          </w:p>
        </w:tc>
        <w:tc>
          <w:tcPr>
            <w:tcW w:w="680"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0,35</w:t>
            </w:r>
          </w:p>
        </w:tc>
        <w:tc>
          <w:tcPr>
            <w:tcW w:w="744"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3,05</w:t>
            </w:r>
          </w:p>
        </w:tc>
        <w:tc>
          <w:tcPr>
            <w:tcW w:w="616"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3,77</w:t>
            </w:r>
          </w:p>
        </w:tc>
        <w:tc>
          <w:tcPr>
            <w:tcW w:w="574"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0,10</w:t>
            </w:r>
          </w:p>
        </w:tc>
      </w:tr>
      <w:tr w:rsidR="00F90726" w:rsidRPr="00F90726" w:rsidTr="00634AD9">
        <w:trPr>
          <w:trHeight w:val="236"/>
        </w:trPr>
        <w:tc>
          <w:tcPr>
            <w:tcW w:w="841" w:type="dxa"/>
            <w:shd w:val="clear" w:color="000000" w:fill="E4DFEC"/>
            <w:vAlign w:val="center"/>
            <w:hideMark/>
          </w:tcPr>
          <w:p w:rsidR="00F90726" w:rsidRPr="00F90726" w:rsidRDefault="00F90726" w:rsidP="00634AD9">
            <w:pPr>
              <w:jc w:val="center"/>
              <w:rPr>
                <w:b/>
                <w:bCs/>
                <w:color w:val="000000"/>
                <w:sz w:val="16"/>
                <w:szCs w:val="16"/>
              </w:rPr>
            </w:pPr>
            <w:r w:rsidRPr="00F90726">
              <w:rPr>
                <w:b/>
                <w:bCs/>
                <w:color w:val="000000"/>
                <w:sz w:val="16"/>
                <w:szCs w:val="16"/>
              </w:rPr>
              <w:t>4.1b</w:t>
            </w:r>
          </w:p>
        </w:tc>
        <w:tc>
          <w:tcPr>
            <w:tcW w:w="871"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81,01</w:t>
            </w:r>
          </w:p>
        </w:tc>
        <w:tc>
          <w:tcPr>
            <w:tcW w:w="744"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3,10</w:t>
            </w:r>
          </w:p>
        </w:tc>
        <w:tc>
          <w:tcPr>
            <w:tcW w:w="595" w:type="dxa"/>
            <w:shd w:val="clear" w:color="000000" w:fill="E4DFEC"/>
            <w:vAlign w:val="center"/>
            <w:hideMark/>
          </w:tcPr>
          <w:p w:rsidR="00F90726" w:rsidRPr="00F90726" w:rsidRDefault="00F90726" w:rsidP="00634AD9">
            <w:pPr>
              <w:jc w:val="center"/>
              <w:rPr>
                <w:b/>
                <w:bCs/>
                <w:color w:val="000000"/>
                <w:sz w:val="16"/>
                <w:szCs w:val="16"/>
              </w:rPr>
            </w:pPr>
            <w:r w:rsidRPr="00F90726">
              <w:rPr>
                <w:b/>
                <w:bCs/>
                <w:color w:val="000000"/>
                <w:sz w:val="16"/>
                <w:szCs w:val="16"/>
              </w:rPr>
              <w:t>0</w:t>
            </w:r>
          </w:p>
        </w:tc>
        <w:tc>
          <w:tcPr>
            <w:tcW w:w="680"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1,56</w:t>
            </w:r>
          </w:p>
        </w:tc>
        <w:tc>
          <w:tcPr>
            <w:tcW w:w="553"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1,92</w:t>
            </w:r>
          </w:p>
        </w:tc>
        <w:tc>
          <w:tcPr>
            <w:tcW w:w="616"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0,17</w:t>
            </w:r>
          </w:p>
        </w:tc>
        <w:tc>
          <w:tcPr>
            <w:tcW w:w="595"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0</w:t>
            </w:r>
          </w:p>
        </w:tc>
        <w:tc>
          <w:tcPr>
            <w:tcW w:w="765"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-7,06</w:t>
            </w:r>
          </w:p>
        </w:tc>
        <w:tc>
          <w:tcPr>
            <w:tcW w:w="659"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-8,72</w:t>
            </w:r>
          </w:p>
        </w:tc>
        <w:tc>
          <w:tcPr>
            <w:tcW w:w="659"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-0,25</w:t>
            </w:r>
          </w:p>
        </w:tc>
        <w:tc>
          <w:tcPr>
            <w:tcW w:w="850"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6,35</w:t>
            </w:r>
          </w:p>
        </w:tc>
        <w:tc>
          <w:tcPr>
            <w:tcW w:w="531"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7,84</w:t>
            </w:r>
          </w:p>
        </w:tc>
        <w:tc>
          <w:tcPr>
            <w:tcW w:w="616"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0,23</w:t>
            </w:r>
          </w:p>
        </w:tc>
        <w:tc>
          <w:tcPr>
            <w:tcW w:w="808"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9,52</w:t>
            </w:r>
          </w:p>
        </w:tc>
        <w:tc>
          <w:tcPr>
            <w:tcW w:w="744"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11,75</w:t>
            </w:r>
          </w:p>
        </w:tc>
        <w:tc>
          <w:tcPr>
            <w:tcW w:w="680"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0,35</w:t>
            </w:r>
          </w:p>
        </w:tc>
        <w:tc>
          <w:tcPr>
            <w:tcW w:w="744"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3,05</w:t>
            </w:r>
          </w:p>
        </w:tc>
        <w:tc>
          <w:tcPr>
            <w:tcW w:w="616"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3,77</w:t>
            </w:r>
          </w:p>
        </w:tc>
        <w:tc>
          <w:tcPr>
            <w:tcW w:w="574"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0,10</w:t>
            </w:r>
          </w:p>
        </w:tc>
      </w:tr>
      <w:tr w:rsidR="00F90726" w:rsidRPr="00F90726" w:rsidTr="00634AD9">
        <w:trPr>
          <w:trHeight w:val="222"/>
        </w:trPr>
        <w:tc>
          <w:tcPr>
            <w:tcW w:w="841" w:type="dxa"/>
            <w:shd w:val="clear" w:color="000000" w:fill="FFFFFF"/>
            <w:vAlign w:val="center"/>
            <w:hideMark/>
          </w:tcPr>
          <w:p w:rsidR="00F90726" w:rsidRPr="00F90726" w:rsidRDefault="00F90726" w:rsidP="00634AD9">
            <w:pPr>
              <w:jc w:val="center"/>
              <w:rPr>
                <w:color w:val="000000"/>
                <w:sz w:val="16"/>
                <w:szCs w:val="16"/>
              </w:rPr>
            </w:pPr>
            <w:r w:rsidRPr="00F90726">
              <w:rPr>
                <w:color w:val="000000"/>
                <w:sz w:val="16"/>
                <w:szCs w:val="16"/>
              </w:rPr>
              <w:t>5.1</w:t>
            </w:r>
          </w:p>
        </w:tc>
        <w:tc>
          <w:tcPr>
            <w:tcW w:w="871"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5 676,33</w:t>
            </w:r>
          </w:p>
        </w:tc>
        <w:tc>
          <w:tcPr>
            <w:tcW w:w="744"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213,74</w:t>
            </w:r>
          </w:p>
        </w:tc>
        <w:tc>
          <w:tcPr>
            <w:tcW w:w="595" w:type="dxa"/>
            <w:shd w:val="clear" w:color="000000" w:fill="FFFFFF"/>
            <w:vAlign w:val="center"/>
            <w:hideMark/>
          </w:tcPr>
          <w:p w:rsidR="00F90726" w:rsidRPr="00F90726" w:rsidRDefault="00F90726" w:rsidP="00634AD9">
            <w:pPr>
              <w:jc w:val="center"/>
              <w:rPr>
                <w:color w:val="000000"/>
                <w:sz w:val="16"/>
                <w:szCs w:val="16"/>
              </w:rPr>
            </w:pPr>
            <w:r w:rsidRPr="00F90726">
              <w:rPr>
                <w:color w:val="000000"/>
                <w:sz w:val="16"/>
                <w:szCs w:val="16"/>
              </w:rPr>
              <w:t>0</w:t>
            </w:r>
          </w:p>
        </w:tc>
        <w:tc>
          <w:tcPr>
            <w:tcW w:w="680"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0,00</w:t>
            </w:r>
          </w:p>
        </w:tc>
        <w:tc>
          <w:tcPr>
            <w:tcW w:w="553"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0,00</w:t>
            </w:r>
          </w:p>
        </w:tc>
        <w:tc>
          <w:tcPr>
            <w:tcW w:w="616"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3,87</w:t>
            </w:r>
          </w:p>
        </w:tc>
        <w:tc>
          <w:tcPr>
            <w:tcW w:w="595"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-2</w:t>
            </w:r>
          </w:p>
        </w:tc>
        <w:tc>
          <w:tcPr>
            <w:tcW w:w="765"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-218,79</w:t>
            </w:r>
          </w:p>
        </w:tc>
        <w:tc>
          <w:tcPr>
            <w:tcW w:w="659"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-3,85</w:t>
            </w:r>
          </w:p>
        </w:tc>
        <w:tc>
          <w:tcPr>
            <w:tcW w:w="659"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-7,38</w:t>
            </w:r>
          </w:p>
        </w:tc>
        <w:tc>
          <w:tcPr>
            <w:tcW w:w="850"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398,11</w:t>
            </w:r>
          </w:p>
        </w:tc>
        <w:tc>
          <w:tcPr>
            <w:tcW w:w="531"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7,01</w:t>
            </w:r>
          </w:p>
        </w:tc>
        <w:tc>
          <w:tcPr>
            <w:tcW w:w="616"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14,63</w:t>
            </w:r>
          </w:p>
        </w:tc>
        <w:tc>
          <w:tcPr>
            <w:tcW w:w="808"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423,46</w:t>
            </w:r>
          </w:p>
        </w:tc>
        <w:tc>
          <w:tcPr>
            <w:tcW w:w="744"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7,46</w:t>
            </w:r>
          </w:p>
        </w:tc>
        <w:tc>
          <w:tcPr>
            <w:tcW w:w="680"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15,49</w:t>
            </w:r>
          </w:p>
        </w:tc>
        <w:tc>
          <w:tcPr>
            <w:tcW w:w="744"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-6,95</w:t>
            </w:r>
          </w:p>
        </w:tc>
        <w:tc>
          <w:tcPr>
            <w:tcW w:w="616"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-0,12</w:t>
            </w:r>
          </w:p>
        </w:tc>
        <w:tc>
          <w:tcPr>
            <w:tcW w:w="574"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-0,27</w:t>
            </w:r>
          </w:p>
        </w:tc>
      </w:tr>
      <w:tr w:rsidR="00F90726" w:rsidRPr="00F90726" w:rsidTr="00634AD9">
        <w:trPr>
          <w:trHeight w:val="222"/>
        </w:trPr>
        <w:tc>
          <w:tcPr>
            <w:tcW w:w="841" w:type="dxa"/>
            <w:shd w:val="clear" w:color="000000" w:fill="FFFFFF"/>
            <w:vAlign w:val="center"/>
            <w:hideMark/>
          </w:tcPr>
          <w:p w:rsidR="00F90726" w:rsidRPr="00F90726" w:rsidRDefault="00F90726" w:rsidP="00634AD9">
            <w:pPr>
              <w:jc w:val="center"/>
              <w:rPr>
                <w:color w:val="000000"/>
                <w:sz w:val="16"/>
                <w:szCs w:val="16"/>
              </w:rPr>
            </w:pPr>
            <w:r w:rsidRPr="00F90726">
              <w:rPr>
                <w:color w:val="000000"/>
                <w:sz w:val="16"/>
                <w:szCs w:val="16"/>
              </w:rPr>
              <w:t>5.2</w:t>
            </w:r>
          </w:p>
        </w:tc>
        <w:tc>
          <w:tcPr>
            <w:tcW w:w="871"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5 522,10</w:t>
            </w:r>
          </w:p>
        </w:tc>
        <w:tc>
          <w:tcPr>
            <w:tcW w:w="744"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213,38</w:t>
            </w:r>
          </w:p>
        </w:tc>
        <w:tc>
          <w:tcPr>
            <w:tcW w:w="595" w:type="dxa"/>
            <w:shd w:val="clear" w:color="000000" w:fill="FFFFFF"/>
            <w:vAlign w:val="center"/>
            <w:hideMark/>
          </w:tcPr>
          <w:p w:rsidR="00F90726" w:rsidRPr="00F90726" w:rsidRDefault="00F90726" w:rsidP="00634AD9">
            <w:pPr>
              <w:jc w:val="center"/>
              <w:rPr>
                <w:color w:val="000000"/>
                <w:sz w:val="16"/>
                <w:szCs w:val="16"/>
              </w:rPr>
            </w:pPr>
            <w:r w:rsidRPr="00F90726">
              <w:rPr>
                <w:color w:val="000000"/>
                <w:sz w:val="16"/>
                <w:szCs w:val="16"/>
              </w:rPr>
              <w:t>44</w:t>
            </w:r>
          </w:p>
        </w:tc>
        <w:tc>
          <w:tcPr>
            <w:tcW w:w="680"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411,31</w:t>
            </w:r>
          </w:p>
        </w:tc>
        <w:tc>
          <w:tcPr>
            <w:tcW w:w="553"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7,45</w:t>
            </w:r>
          </w:p>
        </w:tc>
        <w:tc>
          <w:tcPr>
            <w:tcW w:w="616"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15,88</w:t>
            </w:r>
          </w:p>
        </w:tc>
        <w:tc>
          <w:tcPr>
            <w:tcW w:w="595"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48</w:t>
            </w:r>
          </w:p>
        </w:tc>
        <w:tc>
          <w:tcPr>
            <w:tcW w:w="765"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421,28</w:t>
            </w:r>
          </w:p>
        </w:tc>
        <w:tc>
          <w:tcPr>
            <w:tcW w:w="659"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7,63</w:t>
            </w:r>
          </w:p>
        </w:tc>
        <w:tc>
          <w:tcPr>
            <w:tcW w:w="659"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15,98</w:t>
            </w:r>
          </w:p>
        </w:tc>
        <w:tc>
          <w:tcPr>
            <w:tcW w:w="850"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239,74</w:t>
            </w:r>
          </w:p>
        </w:tc>
        <w:tc>
          <w:tcPr>
            <w:tcW w:w="531"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4,34</w:t>
            </w:r>
          </w:p>
        </w:tc>
        <w:tc>
          <w:tcPr>
            <w:tcW w:w="616"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8,83</w:t>
            </w:r>
          </w:p>
        </w:tc>
        <w:tc>
          <w:tcPr>
            <w:tcW w:w="808"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359,11</w:t>
            </w:r>
          </w:p>
        </w:tc>
        <w:tc>
          <w:tcPr>
            <w:tcW w:w="744"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6,50</w:t>
            </w:r>
          </w:p>
        </w:tc>
        <w:tc>
          <w:tcPr>
            <w:tcW w:w="680"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13,16</w:t>
            </w:r>
          </w:p>
        </w:tc>
        <w:tc>
          <w:tcPr>
            <w:tcW w:w="744"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189,35</w:t>
            </w:r>
          </w:p>
        </w:tc>
        <w:tc>
          <w:tcPr>
            <w:tcW w:w="616"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3,43</w:t>
            </w:r>
          </w:p>
        </w:tc>
        <w:tc>
          <w:tcPr>
            <w:tcW w:w="574"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6,64</w:t>
            </w:r>
          </w:p>
        </w:tc>
      </w:tr>
      <w:tr w:rsidR="00F90726" w:rsidRPr="00F90726" w:rsidTr="00634AD9">
        <w:trPr>
          <w:trHeight w:val="222"/>
        </w:trPr>
        <w:tc>
          <w:tcPr>
            <w:tcW w:w="841" w:type="dxa"/>
            <w:shd w:val="clear" w:color="000000" w:fill="FFFFFF"/>
            <w:vAlign w:val="center"/>
            <w:hideMark/>
          </w:tcPr>
          <w:p w:rsidR="00F90726" w:rsidRPr="00F90726" w:rsidRDefault="00F90726" w:rsidP="00634AD9">
            <w:pPr>
              <w:jc w:val="center"/>
              <w:rPr>
                <w:color w:val="000000"/>
                <w:sz w:val="16"/>
                <w:szCs w:val="16"/>
              </w:rPr>
            </w:pPr>
            <w:r w:rsidRPr="00F90726">
              <w:rPr>
                <w:color w:val="000000"/>
                <w:sz w:val="16"/>
                <w:szCs w:val="16"/>
              </w:rPr>
              <w:t>5.3</w:t>
            </w:r>
          </w:p>
        </w:tc>
        <w:tc>
          <w:tcPr>
            <w:tcW w:w="871"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400,01</w:t>
            </w:r>
          </w:p>
        </w:tc>
        <w:tc>
          <w:tcPr>
            <w:tcW w:w="744"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15,53</w:t>
            </w:r>
          </w:p>
        </w:tc>
        <w:tc>
          <w:tcPr>
            <w:tcW w:w="595" w:type="dxa"/>
            <w:shd w:val="clear" w:color="000000" w:fill="FFFFFF"/>
            <w:vAlign w:val="center"/>
            <w:hideMark/>
          </w:tcPr>
          <w:p w:rsidR="00F90726" w:rsidRPr="00F90726" w:rsidRDefault="00F90726" w:rsidP="00634AD9">
            <w:pPr>
              <w:jc w:val="center"/>
              <w:rPr>
                <w:color w:val="000000"/>
                <w:sz w:val="16"/>
                <w:szCs w:val="16"/>
              </w:rPr>
            </w:pPr>
            <w:r w:rsidRPr="00F90726">
              <w:rPr>
                <w:color w:val="000000"/>
                <w:sz w:val="16"/>
                <w:szCs w:val="16"/>
              </w:rPr>
              <w:t>0</w:t>
            </w:r>
          </w:p>
        </w:tc>
        <w:tc>
          <w:tcPr>
            <w:tcW w:w="680"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0,00</w:t>
            </w:r>
          </w:p>
        </w:tc>
        <w:tc>
          <w:tcPr>
            <w:tcW w:w="553"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0,00</w:t>
            </w:r>
          </w:p>
        </w:tc>
        <w:tc>
          <w:tcPr>
            <w:tcW w:w="616"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0,03</w:t>
            </w:r>
          </w:p>
        </w:tc>
        <w:tc>
          <w:tcPr>
            <w:tcW w:w="595"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w:t>
            </w:r>
          </w:p>
        </w:tc>
        <w:tc>
          <w:tcPr>
            <w:tcW w:w="765"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0,00</w:t>
            </w:r>
          </w:p>
        </w:tc>
        <w:tc>
          <w:tcPr>
            <w:tcW w:w="659"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0,00</w:t>
            </w:r>
          </w:p>
        </w:tc>
        <w:tc>
          <w:tcPr>
            <w:tcW w:w="659"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0,00</w:t>
            </w:r>
          </w:p>
        </w:tc>
        <w:tc>
          <w:tcPr>
            <w:tcW w:w="850"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0,00</w:t>
            </w:r>
          </w:p>
        </w:tc>
        <w:tc>
          <w:tcPr>
            <w:tcW w:w="531"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0,00</w:t>
            </w:r>
          </w:p>
        </w:tc>
        <w:tc>
          <w:tcPr>
            <w:tcW w:w="616"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0,00</w:t>
            </w:r>
          </w:p>
        </w:tc>
        <w:tc>
          <w:tcPr>
            <w:tcW w:w="808"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0,00</w:t>
            </w:r>
          </w:p>
        </w:tc>
        <w:tc>
          <w:tcPr>
            <w:tcW w:w="744"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0,00</w:t>
            </w:r>
          </w:p>
        </w:tc>
        <w:tc>
          <w:tcPr>
            <w:tcW w:w="680"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0,00</w:t>
            </w:r>
          </w:p>
        </w:tc>
        <w:tc>
          <w:tcPr>
            <w:tcW w:w="744"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-1,19</w:t>
            </w:r>
          </w:p>
        </w:tc>
        <w:tc>
          <w:tcPr>
            <w:tcW w:w="616"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-0,30</w:t>
            </w:r>
          </w:p>
        </w:tc>
        <w:tc>
          <w:tcPr>
            <w:tcW w:w="574"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-0,05</w:t>
            </w:r>
          </w:p>
        </w:tc>
      </w:tr>
      <w:tr w:rsidR="00F90726" w:rsidRPr="00F90726" w:rsidTr="00634AD9">
        <w:trPr>
          <w:trHeight w:val="236"/>
        </w:trPr>
        <w:tc>
          <w:tcPr>
            <w:tcW w:w="841" w:type="dxa"/>
            <w:shd w:val="clear" w:color="000000" w:fill="E4DFEC"/>
            <w:vAlign w:val="center"/>
            <w:hideMark/>
          </w:tcPr>
          <w:p w:rsidR="00F90726" w:rsidRPr="00F90726" w:rsidRDefault="00F90726" w:rsidP="00634AD9">
            <w:pPr>
              <w:jc w:val="center"/>
              <w:rPr>
                <w:b/>
                <w:bCs/>
                <w:color w:val="000000"/>
                <w:sz w:val="16"/>
                <w:szCs w:val="16"/>
              </w:rPr>
            </w:pPr>
            <w:r w:rsidRPr="00F90726">
              <w:rPr>
                <w:b/>
                <w:bCs/>
                <w:color w:val="000000"/>
                <w:sz w:val="16"/>
                <w:szCs w:val="16"/>
              </w:rPr>
              <w:t>5</w:t>
            </w:r>
          </w:p>
        </w:tc>
        <w:tc>
          <w:tcPr>
            <w:tcW w:w="871"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11 598,43</w:t>
            </w:r>
          </w:p>
        </w:tc>
        <w:tc>
          <w:tcPr>
            <w:tcW w:w="744"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442,64</w:t>
            </w:r>
          </w:p>
        </w:tc>
        <w:tc>
          <w:tcPr>
            <w:tcW w:w="595" w:type="dxa"/>
            <w:shd w:val="clear" w:color="000000" w:fill="E4DFEC"/>
            <w:vAlign w:val="center"/>
            <w:hideMark/>
          </w:tcPr>
          <w:p w:rsidR="00F90726" w:rsidRPr="00F90726" w:rsidRDefault="00F90726" w:rsidP="00634AD9">
            <w:pPr>
              <w:jc w:val="center"/>
              <w:rPr>
                <w:b/>
                <w:bCs/>
                <w:color w:val="000000"/>
                <w:sz w:val="16"/>
                <w:szCs w:val="16"/>
              </w:rPr>
            </w:pPr>
            <w:r w:rsidRPr="00F90726">
              <w:rPr>
                <w:b/>
                <w:bCs/>
                <w:color w:val="000000"/>
                <w:sz w:val="16"/>
                <w:szCs w:val="16"/>
              </w:rPr>
              <w:t>44</w:t>
            </w:r>
          </w:p>
        </w:tc>
        <w:tc>
          <w:tcPr>
            <w:tcW w:w="680"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411,31</w:t>
            </w:r>
          </w:p>
        </w:tc>
        <w:tc>
          <w:tcPr>
            <w:tcW w:w="553"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3,55</w:t>
            </w:r>
          </w:p>
        </w:tc>
        <w:tc>
          <w:tcPr>
            <w:tcW w:w="616"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19,79</w:t>
            </w:r>
          </w:p>
        </w:tc>
        <w:tc>
          <w:tcPr>
            <w:tcW w:w="595"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46</w:t>
            </w:r>
          </w:p>
        </w:tc>
        <w:tc>
          <w:tcPr>
            <w:tcW w:w="765"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202,49</w:t>
            </w:r>
          </w:p>
        </w:tc>
        <w:tc>
          <w:tcPr>
            <w:tcW w:w="659"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1,75</w:t>
            </w:r>
          </w:p>
        </w:tc>
        <w:tc>
          <w:tcPr>
            <w:tcW w:w="659"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8,60</w:t>
            </w:r>
          </w:p>
        </w:tc>
        <w:tc>
          <w:tcPr>
            <w:tcW w:w="850"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637,85</w:t>
            </w:r>
          </w:p>
        </w:tc>
        <w:tc>
          <w:tcPr>
            <w:tcW w:w="531"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5,50</w:t>
            </w:r>
          </w:p>
        </w:tc>
        <w:tc>
          <w:tcPr>
            <w:tcW w:w="616"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23,46</w:t>
            </w:r>
          </w:p>
        </w:tc>
        <w:tc>
          <w:tcPr>
            <w:tcW w:w="808"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782,57</w:t>
            </w:r>
          </w:p>
        </w:tc>
        <w:tc>
          <w:tcPr>
            <w:tcW w:w="744"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6,75</w:t>
            </w:r>
          </w:p>
        </w:tc>
        <w:tc>
          <w:tcPr>
            <w:tcW w:w="680"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28,65</w:t>
            </w:r>
          </w:p>
        </w:tc>
        <w:tc>
          <w:tcPr>
            <w:tcW w:w="744"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181,22</w:t>
            </w:r>
          </w:p>
        </w:tc>
        <w:tc>
          <w:tcPr>
            <w:tcW w:w="616"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1,56</w:t>
            </w:r>
          </w:p>
        </w:tc>
        <w:tc>
          <w:tcPr>
            <w:tcW w:w="574"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6,33</w:t>
            </w:r>
          </w:p>
        </w:tc>
      </w:tr>
      <w:tr w:rsidR="00F90726" w:rsidRPr="00F90726" w:rsidTr="00634AD9">
        <w:trPr>
          <w:trHeight w:val="222"/>
        </w:trPr>
        <w:tc>
          <w:tcPr>
            <w:tcW w:w="841" w:type="dxa"/>
            <w:shd w:val="clear" w:color="000000" w:fill="FFFFFF"/>
            <w:vAlign w:val="center"/>
            <w:hideMark/>
          </w:tcPr>
          <w:p w:rsidR="00F90726" w:rsidRPr="00F90726" w:rsidRDefault="00F90726" w:rsidP="00634AD9">
            <w:pPr>
              <w:jc w:val="center"/>
              <w:rPr>
                <w:color w:val="000000"/>
                <w:sz w:val="16"/>
                <w:szCs w:val="16"/>
              </w:rPr>
            </w:pPr>
            <w:r w:rsidRPr="00F90726">
              <w:rPr>
                <w:color w:val="000000"/>
                <w:sz w:val="16"/>
                <w:szCs w:val="16"/>
              </w:rPr>
              <w:t>6.1a</w:t>
            </w:r>
          </w:p>
        </w:tc>
        <w:tc>
          <w:tcPr>
            <w:tcW w:w="871"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705,34</w:t>
            </w:r>
          </w:p>
        </w:tc>
        <w:tc>
          <w:tcPr>
            <w:tcW w:w="744"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27,18</w:t>
            </w:r>
          </w:p>
        </w:tc>
        <w:tc>
          <w:tcPr>
            <w:tcW w:w="595" w:type="dxa"/>
            <w:shd w:val="clear" w:color="000000" w:fill="FFFFFF"/>
            <w:vAlign w:val="center"/>
            <w:hideMark/>
          </w:tcPr>
          <w:p w:rsidR="00F90726" w:rsidRPr="00F90726" w:rsidRDefault="00F90726" w:rsidP="00634AD9">
            <w:pPr>
              <w:jc w:val="center"/>
              <w:rPr>
                <w:color w:val="000000"/>
                <w:sz w:val="16"/>
                <w:szCs w:val="16"/>
              </w:rPr>
            </w:pPr>
            <w:r w:rsidRPr="00F90726">
              <w:rPr>
                <w:color w:val="000000"/>
                <w:sz w:val="16"/>
                <w:szCs w:val="16"/>
              </w:rPr>
              <w:t>2</w:t>
            </w:r>
          </w:p>
        </w:tc>
        <w:tc>
          <w:tcPr>
            <w:tcW w:w="680"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52,54</w:t>
            </w:r>
          </w:p>
        </w:tc>
        <w:tc>
          <w:tcPr>
            <w:tcW w:w="553"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7,45</w:t>
            </w:r>
          </w:p>
        </w:tc>
        <w:tc>
          <w:tcPr>
            <w:tcW w:w="616"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2,15</w:t>
            </w:r>
          </w:p>
        </w:tc>
        <w:tc>
          <w:tcPr>
            <w:tcW w:w="595"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1</w:t>
            </w:r>
          </w:p>
        </w:tc>
        <w:tc>
          <w:tcPr>
            <w:tcW w:w="765"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-40,91</w:t>
            </w:r>
          </w:p>
        </w:tc>
        <w:tc>
          <w:tcPr>
            <w:tcW w:w="659"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-5,80</w:t>
            </w:r>
          </w:p>
        </w:tc>
        <w:tc>
          <w:tcPr>
            <w:tcW w:w="659"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-1,40</w:t>
            </w:r>
          </w:p>
        </w:tc>
        <w:tc>
          <w:tcPr>
            <w:tcW w:w="850"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37,48</w:t>
            </w:r>
          </w:p>
        </w:tc>
        <w:tc>
          <w:tcPr>
            <w:tcW w:w="531"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5,31</w:t>
            </w:r>
          </w:p>
        </w:tc>
        <w:tc>
          <w:tcPr>
            <w:tcW w:w="616"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1,38</w:t>
            </w:r>
          </w:p>
        </w:tc>
        <w:tc>
          <w:tcPr>
            <w:tcW w:w="808"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49,16</w:t>
            </w:r>
          </w:p>
        </w:tc>
        <w:tc>
          <w:tcPr>
            <w:tcW w:w="744"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6,97</w:t>
            </w:r>
          </w:p>
        </w:tc>
        <w:tc>
          <w:tcPr>
            <w:tcW w:w="680"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1,81</w:t>
            </w:r>
          </w:p>
        </w:tc>
        <w:tc>
          <w:tcPr>
            <w:tcW w:w="744"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27,16</w:t>
            </w:r>
          </w:p>
        </w:tc>
        <w:tc>
          <w:tcPr>
            <w:tcW w:w="616"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3,85</w:t>
            </w:r>
          </w:p>
        </w:tc>
        <w:tc>
          <w:tcPr>
            <w:tcW w:w="574"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0,99</w:t>
            </w:r>
          </w:p>
        </w:tc>
      </w:tr>
      <w:tr w:rsidR="00F90726" w:rsidRPr="00F90726" w:rsidTr="00634AD9">
        <w:trPr>
          <w:trHeight w:val="222"/>
        </w:trPr>
        <w:tc>
          <w:tcPr>
            <w:tcW w:w="841" w:type="dxa"/>
            <w:shd w:val="clear" w:color="000000" w:fill="FFFFFF"/>
            <w:vAlign w:val="center"/>
            <w:hideMark/>
          </w:tcPr>
          <w:p w:rsidR="00F90726" w:rsidRPr="00F90726" w:rsidRDefault="00F90726" w:rsidP="00634AD9">
            <w:pPr>
              <w:jc w:val="center"/>
              <w:rPr>
                <w:color w:val="000000"/>
                <w:sz w:val="16"/>
                <w:szCs w:val="16"/>
              </w:rPr>
            </w:pPr>
            <w:r w:rsidRPr="00F90726">
              <w:rPr>
                <w:color w:val="000000"/>
                <w:sz w:val="16"/>
                <w:szCs w:val="16"/>
              </w:rPr>
              <w:t>6.2a</w:t>
            </w:r>
          </w:p>
        </w:tc>
        <w:tc>
          <w:tcPr>
            <w:tcW w:w="871"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180,56</w:t>
            </w:r>
          </w:p>
        </w:tc>
        <w:tc>
          <w:tcPr>
            <w:tcW w:w="744"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6,90</w:t>
            </w:r>
          </w:p>
        </w:tc>
        <w:tc>
          <w:tcPr>
            <w:tcW w:w="595" w:type="dxa"/>
            <w:shd w:val="clear" w:color="000000" w:fill="FFFFFF"/>
            <w:vAlign w:val="center"/>
            <w:hideMark/>
          </w:tcPr>
          <w:p w:rsidR="00F90726" w:rsidRPr="00F90726" w:rsidRDefault="00F90726" w:rsidP="00634AD9">
            <w:pPr>
              <w:jc w:val="center"/>
              <w:rPr>
                <w:color w:val="000000"/>
                <w:sz w:val="16"/>
                <w:szCs w:val="16"/>
              </w:rPr>
            </w:pPr>
            <w:r w:rsidRPr="00F90726">
              <w:rPr>
                <w:color w:val="000000"/>
                <w:sz w:val="16"/>
                <w:szCs w:val="16"/>
              </w:rPr>
              <w:t>4</w:t>
            </w:r>
          </w:p>
        </w:tc>
        <w:tc>
          <w:tcPr>
            <w:tcW w:w="680"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31,79</w:t>
            </w:r>
          </w:p>
        </w:tc>
        <w:tc>
          <w:tcPr>
            <w:tcW w:w="553"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17,61</w:t>
            </w:r>
          </w:p>
        </w:tc>
        <w:tc>
          <w:tcPr>
            <w:tcW w:w="616"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1,26</w:t>
            </w:r>
          </w:p>
        </w:tc>
        <w:tc>
          <w:tcPr>
            <w:tcW w:w="595"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4</w:t>
            </w:r>
          </w:p>
        </w:tc>
        <w:tc>
          <w:tcPr>
            <w:tcW w:w="765"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-1,23</w:t>
            </w:r>
          </w:p>
        </w:tc>
        <w:tc>
          <w:tcPr>
            <w:tcW w:w="659"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-0,68</w:t>
            </w:r>
          </w:p>
        </w:tc>
        <w:tc>
          <w:tcPr>
            <w:tcW w:w="659"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-0,01</w:t>
            </w:r>
          </w:p>
        </w:tc>
        <w:tc>
          <w:tcPr>
            <w:tcW w:w="850"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2,25</w:t>
            </w:r>
          </w:p>
        </w:tc>
        <w:tc>
          <w:tcPr>
            <w:tcW w:w="531"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1,24</w:t>
            </w:r>
          </w:p>
        </w:tc>
        <w:tc>
          <w:tcPr>
            <w:tcW w:w="616"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0,08</w:t>
            </w:r>
          </w:p>
        </w:tc>
        <w:tc>
          <w:tcPr>
            <w:tcW w:w="808"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4,90</w:t>
            </w:r>
          </w:p>
        </w:tc>
        <w:tc>
          <w:tcPr>
            <w:tcW w:w="744"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2,71</w:t>
            </w:r>
          </w:p>
        </w:tc>
        <w:tc>
          <w:tcPr>
            <w:tcW w:w="680"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0,18</w:t>
            </w:r>
          </w:p>
        </w:tc>
        <w:tc>
          <w:tcPr>
            <w:tcW w:w="744"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3,62</w:t>
            </w:r>
          </w:p>
        </w:tc>
        <w:tc>
          <w:tcPr>
            <w:tcW w:w="616"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2,01</w:t>
            </w:r>
          </w:p>
        </w:tc>
        <w:tc>
          <w:tcPr>
            <w:tcW w:w="574"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0,13</w:t>
            </w:r>
          </w:p>
        </w:tc>
      </w:tr>
      <w:tr w:rsidR="00F90726" w:rsidRPr="00F90726" w:rsidTr="00634AD9">
        <w:trPr>
          <w:trHeight w:val="236"/>
        </w:trPr>
        <w:tc>
          <w:tcPr>
            <w:tcW w:w="841" w:type="dxa"/>
            <w:shd w:val="clear" w:color="000000" w:fill="E4DFEC"/>
            <w:vAlign w:val="center"/>
            <w:hideMark/>
          </w:tcPr>
          <w:p w:rsidR="00F90726" w:rsidRPr="00F90726" w:rsidRDefault="00F90726" w:rsidP="00634AD9">
            <w:pPr>
              <w:jc w:val="center"/>
              <w:rPr>
                <w:b/>
                <w:bCs/>
                <w:color w:val="000000"/>
                <w:sz w:val="16"/>
                <w:szCs w:val="16"/>
              </w:rPr>
            </w:pPr>
            <w:proofErr w:type="gramStart"/>
            <w:r w:rsidRPr="00F90726">
              <w:rPr>
                <w:b/>
                <w:bCs/>
                <w:color w:val="000000"/>
                <w:sz w:val="16"/>
                <w:szCs w:val="16"/>
              </w:rPr>
              <w:t>6.a</w:t>
            </w:r>
            <w:proofErr w:type="gramEnd"/>
          </w:p>
        </w:tc>
        <w:tc>
          <w:tcPr>
            <w:tcW w:w="871"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885,90</w:t>
            </w:r>
          </w:p>
        </w:tc>
        <w:tc>
          <w:tcPr>
            <w:tcW w:w="744"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34,07</w:t>
            </w:r>
          </w:p>
        </w:tc>
        <w:tc>
          <w:tcPr>
            <w:tcW w:w="595" w:type="dxa"/>
            <w:shd w:val="clear" w:color="000000" w:fill="E4DFEC"/>
            <w:vAlign w:val="center"/>
            <w:hideMark/>
          </w:tcPr>
          <w:p w:rsidR="00F90726" w:rsidRPr="00F90726" w:rsidRDefault="00F90726" w:rsidP="00634AD9">
            <w:pPr>
              <w:jc w:val="center"/>
              <w:rPr>
                <w:b/>
                <w:bCs/>
                <w:color w:val="000000"/>
                <w:sz w:val="16"/>
                <w:szCs w:val="16"/>
              </w:rPr>
            </w:pPr>
            <w:r w:rsidRPr="00F90726">
              <w:rPr>
                <w:b/>
                <w:bCs/>
                <w:color w:val="000000"/>
                <w:sz w:val="16"/>
                <w:szCs w:val="16"/>
              </w:rPr>
              <w:t>6</w:t>
            </w:r>
          </w:p>
        </w:tc>
        <w:tc>
          <w:tcPr>
            <w:tcW w:w="680"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84,33</w:t>
            </w:r>
          </w:p>
        </w:tc>
        <w:tc>
          <w:tcPr>
            <w:tcW w:w="553"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9,52</w:t>
            </w:r>
          </w:p>
        </w:tc>
        <w:tc>
          <w:tcPr>
            <w:tcW w:w="616"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3,41</w:t>
            </w:r>
          </w:p>
        </w:tc>
        <w:tc>
          <w:tcPr>
            <w:tcW w:w="595"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5</w:t>
            </w:r>
          </w:p>
        </w:tc>
        <w:tc>
          <w:tcPr>
            <w:tcW w:w="765"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-42,14</w:t>
            </w:r>
          </w:p>
        </w:tc>
        <w:tc>
          <w:tcPr>
            <w:tcW w:w="659"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-4,76</w:t>
            </w:r>
          </w:p>
        </w:tc>
        <w:tc>
          <w:tcPr>
            <w:tcW w:w="659"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-1,41</w:t>
            </w:r>
          </w:p>
        </w:tc>
        <w:tc>
          <w:tcPr>
            <w:tcW w:w="850"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39,73</w:t>
            </w:r>
          </w:p>
        </w:tc>
        <w:tc>
          <w:tcPr>
            <w:tcW w:w="531"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4,48</w:t>
            </w:r>
          </w:p>
        </w:tc>
        <w:tc>
          <w:tcPr>
            <w:tcW w:w="616"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1,47</w:t>
            </w:r>
          </w:p>
        </w:tc>
        <w:tc>
          <w:tcPr>
            <w:tcW w:w="808"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54,06</w:t>
            </w:r>
          </w:p>
        </w:tc>
        <w:tc>
          <w:tcPr>
            <w:tcW w:w="744"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6,10</w:t>
            </w:r>
          </w:p>
        </w:tc>
        <w:tc>
          <w:tcPr>
            <w:tcW w:w="680"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1,98</w:t>
            </w:r>
          </w:p>
        </w:tc>
        <w:tc>
          <w:tcPr>
            <w:tcW w:w="744"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30,79</w:t>
            </w:r>
          </w:p>
        </w:tc>
        <w:tc>
          <w:tcPr>
            <w:tcW w:w="616"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3,48</w:t>
            </w:r>
          </w:p>
        </w:tc>
        <w:tc>
          <w:tcPr>
            <w:tcW w:w="574"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1,12</w:t>
            </w:r>
          </w:p>
        </w:tc>
      </w:tr>
      <w:tr w:rsidR="00F90726" w:rsidRPr="00F90726" w:rsidTr="00634AD9">
        <w:trPr>
          <w:trHeight w:val="222"/>
        </w:trPr>
        <w:tc>
          <w:tcPr>
            <w:tcW w:w="841" w:type="dxa"/>
            <w:shd w:val="clear" w:color="000000" w:fill="FFFFFF"/>
            <w:vAlign w:val="center"/>
            <w:hideMark/>
          </w:tcPr>
          <w:p w:rsidR="00F90726" w:rsidRPr="00F90726" w:rsidRDefault="00F90726" w:rsidP="00634AD9">
            <w:pPr>
              <w:jc w:val="center"/>
              <w:rPr>
                <w:color w:val="000000"/>
                <w:sz w:val="16"/>
                <w:szCs w:val="16"/>
              </w:rPr>
            </w:pPr>
            <w:r w:rsidRPr="00F90726">
              <w:rPr>
                <w:color w:val="000000"/>
                <w:sz w:val="16"/>
                <w:szCs w:val="16"/>
              </w:rPr>
              <w:t>6.1b</w:t>
            </w:r>
          </w:p>
        </w:tc>
        <w:tc>
          <w:tcPr>
            <w:tcW w:w="871"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12,97</w:t>
            </w:r>
          </w:p>
        </w:tc>
        <w:tc>
          <w:tcPr>
            <w:tcW w:w="744"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0,50</w:t>
            </w:r>
          </w:p>
        </w:tc>
        <w:tc>
          <w:tcPr>
            <w:tcW w:w="595" w:type="dxa"/>
            <w:shd w:val="clear" w:color="000000" w:fill="FFFFFF"/>
            <w:vAlign w:val="center"/>
            <w:hideMark/>
          </w:tcPr>
          <w:p w:rsidR="00F90726" w:rsidRPr="00F90726" w:rsidRDefault="00F90726" w:rsidP="00634AD9">
            <w:pPr>
              <w:jc w:val="center"/>
              <w:rPr>
                <w:color w:val="000000"/>
                <w:sz w:val="16"/>
                <w:szCs w:val="16"/>
              </w:rPr>
            </w:pPr>
            <w:r w:rsidRPr="00F90726">
              <w:rPr>
                <w:color w:val="000000"/>
                <w:sz w:val="16"/>
                <w:szCs w:val="16"/>
              </w:rPr>
              <w:t>0</w:t>
            </w:r>
          </w:p>
        </w:tc>
        <w:tc>
          <w:tcPr>
            <w:tcW w:w="680"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0,97</w:t>
            </w:r>
          </w:p>
        </w:tc>
        <w:tc>
          <w:tcPr>
            <w:tcW w:w="553"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7,45</w:t>
            </w:r>
          </w:p>
        </w:tc>
        <w:tc>
          <w:tcPr>
            <w:tcW w:w="616"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0,04</w:t>
            </w:r>
          </w:p>
        </w:tc>
        <w:tc>
          <w:tcPr>
            <w:tcW w:w="595"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w:t>
            </w:r>
          </w:p>
        </w:tc>
        <w:tc>
          <w:tcPr>
            <w:tcW w:w="765"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-0,75</w:t>
            </w:r>
          </w:p>
        </w:tc>
        <w:tc>
          <w:tcPr>
            <w:tcW w:w="659"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-5,80</w:t>
            </w:r>
          </w:p>
        </w:tc>
        <w:tc>
          <w:tcPr>
            <w:tcW w:w="659"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-0,03</w:t>
            </w:r>
          </w:p>
        </w:tc>
        <w:tc>
          <w:tcPr>
            <w:tcW w:w="850"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0,69</w:t>
            </w:r>
          </w:p>
        </w:tc>
        <w:tc>
          <w:tcPr>
            <w:tcW w:w="531"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5,31</w:t>
            </w:r>
          </w:p>
        </w:tc>
        <w:tc>
          <w:tcPr>
            <w:tcW w:w="616"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0,03</w:t>
            </w:r>
          </w:p>
        </w:tc>
        <w:tc>
          <w:tcPr>
            <w:tcW w:w="808"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0,90</w:t>
            </w:r>
          </w:p>
        </w:tc>
        <w:tc>
          <w:tcPr>
            <w:tcW w:w="744"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6,97</w:t>
            </w:r>
          </w:p>
        </w:tc>
        <w:tc>
          <w:tcPr>
            <w:tcW w:w="680"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0,03</w:t>
            </w:r>
          </w:p>
        </w:tc>
        <w:tc>
          <w:tcPr>
            <w:tcW w:w="744"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0,50</w:t>
            </w:r>
          </w:p>
        </w:tc>
        <w:tc>
          <w:tcPr>
            <w:tcW w:w="616"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3,85</w:t>
            </w:r>
          </w:p>
        </w:tc>
        <w:tc>
          <w:tcPr>
            <w:tcW w:w="574"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0,02</w:t>
            </w:r>
          </w:p>
        </w:tc>
      </w:tr>
      <w:tr w:rsidR="00F90726" w:rsidRPr="00F90726" w:rsidTr="00634AD9">
        <w:trPr>
          <w:trHeight w:val="222"/>
        </w:trPr>
        <w:tc>
          <w:tcPr>
            <w:tcW w:w="841" w:type="dxa"/>
            <w:shd w:val="clear" w:color="000000" w:fill="FFFFFF"/>
            <w:vAlign w:val="center"/>
            <w:hideMark/>
          </w:tcPr>
          <w:p w:rsidR="00F90726" w:rsidRPr="00F90726" w:rsidRDefault="00F90726" w:rsidP="00634AD9">
            <w:pPr>
              <w:jc w:val="center"/>
              <w:rPr>
                <w:color w:val="000000"/>
                <w:sz w:val="16"/>
                <w:szCs w:val="16"/>
              </w:rPr>
            </w:pPr>
            <w:r w:rsidRPr="00F90726">
              <w:rPr>
                <w:color w:val="000000"/>
                <w:sz w:val="16"/>
                <w:szCs w:val="16"/>
              </w:rPr>
              <w:t>6.2b</w:t>
            </w:r>
          </w:p>
        </w:tc>
        <w:tc>
          <w:tcPr>
            <w:tcW w:w="871"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3,32</w:t>
            </w:r>
          </w:p>
        </w:tc>
        <w:tc>
          <w:tcPr>
            <w:tcW w:w="744"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0,13</w:t>
            </w:r>
          </w:p>
        </w:tc>
        <w:tc>
          <w:tcPr>
            <w:tcW w:w="595" w:type="dxa"/>
            <w:shd w:val="clear" w:color="000000" w:fill="FFFFFF"/>
            <w:vAlign w:val="center"/>
            <w:hideMark/>
          </w:tcPr>
          <w:p w:rsidR="00F90726" w:rsidRPr="00F90726" w:rsidRDefault="00F90726" w:rsidP="00634AD9">
            <w:pPr>
              <w:jc w:val="center"/>
              <w:rPr>
                <w:color w:val="000000"/>
                <w:sz w:val="16"/>
                <w:szCs w:val="16"/>
              </w:rPr>
            </w:pPr>
            <w:r w:rsidRPr="00F90726">
              <w:rPr>
                <w:color w:val="000000"/>
                <w:sz w:val="16"/>
                <w:szCs w:val="16"/>
              </w:rPr>
              <w:t>0</w:t>
            </w:r>
          </w:p>
        </w:tc>
        <w:tc>
          <w:tcPr>
            <w:tcW w:w="680"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0,58</w:t>
            </w:r>
          </w:p>
        </w:tc>
        <w:tc>
          <w:tcPr>
            <w:tcW w:w="553"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17,60</w:t>
            </w:r>
          </w:p>
        </w:tc>
        <w:tc>
          <w:tcPr>
            <w:tcW w:w="616"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0,02</w:t>
            </w:r>
          </w:p>
        </w:tc>
        <w:tc>
          <w:tcPr>
            <w:tcW w:w="595"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w:t>
            </w:r>
          </w:p>
        </w:tc>
        <w:tc>
          <w:tcPr>
            <w:tcW w:w="765"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-0,02</w:t>
            </w:r>
          </w:p>
        </w:tc>
        <w:tc>
          <w:tcPr>
            <w:tcW w:w="659"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-0,68</w:t>
            </w:r>
          </w:p>
        </w:tc>
        <w:tc>
          <w:tcPr>
            <w:tcW w:w="659"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0,00</w:t>
            </w:r>
          </w:p>
        </w:tc>
        <w:tc>
          <w:tcPr>
            <w:tcW w:w="850"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0,04</w:t>
            </w:r>
          </w:p>
        </w:tc>
        <w:tc>
          <w:tcPr>
            <w:tcW w:w="531"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1,24</w:t>
            </w:r>
          </w:p>
        </w:tc>
        <w:tc>
          <w:tcPr>
            <w:tcW w:w="616"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0,00</w:t>
            </w:r>
          </w:p>
        </w:tc>
        <w:tc>
          <w:tcPr>
            <w:tcW w:w="808"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0,09</w:t>
            </w:r>
          </w:p>
        </w:tc>
        <w:tc>
          <w:tcPr>
            <w:tcW w:w="744"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2,71</w:t>
            </w:r>
          </w:p>
        </w:tc>
        <w:tc>
          <w:tcPr>
            <w:tcW w:w="680"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0,00</w:t>
            </w:r>
          </w:p>
        </w:tc>
        <w:tc>
          <w:tcPr>
            <w:tcW w:w="744"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0,07</w:t>
            </w:r>
          </w:p>
        </w:tc>
        <w:tc>
          <w:tcPr>
            <w:tcW w:w="616"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2,01</w:t>
            </w:r>
          </w:p>
        </w:tc>
        <w:tc>
          <w:tcPr>
            <w:tcW w:w="574" w:type="dxa"/>
            <w:shd w:val="clear" w:color="000000" w:fill="FFFFFF"/>
            <w:noWrap/>
            <w:vAlign w:val="center"/>
            <w:hideMark/>
          </w:tcPr>
          <w:p w:rsidR="00F90726" w:rsidRPr="00F90726" w:rsidRDefault="00F90726" w:rsidP="00634AD9">
            <w:pPr>
              <w:jc w:val="center"/>
              <w:rPr>
                <w:color w:val="000000"/>
                <w:sz w:val="16"/>
                <w:szCs w:val="16"/>
              </w:rPr>
            </w:pPr>
            <w:r w:rsidRPr="00F90726">
              <w:rPr>
                <w:color w:val="000000"/>
                <w:sz w:val="16"/>
                <w:szCs w:val="16"/>
              </w:rPr>
              <w:t>0,00</w:t>
            </w:r>
          </w:p>
        </w:tc>
      </w:tr>
      <w:tr w:rsidR="00F90726" w:rsidRPr="00F90726" w:rsidTr="00634AD9">
        <w:trPr>
          <w:trHeight w:val="236"/>
        </w:trPr>
        <w:tc>
          <w:tcPr>
            <w:tcW w:w="841" w:type="dxa"/>
            <w:shd w:val="clear" w:color="000000" w:fill="E4DFEC"/>
            <w:vAlign w:val="center"/>
            <w:hideMark/>
          </w:tcPr>
          <w:p w:rsidR="00F90726" w:rsidRPr="00F90726" w:rsidRDefault="00F90726" w:rsidP="00634AD9">
            <w:pPr>
              <w:jc w:val="center"/>
              <w:rPr>
                <w:b/>
                <w:bCs/>
                <w:color w:val="000000"/>
                <w:sz w:val="16"/>
                <w:szCs w:val="16"/>
              </w:rPr>
            </w:pPr>
            <w:proofErr w:type="gramStart"/>
            <w:r w:rsidRPr="00F90726">
              <w:rPr>
                <w:b/>
                <w:bCs/>
                <w:color w:val="000000"/>
                <w:sz w:val="16"/>
                <w:szCs w:val="16"/>
              </w:rPr>
              <w:t>6.b</w:t>
            </w:r>
            <w:proofErr w:type="gramEnd"/>
          </w:p>
        </w:tc>
        <w:tc>
          <w:tcPr>
            <w:tcW w:w="871"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16,29</w:t>
            </w:r>
          </w:p>
        </w:tc>
        <w:tc>
          <w:tcPr>
            <w:tcW w:w="744"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0,63</w:t>
            </w:r>
          </w:p>
        </w:tc>
        <w:tc>
          <w:tcPr>
            <w:tcW w:w="595" w:type="dxa"/>
            <w:shd w:val="clear" w:color="000000" w:fill="E4DFEC"/>
            <w:vAlign w:val="center"/>
            <w:hideMark/>
          </w:tcPr>
          <w:p w:rsidR="00F90726" w:rsidRPr="00F90726" w:rsidRDefault="00F90726" w:rsidP="00634AD9">
            <w:pPr>
              <w:jc w:val="center"/>
              <w:rPr>
                <w:b/>
                <w:bCs/>
                <w:color w:val="000000"/>
                <w:sz w:val="16"/>
                <w:szCs w:val="16"/>
              </w:rPr>
            </w:pPr>
            <w:r w:rsidRPr="00F90726">
              <w:rPr>
                <w:b/>
                <w:bCs/>
                <w:color w:val="000000"/>
                <w:sz w:val="16"/>
                <w:szCs w:val="16"/>
              </w:rPr>
              <w:t>0</w:t>
            </w:r>
          </w:p>
        </w:tc>
        <w:tc>
          <w:tcPr>
            <w:tcW w:w="680"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1,55</w:t>
            </w:r>
          </w:p>
        </w:tc>
        <w:tc>
          <w:tcPr>
            <w:tcW w:w="553"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9,52</w:t>
            </w:r>
          </w:p>
        </w:tc>
        <w:tc>
          <w:tcPr>
            <w:tcW w:w="616"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0,06</w:t>
            </w:r>
          </w:p>
        </w:tc>
        <w:tc>
          <w:tcPr>
            <w:tcW w:w="595"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0</w:t>
            </w:r>
          </w:p>
        </w:tc>
        <w:tc>
          <w:tcPr>
            <w:tcW w:w="765"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-0,77</w:t>
            </w:r>
          </w:p>
        </w:tc>
        <w:tc>
          <w:tcPr>
            <w:tcW w:w="659"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-4,76</w:t>
            </w:r>
          </w:p>
        </w:tc>
        <w:tc>
          <w:tcPr>
            <w:tcW w:w="659"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-0,03</w:t>
            </w:r>
          </w:p>
        </w:tc>
        <w:tc>
          <w:tcPr>
            <w:tcW w:w="850"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0,73</w:t>
            </w:r>
          </w:p>
        </w:tc>
        <w:tc>
          <w:tcPr>
            <w:tcW w:w="531"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4,48</w:t>
            </w:r>
          </w:p>
        </w:tc>
        <w:tc>
          <w:tcPr>
            <w:tcW w:w="616"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0,03</w:t>
            </w:r>
          </w:p>
        </w:tc>
        <w:tc>
          <w:tcPr>
            <w:tcW w:w="808"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0,99</w:t>
            </w:r>
          </w:p>
        </w:tc>
        <w:tc>
          <w:tcPr>
            <w:tcW w:w="744"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6,10</w:t>
            </w:r>
          </w:p>
        </w:tc>
        <w:tc>
          <w:tcPr>
            <w:tcW w:w="680"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0,04</w:t>
            </w:r>
          </w:p>
        </w:tc>
        <w:tc>
          <w:tcPr>
            <w:tcW w:w="744"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0,57</w:t>
            </w:r>
          </w:p>
        </w:tc>
        <w:tc>
          <w:tcPr>
            <w:tcW w:w="616"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3,48</w:t>
            </w:r>
          </w:p>
        </w:tc>
        <w:tc>
          <w:tcPr>
            <w:tcW w:w="574" w:type="dxa"/>
            <w:shd w:val="clear" w:color="000000" w:fill="E4DFEC"/>
            <w:noWrap/>
            <w:vAlign w:val="center"/>
            <w:hideMark/>
          </w:tcPr>
          <w:p w:rsidR="00F90726" w:rsidRPr="00F90726" w:rsidRDefault="00F90726" w:rsidP="00634AD9">
            <w:pPr>
              <w:jc w:val="center"/>
              <w:rPr>
                <w:b/>
                <w:bCs/>
                <w:color w:val="000000"/>
                <w:sz w:val="16"/>
                <w:szCs w:val="16"/>
              </w:rPr>
            </w:pPr>
            <w:r w:rsidRPr="00F90726">
              <w:rPr>
                <w:b/>
                <w:bCs/>
                <w:color w:val="000000"/>
                <w:sz w:val="16"/>
                <w:szCs w:val="16"/>
              </w:rPr>
              <w:t>0,02</w:t>
            </w:r>
          </w:p>
        </w:tc>
      </w:tr>
      <w:tr w:rsidR="00F90726" w:rsidRPr="00F90726" w:rsidTr="00F2398E">
        <w:trPr>
          <w:trHeight w:val="236"/>
        </w:trPr>
        <w:tc>
          <w:tcPr>
            <w:tcW w:w="841" w:type="dxa"/>
            <w:shd w:val="clear" w:color="000000" w:fill="C5D9F1"/>
            <w:vAlign w:val="center"/>
            <w:hideMark/>
          </w:tcPr>
          <w:p w:rsidR="00F90726" w:rsidRPr="00F90726" w:rsidRDefault="00F90726" w:rsidP="00F2398E">
            <w:pPr>
              <w:rPr>
                <w:b/>
                <w:bCs/>
                <w:color w:val="000000"/>
                <w:sz w:val="16"/>
                <w:szCs w:val="16"/>
              </w:rPr>
            </w:pPr>
            <w:r w:rsidRPr="00F90726">
              <w:rPr>
                <w:b/>
                <w:bCs/>
                <w:color w:val="000000"/>
                <w:sz w:val="16"/>
                <w:szCs w:val="16"/>
              </w:rPr>
              <w:t>Celkem</w:t>
            </w:r>
          </w:p>
        </w:tc>
        <w:tc>
          <w:tcPr>
            <w:tcW w:w="871" w:type="dxa"/>
            <w:shd w:val="clear" w:color="000000" w:fill="C5D9F1"/>
            <w:noWrap/>
            <w:vAlign w:val="center"/>
            <w:hideMark/>
          </w:tcPr>
          <w:p w:rsidR="00F90726" w:rsidRPr="00F90726" w:rsidRDefault="00F90726" w:rsidP="007A6647">
            <w:pPr>
              <w:jc w:val="center"/>
              <w:rPr>
                <w:b/>
                <w:bCs/>
                <w:color w:val="000000"/>
                <w:sz w:val="16"/>
                <w:szCs w:val="16"/>
              </w:rPr>
            </w:pPr>
            <w:r w:rsidRPr="00F90726">
              <w:rPr>
                <w:b/>
                <w:bCs/>
                <w:color w:val="000000"/>
                <w:sz w:val="16"/>
                <w:szCs w:val="16"/>
              </w:rPr>
              <w:t>42 579,87</w:t>
            </w:r>
          </w:p>
        </w:tc>
        <w:tc>
          <w:tcPr>
            <w:tcW w:w="744" w:type="dxa"/>
            <w:shd w:val="clear" w:color="000000" w:fill="C5D9F1"/>
            <w:noWrap/>
            <w:vAlign w:val="center"/>
            <w:hideMark/>
          </w:tcPr>
          <w:p w:rsidR="00F90726" w:rsidRPr="00F90726" w:rsidRDefault="00F90726" w:rsidP="007A6647">
            <w:pPr>
              <w:jc w:val="center"/>
              <w:rPr>
                <w:b/>
                <w:bCs/>
                <w:color w:val="000000"/>
                <w:sz w:val="16"/>
                <w:szCs w:val="16"/>
              </w:rPr>
            </w:pPr>
            <w:r w:rsidRPr="00F90726">
              <w:rPr>
                <w:b/>
                <w:bCs/>
                <w:color w:val="000000"/>
                <w:sz w:val="16"/>
                <w:szCs w:val="16"/>
              </w:rPr>
              <w:t>1 615,16</w:t>
            </w:r>
          </w:p>
        </w:tc>
        <w:tc>
          <w:tcPr>
            <w:tcW w:w="595" w:type="dxa"/>
            <w:shd w:val="clear" w:color="000000" w:fill="C5D9F1"/>
            <w:vAlign w:val="center"/>
            <w:hideMark/>
          </w:tcPr>
          <w:p w:rsidR="00F90726" w:rsidRPr="00F90726" w:rsidRDefault="00F90726" w:rsidP="007A6647">
            <w:pPr>
              <w:jc w:val="center"/>
              <w:rPr>
                <w:b/>
                <w:bCs/>
                <w:color w:val="000000"/>
                <w:sz w:val="16"/>
                <w:szCs w:val="16"/>
              </w:rPr>
            </w:pPr>
            <w:r w:rsidRPr="00F90726">
              <w:rPr>
                <w:b/>
                <w:bCs/>
                <w:color w:val="000000"/>
                <w:sz w:val="16"/>
                <w:szCs w:val="16"/>
              </w:rPr>
              <w:t>50</w:t>
            </w:r>
          </w:p>
        </w:tc>
        <w:tc>
          <w:tcPr>
            <w:tcW w:w="680" w:type="dxa"/>
            <w:shd w:val="clear" w:color="000000" w:fill="C5D9F1"/>
            <w:noWrap/>
            <w:vAlign w:val="center"/>
            <w:hideMark/>
          </w:tcPr>
          <w:p w:rsidR="00F90726" w:rsidRPr="00F90726" w:rsidRDefault="00F90726" w:rsidP="007A6647">
            <w:pPr>
              <w:jc w:val="center"/>
              <w:rPr>
                <w:b/>
                <w:bCs/>
                <w:color w:val="000000"/>
                <w:sz w:val="16"/>
                <w:szCs w:val="16"/>
              </w:rPr>
            </w:pPr>
            <w:r w:rsidRPr="00F90726">
              <w:rPr>
                <w:b/>
                <w:bCs/>
                <w:color w:val="000000"/>
                <w:sz w:val="16"/>
                <w:szCs w:val="16"/>
              </w:rPr>
              <w:t>498,75</w:t>
            </w:r>
          </w:p>
        </w:tc>
        <w:tc>
          <w:tcPr>
            <w:tcW w:w="553" w:type="dxa"/>
            <w:shd w:val="clear" w:color="000000" w:fill="C5D9F1"/>
            <w:noWrap/>
            <w:vAlign w:val="center"/>
            <w:hideMark/>
          </w:tcPr>
          <w:p w:rsidR="00F90726" w:rsidRPr="00F90726" w:rsidRDefault="00F90726" w:rsidP="007A6647">
            <w:pPr>
              <w:jc w:val="center"/>
              <w:rPr>
                <w:b/>
                <w:bCs/>
                <w:color w:val="000000"/>
                <w:sz w:val="16"/>
                <w:szCs w:val="16"/>
              </w:rPr>
            </w:pPr>
            <w:r w:rsidRPr="00F90726">
              <w:rPr>
                <w:b/>
                <w:bCs/>
                <w:color w:val="000000"/>
                <w:sz w:val="16"/>
                <w:szCs w:val="16"/>
              </w:rPr>
              <w:t>1,17</w:t>
            </w:r>
          </w:p>
        </w:tc>
        <w:tc>
          <w:tcPr>
            <w:tcW w:w="616" w:type="dxa"/>
            <w:shd w:val="clear" w:color="000000" w:fill="C5D9F1"/>
            <w:noWrap/>
            <w:vAlign w:val="center"/>
            <w:hideMark/>
          </w:tcPr>
          <w:p w:rsidR="00F90726" w:rsidRPr="00F90726" w:rsidRDefault="00F90726" w:rsidP="007A6647">
            <w:pPr>
              <w:jc w:val="center"/>
              <w:rPr>
                <w:b/>
                <w:bCs/>
                <w:color w:val="000000"/>
                <w:sz w:val="16"/>
                <w:szCs w:val="16"/>
              </w:rPr>
            </w:pPr>
            <w:r w:rsidRPr="00F90726">
              <w:rPr>
                <w:b/>
                <w:bCs/>
                <w:color w:val="000000"/>
                <w:sz w:val="16"/>
                <w:szCs w:val="16"/>
              </w:rPr>
              <w:t>34,85</w:t>
            </w:r>
          </w:p>
        </w:tc>
        <w:tc>
          <w:tcPr>
            <w:tcW w:w="595" w:type="dxa"/>
            <w:shd w:val="clear" w:color="000000" w:fill="C5D9F1"/>
            <w:noWrap/>
            <w:vAlign w:val="center"/>
            <w:hideMark/>
          </w:tcPr>
          <w:p w:rsidR="00F90726" w:rsidRPr="00F90726" w:rsidRDefault="00F90726" w:rsidP="007A6647">
            <w:pPr>
              <w:jc w:val="center"/>
              <w:rPr>
                <w:b/>
                <w:bCs/>
                <w:color w:val="000000"/>
                <w:sz w:val="16"/>
                <w:szCs w:val="16"/>
              </w:rPr>
            </w:pPr>
            <w:r w:rsidRPr="00F90726">
              <w:rPr>
                <w:b/>
                <w:bCs/>
                <w:color w:val="000000"/>
                <w:sz w:val="16"/>
                <w:szCs w:val="16"/>
              </w:rPr>
              <w:t>72</w:t>
            </w:r>
          </w:p>
        </w:tc>
        <w:tc>
          <w:tcPr>
            <w:tcW w:w="765" w:type="dxa"/>
            <w:shd w:val="clear" w:color="000000" w:fill="C5D9F1"/>
            <w:noWrap/>
            <w:vAlign w:val="center"/>
            <w:hideMark/>
          </w:tcPr>
          <w:p w:rsidR="00F90726" w:rsidRPr="00F90726" w:rsidRDefault="00F90726" w:rsidP="007A6647">
            <w:pPr>
              <w:jc w:val="center"/>
              <w:rPr>
                <w:b/>
                <w:bCs/>
                <w:color w:val="000000"/>
                <w:sz w:val="16"/>
                <w:szCs w:val="16"/>
              </w:rPr>
            </w:pPr>
            <w:r w:rsidRPr="00F90726">
              <w:rPr>
                <w:b/>
                <w:bCs/>
                <w:color w:val="000000"/>
                <w:sz w:val="16"/>
                <w:szCs w:val="16"/>
              </w:rPr>
              <w:t>1 768,06</w:t>
            </w:r>
          </w:p>
        </w:tc>
        <w:tc>
          <w:tcPr>
            <w:tcW w:w="659" w:type="dxa"/>
            <w:shd w:val="clear" w:color="000000" w:fill="C5D9F1"/>
            <w:noWrap/>
            <w:vAlign w:val="center"/>
            <w:hideMark/>
          </w:tcPr>
          <w:p w:rsidR="00F90726" w:rsidRPr="00F90726" w:rsidRDefault="00F90726" w:rsidP="007A6647">
            <w:pPr>
              <w:jc w:val="center"/>
              <w:rPr>
                <w:b/>
                <w:bCs/>
                <w:color w:val="000000"/>
                <w:sz w:val="16"/>
                <w:szCs w:val="16"/>
              </w:rPr>
            </w:pPr>
            <w:r w:rsidRPr="00F90726">
              <w:rPr>
                <w:b/>
                <w:bCs/>
                <w:color w:val="000000"/>
                <w:sz w:val="16"/>
                <w:szCs w:val="16"/>
              </w:rPr>
              <w:t>4,15</w:t>
            </w:r>
          </w:p>
        </w:tc>
        <w:tc>
          <w:tcPr>
            <w:tcW w:w="659" w:type="dxa"/>
            <w:shd w:val="clear" w:color="000000" w:fill="C5D9F1"/>
            <w:noWrap/>
            <w:vAlign w:val="center"/>
            <w:hideMark/>
          </w:tcPr>
          <w:p w:rsidR="00F90726" w:rsidRPr="00F90726" w:rsidRDefault="00F90726" w:rsidP="007A6647">
            <w:pPr>
              <w:jc w:val="center"/>
              <w:rPr>
                <w:b/>
                <w:bCs/>
                <w:color w:val="000000"/>
                <w:sz w:val="16"/>
                <w:szCs w:val="16"/>
              </w:rPr>
            </w:pPr>
            <w:r w:rsidRPr="00F90726">
              <w:rPr>
                <w:b/>
                <w:bCs/>
                <w:color w:val="000000"/>
                <w:sz w:val="16"/>
                <w:szCs w:val="16"/>
              </w:rPr>
              <w:t>70,71</w:t>
            </w:r>
          </w:p>
        </w:tc>
        <w:tc>
          <w:tcPr>
            <w:tcW w:w="850" w:type="dxa"/>
            <w:shd w:val="clear" w:color="000000" w:fill="C5D9F1"/>
            <w:noWrap/>
            <w:vAlign w:val="center"/>
            <w:hideMark/>
          </w:tcPr>
          <w:p w:rsidR="00F90726" w:rsidRPr="00F90726" w:rsidRDefault="00F90726" w:rsidP="007A6647">
            <w:pPr>
              <w:jc w:val="center"/>
              <w:rPr>
                <w:b/>
                <w:bCs/>
                <w:color w:val="000000"/>
                <w:sz w:val="16"/>
                <w:szCs w:val="16"/>
              </w:rPr>
            </w:pPr>
            <w:r w:rsidRPr="00F90726">
              <w:rPr>
                <w:b/>
                <w:bCs/>
                <w:color w:val="000000"/>
                <w:sz w:val="16"/>
                <w:szCs w:val="16"/>
              </w:rPr>
              <w:t>1 928,37</w:t>
            </w:r>
          </w:p>
        </w:tc>
        <w:tc>
          <w:tcPr>
            <w:tcW w:w="531" w:type="dxa"/>
            <w:shd w:val="clear" w:color="000000" w:fill="C5D9F1"/>
            <w:noWrap/>
            <w:vAlign w:val="center"/>
            <w:hideMark/>
          </w:tcPr>
          <w:p w:rsidR="00F90726" w:rsidRPr="00F90726" w:rsidRDefault="00F90726" w:rsidP="007A6647">
            <w:pPr>
              <w:jc w:val="center"/>
              <w:rPr>
                <w:b/>
                <w:bCs/>
                <w:color w:val="000000"/>
                <w:sz w:val="16"/>
                <w:szCs w:val="16"/>
              </w:rPr>
            </w:pPr>
            <w:r w:rsidRPr="00F90726">
              <w:rPr>
                <w:b/>
                <w:bCs/>
                <w:color w:val="000000"/>
                <w:sz w:val="16"/>
                <w:szCs w:val="16"/>
              </w:rPr>
              <w:t>4,53</w:t>
            </w:r>
          </w:p>
        </w:tc>
        <w:tc>
          <w:tcPr>
            <w:tcW w:w="616" w:type="dxa"/>
            <w:shd w:val="clear" w:color="000000" w:fill="C5D9F1"/>
            <w:noWrap/>
            <w:vAlign w:val="center"/>
            <w:hideMark/>
          </w:tcPr>
          <w:p w:rsidR="00F90726" w:rsidRPr="00F90726" w:rsidRDefault="00F90726" w:rsidP="007A6647">
            <w:pPr>
              <w:jc w:val="center"/>
              <w:rPr>
                <w:b/>
                <w:bCs/>
                <w:color w:val="000000"/>
                <w:sz w:val="16"/>
                <w:szCs w:val="16"/>
              </w:rPr>
            </w:pPr>
            <w:r w:rsidRPr="00F90726">
              <w:rPr>
                <w:b/>
                <w:bCs/>
                <w:color w:val="000000"/>
                <w:sz w:val="16"/>
                <w:szCs w:val="16"/>
              </w:rPr>
              <w:t>70,98</w:t>
            </w:r>
          </w:p>
        </w:tc>
        <w:tc>
          <w:tcPr>
            <w:tcW w:w="808" w:type="dxa"/>
            <w:shd w:val="clear" w:color="000000" w:fill="C5D9F1"/>
            <w:noWrap/>
            <w:vAlign w:val="center"/>
            <w:hideMark/>
          </w:tcPr>
          <w:p w:rsidR="00F90726" w:rsidRPr="00F90726" w:rsidRDefault="00F90726" w:rsidP="007A6647">
            <w:pPr>
              <w:jc w:val="center"/>
              <w:rPr>
                <w:b/>
                <w:bCs/>
                <w:color w:val="000000"/>
                <w:sz w:val="16"/>
                <w:szCs w:val="16"/>
              </w:rPr>
            </w:pPr>
            <w:r w:rsidRPr="00F90726">
              <w:rPr>
                <w:b/>
                <w:bCs/>
                <w:color w:val="000000"/>
                <w:sz w:val="16"/>
                <w:szCs w:val="16"/>
              </w:rPr>
              <w:t>1 870,02</w:t>
            </w:r>
          </w:p>
        </w:tc>
        <w:tc>
          <w:tcPr>
            <w:tcW w:w="744" w:type="dxa"/>
            <w:shd w:val="clear" w:color="000000" w:fill="C5D9F1"/>
            <w:noWrap/>
            <w:vAlign w:val="center"/>
            <w:hideMark/>
          </w:tcPr>
          <w:p w:rsidR="00F90726" w:rsidRPr="00F90726" w:rsidRDefault="00F90726" w:rsidP="007A6647">
            <w:pPr>
              <w:jc w:val="center"/>
              <w:rPr>
                <w:b/>
                <w:bCs/>
                <w:color w:val="000000"/>
                <w:sz w:val="16"/>
                <w:szCs w:val="16"/>
              </w:rPr>
            </w:pPr>
            <w:r w:rsidRPr="00F90726">
              <w:rPr>
                <w:b/>
                <w:bCs/>
                <w:color w:val="000000"/>
                <w:sz w:val="16"/>
                <w:szCs w:val="16"/>
              </w:rPr>
              <w:t>4,39</w:t>
            </w:r>
          </w:p>
        </w:tc>
        <w:tc>
          <w:tcPr>
            <w:tcW w:w="680" w:type="dxa"/>
            <w:shd w:val="clear" w:color="000000" w:fill="C5D9F1"/>
            <w:noWrap/>
            <w:vAlign w:val="center"/>
            <w:hideMark/>
          </w:tcPr>
          <w:p w:rsidR="00F90726" w:rsidRPr="00F90726" w:rsidRDefault="00F90726" w:rsidP="007A6647">
            <w:pPr>
              <w:jc w:val="center"/>
              <w:rPr>
                <w:b/>
                <w:bCs/>
                <w:color w:val="000000"/>
                <w:sz w:val="16"/>
                <w:szCs w:val="16"/>
              </w:rPr>
            </w:pPr>
            <w:r w:rsidRPr="00F90726">
              <w:rPr>
                <w:b/>
                <w:bCs/>
                <w:color w:val="000000"/>
                <w:sz w:val="16"/>
                <w:szCs w:val="16"/>
              </w:rPr>
              <w:t>68,57</w:t>
            </w:r>
          </w:p>
        </w:tc>
        <w:tc>
          <w:tcPr>
            <w:tcW w:w="744" w:type="dxa"/>
            <w:shd w:val="clear" w:color="000000" w:fill="C5D9F1"/>
            <w:noWrap/>
            <w:vAlign w:val="center"/>
            <w:hideMark/>
          </w:tcPr>
          <w:p w:rsidR="00F90726" w:rsidRPr="00F90726" w:rsidRDefault="00F90726" w:rsidP="007A6647">
            <w:pPr>
              <w:jc w:val="center"/>
              <w:rPr>
                <w:b/>
                <w:bCs/>
                <w:color w:val="000000"/>
                <w:sz w:val="16"/>
                <w:szCs w:val="16"/>
              </w:rPr>
            </w:pPr>
            <w:r w:rsidRPr="00F90726">
              <w:rPr>
                <w:b/>
                <w:bCs/>
                <w:color w:val="000000"/>
                <w:sz w:val="16"/>
                <w:szCs w:val="16"/>
              </w:rPr>
              <w:t>341,05</w:t>
            </w:r>
          </w:p>
        </w:tc>
        <w:tc>
          <w:tcPr>
            <w:tcW w:w="616" w:type="dxa"/>
            <w:shd w:val="clear" w:color="000000" w:fill="C5D9F1"/>
            <w:noWrap/>
            <w:vAlign w:val="center"/>
            <w:hideMark/>
          </w:tcPr>
          <w:p w:rsidR="00F90726" w:rsidRPr="00F90726" w:rsidRDefault="00F90726" w:rsidP="007A6647">
            <w:pPr>
              <w:jc w:val="center"/>
              <w:rPr>
                <w:b/>
                <w:bCs/>
                <w:color w:val="000000"/>
                <w:sz w:val="16"/>
                <w:szCs w:val="16"/>
              </w:rPr>
            </w:pPr>
            <w:r w:rsidRPr="00F90726">
              <w:rPr>
                <w:b/>
                <w:bCs/>
                <w:color w:val="000000"/>
                <w:sz w:val="16"/>
                <w:szCs w:val="16"/>
              </w:rPr>
              <w:t>0,80</w:t>
            </w:r>
          </w:p>
        </w:tc>
        <w:tc>
          <w:tcPr>
            <w:tcW w:w="574" w:type="dxa"/>
            <w:shd w:val="clear" w:color="000000" w:fill="C5D9F1"/>
            <w:noWrap/>
            <w:vAlign w:val="center"/>
            <w:hideMark/>
          </w:tcPr>
          <w:p w:rsidR="00F90726" w:rsidRPr="00F90726" w:rsidRDefault="00F90726" w:rsidP="007A6647">
            <w:pPr>
              <w:jc w:val="center"/>
              <w:rPr>
                <w:b/>
                <w:bCs/>
                <w:color w:val="000000"/>
                <w:sz w:val="16"/>
                <w:szCs w:val="16"/>
              </w:rPr>
            </w:pPr>
            <w:r w:rsidRPr="00F90726">
              <w:rPr>
                <w:b/>
                <w:bCs/>
                <w:color w:val="000000"/>
                <w:sz w:val="16"/>
                <w:szCs w:val="16"/>
              </w:rPr>
              <w:t>11,17</w:t>
            </w:r>
          </w:p>
        </w:tc>
      </w:tr>
    </w:tbl>
    <w:p w:rsidR="00637A99" w:rsidRDefault="00637A99" w:rsidP="00637A99">
      <w:pPr>
        <w:rPr>
          <w:i/>
          <w:sz w:val="18"/>
          <w:szCs w:val="18"/>
        </w:rPr>
      </w:pPr>
      <w:r w:rsidRPr="00DB3CBC">
        <w:rPr>
          <w:i/>
          <w:sz w:val="18"/>
          <w:szCs w:val="18"/>
        </w:rPr>
        <w:t xml:space="preserve">Zdroj dat: MSC2007 </w:t>
      </w:r>
      <w:r w:rsidR="00914BC7">
        <w:rPr>
          <w:i/>
          <w:sz w:val="18"/>
          <w:szCs w:val="18"/>
        </w:rPr>
        <w:t>k 30. 9. 2015</w:t>
      </w:r>
    </w:p>
    <w:p w:rsidR="00F03F3D" w:rsidRPr="00DB3CBC" w:rsidRDefault="00F03F3D" w:rsidP="00F03F3D">
      <w:pPr>
        <w:rPr>
          <w:i/>
          <w:sz w:val="18"/>
          <w:szCs w:val="18"/>
        </w:rPr>
      </w:pPr>
      <w:r>
        <w:rPr>
          <w:i/>
          <w:sz w:val="18"/>
          <w:szCs w:val="18"/>
        </w:rPr>
        <w:t xml:space="preserve">Data </w:t>
      </w:r>
      <w:r w:rsidR="001E2A60">
        <w:rPr>
          <w:i/>
          <w:sz w:val="18"/>
          <w:szCs w:val="18"/>
        </w:rPr>
        <w:t>za certifikované prostředky byla</w:t>
      </w:r>
      <w:r>
        <w:rPr>
          <w:i/>
          <w:sz w:val="18"/>
          <w:szCs w:val="18"/>
        </w:rPr>
        <w:t xml:space="preserve"> v celé zprávě generován</w:t>
      </w:r>
      <w:r w:rsidR="001E2A60">
        <w:rPr>
          <w:i/>
          <w:sz w:val="18"/>
          <w:szCs w:val="18"/>
        </w:rPr>
        <w:t>a</w:t>
      </w:r>
      <w:r>
        <w:rPr>
          <w:i/>
          <w:sz w:val="18"/>
          <w:szCs w:val="18"/>
        </w:rPr>
        <w:t xml:space="preserve"> k datu 8. 10. 2015, důvodem </w:t>
      </w:r>
      <w:r w:rsidR="001E2A60">
        <w:rPr>
          <w:i/>
          <w:sz w:val="18"/>
          <w:szCs w:val="18"/>
        </w:rPr>
        <w:t>je</w:t>
      </w:r>
      <w:r>
        <w:rPr>
          <w:i/>
          <w:sz w:val="18"/>
          <w:szCs w:val="18"/>
        </w:rPr>
        <w:t xml:space="preserve"> technická chyba způsobena chybným přenosem dat </w:t>
      </w:r>
      <w:proofErr w:type="gramStart"/>
      <w:r>
        <w:rPr>
          <w:i/>
          <w:sz w:val="18"/>
          <w:szCs w:val="18"/>
        </w:rPr>
        <w:t>mezi</w:t>
      </w:r>
      <w:proofErr w:type="gramEnd"/>
      <w:r>
        <w:rPr>
          <w:i/>
          <w:sz w:val="18"/>
          <w:szCs w:val="18"/>
        </w:rPr>
        <w:t xml:space="preserve"> IS Viola a MSC2007</w:t>
      </w:r>
    </w:p>
    <w:p w:rsidR="00637A99" w:rsidRPr="00DB3CBC" w:rsidRDefault="00637A99" w:rsidP="00637A99">
      <w:pPr>
        <w:rPr>
          <w:i/>
          <w:sz w:val="18"/>
          <w:szCs w:val="18"/>
        </w:rPr>
      </w:pPr>
      <w:r w:rsidRPr="00DB3CBC">
        <w:rPr>
          <w:i/>
          <w:sz w:val="18"/>
          <w:szCs w:val="18"/>
        </w:rPr>
        <w:t xml:space="preserve">Zdroj financování: podíl EU </w:t>
      </w:r>
    </w:p>
    <w:p w:rsidR="00637A99" w:rsidRPr="006D6F5E" w:rsidRDefault="00637A99" w:rsidP="00637A99">
      <w:pPr>
        <w:rPr>
          <w:i/>
          <w:sz w:val="18"/>
          <w:szCs w:val="18"/>
        </w:rPr>
      </w:pPr>
      <w:r w:rsidRPr="006D6F5E">
        <w:rPr>
          <w:i/>
          <w:sz w:val="18"/>
          <w:szCs w:val="18"/>
        </w:rPr>
        <w:t>kurz CZK/EUR:</w:t>
      </w:r>
    </w:p>
    <w:p w:rsidR="00637A99" w:rsidRPr="006D6F5E" w:rsidRDefault="00637A99" w:rsidP="00FB2466">
      <w:pPr>
        <w:numPr>
          <w:ilvl w:val="0"/>
          <w:numId w:val="25"/>
        </w:numPr>
        <w:rPr>
          <w:i/>
          <w:sz w:val="18"/>
          <w:szCs w:val="18"/>
        </w:rPr>
      </w:pPr>
      <w:r w:rsidRPr="006D6F5E">
        <w:rPr>
          <w:i/>
          <w:sz w:val="18"/>
          <w:szCs w:val="18"/>
        </w:rPr>
        <w:t xml:space="preserve">pro přepočet alokace ve sloupci a) nejsou částky přímo přepočítávány platným kurzem, neboť dochází ke zpřesnění údajů pomocí souhrnných žádostí </w:t>
      </w:r>
      <w:proofErr w:type="gramStart"/>
      <w:r w:rsidRPr="006D6F5E">
        <w:rPr>
          <w:i/>
          <w:sz w:val="18"/>
          <w:szCs w:val="18"/>
        </w:rPr>
        <w:t>zaúčtovaných v IS</w:t>
      </w:r>
      <w:proofErr w:type="gramEnd"/>
      <w:r w:rsidRPr="006D6F5E">
        <w:rPr>
          <w:i/>
          <w:sz w:val="18"/>
          <w:szCs w:val="18"/>
        </w:rPr>
        <w:t xml:space="preserve"> Viola dle algoritmu jako ve sloupcích c) – f);</w:t>
      </w:r>
    </w:p>
    <w:p w:rsidR="00637A99" w:rsidRPr="006D6F5E" w:rsidRDefault="00637A99" w:rsidP="00FB2466">
      <w:pPr>
        <w:numPr>
          <w:ilvl w:val="0"/>
          <w:numId w:val="25"/>
        </w:numPr>
        <w:rPr>
          <w:i/>
          <w:sz w:val="18"/>
          <w:szCs w:val="18"/>
        </w:rPr>
      </w:pPr>
      <w:r w:rsidRPr="006D6F5E">
        <w:rPr>
          <w:i/>
          <w:sz w:val="18"/>
          <w:szCs w:val="18"/>
        </w:rPr>
        <w:t>pro přepočet sloupců c) – f): 27,</w:t>
      </w:r>
      <w:r w:rsidR="0081367D">
        <w:rPr>
          <w:i/>
          <w:sz w:val="18"/>
          <w:szCs w:val="18"/>
        </w:rPr>
        <w:t>208</w:t>
      </w:r>
      <w:r w:rsidRPr="006D6F5E">
        <w:rPr>
          <w:i/>
          <w:sz w:val="18"/>
          <w:szCs w:val="18"/>
        </w:rPr>
        <w:t xml:space="preserve">, příp. kurz platný v době zaúčtování žádosti o </w:t>
      </w:r>
      <w:proofErr w:type="gramStart"/>
      <w:r w:rsidRPr="006D6F5E">
        <w:rPr>
          <w:i/>
          <w:sz w:val="18"/>
          <w:szCs w:val="18"/>
        </w:rPr>
        <w:t>platbu v IS</w:t>
      </w:r>
      <w:proofErr w:type="gramEnd"/>
      <w:r w:rsidRPr="006D6F5E">
        <w:rPr>
          <w:i/>
          <w:sz w:val="18"/>
          <w:szCs w:val="18"/>
        </w:rPr>
        <w:t xml:space="preserve"> Viola;</w:t>
      </w:r>
    </w:p>
    <w:p w:rsidR="00637A99" w:rsidRPr="006D6F5E" w:rsidRDefault="00637A99" w:rsidP="00FB2466">
      <w:pPr>
        <w:numPr>
          <w:ilvl w:val="0"/>
          <w:numId w:val="25"/>
        </w:numPr>
        <w:rPr>
          <w:i/>
          <w:sz w:val="18"/>
          <w:szCs w:val="18"/>
        </w:rPr>
      </w:pPr>
      <w:r w:rsidRPr="006D6F5E">
        <w:rPr>
          <w:i/>
          <w:sz w:val="18"/>
          <w:szCs w:val="18"/>
        </w:rPr>
        <w:t xml:space="preserve">pro přepočet sloupců g) – h) je použit z doby zaúčtování souhrnné </w:t>
      </w:r>
      <w:proofErr w:type="gramStart"/>
      <w:r w:rsidRPr="006D6F5E">
        <w:rPr>
          <w:i/>
          <w:sz w:val="18"/>
          <w:szCs w:val="18"/>
        </w:rPr>
        <w:t>žádosti v IS</w:t>
      </w:r>
      <w:proofErr w:type="gramEnd"/>
      <w:r w:rsidRPr="006D6F5E">
        <w:rPr>
          <w:i/>
          <w:sz w:val="18"/>
          <w:szCs w:val="18"/>
        </w:rPr>
        <w:t xml:space="preserve"> Viola.</w:t>
      </w:r>
    </w:p>
    <w:p w:rsidR="00F835ED" w:rsidRDefault="00F835ED" w:rsidP="00EE6FCE">
      <w:pPr>
        <w:rPr>
          <w:b/>
          <w:i/>
          <w:sz w:val="18"/>
          <w:szCs w:val="18"/>
        </w:rPr>
      </w:pPr>
    </w:p>
    <w:p w:rsidR="002F68F1" w:rsidRDefault="002F68F1" w:rsidP="00F835ED">
      <w:pPr>
        <w:jc w:val="both"/>
        <w:rPr>
          <w:b/>
          <w:sz w:val="22"/>
          <w:szCs w:val="22"/>
        </w:rPr>
      </w:pPr>
    </w:p>
    <w:p w:rsidR="00F835ED" w:rsidRPr="001F0568" w:rsidRDefault="00F835ED" w:rsidP="00F835ED">
      <w:pPr>
        <w:jc w:val="both"/>
        <w:rPr>
          <w:sz w:val="22"/>
          <w:szCs w:val="22"/>
          <w:highlight w:val="yellow"/>
        </w:rPr>
      </w:pPr>
      <w:r w:rsidRPr="00B27700">
        <w:rPr>
          <w:b/>
          <w:sz w:val="22"/>
          <w:szCs w:val="22"/>
        </w:rPr>
        <w:t>V období od 1</w:t>
      </w:r>
      <w:r w:rsidR="00914BC7">
        <w:rPr>
          <w:b/>
          <w:sz w:val="22"/>
          <w:szCs w:val="22"/>
        </w:rPr>
        <w:t>7</w:t>
      </w:r>
      <w:r w:rsidRPr="00B27700">
        <w:rPr>
          <w:b/>
          <w:sz w:val="22"/>
          <w:szCs w:val="22"/>
        </w:rPr>
        <w:t>.</w:t>
      </w:r>
      <w:r w:rsidR="001F0568">
        <w:rPr>
          <w:b/>
          <w:sz w:val="22"/>
          <w:szCs w:val="22"/>
        </w:rPr>
        <w:t xml:space="preserve"> </w:t>
      </w:r>
      <w:r w:rsidR="00914BC7">
        <w:rPr>
          <w:b/>
          <w:sz w:val="22"/>
          <w:szCs w:val="22"/>
        </w:rPr>
        <w:t>4</w:t>
      </w:r>
      <w:r>
        <w:rPr>
          <w:b/>
          <w:sz w:val="22"/>
          <w:szCs w:val="22"/>
        </w:rPr>
        <w:t>. 201</w:t>
      </w:r>
      <w:r w:rsidR="00914BC7">
        <w:rPr>
          <w:b/>
          <w:sz w:val="22"/>
          <w:szCs w:val="22"/>
        </w:rPr>
        <w:t>5</w:t>
      </w:r>
      <w:r w:rsidR="00C52B2F">
        <w:rPr>
          <w:b/>
          <w:sz w:val="22"/>
          <w:szCs w:val="22"/>
        </w:rPr>
        <w:t xml:space="preserve"> do </w:t>
      </w:r>
      <w:r w:rsidR="00914BC7">
        <w:rPr>
          <w:b/>
          <w:sz w:val="22"/>
          <w:szCs w:val="22"/>
        </w:rPr>
        <w:t>30</w:t>
      </w:r>
      <w:r w:rsidR="0072171E">
        <w:rPr>
          <w:b/>
          <w:sz w:val="22"/>
          <w:szCs w:val="22"/>
        </w:rPr>
        <w:t xml:space="preserve">. </w:t>
      </w:r>
      <w:r w:rsidR="00914BC7">
        <w:rPr>
          <w:b/>
          <w:sz w:val="22"/>
          <w:szCs w:val="22"/>
        </w:rPr>
        <w:t>9</w:t>
      </w:r>
      <w:r w:rsidR="00C52B2F">
        <w:rPr>
          <w:b/>
          <w:sz w:val="22"/>
          <w:szCs w:val="22"/>
        </w:rPr>
        <w:t xml:space="preserve">. </w:t>
      </w:r>
      <w:r w:rsidR="0072171E">
        <w:rPr>
          <w:b/>
          <w:sz w:val="22"/>
          <w:szCs w:val="22"/>
        </w:rPr>
        <w:t xml:space="preserve">2015 </w:t>
      </w:r>
      <w:r w:rsidR="0072171E" w:rsidRPr="00B27700">
        <w:rPr>
          <w:sz w:val="22"/>
          <w:szCs w:val="22"/>
        </w:rPr>
        <w:t>bylo</w:t>
      </w:r>
      <w:r w:rsidRPr="00B27700">
        <w:rPr>
          <w:sz w:val="22"/>
          <w:szCs w:val="22"/>
        </w:rPr>
        <w:t xml:space="preserve"> podáno</w:t>
      </w:r>
      <w:r w:rsidR="009135C8">
        <w:rPr>
          <w:sz w:val="22"/>
          <w:szCs w:val="22"/>
        </w:rPr>
        <w:t xml:space="preserve"> 50</w:t>
      </w:r>
      <w:r>
        <w:rPr>
          <w:sz w:val="22"/>
          <w:szCs w:val="22"/>
        </w:rPr>
        <w:t xml:space="preserve"> </w:t>
      </w:r>
      <w:r w:rsidRPr="001F0568">
        <w:rPr>
          <w:sz w:val="22"/>
          <w:szCs w:val="22"/>
        </w:rPr>
        <w:t>projektových žádostí ve výši</w:t>
      </w:r>
      <w:r w:rsidR="009135C8">
        <w:rPr>
          <w:sz w:val="22"/>
          <w:szCs w:val="22"/>
        </w:rPr>
        <w:t xml:space="preserve"> 34,85</w:t>
      </w:r>
      <w:r w:rsidRPr="001F0568">
        <w:rPr>
          <w:sz w:val="22"/>
          <w:szCs w:val="22"/>
        </w:rPr>
        <w:t xml:space="preserve"> mil. EUR (</w:t>
      </w:r>
      <w:r w:rsidR="009135C8">
        <w:rPr>
          <w:sz w:val="22"/>
          <w:szCs w:val="22"/>
        </w:rPr>
        <w:t xml:space="preserve">1,17 </w:t>
      </w:r>
      <w:r w:rsidRPr="001F0568">
        <w:rPr>
          <w:sz w:val="22"/>
          <w:szCs w:val="22"/>
        </w:rPr>
        <w:t xml:space="preserve">% alokace programu). </w:t>
      </w:r>
      <w:r w:rsidRPr="00EA311B">
        <w:rPr>
          <w:sz w:val="22"/>
          <w:szCs w:val="22"/>
        </w:rPr>
        <w:t xml:space="preserve">Největší objem byl </w:t>
      </w:r>
      <w:r w:rsidR="009135C8">
        <w:rPr>
          <w:sz w:val="22"/>
          <w:szCs w:val="22"/>
        </w:rPr>
        <w:t xml:space="preserve">předložen v oblasti </w:t>
      </w:r>
      <w:r w:rsidRPr="00EA311B">
        <w:rPr>
          <w:sz w:val="22"/>
          <w:szCs w:val="22"/>
        </w:rPr>
        <w:t xml:space="preserve">intervence </w:t>
      </w:r>
      <w:r w:rsidR="009135C8">
        <w:rPr>
          <w:sz w:val="22"/>
          <w:szCs w:val="22"/>
        </w:rPr>
        <w:t xml:space="preserve">5.2 - 19,79 mil. EUR, což představuje 7,45 % </w:t>
      </w:r>
      <w:r w:rsidRPr="00EA311B">
        <w:rPr>
          <w:sz w:val="22"/>
          <w:szCs w:val="22"/>
        </w:rPr>
        <w:t>alokace</w:t>
      </w:r>
      <w:r w:rsidR="009135C8">
        <w:rPr>
          <w:sz w:val="22"/>
          <w:szCs w:val="22"/>
        </w:rPr>
        <w:t xml:space="preserve"> oblasti intervence. </w:t>
      </w:r>
    </w:p>
    <w:p w:rsidR="00F835ED" w:rsidRPr="001F0568" w:rsidRDefault="00F835ED" w:rsidP="00F835ED">
      <w:pPr>
        <w:rPr>
          <w:sz w:val="22"/>
          <w:szCs w:val="22"/>
          <w:highlight w:val="yellow"/>
        </w:rPr>
      </w:pPr>
    </w:p>
    <w:p w:rsidR="00E7268E" w:rsidRDefault="001C3F94" w:rsidP="001C3F94">
      <w:pPr>
        <w:shd w:val="clear" w:color="auto" w:fill="FFFFFF"/>
        <w:jc w:val="both"/>
        <w:rPr>
          <w:sz w:val="22"/>
          <w:szCs w:val="22"/>
          <w:highlight w:val="yellow"/>
        </w:rPr>
      </w:pPr>
      <w:r w:rsidRPr="003A167B">
        <w:rPr>
          <w:b/>
          <w:sz w:val="22"/>
          <w:szCs w:val="22"/>
        </w:rPr>
        <w:lastRenderedPageBreak/>
        <w:t xml:space="preserve">Schváleno </w:t>
      </w:r>
      <w:r w:rsidRPr="00E7268E">
        <w:rPr>
          <w:sz w:val="22"/>
          <w:szCs w:val="22"/>
        </w:rPr>
        <w:t xml:space="preserve">bylo </w:t>
      </w:r>
      <w:r w:rsidR="009135C8">
        <w:rPr>
          <w:sz w:val="22"/>
          <w:szCs w:val="22"/>
        </w:rPr>
        <w:t>72</w:t>
      </w:r>
      <w:r w:rsidRPr="00E7268E">
        <w:rPr>
          <w:sz w:val="22"/>
          <w:szCs w:val="22"/>
        </w:rPr>
        <w:t xml:space="preserve"> projektů o objemu </w:t>
      </w:r>
      <w:r w:rsidR="009135C8">
        <w:rPr>
          <w:sz w:val="22"/>
          <w:szCs w:val="22"/>
        </w:rPr>
        <w:t xml:space="preserve">70,71 </w:t>
      </w:r>
      <w:r w:rsidRPr="00E7268E">
        <w:rPr>
          <w:sz w:val="22"/>
          <w:szCs w:val="22"/>
        </w:rPr>
        <w:t xml:space="preserve">mil. EUR </w:t>
      </w:r>
      <w:r w:rsidRPr="004A56BD">
        <w:rPr>
          <w:sz w:val="22"/>
          <w:szCs w:val="22"/>
        </w:rPr>
        <w:t>(</w:t>
      </w:r>
      <w:r w:rsidR="004A56BD" w:rsidRPr="004A56BD">
        <w:rPr>
          <w:sz w:val="22"/>
          <w:szCs w:val="22"/>
        </w:rPr>
        <w:t xml:space="preserve">4,15 </w:t>
      </w:r>
      <w:r w:rsidRPr="004A56BD">
        <w:rPr>
          <w:sz w:val="22"/>
          <w:szCs w:val="22"/>
        </w:rPr>
        <w:t>% alokace</w:t>
      </w:r>
      <w:r w:rsidRPr="00E7268E">
        <w:rPr>
          <w:sz w:val="22"/>
          <w:szCs w:val="22"/>
        </w:rPr>
        <w:t xml:space="preserve"> programu). Nejvíce se objem schválených prostředků zvýšil v oblasti intervence </w:t>
      </w:r>
      <w:r w:rsidRPr="00E7268E">
        <w:rPr>
          <w:sz w:val="22"/>
          <w:szCs w:val="22"/>
        </w:rPr>
        <w:br/>
      </w:r>
      <w:r w:rsidR="009135C8">
        <w:rPr>
          <w:sz w:val="22"/>
          <w:szCs w:val="22"/>
        </w:rPr>
        <w:t>3.2</w:t>
      </w:r>
      <w:r w:rsidR="00E7268E" w:rsidRPr="00E7268E">
        <w:rPr>
          <w:sz w:val="22"/>
          <w:szCs w:val="22"/>
        </w:rPr>
        <w:t>, konkrétně o</w:t>
      </w:r>
      <w:r w:rsidR="009135C8">
        <w:rPr>
          <w:sz w:val="22"/>
          <w:szCs w:val="22"/>
        </w:rPr>
        <w:t xml:space="preserve"> </w:t>
      </w:r>
      <w:r w:rsidR="00945A1D">
        <w:rPr>
          <w:sz w:val="22"/>
          <w:szCs w:val="22"/>
        </w:rPr>
        <w:t>58,91</w:t>
      </w:r>
      <w:r w:rsidR="00E7268E" w:rsidRPr="00E7268E">
        <w:rPr>
          <w:sz w:val="22"/>
          <w:szCs w:val="22"/>
        </w:rPr>
        <w:t xml:space="preserve"> mil. EUR, což představuje </w:t>
      </w:r>
      <w:r w:rsidR="00614B79">
        <w:rPr>
          <w:sz w:val="22"/>
          <w:szCs w:val="22"/>
        </w:rPr>
        <w:t>z</w:t>
      </w:r>
      <w:r w:rsidR="00E7268E" w:rsidRPr="00E7268E">
        <w:rPr>
          <w:sz w:val="22"/>
          <w:szCs w:val="22"/>
        </w:rPr>
        <w:t>výšení o</w:t>
      </w:r>
      <w:r w:rsidR="00945A1D">
        <w:rPr>
          <w:sz w:val="22"/>
          <w:szCs w:val="22"/>
        </w:rPr>
        <w:t xml:space="preserve"> 24,35</w:t>
      </w:r>
      <w:r w:rsidR="00E7268E" w:rsidRPr="00E7268E">
        <w:rPr>
          <w:sz w:val="22"/>
          <w:szCs w:val="22"/>
        </w:rPr>
        <w:t xml:space="preserve"> %.</w:t>
      </w:r>
      <w:r w:rsidR="00E7268E">
        <w:rPr>
          <w:sz w:val="22"/>
          <w:szCs w:val="22"/>
          <w:highlight w:val="yellow"/>
        </w:rPr>
        <w:t xml:space="preserve"> </w:t>
      </w:r>
    </w:p>
    <w:p w:rsidR="00614B79" w:rsidRDefault="00614B79" w:rsidP="00BD5347">
      <w:pPr>
        <w:shd w:val="clear" w:color="auto" w:fill="FFFFFF"/>
        <w:jc w:val="both"/>
        <w:rPr>
          <w:sz w:val="22"/>
          <w:szCs w:val="22"/>
        </w:rPr>
      </w:pPr>
    </w:p>
    <w:p w:rsidR="00BD5347" w:rsidRPr="005A7B83" w:rsidRDefault="00BD5347" w:rsidP="00BD5347">
      <w:pPr>
        <w:shd w:val="clear" w:color="auto" w:fill="FFFFFF"/>
        <w:jc w:val="both"/>
        <w:rPr>
          <w:sz w:val="22"/>
          <w:szCs w:val="22"/>
        </w:rPr>
      </w:pPr>
      <w:r w:rsidRPr="00945A1D">
        <w:rPr>
          <w:sz w:val="22"/>
          <w:szCs w:val="22"/>
        </w:rPr>
        <w:t xml:space="preserve">V porovnání s předchozím sledovaným obdobím </w:t>
      </w:r>
      <w:r w:rsidR="00614B79" w:rsidRPr="00945A1D">
        <w:rPr>
          <w:sz w:val="22"/>
          <w:szCs w:val="22"/>
        </w:rPr>
        <w:t xml:space="preserve">poklesly </w:t>
      </w:r>
      <w:r w:rsidRPr="00945A1D">
        <w:rPr>
          <w:sz w:val="22"/>
          <w:szCs w:val="22"/>
        </w:rPr>
        <w:t>v oblast</w:t>
      </w:r>
      <w:r w:rsidR="00992B3F">
        <w:rPr>
          <w:sz w:val="22"/>
          <w:szCs w:val="22"/>
        </w:rPr>
        <w:t>ech</w:t>
      </w:r>
      <w:r w:rsidRPr="00945A1D">
        <w:rPr>
          <w:sz w:val="22"/>
          <w:szCs w:val="22"/>
        </w:rPr>
        <w:t xml:space="preserve"> intervence 3.</w:t>
      </w:r>
      <w:r w:rsidR="00945A1D" w:rsidRPr="00945A1D">
        <w:rPr>
          <w:sz w:val="22"/>
          <w:szCs w:val="22"/>
        </w:rPr>
        <w:t>4 a 5.1</w:t>
      </w:r>
      <w:r w:rsidRPr="00945A1D">
        <w:rPr>
          <w:sz w:val="22"/>
          <w:szCs w:val="22"/>
        </w:rPr>
        <w:t xml:space="preserve"> </w:t>
      </w:r>
      <w:r w:rsidR="00614B79" w:rsidRPr="00945A1D">
        <w:rPr>
          <w:sz w:val="22"/>
          <w:szCs w:val="22"/>
        </w:rPr>
        <w:t xml:space="preserve">hodnoty </w:t>
      </w:r>
      <w:r w:rsidRPr="00945A1D">
        <w:rPr>
          <w:sz w:val="22"/>
          <w:szCs w:val="22"/>
        </w:rPr>
        <w:t xml:space="preserve">Prostředků krytých Rozhodnutím/Smlouvou. </w:t>
      </w:r>
      <w:r w:rsidR="00614B79" w:rsidRPr="00945A1D">
        <w:rPr>
          <w:sz w:val="22"/>
          <w:szCs w:val="22"/>
        </w:rPr>
        <w:t>P</w:t>
      </w:r>
      <w:r w:rsidRPr="00945A1D">
        <w:rPr>
          <w:sz w:val="22"/>
          <w:szCs w:val="22"/>
        </w:rPr>
        <w:t>okles je způsoben odstoupením příjemc</w:t>
      </w:r>
      <w:r w:rsidR="00992B3F">
        <w:rPr>
          <w:sz w:val="22"/>
          <w:szCs w:val="22"/>
        </w:rPr>
        <w:t>ů</w:t>
      </w:r>
      <w:r w:rsidRPr="00945A1D">
        <w:rPr>
          <w:sz w:val="22"/>
          <w:szCs w:val="22"/>
        </w:rPr>
        <w:t xml:space="preserve"> od realizace projektu</w:t>
      </w:r>
      <w:r w:rsidR="00992B3F">
        <w:rPr>
          <w:sz w:val="22"/>
          <w:szCs w:val="22"/>
        </w:rPr>
        <w:t xml:space="preserve"> především</w:t>
      </w:r>
      <w:r w:rsidRPr="00945A1D">
        <w:rPr>
          <w:sz w:val="22"/>
          <w:szCs w:val="22"/>
        </w:rPr>
        <w:t xml:space="preserve"> </w:t>
      </w:r>
      <w:r w:rsidR="00992B3F">
        <w:rPr>
          <w:sz w:val="22"/>
          <w:szCs w:val="22"/>
        </w:rPr>
        <w:t>proto, že museli</w:t>
      </w:r>
      <w:r w:rsidRPr="00945A1D">
        <w:rPr>
          <w:sz w:val="22"/>
          <w:szCs w:val="22"/>
        </w:rPr>
        <w:t xml:space="preserve"> opakovat výběrov</w:t>
      </w:r>
      <w:r w:rsidR="00614B79" w:rsidRPr="00945A1D">
        <w:rPr>
          <w:sz w:val="22"/>
          <w:szCs w:val="22"/>
        </w:rPr>
        <w:t>á</w:t>
      </w:r>
      <w:r w:rsidRPr="00945A1D">
        <w:rPr>
          <w:sz w:val="22"/>
          <w:szCs w:val="22"/>
        </w:rPr>
        <w:t xml:space="preserve"> řízení</w:t>
      </w:r>
      <w:r w:rsidR="00992B3F">
        <w:rPr>
          <w:sz w:val="22"/>
          <w:szCs w:val="22"/>
        </w:rPr>
        <w:t xml:space="preserve"> a</w:t>
      </w:r>
      <w:r w:rsidRPr="00945A1D">
        <w:rPr>
          <w:sz w:val="22"/>
          <w:szCs w:val="22"/>
        </w:rPr>
        <w:t xml:space="preserve"> </w:t>
      </w:r>
      <w:r w:rsidR="00992B3F">
        <w:rPr>
          <w:sz w:val="22"/>
          <w:szCs w:val="22"/>
        </w:rPr>
        <w:t>ne</w:t>
      </w:r>
      <w:r w:rsidRPr="00945A1D">
        <w:rPr>
          <w:sz w:val="22"/>
          <w:szCs w:val="22"/>
        </w:rPr>
        <w:t>zvlád</w:t>
      </w:r>
      <w:r w:rsidR="00992B3F">
        <w:rPr>
          <w:sz w:val="22"/>
          <w:szCs w:val="22"/>
        </w:rPr>
        <w:t>li</w:t>
      </w:r>
      <w:r w:rsidRPr="00945A1D">
        <w:rPr>
          <w:sz w:val="22"/>
          <w:szCs w:val="22"/>
        </w:rPr>
        <w:t xml:space="preserve"> realizaci projektu ve stanoveném termínu. </w:t>
      </w:r>
    </w:p>
    <w:p w:rsidR="00EA03FF" w:rsidRDefault="00EA03FF" w:rsidP="00F835ED">
      <w:pPr>
        <w:jc w:val="both"/>
        <w:rPr>
          <w:sz w:val="22"/>
          <w:szCs w:val="22"/>
        </w:rPr>
      </w:pPr>
    </w:p>
    <w:p w:rsidR="00F835ED" w:rsidRDefault="00F835ED" w:rsidP="00F835ED">
      <w:pPr>
        <w:jc w:val="both"/>
        <w:rPr>
          <w:sz w:val="22"/>
          <w:szCs w:val="22"/>
        </w:rPr>
      </w:pPr>
      <w:r w:rsidRPr="00EA03FF">
        <w:rPr>
          <w:b/>
          <w:sz w:val="22"/>
          <w:szCs w:val="22"/>
        </w:rPr>
        <w:t>Příjemcům</w:t>
      </w:r>
      <w:r w:rsidRPr="002777C4">
        <w:rPr>
          <w:sz w:val="22"/>
          <w:szCs w:val="22"/>
        </w:rPr>
        <w:t xml:space="preserve"> bylo ve sledovaném období </w:t>
      </w:r>
      <w:r w:rsidRPr="00EA03FF">
        <w:rPr>
          <w:b/>
          <w:sz w:val="22"/>
          <w:szCs w:val="22"/>
        </w:rPr>
        <w:t>proplaceno</w:t>
      </w:r>
      <w:r w:rsidR="005F6265">
        <w:rPr>
          <w:b/>
          <w:sz w:val="22"/>
          <w:szCs w:val="22"/>
        </w:rPr>
        <w:t xml:space="preserve"> </w:t>
      </w:r>
      <w:r w:rsidR="005F6265" w:rsidRPr="005F6265">
        <w:rPr>
          <w:sz w:val="22"/>
          <w:szCs w:val="22"/>
        </w:rPr>
        <w:t>70,98</w:t>
      </w:r>
      <w:r w:rsidR="00FA62FC">
        <w:rPr>
          <w:b/>
          <w:sz w:val="22"/>
          <w:szCs w:val="22"/>
        </w:rPr>
        <w:t xml:space="preserve"> </w:t>
      </w:r>
      <w:r w:rsidRPr="002777C4">
        <w:rPr>
          <w:sz w:val="22"/>
          <w:szCs w:val="22"/>
        </w:rPr>
        <w:t>mil. EUR (</w:t>
      </w:r>
      <w:r w:rsidR="005F6265">
        <w:rPr>
          <w:sz w:val="22"/>
          <w:szCs w:val="22"/>
        </w:rPr>
        <w:t xml:space="preserve">4,53 </w:t>
      </w:r>
      <w:r w:rsidR="002777C4" w:rsidRPr="002777C4">
        <w:rPr>
          <w:sz w:val="22"/>
          <w:szCs w:val="22"/>
        </w:rPr>
        <w:t>% alokace</w:t>
      </w:r>
      <w:r w:rsidRPr="002777C4">
        <w:rPr>
          <w:sz w:val="22"/>
          <w:szCs w:val="22"/>
        </w:rPr>
        <w:t xml:space="preserve"> programu). Největší objem finančních prostředků byl proplacen v oblastech intervence</w:t>
      </w:r>
      <w:r w:rsidR="005F6265">
        <w:rPr>
          <w:sz w:val="22"/>
          <w:szCs w:val="22"/>
        </w:rPr>
        <w:t xml:space="preserve"> </w:t>
      </w:r>
      <w:r w:rsidR="0034727A">
        <w:rPr>
          <w:sz w:val="22"/>
          <w:szCs w:val="22"/>
        </w:rPr>
        <w:t xml:space="preserve">3.2 (18,74 </w:t>
      </w:r>
      <w:r w:rsidRPr="002777C4">
        <w:rPr>
          <w:sz w:val="22"/>
          <w:szCs w:val="22"/>
        </w:rPr>
        <w:t>mil. EUR</w:t>
      </w:r>
      <w:r w:rsidR="002777C4" w:rsidRPr="002777C4">
        <w:rPr>
          <w:sz w:val="22"/>
          <w:szCs w:val="22"/>
        </w:rPr>
        <w:t>) a</w:t>
      </w:r>
      <w:r w:rsidR="00FA62FC">
        <w:rPr>
          <w:sz w:val="22"/>
          <w:szCs w:val="22"/>
        </w:rPr>
        <w:t xml:space="preserve"> </w:t>
      </w:r>
      <w:r w:rsidR="0034727A">
        <w:rPr>
          <w:sz w:val="22"/>
          <w:szCs w:val="22"/>
        </w:rPr>
        <w:t xml:space="preserve">5.2 </w:t>
      </w:r>
      <w:r w:rsidRPr="002777C4">
        <w:rPr>
          <w:sz w:val="22"/>
          <w:szCs w:val="22"/>
        </w:rPr>
        <w:t>(</w:t>
      </w:r>
      <w:r w:rsidR="0034727A">
        <w:rPr>
          <w:sz w:val="22"/>
          <w:szCs w:val="22"/>
        </w:rPr>
        <w:t xml:space="preserve">8,83 </w:t>
      </w:r>
      <w:r w:rsidRPr="002777C4">
        <w:rPr>
          <w:sz w:val="22"/>
          <w:szCs w:val="22"/>
        </w:rPr>
        <w:t>mil. EUR</w:t>
      </w:r>
      <w:r w:rsidR="00224A1A">
        <w:rPr>
          <w:sz w:val="22"/>
          <w:szCs w:val="22"/>
        </w:rPr>
        <w:t>).</w:t>
      </w:r>
    </w:p>
    <w:p w:rsidR="00AE2913" w:rsidRDefault="00AE2913" w:rsidP="00F835ED">
      <w:pPr>
        <w:jc w:val="both"/>
        <w:rPr>
          <w:sz w:val="22"/>
          <w:szCs w:val="22"/>
        </w:rPr>
      </w:pPr>
    </w:p>
    <w:p w:rsidR="0034727A" w:rsidRDefault="00F835ED" w:rsidP="00F835ED">
      <w:pPr>
        <w:jc w:val="both"/>
        <w:rPr>
          <w:sz w:val="22"/>
          <w:szCs w:val="22"/>
        </w:rPr>
      </w:pPr>
      <w:r w:rsidRPr="00EA03FF">
        <w:rPr>
          <w:b/>
          <w:sz w:val="22"/>
          <w:szCs w:val="22"/>
        </w:rPr>
        <w:t>V souhrnných žádostech PCO</w:t>
      </w:r>
      <w:r w:rsidRPr="003A167B">
        <w:rPr>
          <w:sz w:val="22"/>
          <w:szCs w:val="22"/>
        </w:rPr>
        <w:t xml:space="preserve"> zaúčtoval ve sledovaném období</w:t>
      </w:r>
      <w:r w:rsidR="003321A2">
        <w:rPr>
          <w:sz w:val="22"/>
          <w:szCs w:val="22"/>
        </w:rPr>
        <w:t xml:space="preserve"> </w:t>
      </w:r>
      <w:r w:rsidR="001F7198">
        <w:rPr>
          <w:sz w:val="22"/>
          <w:szCs w:val="22"/>
        </w:rPr>
        <w:t xml:space="preserve">68,57 </w:t>
      </w:r>
      <w:r w:rsidR="003321A2">
        <w:rPr>
          <w:sz w:val="22"/>
          <w:szCs w:val="22"/>
        </w:rPr>
        <w:t>mil.</w:t>
      </w:r>
      <w:r w:rsidRPr="003A167B">
        <w:rPr>
          <w:sz w:val="22"/>
          <w:szCs w:val="22"/>
        </w:rPr>
        <w:t xml:space="preserve"> EUR (</w:t>
      </w:r>
      <w:r w:rsidR="003321A2">
        <w:rPr>
          <w:sz w:val="22"/>
          <w:szCs w:val="22"/>
        </w:rPr>
        <w:t>% alokace</w:t>
      </w:r>
      <w:r w:rsidRPr="003A167B">
        <w:rPr>
          <w:sz w:val="22"/>
          <w:szCs w:val="22"/>
        </w:rPr>
        <w:t xml:space="preserve">). Trend odpovídá pokroku v proplácení příjemcům. </w:t>
      </w:r>
      <w:r w:rsidR="005B49EA">
        <w:rPr>
          <w:sz w:val="22"/>
          <w:szCs w:val="22"/>
        </w:rPr>
        <w:t>Nejvyšší objem prostředků</w:t>
      </w:r>
      <w:r w:rsidR="00FF2FCC">
        <w:rPr>
          <w:sz w:val="22"/>
          <w:szCs w:val="22"/>
        </w:rPr>
        <w:t>,</w:t>
      </w:r>
      <w:r w:rsidR="005B49EA">
        <w:rPr>
          <w:sz w:val="22"/>
          <w:szCs w:val="22"/>
        </w:rPr>
        <w:t xml:space="preserve"> zahrnutých do souhrnných žádostí</w:t>
      </w:r>
      <w:r w:rsidR="00FF2FCC">
        <w:rPr>
          <w:sz w:val="22"/>
          <w:szCs w:val="22"/>
        </w:rPr>
        <w:t>,</w:t>
      </w:r>
      <w:r w:rsidR="005B49EA">
        <w:rPr>
          <w:sz w:val="22"/>
          <w:szCs w:val="22"/>
        </w:rPr>
        <w:t xml:space="preserve"> je v oblastech </w:t>
      </w:r>
      <w:r w:rsidR="00AE2913">
        <w:rPr>
          <w:sz w:val="22"/>
          <w:szCs w:val="22"/>
        </w:rPr>
        <w:t>intervence</w:t>
      </w:r>
      <w:r w:rsidR="00B4215E">
        <w:rPr>
          <w:sz w:val="22"/>
          <w:szCs w:val="22"/>
        </w:rPr>
        <w:t xml:space="preserve"> </w:t>
      </w:r>
      <w:r w:rsidR="00055D3B">
        <w:rPr>
          <w:sz w:val="22"/>
          <w:szCs w:val="22"/>
        </w:rPr>
        <w:t>3.2 (14,35</w:t>
      </w:r>
      <w:r w:rsidR="00B4215E">
        <w:rPr>
          <w:sz w:val="22"/>
          <w:szCs w:val="22"/>
        </w:rPr>
        <w:t xml:space="preserve"> </w:t>
      </w:r>
      <w:r w:rsidR="00AE2913">
        <w:rPr>
          <w:sz w:val="22"/>
          <w:szCs w:val="22"/>
        </w:rPr>
        <w:t>mil EUR)</w:t>
      </w:r>
      <w:r w:rsidR="005B49EA">
        <w:rPr>
          <w:sz w:val="22"/>
          <w:szCs w:val="22"/>
        </w:rPr>
        <w:t xml:space="preserve"> a</w:t>
      </w:r>
      <w:r w:rsidR="00B4215E">
        <w:rPr>
          <w:sz w:val="22"/>
          <w:szCs w:val="22"/>
        </w:rPr>
        <w:t xml:space="preserve"> 5.1</w:t>
      </w:r>
      <w:r w:rsidR="00AE2913">
        <w:rPr>
          <w:sz w:val="22"/>
          <w:szCs w:val="22"/>
        </w:rPr>
        <w:t xml:space="preserve"> </w:t>
      </w:r>
      <w:r w:rsidR="0034727A">
        <w:rPr>
          <w:sz w:val="22"/>
          <w:szCs w:val="22"/>
        </w:rPr>
        <w:t>(</w:t>
      </w:r>
      <w:r w:rsidR="00B4215E">
        <w:rPr>
          <w:sz w:val="22"/>
          <w:szCs w:val="22"/>
        </w:rPr>
        <w:t xml:space="preserve">15,49 </w:t>
      </w:r>
      <w:r w:rsidR="0034727A">
        <w:rPr>
          <w:sz w:val="22"/>
          <w:szCs w:val="22"/>
        </w:rPr>
        <w:t xml:space="preserve">mil. EUR). </w:t>
      </w:r>
    </w:p>
    <w:p w:rsidR="001F7198" w:rsidRDefault="001F7198" w:rsidP="00F835ED">
      <w:pPr>
        <w:jc w:val="both"/>
        <w:rPr>
          <w:sz w:val="22"/>
          <w:szCs w:val="22"/>
        </w:rPr>
      </w:pPr>
    </w:p>
    <w:p w:rsidR="001F7198" w:rsidRDefault="00F835ED" w:rsidP="00F835ED">
      <w:pPr>
        <w:jc w:val="both"/>
        <w:rPr>
          <w:sz w:val="22"/>
          <w:szCs w:val="22"/>
        </w:rPr>
      </w:pPr>
      <w:r w:rsidRPr="00EA03FF">
        <w:rPr>
          <w:b/>
          <w:sz w:val="22"/>
          <w:szCs w:val="22"/>
        </w:rPr>
        <w:t>Certifikované výdaje</w:t>
      </w:r>
      <w:r w:rsidRPr="00D04F78">
        <w:rPr>
          <w:sz w:val="22"/>
          <w:szCs w:val="22"/>
        </w:rPr>
        <w:t xml:space="preserve"> </w:t>
      </w:r>
      <w:r w:rsidR="00D04F78" w:rsidRPr="00D04F78">
        <w:rPr>
          <w:sz w:val="22"/>
          <w:szCs w:val="22"/>
        </w:rPr>
        <w:t>vzrostly o</w:t>
      </w:r>
      <w:r w:rsidR="00E65268">
        <w:rPr>
          <w:sz w:val="22"/>
          <w:szCs w:val="22"/>
        </w:rPr>
        <w:t xml:space="preserve"> 11,7</w:t>
      </w:r>
      <w:r w:rsidR="00215458">
        <w:rPr>
          <w:sz w:val="22"/>
          <w:szCs w:val="22"/>
        </w:rPr>
        <w:t xml:space="preserve"> </w:t>
      </w:r>
      <w:r w:rsidR="00D04F78" w:rsidRPr="00D04F78">
        <w:rPr>
          <w:sz w:val="22"/>
          <w:szCs w:val="22"/>
        </w:rPr>
        <w:t>mil. EUR (</w:t>
      </w:r>
      <w:r w:rsidR="00215458">
        <w:rPr>
          <w:sz w:val="22"/>
          <w:szCs w:val="22"/>
        </w:rPr>
        <w:t>%) oproti</w:t>
      </w:r>
      <w:r w:rsidR="00D04F78" w:rsidRPr="00D04F78">
        <w:rPr>
          <w:sz w:val="22"/>
          <w:szCs w:val="22"/>
        </w:rPr>
        <w:t xml:space="preserve"> předchozímu monitorovacímu obdob</w:t>
      </w:r>
      <w:r w:rsidR="00D04F78" w:rsidRPr="00F20A83">
        <w:rPr>
          <w:sz w:val="22"/>
          <w:szCs w:val="22"/>
        </w:rPr>
        <w:t xml:space="preserve">í. </w:t>
      </w:r>
      <w:r w:rsidRPr="00F20A83">
        <w:rPr>
          <w:sz w:val="22"/>
          <w:szCs w:val="22"/>
        </w:rPr>
        <w:t>Největší objem finančních prostředků byl certifikován v oblast</w:t>
      </w:r>
      <w:r w:rsidR="00514C1C">
        <w:rPr>
          <w:sz w:val="22"/>
          <w:szCs w:val="22"/>
        </w:rPr>
        <w:t>ech</w:t>
      </w:r>
      <w:r w:rsidRPr="00F20A83">
        <w:rPr>
          <w:sz w:val="22"/>
          <w:szCs w:val="22"/>
        </w:rPr>
        <w:t xml:space="preserve"> intervence </w:t>
      </w:r>
      <w:r w:rsidR="00E65268">
        <w:rPr>
          <w:sz w:val="22"/>
          <w:szCs w:val="22"/>
        </w:rPr>
        <w:t xml:space="preserve">5.2 </w:t>
      </w:r>
      <w:r w:rsidRPr="00F20A83">
        <w:rPr>
          <w:sz w:val="22"/>
          <w:szCs w:val="22"/>
        </w:rPr>
        <w:t>(</w:t>
      </w:r>
      <w:r w:rsidR="00E65268">
        <w:rPr>
          <w:sz w:val="22"/>
          <w:szCs w:val="22"/>
        </w:rPr>
        <w:t xml:space="preserve">6,64 </w:t>
      </w:r>
      <w:r w:rsidR="00215458">
        <w:rPr>
          <w:sz w:val="22"/>
          <w:szCs w:val="22"/>
        </w:rPr>
        <w:t xml:space="preserve">mil. EUR) </w:t>
      </w:r>
      <w:r w:rsidR="00215458" w:rsidRPr="00F20A83">
        <w:rPr>
          <w:sz w:val="22"/>
          <w:szCs w:val="22"/>
        </w:rPr>
        <w:t xml:space="preserve">a </w:t>
      </w:r>
      <w:r w:rsidR="00E65268">
        <w:rPr>
          <w:sz w:val="22"/>
          <w:szCs w:val="22"/>
        </w:rPr>
        <w:t>3.1</w:t>
      </w:r>
      <w:r w:rsidR="00215458">
        <w:rPr>
          <w:sz w:val="22"/>
          <w:szCs w:val="22"/>
        </w:rPr>
        <w:t xml:space="preserve"> </w:t>
      </w:r>
      <w:r w:rsidRPr="00F20A83">
        <w:rPr>
          <w:sz w:val="22"/>
          <w:szCs w:val="22"/>
        </w:rPr>
        <w:t>(</w:t>
      </w:r>
      <w:r w:rsidR="00E65268">
        <w:rPr>
          <w:sz w:val="22"/>
          <w:szCs w:val="22"/>
        </w:rPr>
        <w:t xml:space="preserve">3,69 </w:t>
      </w:r>
      <w:r w:rsidR="007F58BD">
        <w:rPr>
          <w:sz w:val="22"/>
          <w:szCs w:val="22"/>
        </w:rPr>
        <w:t>mil.</w:t>
      </w:r>
      <w:r w:rsidRPr="00F20A83">
        <w:rPr>
          <w:sz w:val="22"/>
          <w:szCs w:val="22"/>
        </w:rPr>
        <w:t xml:space="preserve"> EUR</w:t>
      </w:r>
      <w:r w:rsidR="00F20A83">
        <w:rPr>
          <w:sz w:val="22"/>
          <w:szCs w:val="22"/>
        </w:rPr>
        <w:t>).</w:t>
      </w:r>
      <w:r w:rsidRPr="002F79AE">
        <w:rPr>
          <w:sz w:val="22"/>
          <w:szCs w:val="22"/>
        </w:rPr>
        <w:t xml:space="preserve"> </w:t>
      </w:r>
    </w:p>
    <w:p w:rsidR="009E6CAA" w:rsidRDefault="009E6CAA" w:rsidP="00F835ED">
      <w:pPr>
        <w:jc w:val="both"/>
        <w:rPr>
          <w:sz w:val="22"/>
          <w:szCs w:val="22"/>
        </w:rPr>
        <w:sectPr w:rsidR="009E6CAA" w:rsidSect="0034727A">
          <w:pgSz w:w="16839" w:h="11907" w:orient="landscape" w:code="9"/>
          <w:pgMar w:top="1418" w:right="1418" w:bottom="1418" w:left="1418" w:header="709" w:footer="709" w:gutter="0"/>
          <w:cols w:space="708"/>
          <w:docGrid w:linePitch="272"/>
        </w:sectPr>
      </w:pPr>
    </w:p>
    <w:p w:rsidR="00F835ED" w:rsidRDefault="00F4186A" w:rsidP="00F835ED">
      <w:pPr>
        <w:jc w:val="both"/>
        <w:rPr>
          <w:sz w:val="22"/>
          <w:szCs w:val="22"/>
        </w:rPr>
      </w:pPr>
      <w:r>
        <w:rPr>
          <w:sz w:val="22"/>
          <w:szCs w:val="22"/>
        </w:rPr>
        <w:lastRenderedPageBreak/>
        <w:t xml:space="preserve">Pokrok v čerpání IOP od </w:t>
      </w:r>
      <w:r w:rsidR="00BD2E57">
        <w:rPr>
          <w:sz w:val="22"/>
          <w:szCs w:val="22"/>
        </w:rPr>
        <w:t>1</w:t>
      </w:r>
      <w:r w:rsidR="00A728D9">
        <w:rPr>
          <w:sz w:val="22"/>
          <w:szCs w:val="22"/>
        </w:rPr>
        <w:t>7</w:t>
      </w:r>
      <w:r w:rsidR="00BD2E57">
        <w:rPr>
          <w:sz w:val="22"/>
          <w:szCs w:val="22"/>
        </w:rPr>
        <w:t xml:space="preserve">. </w:t>
      </w:r>
      <w:r w:rsidR="00A728D9">
        <w:rPr>
          <w:sz w:val="22"/>
          <w:szCs w:val="22"/>
        </w:rPr>
        <w:t>4. 2015</w:t>
      </w:r>
      <w:r w:rsidR="00F835ED">
        <w:rPr>
          <w:sz w:val="22"/>
          <w:szCs w:val="22"/>
        </w:rPr>
        <w:t xml:space="preserve"> do </w:t>
      </w:r>
      <w:r w:rsidR="00A728D9">
        <w:rPr>
          <w:sz w:val="22"/>
          <w:szCs w:val="22"/>
        </w:rPr>
        <w:t>30</w:t>
      </w:r>
      <w:r w:rsidR="00BD2E57">
        <w:rPr>
          <w:sz w:val="22"/>
          <w:szCs w:val="22"/>
        </w:rPr>
        <w:t xml:space="preserve">. </w:t>
      </w:r>
      <w:r w:rsidR="00A728D9">
        <w:rPr>
          <w:sz w:val="22"/>
          <w:szCs w:val="22"/>
        </w:rPr>
        <w:t>9</w:t>
      </w:r>
      <w:r w:rsidR="00BD2E57">
        <w:rPr>
          <w:sz w:val="22"/>
          <w:szCs w:val="22"/>
        </w:rPr>
        <w:t>. 2015</w:t>
      </w:r>
      <w:r w:rsidR="00F835ED">
        <w:rPr>
          <w:sz w:val="22"/>
          <w:szCs w:val="22"/>
        </w:rPr>
        <w:t xml:space="preserve"> znázorňuje graf č. 1. Modrá část sloupců představuje stav čerpání k</w:t>
      </w:r>
      <w:r w:rsidR="004E5886">
        <w:rPr>
          <w:sz w:val="22"/>
          <w:szCs w:val="22"/>
        </w:rPr>
        <w:t> 17. 4. 2015</w:t>
      </w:r>
      <w:r w:rsidR="00F835ED">
        <w:rPr>
          <w:sz w:val="22"/>
          <w:szCs w:val="22"/>
        </w:rPr>
        <w:t xml:space="preserve"> a červená část pokrok od </w:t>
      </w:r>
      <w:r w:rsidR="00BD2E57">
        <w:rPr>
          <w:sz w:val="22"/>
          <w:szCs w:val="22"/>
        </w:rPr>
        <w:t>1</w:t>
      </w:r>
      <w:r w:rsidR="0015783A">
        <w:rPr>
          <w:sz w:val="22"/>
          <w:szCs w:val="22"/>
        </w:rPr>
        <w:t>7</w:t>
      </w:r>
      <w:r w:rsidR="00BD2E57">
        <w:rPr>
          <w:sz w:val="22"/>
          <w:szCs w:val="22"/>
        </w:rPr>
        <w:t xml:space="preserve">. </w:t>
      </w:r>
      <w:r w:rsidR="0015783A">
        <w:rPr>
          <w:sz w:val="22"/>
          <w:szCs w:val="22"/>
        </w:rPr>
        <w:t>4. 2015</w:t>
      </w:r>
      <w:r w:rsidR="00F835ED">
        <w:rPr>
          <w:sz w:val="22"/>
          <w:szCs w:val="22"/>
        </w:rPr>
        <w:t xml:space="preserve"> do </w:t>
      </w:r>
      <w:r w:rsidR="0015783A">
        <w:rPr>
          <w:sz w:val="22"/>
          <w:szCs w:val="22"/>
        </w:rPr>
        <w:t>30</w:t>
      </w:r>
      <w:r w:rsidR="00BD2E57">
        <w:rPr>
          <w:sz w:val="22"/>
          <w:szCs w:val="22"/>
        </w:rPr>
        <w:t xml:space="preserve">. </w:t>
      </w:r>
      <w:r w:rsidR="0015783A">
        <w:rPr>
          <w:sz w:val="22"/>
          <w:szCs w:val="22"/>
        </w:rPr>
        <w:t>9</w:t>
      </w:r>
      <w:r w:rsidR="00BD2E57">
        <w:rPr>
          <w:sz w:val="22"/>
          <w:szCs w:val="22"/>
        </w:rPr>
        <w:t>. 2015</w:t>
      </w:r>
      <w:r w:rsidR="00F835ED">
        <w:rPr>
          <w:sz w:val="22"/>
          <w:szCs w:val="22"/>
        </w:rPr>
        <w:t xml:space="preserve">. Celková výška sloupců znázorňuje kumulativní stav čerpání </w:t>
      </w:r>
      <w:r w:rsidR="00914BC7">
        <w:rPr>
          <w:sz w:val="22"/>
          <w:szCs w:val="22"/>
        </w:rPr>
        <w:t>k 30. 9. 2015</w:t>
      </w:r>
      <w:r w:rsidR="00F835ED">
        <w:rPr>
          <w:sz w:val="22"/>
          <w:szCs w:val="22"/>
        </w:rPr>
        <w:t>.</w:t>
      </w:r>
    </w:p>
    <w:p w:rsidR="006675A6" w:rsidRPr="002640B6" w:rsidRDefault="006675A6" w:rsidP="00F835ED">
      <w:pPr>
        <w:jc w:val="both"/>
        <w:rPr>
          <w:sz w:val="22"/>
          <w:szCs w:val="22"/>
        </w:rPr>
      </w:pPr>
    </w:p>
    <w:p w:rsidR="00241EDC" w:rsidRDefault="00F835ED" w:rsidP="00F70FB6">
      <w:pPr>
        <w:pStyle w:val="Graf"/>
        <w:keepNext/>
        <w:keepLines/>
        <w:rPr>
          <w:noProof/>
        </w:rPr>
      </w:pPr>
      <w:bookmarkStart w:id="16" w:name="_Toc433873582"/>
      <w:r w:rsidRPr="006675A6">
        <w:rPr>
          <w:b w:val="0"/>
        </w:rPr>
        <w:t xml:space="preserve">Pokrok čerpání IOP </w:t>
      </w:r>
      <w:r w:rsidR="00914BC7" w:rsidRPr="006675A6">
        <w:rPr>
          <w:b w:val="0"/>
        </w:rPr>
        <w:t>k 30. 9. 2015</w:t>
      </w:r>
      <w:bookmarkEnd w:id="16"/>
    </w:p>
    <w:p w:rsidR="00F72A7C" w:rsidRDefault="00F3180F" w:rsidP="00F70FB6">
      <w:pPr>
        <w:rPr>
          <w:noProof/>
          <w:sz w:val="18"/>
          <w:szCs w:val="18"/>
        </w:rPr>
      </w:pPr>
      <w:r>
        <w:rPr>
          <w:noProof/>
        </w:rPr>
        <w:drawing>
          <wp:inline distT="0" distB="0" distL="0" distR="0" wp14:anchorId="520DA827" wp14:editId="70F8B356">
            <wp:extent cx="5760085" cy="3175824"/>
            <wp:effectExtent l="0" t="0" r="12065" b="24765"/>
            <wp:docPr id="31" name="Graf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675A6" w:rsidRPr="006675A6" w:rsidRDefault="00AF3906" w:rsidP="00F70FB6">
      <w:r w:rsidRPr="00F70FB6">
        <w:rPr>
          <w:i/>
          <w:sz w:val="18"/>
          <w:szCs w:val="18"/>
        </w:rPr>
        <w:t xml:space="preserve">Zdroj: MSC2007 </w:t>
      </w:r>
      <w:r w:rsidR="00914BC7">
        <w:rPr>
          <w:i/>
          <w:sz w:val="18"/>
          <w:szCs w:val="18"/>
        </w:rPr>
        <w:t>k 30. 9. 2015</w:t>
      </w:r>
      <w:r w:rsidRPr="00F70FB6">
        <w:rPr>
          <w:i/>
          <w:sz w:val="18"/>
          <w:szCs w:val="18"/>
        </w:rPr>
        <w:t xml:space="preserve">; </w:t>
      </w:r>
    </w:p>
    <w:p w:rsidR="00F70FB6" w:rsidRPr="00F70FB6" w:rsidRDefault="00F70FB6" w:rsidP="00F70FB6">
      <w:pPr>
        <w:rPr>
          <w:i/>
          <w:sz w:val="18"/>
          <w:szCs w:val="18"/>
        </w:rPr>
      </w:pPr>
      <w:r w:rsidRPr="00F70FB6">
        <w:rPr>
          <w:i/>
          <w:sz w:val="18"/>
          <w:szCs w:val="18"/>
        </w:rPr>
        <w:t>Zdroj financování – podíl EU</w:t>
      </w:r>
    </w:p>
    <w:p w:rsidR="00AF3906" w:rsidRPr="00B02FEF" w:rsidRDefault="00AF3906" w:rsidP="00AF3906">
      <w:pPr>
        <w:rPr>
          <w:i/>
          <w:sz w:val="18"/>
          <w:szCs w:val="18"/>
        </w:rPr>
      </w:pPr>
      <w:r w:rsidRPr="00B02FEF">
        <w:rPr>
          <w:i/>
          <w:sz w:val="18"/>
          <w:szCs w:val="18"/>
        </w:rPr>
        <w:t>Kurz CZK/EUR:</w:t>
      </w:r>
    </w:p>
    <w:p w:rsidR="00AF3906" w:rsidRPr="00B02FEF" w:rsidRDefault="00AF3906" w:rsidP="00FB2466">
      <w:pPr>
        <w:numPr>
          <w:ilvl w:val="0"/>
          <w:numId w:val="26"/>
        </w:numPr>
        <w:tabs>
          <w:tab w:val="clear" w:pos="1428"/>
        </w:tabs>
        <w:ind w:left="720"/>
        <w:jc w:val="both"/>
        <w:rPr>
          <w:i/>
          <w:sz w:val="18"/>
          <w:szCs w:val="18"/>
        </w:rPr>
      </w:pPr>
      <w:r w:rsidRPr="00B02FEF">
        <w:rPr>
          <w:i/>
          <w:sz w:val="18"/>
          <w:szCs w:val="18"/>
        </w:rPr>
        <w:t>pro přepočet alokace</w:t>
      </w:r>
      <w:r w:rsidR="00F67EB3">
        <w:rPr>
          <w:i/>
          <w:sz w:val="18"/>
          <w:szCs w:val="18"/>
        </w:rPr>
        <w:t xml:space="preserve"> ve sloupci „Alokace 2007-2013“</w:t>
      </w:r>
      <w:r w:rsidRPr="00B02FEF">
        <w:rPr>
          <w:i/>
          <w:sz w:val="18"/>
          <w:szCs w:val="18"/>
        </w:rPr>
        <w:t xml:space="preserve"> nejsou částky přímo přepočítávány platným kurzem, neboť dochází ke zpřesnění údajů pomocí souhrnných žádostí </w:t>
      </w:r>
      <w:proofErr w:type="gramStart"/>
      <w:r w:rsidRPr="00B02FEF">
        <w:rPr>
          <w:i/>
          <w:sz w:val="18"/>
          <w:szCs w:val="18"/>
        </w:rPr>
        <w:t>zaúčtovaných v IS</w:t>
      </w:r>
      <w:proofErr w:type="gramEnd"/>
      <w:r w:rsidRPr="00B02FEF">
        <w:rPr>
          <w:i/>
          <w:sz w:val="18"/>
          <w:szCs w:val="18"/>
        </w:rPr>
        <w:t xml:space="preserve"> Viola dle algoritmu jako ve sloupcích “Podané žádosti“, „Projekty </w:t>
      </w:r>
      <w:r w:rsidR="00F67EB3">
        <w:rPr>
          <w:i/>
          <w:sz w:val="18"/>
          <w:szCs w:val="18"/>
        </w:rPr>
        <w:t>kryté rozhodnutím/Smlouvou</w:t>
      </w:r>
      <w:r w:rsidRPr="00B02FEF">
        <w:rPr>
          <w:i/>
          <w:sz w:val="18"/>
          <w:szCs w:val="18"/>
        </w:rPr>
        <w:t>“ a „Proplacené prostředky příjemcům“;</w:t>
      </w:r>
    </w:p>
    <w:p w:rsidR="00AF3906" w:rsidRPr="00B02FEF" w:rsidRDefault="00AF3906" w:rsidP="00FB2466">
      <w:pPr>
        <w:numPr>
          <w:ilvl w:val="0"/>
          <w:numId w:val="26"/>
        </w:numPr>
        <w:tabs>
          <w:tab w:val="clear" w:pos="1428"/>
        </w:tabs>
        <w:ind w:left="720"/>
        <w:jc w:val="both"/>
        <w:rPr>
          <w:i/>
          <w:sz w:val="18"/>
          <w:szCs w:val="18"/>
        </w:rPr>
      </w:pPr>
      <w:r w:rsidRPr="00B02FEF">
        <w:rPr>
          <w:i/>
          <w:sz w:val="18"/>
          <w:szCs w:val="18"/>
        </w:rPr>
        <w:t>pro přepočet sloupců „Podané žádosti“, „Pr</w:t>
      </w:r>
      <w:r w:rsidR="008268BD">
        <w:rPr>
          <w:i/>
          <w:sz w:val="18"/>
          <w:szCs w:val="18"/>
        </w:rPr>
        <w:t>ostředky</w:t>
      </w:r>
      <w:r w:rsidRPr="00B02FEF">
        <w:rPr>
          <w:i/>
          <w:sz w:val="18"/>
          <w:szCs w:val="18"/>
        </w:rPr>
        <w:t xml:space="preserve"> </w:t>
      </w:r>
      <w:r w:rsidR="00F67EB3">
        <w:rPr>
          <w:i/>
          <w:sz w:val="18"/>
          <w:szCs w:val="18"/>
        </w:rPr>
        <w:t>kryté rozhodnutím/Smlouvou</w:t>
      </w:r>
      <w:r w:rsidRPr="00B02FEF">
        <w:rPr>
          <w:i/>
          <w:sz w:val="18"/>
          <w:szCs w:val="18"/>
        </w:rPr>
        <w:t xml:space="preserve">“, „Proplacené prostředky příjemcům“: </w:t>
      </w:r>
      <w:r w:rsidRPr="00291E18">
        <w:rPr>
          <w:i/>
          <w:sz w:val="18"/>
          <w:szCs w:val="18"/>
        </w:rPr>
        <w:t>27,</w:t>
      </w:r>
      <w:r w:rsidR="00291E18" w:rsidRPr="00291E18">
        <w:rPr>
          <w:i/>
          <w:sz w:val="18"/>
          <w:szCs w:val="18"/>
        </w:rPr>
        <w:t>208</w:t>
      </w:r>
      <w:r w:rsidRPr="00291E18">
        <w:rPr>
          <w:i/>
          <w:sz w:val="18"/>
          <w:szCs w:val="18"/>
        </w:rPr>
        <w:t>,</w:t>
      </w:r>
      <w:r w:rsidRPr="00B02FEF">
        <w:rPr>
          <w:i/>
          <w:sz w:val="18"/>
          <w:szCs w:val="18"/>
        </w:rPr>
        <w:t xml:space="preserve"> příp. kurz platný v době zaúčtování žádosti o </w:t>
      </w:r>
      <w:proofErr w:type="gramStart"/>
      <w:r w:rsidRPr="00B02FEF">
        <w:rPr>
          <w:i/>
          <w:sz w:val="18"/>
          <w:szCs w:val="18"/>
        </w:rPr>
        <w:t>platbu v IS</w:t>
      </w:r>
      <w:proofErr w:type="gramEnd"/>
      <w:r w:rsidRPr="00B02FEF">
        <w:rPr>
          <w:i/>
          <w:sz w:val="18"/>
          <w:szCs w:val="18"/>
        </w:rPr>
        <w:t xml:space="preserve"> Viola;</w:t>
      </w:r>
    </w:p>
    <w:p w:rsidR="00AF3906" w:rsidRPr="00B02FEF" w:rsidRDefault="00AF3906" w:rsidP="00FB2466">
      <w:pPr>
        <w:numPr>
          <w:ilvl w:val="0"/>
          <w:numId w:val="26"/>
        </w:numPr>
        <w:tabs>
          <w:tab w:val="clear" w:pos="1428"/>
        </w:tabs>
        <w:ind w:left="720"/>
        <w:jc w:val="both"/>
        <w:rPr>
          <w:i/>
          <w:sz w:val="18"/>
          <w:szCs w:val="18"/>
        </w:rPr>
      </w:pPr>
      <w:r w:rsidRPr="00B02FEF">
        <w:rPr>
          <w:i/>
          <w:sz w:val="18"/>
          <w:szCs w:val="18"/>
        </w:rPr>
        <w:t>pro přepočet sloupců</w:t>
      </w:r>
      <w:r w:rsidR="00F66641">
        <w:rPr>
          <w:i/>
          <w:sz w:val="18"/>
          <w:szCs w:val="18"/>
        </w:rPr>
        <w:t xml:space="preserve"> </w:t>
      </w:r>
      <w:r w:rsidRPr="00B02FEF">
        <w:rPr>
          <w:i/>
          <w:sz w:val="18"/>
          <w:szCs w:val="18"/>
        </w:rPr>
        <w:t>“</w:t>
      </w:r>
      <w:r w:rsidR="00F67EB3">
        <w:rPr>
          <w:i/>
          <w:sz w:val="18"/>
          <w:szCs w:val="18"/>
        </w:rPr>
        <w:t>S</w:t>
      </w:r>
      <w:r w:rsidRPr="00B02FEF">
        <w:rPr>
          <w:i/>
          <w:sz w:val="18"/>
          <w:szCs w:val="18"/>
        </w:rPr>
        <w:t>ouhrnn</w:t>
      </w:r>
      <w:r w:rsidR="00F67EB3">
        <w:rPr>
          <w:i/>
          <w:sz w:val="18"/>
          <w:szCs w:val="18"/>
        </w:rPr>
        <w:t>é</w:t>
      </w:r>
      <w:r w:rsidRPr="00B02FEF">
        <w:rPr>
          <w:i/>
          <w:sz w:val="18"/>
          <w:szCs w:val="18"/>
        </w:rPr>
        <w:t xml:space="preserve"> žádost</w:t>
      </w:r>
      <w:r w:rsidR="00F67EB3">
        <w:rPr>
          <w:i/>
          <w:sz w:val="18"/>
          <w:szCs w:val="18"/>
        </w:rPr>
        <w:t>i</w:t>
      </w:r>
      <w:r w:rsidRPr="00B02FEF">
        <w:rPr>
          <w:i/>
          <w:sz w:val="18"/>
          <w:szCs w:val="18"/>
        </w:rPr>
        <w:t xml:space="preserve"> zaúčtovan</w:t>
      </w:r>
      <w:r w:rsidR="00F67EB3">
        <w:rPr>
          <w:i/>
          <w:sz w:val="18"/>
          <w:szCs w:val="18"/>
        </w:rPr>
        <w:t>é</w:t>
      </w:r>
      <w:r w:rsidRPr="00B02FEF">
        <w:rPr>
          <w:i/>
          <w:sz w:val="18"/>
          <w:szCs w:val="18"/>
        </w:rPr>
        <w:t xml:space="preserve"> PCO“, „Certifikované </w:t>
      </w:r>
      <w:r w:rsidR="008268BD">
        <w:rPr>
          <w:i/>
          <w:sz w:val="18"/>
          <w:szCs w:val="18"/>
        </w:rPr>
        <w:t>prostředky</w:t>
      </w:r>
      <w:r w:rsidRPr="00B02FEF">
        <w:rPr>
          <w:i/>
          <w:sz w:val="18"/>
          <w:szCs w:val="18"/>
        </w:rPr>
        <w:t>“ je použit z doby zaúčtování do IS Viola.</w:t>
      </w:r>
    </w:p>
    <w:p w:rsidR="00703BA6" w:rsidRDefault="00703BA6" w:rsidP="001D0A43">
      <w:bookmarkStart w:id="17" w:name="_Toc372011060"/>
    </w:p>
    <w:p w:rsidR="002A4BCD" w:rsidRPr="00B27700" w:rsidRDefault="002A4BCD" w:rsidP="002A4BCD">
      <w:pPr>
        <w:pStyle w:val="Nadpis2"/>
        <w:rPr>
          <w:rFonts w:ascii="Times New Roman" w:hAnsi="Times New Roman"/>
          <w:i w:val="0"/>
        </w:rPr>
      </w:pPr>
      <w:bookmarkStart w:id="18" w:name="_Toc433873461"/>
      <w:r w:rsidRPr="00B27700">
        <w:rPr>
          <w:rFonts w:ascii="Times New Roman" w:hAnsi="Times New Roman"/>
          <w:i w:val="0"/>
        </w:rPr>
        <w:t>2.2 Pokrok v plnění indikátorů na úrovni programu</w:t>
      </w:r>
      <w:bookmarkEnd w:id="17"/>
      <w:bookmarkEnd w:id="18"/>
    </w:p>
    <w:p w:rsidR="008C7C15" w:rsidRDefault="002A4BCD" w:rsidP="002A4BCD">
      <w:pPr>
        <w:jc w:val="both"/>
        <w:rPr>
          <w:sz w:val="22"/>
          <w:szCs w:val="22"/>
        </w:rPr>
      </w:pPr>
      <w:r w:rsidRPr="00B27700">
        <w:rPr>
          <w:sz w:val="22"/>
          <w:szCs w:val="22"/>
        </w:rPr>
        <w:t>V souladu s pokynem NOK k vypracování zprávy o realizaci kapitola obsah</w:t>
      </w:r>
      <w:r w:rsidR="002960B9">
        <w:rPr>
          <w:sz w:val="22"/>
          <w:szCs w:val="22"/>
        </w:rPr>
        <w:t>uje</w:t>
      </w:r>
      <w:r w:rsidRPr="00B27700">
        <w:rPr>
          <w:sz w:val="22"/>
          <w:szCs w:val="22"/>
        </w:rPr>
        <w:t xml:space="preserve"> indikátory sledované řídícím orgánem, nikoli externími zdroji. </w:t>
      </w:r>
      <w:r w:rsidR="00992B3F">
        <w:rPr>
          <w:sz w:val="22"/>
          <w:szCs w:val="22"/>
        </w:rPr>
        <w:t>N</w:t>
      </w:r>
      <w:r w:rsidRPr="00B27700">
        <w:rPr>
          <w:sz w:val="22"/>
          <w:szCs w:val="22"/>
        </w:rPr>
        <w:t xml:space="preserve">a úrovni programu </w:t>
      </w:r>
      <w:r w:rsidR="00992B3F">
        <w:rPr>
          <w:sz w:val="22"/>
          <w:szCs w:val="22"/>
        </w:rPr>
        <w:t xml:space="preserve">jsou </w:t>
      </w:r>
      <w:r w:rsidRPr="00B27700">
        <w:rPr>
          <w:sz w:val="22"/>
          <w:szCs w:val="22"/>
        </w:rPr>
        <w:t>definovány 3 dopadové indikátory. Jejich dosažené hodnoty se negenerují z projektové úrovně a jsou sledovány externím zdrojem. Proto není v kapitole uvedený žádný indikátor.</w:t>
      </w:r>
    </w:p>
    <w:p w:rsidR="00AF3906" w:rsidRDefault="00AF3906" w:rsidP="001044BA"/>
    <w:p w:rsidR="0006709A" w:rsidRDefault="0006709A" w:rsidP="00F81DBB"/>
    <w:p w:rsidR="00D644B0" w:rsidRPr="00AF3906" w:rsidRDefault="00D644B0" w:rsidP="00AF3906">
      <w:pPr>
        <w:pStyle w:val="Nadpis2"/>
        <w:spacing w:before="0" w:after="0"/>
        <w:rPr>
          <w:rFonts w:ascii="Times New Roman" w:hAnsi="Times New Roman"/>
          <w:i w:val="0"/>
        </w:rPr>
      </w:pPr>
      <w:bookmarkStart w:id="19" w:name="_Toc433873462"/>
      <w:r w:rsidRPr="00B27700">
        <w:rPr>
          <w:rFonts w:ascii="Times New Roman" w:hAnsi="Times New Roman"/>
          <w:i w:val="0"/>
        </w:rPr>
        <w:t>2.3 Hlavní akti</w:t>
      </w:r>
      <w:r w:rsidR="00523AF8">
        <w:rPr>
          <w:rFonts w:ascii="Times New Roman" w:hAnsi="Times New Roman"/>
          <w:i w:val="0"/>
        </w:rPr>
        <w:t xml:space="preserve">vity za období </w:t>
      </w:r>
      <w:r w:rsidR="006670B3">
        <w:rPr>
          <w:rFonts w:ascii="Times New Roman" w:hAnsi="Times New Roman"/>
          <w:i w:val="0"/>
        </w:rPr>
        <w:t>1</w:t>
      </w:r>
      <w:r w:rsidR="0015783A">
        <w:rPr>
          <w:rFonts w:ascii="Times New Roman" w:hAnsi="Times New Roman"/>
          <w:i w:val="0"/>
        </w:rPr>
        <w:t>7</w:t>
      </w:r>
      <w:r w:rsidR="006670B3">
        <w:rPr>
          <w:rFonts w:ascii="Times New Roman" w:hAnsi="Times New Roman"/>
          <w:i w:val="0"/>
        </w:rPr>
        <w:t xml:space="preserve">. </w:t>
      </w:r>
      <w:r w:rsidR="0015783A">
        <w:rPr>
          <w:rFonts w:ascii="Times New Roman" w:hAnsi="Times New Roman"/>
          <w:i w:val="0"/>
        </w:rPr>
        <w:t>4. 2015</w:t>
      </w:r>
      <w:r w:rsidRPr="00B27700">
        <w:rPr>
          <w:rFonts w:ascii="Times New Roman" w:hAnsi="Times New Roman"/>
          <w:i w:val="0"/>
        </w:rPr>
        <w:t xml:space="preserve"> – </w:t>
      </w:r>
      <w:r w:rsidR="0015783A">
        <w:rPr>
          <w:rFonts w:ascii="Times New Roman" w:hAnsi="Times New Roman"/>
          <w:i w:val="0"/>
        </w:rPr>
        <w:t>30</w:t>
      </w:r>
      <w:r w:rsidR="006670B3" w:rsidRPr="00B27700">
        <w:rPr>
          <w:rFonts w:ascii="Times New Roman" w:hAnsi="Times New Roman"/>
          <w:i w:val="0"/>
        </w:rPr>
        <w:t>.</w:t>
      </w:r>
      <w:r w:rsidR="006670B3">
        <w:rPr>
          <w:rFonts w:ascii="Times New Roman" w:hAnsi="Times New Roman"/>
          <w:i w:val="0"/>
        </w:rPr>
        <w:t xml:space="preserve"> </w:t>
      </w:r>
      <w:r w:rsidR="0015783A">
        <w:rPr>
          <w:rFonts w:ascii="Times New Roman" w:hAnsi="Times New Roman"/>
          <w:i w:val="0"/>
        </w:rPr>
        <w:t>9</w:t>
      </w:r>
      <w:r w:rsidR="006670B3">
        <w:rPr>
          <w:rFonts w:ascii="Times New Roman" w:hAnsi="Times New Roman"/>
          <w:i w:val="0"/>
        </w:rPr>
        <w:t>. 201</w:t>
      </w:r>
      <w:r w:rsidR="002B3E6E">
        <w:rPr>
          <w:rFonts w:ascii="Times New Roman" w:hAnsi="Times New Roman"/>
          <w:i w:val="0"/>
        </w:rPr>
        <w:t>5</w:t>
      </w:r>
      <w:bookmarkEnd w:id="19"/>
    </w:p>
    <w:p w:rsidR="006D3BAF" w:rsidRPr="00F630D9" w:rsidRDefault="00D644B0" w:rsidP="00F630D9">
      <w:pPr>
        <w:pStyle w:val="Nadpis3"/>
        <w:rPr>
          <w:rFonts w:ascii="Times New Roman" w:hAnsi="Times New Roman"/>
          <w:color w:val="FF0000"/>
          <w:sz w:val="24"/>
          <w:szCs w:val="24"/>
        </w:rPr>
      </w:pPr>
      <w:bookmarkStart w:id="20" w:name="_Toc433873463"/>
      <w:r w:rsidRPr="00B27700">
        <w:rPr>
          <w:rFonts w:ascii="Times New Roman" w:hAnsi="Times New Roman"/>
          <w:sz w:val="24"/>
          <w:szCs w:val="24"/>
        </w:rPr>
        <w:t xml:space="preserve">2.3.1 Důležité mezníky IOP za období </w:t>
      </w:r>
      <w:r w:rsidR="00AB7DF8" w:rsidRPr="00727BD4">
        <w:rPr>
          <w:rFonts w:ascii="Times New Roman" w:hAnsi="Times New Roman"/>
          <w:sz w:val="24"/>
          <w:szCs w:val="24"/>
        </w:rPr>
        <w:t>1</w:t>
      </w:r>
      <w:r w:rsidR="0015783A">
        <w:rPr>
          <w:rFonts w:ascii="Times New Roman" w:hAnsi="Times New Roman"/>
          <w:sz w:val="24"/>
          <w:szCs w:val="24"/>
        </w:rPr>
        <w:t>7</w:t>
      </w:r>
      <w:r w:rsidR="00AB7DF8" w:rsidRPr="00727BD4">
        <w:rPr>
          <w:rFonts w:ascii="Times New Roman" w:hAnsi="Times New Roman"/>
          <w:sz w:val="24"/>
          <w:szCs w:val="24"/>
        </w:rPr>
        <w:t>.</w:t>
      </w:r>
      <w:r w:rsidR="00AB7DF8">
        <w:rPr>
          <w:rFonts w:ascii="Times New Roman" w:hAnsi="Times New Roman"/>
          <w:sz w:val="24"/>
          <w:szCs w:val="24"/>
        </w:rPr>
        <w:t xml:space="preserve"> </w:t>
      </w:r>
      <w:r w:rsidR="0015783A">
        <w:rPr>
          <w:rFonts w:ascii="Times New Roman" w:hAnsi="Times New Roman"/>
          <w:sz w:val="24"/>
          <w:szCs w:val="24"/>
        </w:rPr>
        <w:t>4</w:t>
      </w:r>
      <w:r w:rsidR="00AB7DF8">
        <w:rPr>
          <w:rFonts w:ascii="Times New Roman" w:hAnsi="Times New Roman"/>
          <w:sz w:val="24"/>
          <w:szCs w:val="24"/>
        </w:rPr>
        <w:t>. 201</w:t>
      </w:r>
      <w:r w:rsidR="0015783A">
        <w:rPr>
          <w:rFonts w:ascii="Times New Roman" w:hAnsi="Times New Roman"/>
          <w:sz w:val="24"/>
          <w:szCs w:val="24"/>
        </w:rPr>
        <w:t>5</w:t>
      </w:r>
      <w:r w:rsidR="00B0593E">
        <w:rPr>
          <w:rFonts w:ascii="Times New Roman" w:hAnsi="Times New Roman"/>
          <w:sz w:val="24"/>
          <w:szCs w:val="24"/>
        </w:rPr>
        <w:t xml:space="preserve"> – </w:t>
      </w:r>
      <w:r w:rsidR="0015783A">
        <w:rPr>
          <w:rFonts w:ascii="Times New Roman" w:hAnsi="Times New Roman"/>
          <w:sz w:val="24"/>
          <w:szCs w:val="24"/>
        </w:rPr>
        <w:t>30</w:t>
      </w:r>
      <w:r w:rsidR="00AB7DF8" w:rsidRPr="00727BD4">
        <w:rPr>
          <w:rFonts w:ascii="Times New Roman" w:hAnsi="Times New Roman"/>
          <w:sz w:val="24"/>
          <w:szCs w:val="24"/>
        </w:rPr>
        <w:t>.</w:t>
      </w:r>
      <w:r w:rsidR="00AB7DF8">
        <w:rPr>
          <w:rFonts w:ascii="Times New Roman" w:hAnsi="Times New Roman"/>
          <w:sz w:val="24"/>
          <w:szCs w:val="24"/>
        </w:rPr>
        <w:t xml:space="preserve"> </w:t>
      </w:r>
      <w:r w:rsidR="0015783A">
        <w:rPr>
          <w:rFonts w:ascii="Times New Roman" w:hAnsi="Times New Roman"/>
          <w:sz w:val="24"/>
          <w:szCs w:val="24"/>
        </w:rPr>
        <w:t>9</w:t>
      </w:r>
      <w:r w:rsidR="00AB7DF8">
        <w:rPr>
          <w:rFonts w:ascii="Times New Roman" w:hAnsi="Times New Roman"/>
          <w:sz w:val="24"/>
          <w:szCs w:val="24"/>
        </w:rPr>
        <w:t>. 2015</w:t>
      </w:r>
      <w:bookmarkEnd w:id="20"/>
    </w:p>
    <w:tbl>
      <w:tblPr>
        <w:tblW w:w="9108" w:type="dxa"/>
        <w:tblInd w:w="55" w:type="dxa"/>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CellMar>
          <w:left w:w="70" w:type="dxa"/>
          <w:right w:w="70" w:type="dxa"/>
        </w:tblCellMar>
        <w:tblLook w:val="04A0" w:firstRow="1" w:lastRow="0" w:firstColumn="1" w:lastColumn="0" w:noHBand="0" w:noVBand="1"/>
      </w:tblPr>
      <w:tblGrid>
        <w:gridCol w:w="1096"/>
        <w:gridCol w:w="8012"/>
      </w:tblGrid>
      <w:tr w:rsidR="00E82B27" w:rsidRPr="00E82B27" w:rsidTr="00962536">
        <w:trPr>
          <w:trHeight w:val="274"/>
          <w:tblHeader/>
        </w:trPr>
        <w:tc>
          <w:tcPr>
            <w:tcW w:w="1096" w:type="dxa"/>
            <w:shd w:val="clear" w:color="auto" w:fill="B8CCE4" w:themeFill="accent1" w:themeFillTint="66"/>
            <w:vAlign w:val="center"/>
            <w:hideMark/>
          </w:tcPr>
          <w:p w:rsidR="00E82B27" w:rsidRPr="00E82B27" w:rsidRDefault="00E82B27" w:rsidP="00E82B27">
            <w:pPr>
              <w:jc w:val="center"/>
              <w:rPr>
                <w:b/>
                <w:bCs/>
                <w:color w:val="000000"/>
                <w:sz w:val="22"/>
                <w:szCs w:val="22"/>
              </w:rPr>
            </w:pPr>
            <w:r w:rsidRPr="00E82B27">
              <w:rPr>
                <w:b/>
                <w:bCs/>
                <w:color w:val="000000"/>
                <w:sz w:val="22"/>
                <w:szCs w:val="22"/>
              </w:rPr>
              <w:t>Datum</w:t>
            </w:r>
          </w:p>
        </w:tc>
        <w:tc>
          <w:tcPr>
            <w:tcW w:w="8012" w:type="dxa"/>
            <w:shd w:val="clear" w:color="auto" w:fill="B8CCE4" w:themeFill="accent1" w:themeFillTint="66"/>
            <w:vAlign w:val="center"/>
            <w:hideMark/>
          </w:tcPr>
          <w:p w:rsidR="00E82B27" w:rsidRPr="00E82B27" w:rsidRDefault="00E82B27" w:rsidP="00E82B27">
            <w:pPr>
              <w:jc w:val="center"/>
              <w:rPr>
                <w:b/>
                <w:bCs/>
                <w:color w:val="000000"/>
                <w:sz w:val="22"/>
                <w:szCs w:val="22"/>
              </w:rPr>
            </w:pPr>
            <w:r w:rsidRPr="00E82B27">
              <w:rPr>
                <w:b/>
                <w:bCs/>
                <w:color w:val="000000"/>
                <w:sz w:val="22"/>
                <w:szCs w:val="22"/>
              </w:rPr>
              <w:t>Název činnosti</w:t>
            </w:r>
          </w:p>
        </w:tc>
      </w:tr>
      <w:tr w:rsidR="00A26C6A" w:rsidRPr="00E82B27" w:rsidTr="00962536">
        <w:trPr>
          <w:trHeight w:val="274"/>
        </w:trPr>
        <w:tc>
          <w:tcPr>
            <w:tcW w:w="1096" w:type="dxa"/>
            <w:shd w:val="clear" w:color="auto" w:fill="auto"/>
            <w:noWrap/>
            <w:vAlign w:val="center"/>
          </w:tcPr>
          <w:p w:rsidR="00A26C6A" w:rsidRPr="00561791" w:rsidRDefault="004763A2" w:rsidP="00B56392">
            <w:pPr>
              <w:rPr>
                <w:sz w:val="18"/>
                <w:szCs w:val="18"/>
              </w:rPr>
            </w:pPr>
            <w:r w:rsidRPr="00561791">
              <w:rPr>
                <w:sz w:val="18"/>
                <w:szCs w:val="18"/>
              </w:rPr>
              <w:t>16. 6. 2015</w:t>
            </w:r>
          </w:p>
        </w:tc>
        <w:tc>
          <w:tcPr>
            <w:tcW w:w="8012" w:type="dxa"/>
            <w:shd w:val="clear" w:color="auto" w:fill="auto"/>
            <w:vAlign w:val="center"/>
          </w:tcPr>
          <w:p w:rsidR="00A26C6A" w:rsidRPr="00561791" w:rsidRDefault="004763A2" w:rsidP="004763A2">
            <w:r w:rsidRPr="00561791">
              <w:t xml:space="preserve">15. zasedání Monitorovacího výboru IOP </w:t>
            </w:r>
          </w:p>
        </w:tc>
      </w:tr>
      <w:tr w:rsidR="004763A2" w:rsidRPr="00E82B27" w:rsidTr="00AB06CD">
        <w:trPr>
          <w:trHeight w:val="274"/>
        </w:trPr>
        <w:tc>
          <w:tcPr>
            <w:tcW w:w="1096" w:type="dxa"/>
            <w:shd w:val="clear" w:color="auto" w:fill="auto"/>
            <w:noWrap/>
            <w:vAlign w:val="center"/>
          </w:tcPr>
          <w:p w:rsidR="004763A2" w:rsidRPr="00561791" w:rsidRDefault="004763A2" w:rsidP="00CC7CAE">
            <w:pPr>
              <w:rPr>
                <w:sz w:val="18"/>
                <w:szCs w:val="18"/>
              </w:rPr>
            </w:pPr>
            <w:r w:rsidRPr="00561791">
              <w:rPr>
                <w:sz w:val="18"/>
                <w:szCs w:val="18"/>
              </w:rPr>
              <w:t xml:space="preserve">13. 7.2015 </w:t>
            </w:r>
          </w:p>
        </w:tc>
        <w:tc>
          <w:tcPr>
            <w:tcW w:w="8012" w:type="dxa"/>
            <w:shd w:val="clear" w:color="auto" w:fill="auto"/>
            <w:vAlign w:val="center"/>
          </w:tcPr>
          <w:p w:rsidR="004763A2" w:rsidRPr="00561791" w:rsidRDefault="004763A2" w:rsidP="00614B79">
            <w:r w:rsidRPr="00561791">
              <w:t>Konec období pro 14. certifikaci výdajů IOP</w:t>
            </w:r>
          </w:p>
        </w:tc>
      </w:tr>
      <w:tr w:rsidR="004763A2" w:rsidRPr="00E82B27" w:rsidTr="00962536">
        <w:trPr>
          <w:trHeight w:val="274"/>
        </w:trPr>
        <w:tc>
          <w:tcPr>
            <w:tcW w:w="1096" w:type="dxa"/>
            <w:shd w:val="clear" w:color="auto" w:fill="auto"/>
            <w:noWrap/>
            <w:vAlign w:val="center"/>
          </w:tcPr>
          <w:p w:rsidR="004763A2" w:rsidRPr="00561791" w:rsidRDefault="004763A2" w:rsidP="00EF5B0C">
            <w:pPr>
              <w:rPr>
                <w:color w:val="000000"/>
                <w:sz w:val="18"/>
                <w:szCs w:val="18"/>
              </w:rPr>
            </w:pPr>
            <w:r w:rsidRPr="00561791">
              <w:rPr>
                <w:color w:val="000000"/>
                <w:sz w:val="18"/>
                <w:szCs w:val="18"/>
              </w:rPr>
              <w:t>3. 9. 2015</w:t>
            </w:r>
          </w:p>
        </w:tc>
        <w:tc>
          <w:tcPr>
            <w:tcW w:w="8012" w:type="dxa"/>
            <w:shd w:val="clear" w:color="auto" w:fill="auto"/>
            <w:vAlign w:val="center"/>
          </w:tcPr>
          <w:p w:rsidR="004763A2" w:rsidRPr="00561791" w:rsidRDefault="004763A2" w:rsidP="0059782A">
            <w:pPr>
              <w:rPr>
                <w:i/>
                <w:color w:val="000000"/>
              </w:rPr>
            </w:pPr>
            <w:r w:rsidRPr="00561791">
              <w:rPr>
                <w:color w:val="000000"/>
              </w:rPr>
              <w:t xml:space="preserve">EK byla předložena změna programového dokumentu IOP </w:t>
            </w:r>
          </w:p>
        </w:tc>
      </w:tr>
      <w:tr w:rsidR="004763A2" w:rsidRPr="00E82B27" w:rsidTr="00962536">
        <w:trPr>
          <w:trHeight w:val="274"/>
        </w:trPr>
        <w:tc>
          <w:tcPr>
            <w:tcW w:w="1096" w:type="dxa"/>
            <w:shd w:val="clear" w:color="auto" w:fill="auto"/>
            <w:noWrap/>
            <w:vAlign w:val="center"/>
          </w:tcPr>
          <w:p w:rsidR="004763A2" w:rsidRPr="00561791" w:rsidRDefault="004763A2" w:rsidP="0068597E">
            <w:pPr>
              <w:rPr>
                <w:color w:val="000000"/>
                <w:sz w:val="18"/>
                <w:szCs w:val="18"/>
              </w:rPr>
            </w:pPr>
            <w:proofErr w:type="gramStart"/>
            <w:r w:rsidRPr="00561791">
              <w:rPr>
                <w:color w:val="000000"/>
                <w:sz w:val="18"/>
                <w:szCs w:val="18"/>
              </w:rPr>
              <w:t>8.-10</w:t>
            </w:r>
            <w:proofErr w:type="gramEnd"/>
            <w:r w:rsidRPr="00561791">
              <w:rPr>
                <w:color w:val="000000"/>
                <w:sz w:val="18"/>
                <w:szCs w:val="18"/>
              </w:rPr>
              <w:t>. 9. 2015</w:t>
            </w:r>
          </w:p>
        </w:tc>
        <w:tc>
          <w:tcPr>
            <w:tcW w:w="8012" w:type="dxa"/>
            <w:shd w:val="clear" w:color="auto" w:fill="auto"/>
            <w:vAlign w:val="center"/>
          </w:tcPr>
          <w:p w:rsidR="004763A2" w:rsidRPr="00561791" w:rsidRDefault="004763A2" w:rsidP="00E87798">
            <w:pPr>
              <w:rPr>
                <w:color w:val="000000"/>
              </w:rPr>
            </w:pPr>
            <w:r w:rsidRPr="00561791">
              <w:rPr>
                <w:color w:val="000000"/>
              </w:rPr>
              <w:t xml:space="preserve">Mezinárodní setkání zástupců </w:t>
            </w:r>
            <w:proofErr w:type="spellStart"/>
            <w:r w:rsidRPr="00561791">
              <w:rPr>
                <w:color w:val="000000"/>
              </w:rPr>
              <w:t>MZd</w:t>
            </w:r>
            <w:proofErr w:type="spellEnd"/>
            <w:r w:rsidRPr="00561791">
              <w:rPr>
                <w:color w:val="000000"/>
              </w:rPr>
              <w:t xml:space="preserve"> ČR a </w:t>
            </w:r>
            <w:proofErr w:type="spellStart"/>
            <w:r w:rsidRPr="00561791">
              <w:rPr>
                <w:color w:val="000000"/>
              </w:rPr>
              <w:t>MZd</w:t>
            </w:r>
            <w:proofErr w:type="spellEnd"/>
            <w:r w:rsidRPr="00561791">
              <w:rPr>
                <w:color w:val="000000"/>
              </w:rPr>
              <w:t xml:space="preserve"> SR s příjemci IOP v Brně</w:t>
            </w:r>
          </w:p>
        </w:tc>
      </w:tr>
      <w:tr w:rsidR="004763A2" w:rsidRPr="00E82B27" w:rsidTr="00962536">
        <w:trPr>
          <w:trHeight w:val="274"/>
        </w:trPr>
        <w:tc>
          <w:tcPr>
            <w:tcW w:w="1096" w:type="dxa"/>
            <w:shd w:val="clear" w:color="auto" w:fill="auto"/>
            <w:noWrap/>
            <w:vAlign w:val="center"/>
          </w:tcPr>
          <w:p w:rsidR="004763A2" w:rsidRPr="00561791" w:rsidRDefault="004763A2" w:rsidP="00EF5B0C">
            <w:pPr>
              <w:rPr>
                <w:sz w:val="18"/>
                <w:szCs w:val="18"/>
              </w:rPr>
            </w:pPr>
            <w:r w:rsidRPr="00561791">
              <w:rPr>
                <w:sz w:val="18"/>
                <w:szCs w:val="18"/>
              </w:rPr>
              <w:t>10. 9. 2015</w:t>
            </w:r>
          </w:p>
        </w:tc>
        <w:tc>
          <w:tcPr>
            <w:tcW w:w="8012" w:type="dxa"/>
            <w:shd w:val="clear" w:color="auto" w:fill="auto"/>
            <w:vAlign w:val="bottom"/>
          </w:tcPr>
          <w:p w:rsidR="004763A2" w:rsidRPr="00561791" w:rsidRDefault="004763A2" w:rsidP="006142C2">
            <w:r w:rsidRPr="00561791">
              <w:t xml:space="preserve">EK dopisem ze dne 10. 9. 2015, č. j. Ares(2015)3740120 obnovila platební lhůtu pro oblast podpory 5.1 </w:t>
            </w:r>
          </w:p>
        </w:tc>
      </w:tr>
    </w:tbl>
    <w:p w:rsidR="00CA4CFE" w:rsidRDefault="00CA4CFE">
      <w:pPr>
        <w:jc w:val="both"/>
        <w:rPr>
          <w:sz w:val="22"/>
          <w:szCs w:val="22"/>
        </w:rPr>
      </w:pPr>
    </w:p>
    <w:p w:rsidR="00D644B0" w:rsidRPr="008203BD" w:rsidRDefault="00D644B0">
      <w:pPr>
        <w:pStyle w:val="Nadpis3"/>
        <w:rPr>
          <w:rFonts w:ascii="Times New Roman" w:hAnsi="Times New Roman"/>
          <w:sz w:val="24"/>
          <w:szCs w:val="24"/>
        </w:rPr>
      </w:pPr>
      <w:bookmarkStart w:id="21" w:name="_Toc433873464"/>
      <w:r w:rsidRPr="00F808A9">
        <w:rPr>
          <w:rFonts w:ascii="Times New Roman" w:hAnsi="Times New Roman"/>
          <w:sz w:val="24"/>
          <w:szCs w:val="24"/>
        </w:rPr>
        <w:lastRenderedPageBreak/>
        <w:t>2</w:t>
      </w:r>
      <w:r w:rsidRPr="00B27700">
        <w:rPr>
          <w:rFonts w:ascii="Times New Roman" w:hAnsi="Times New Roman"/>
          <w:sz w:val="24"/>
          <w:szCs w:val="24"/>
        </w:rPr>
        <w:t xml:space="preserve">.3.2 </w:t>
      </w:r>
      <w:r w:rsidRPr="002D542D">
        <w:rPr>
          <w:rFonts w:ascii="Times New Roman" w:hAnsi="Times New Roman"/>
          <w:sz w:val="24"/>
          <w:szCs w:val="24"/>
        </w:rPr>
        <w:t xml:space="preserve">Přehled </w:t>
      </w:r>
      <w:r w:rsidR="00474DD7" w:rsidRPr="002D542D">
        <w:rPr>
          <w:rFonts w:ascii="Times New Roman" w:hAnsi="Times New Roman"/>
          <w:sz w:val="24"/>
          <w:szCs w:val="24"/>
        </w:rPr>
        <w:t xml:space="preserve">probíhajících a nově </w:t>
      </w:r>
      <w:r w:rsidRPr="002D542D">
        <w:rPr>
          <w:rFonts w:ascii="Times New Roman" w:hAnsi="Times New Roman"/>
          <w:sz w:val="24"/>
          <w:szCs w:val="24"/>
        </w:rPr>
        <w:t xml:space="preserve">vyhlášených výzev v období od </w:t>
      </w:r>
      <w:r w:rsidR="00A30245" w:rsidRPr="002D542D">
        <w:rPr>
          <w:rFonts w:ascii="Times New Roman" w:hAnsi="Times New Roman"/>
          <w:sz w:val="24"/>
          <w:szCs w:val="24"/>
        </w:rPr>
        <w:t>1</w:t>
      </w:r>
      <w:r w:rsidR="0015783A">
        <w:rPr>
          <w:rFonts w:ascii="Times New Roman" w:hAnsi="Times New Roman"/>
          <w:sz w:val="24"/>
          <w:szCs w:val="24"/>
        </w:rPr>
        <w:t>7</w:t>
      </w:r>
      <w:r w:rsidR="00A30245" w:rsidRPr="002D542D">
        <w:rPr>
          <w:rFonts w:ascii="Times New Roman" w:hAnsi="Times New Roman"/>
          <w:sz w:val="24"/>
          <w:szCs w:val="24"/>
        </w:rPr>
        <w:t>.</w:t>
      </w:r>
      <w:r w:rsidR="006D4900">
        <w:rPr>
          <w:rFonts w:ascii="Times New Roman" w:hAnsi="Times New Roman"/>
          <w:sz w:val="24"/>
          <w:szCs w:val="24"/>
        </w:rPr>
        <w:t xml:space="preserve"> </w:t>
      </w:r>
      <w:r w:rsidR="0015783A">
        <w:rPr>
          <w:rFonts w:ascii="Times New Roman" w:hAnsi="Times New Roman"/>
          <w:sz w:val="24"/>
          <w:szCs w:val="24"/>
        </w:rPr>
        <w:t>4</w:t>
      </w:r>
      <w:r w:rsidR="00A30245">
        <w:rPr>
          <w:rFonts w:ascii="Times New Roman" w:hAnsi="Times New Roman"/>
          <w:sz w:val="24"/>
          <w:szCs w:val="24"/>
        </w:rPr>
        <w:t>. 201</w:t>
      </w:r>
      <w:r w:rsidR="0015783A">
        <w:rPr>
          <w:rFonts w:ascii="Times New Roman" w:hAnsi="Times New Roman"/>
          <w:sz w:val="24"/>
          <w:szCs w:val="24"/>
        </w:rPr>
        <w:t>5</w:t>
      </w:r>
      <w:r w:rsidR="007C382B" w:rsidRPr="002D542D">
        <w:rPr>
          <w:rFonts w:ascii="Times New Roman" w:hAnsi="Times New Roman"/>
          <w:sz w:val="24"/>
          <w:szCs w:val="24"/>
        </w:rPr>
        <w:t xml:space="preserve"> – </w:t>
      </w:r>
      <w:r w:rsidR="0015783A">
        <w:rPr>
          <w:rFonts w:ascii="Times New Roman" w:hAnsi="Times New Roman"/>
          <w:sz w:val="24"/>
          <w:szCs w:val="24"/>
        </w:rPr>
        <w:t>30</w:t>
      </w:r>
      <w:r w:rsidR="00A30245" w:rsidRPr="002D542D">
        <w:rPr>
          <w:rFonts w:ascii="Times New Roman" w:hAnsi="Times New Roman"/>
          <w:sz w:val="24"/>
          <w:szCs w:val="24"/>
        </w:rPr>
        <w:t>.</w:t>
      </w:r>
      <w:r w:rsidR="00A30245">
        <w:rPr>
          <w:rFonts w:ascii="Times New Roman" w:hAnsi="Times New Roman"/>
          <w:sz w:val="24"/>
          <w:szCs w:val="24"/>
        </w:rPr>
        <w:t xml:space="preserve"> </w:t>
      </w:r>
      <w:r w:rsidR="0015783A">
        <w:rPr>
          <w:rFonts w:ascii="Times New Roman" w:hAnsi="Times New Roman"/>
          <w:sz w:val="24"/>
          <w:szCs w:val="24"/>
        </w:rPr>
        <w:t>9</w:t>
      </w:r>
      <w:r w:rsidR="006D4900">
        <w:rPr>
          <w:rFonts w:ascii="Times New Roman" w:hAnsi="Times New Roman"/>
          <w:sz w:val="24"/>
          <w:szCs w:val="24"/>
        </w:rPr>
        <w:t xml:space="preserve">. </w:t>
      </w:r>
      <w:r w:rsidR="00A30245">
        <w:rPr>
          <w:rFonts w:ascii="Times New Roman" w:hAnsi="Times New Roman"/>
          <w:sz w:val="24"/>
          <w:szCs w:val="24"/>
        </w:rPr>
        <w:t>201</w:t>
      </w:r>
      <w:r w:rsidR="0015783A">
        <w:rPr>
          <w:rFonts w:ascii="Times New Roman" w:hAnsi="Times New Roman"/>
          <w:sz w:val="24"/>
          <w:szCs w:val="24"/>
        </w:rPr>
        <w:t>5</w:t>
      </w:r>
      <w:bookmarkEnd w:id="21"/>
    </w:p>
    <w:p w:rsidR="00AF3906" w:rsidRPr="00404438" w:rsidRDefault="00D26CF5" w:rsidP="00AF3906">
      <w:pPr>
        <w:jc w:val="both"/>
        <w:rPr>
          <w:sz w:val="22"/>
          <w:szCs w:val="22"/>
        </w:rPr>
      </w:pPr>
      <w:r w:rsidRPr="003A643C">
        <w:rPr>
          <w:sz w:val="22"/>
          <w:szCs w:val="22"/>
        </w:rPr>
        <w:t>V období od 1</w:t>
      </w:r>
      <w:r w:rsidR="009D6A39" w:rsidRPr="003A643C">
        <w:rPr>
          <w:sz w:val="22"/>
          <w:szCs w:val="22"/>
        </w:rPr>
        <w:t>7</w:t>
      </w:r>
      <w:r w:rsidRPr="003A643C">
        <w:rPr>
          <w:sz w:val="22"/>
          <w:szCs w:val="22"/>
        </w:rPr>
        <w:t xml:space="preserve">. </w:t>
      </w:r>
      <w:r w:rsidR="009D6A39" w:rsidRPr="003A643C">
        <w:rPr>
          <w:sz w:val="22"/>
          <w:szCs w:val="22"/>
        </w:rPr>
        <w:t>4</w:t>
      </w:r>
      <w:r w:rsidR="00AF3906" w:rsidRPr="003A643C">
        <w:rPr>
          <w:sz w:val="22"/>
          <w:szCs w:val="22"/>
        </w:rPr>
        <w:t>. 201</w:t>
      </w:r>
      <w:r w:rsidR="00E50CD8" w:rsidRPr="003A643C">
        <w:rPr>
          <w:sz w:val="22"/>
          <w:szCs w:val="22"/>
        </w:rPr>
        <w:t xml:space="preserve"> do </w:t>
      </w:r>
      <w:r w:rsidR="0015783A" w:rsidRPr="003A643C">
        <w:rPr>
          <w:sz w:val="22"/>
          <w:szCs w:val="22"/>
        </w:rPr>
        <w:t>30. 9. 2015</w:t>
      </w:r>
      <w:r w:rsidR="00AF3906" w:rsidRPr="003A643C">
        <w:rPr>
          <w:sz w:val="22"/>
          <w:szCs w:val="22"/>
        </w:rPr>
        <w:t xml:space="preserve"> probíhalo předkládání projektových žádostí do </w:t>
      </w:r>
      <w:r w:rsidR="00584A90" w:rsidRPr="003A643C">
        <w:rPr>
          <w:sz w:val="22"/>
          <w:szCs w:val="22"/>
        </w:rPr>
        <w:t>4</w:t>
      </w:r>
      <w:r w:rsidR="00DB5D8F" w:rsidRPr="003A643C">
        <w:rPr>
          <w:sz w:val="22"/>
          <w:szCs w:val="22"/>
        </w:rPr>
        <w:t xml:space="preserve"> </w:t>
      </w:r>
      <w:proofErr w:type="gramStart"/>
      <w:r w:rsidR="00AF3906" w:rsidRPr="003A643C">
        <w:rPr>
          <w:sz w:val="22"/>
          <w:szCs w:val="22"/>
        </w:rPr>
        <w:t>výzev</w:t>
      </w:r>
      <w:r w:rsidR="00170BF6">
        <w:rPr>
          <w:sz w:val="22"/>
          <w:szCs w:val="22"/>
        </w:rPr>
        <w:t xml:space="preserve"> </w:t>
      </w:r>
      <w:r w:rsidR="0052665E">
        <w:rPr>
          <w:sz w:val="22"/>
          <w:szCs w:val="22"/>
        </w:rPr>
        <w:br/>
      </w:r>
      <w:r w:rsidR="00170BF6">
        <w:rPr>
          <w:sz w:val="22"/>
          <w:szCs w:val="22"/>
        </w:rPr>
        <w:t>a</w:t>
      </w:r>
      <w:r w:rsidR="00404438" w:rsidRPr="003A643C">
        <w:rPr>
          <w:sz w:val="22"/>
          <w:szCs w:val="22"/>
        </w:rPr>
        <w:t xml:space="preserve"> </w:t>
      </w:r>
      <w:r w:rsidR="00AF3906" w:rsidRPr="003A643C">
        <w:rPr>
          <w:sz w:val="22"/>
          <w:szCs w:val="22"/>
        </w:rPr>
        <w:t xml:space="preserve"> </w:t>
      </w:r>
      <w:r w:rsidR="00584A90" w:rsidRPr="003A643C">
        <w:rPr>
          <w:sz w:val="22"/>
          <w:szCs w:val="22"/>
        </w:rPr>
        <w:t>ne</w:t>
      </w:r>
      <w:r w:rsidR="00404438" w:rsidRPr="003A643C">
        <w:rPr>
          <w:sz w:val="22"/>
          <w:szCs w:val="22"/>
        </w:rPr>
        <w:t>byla</w:t>
      </w:r>
      <w:proofErr w:type="gramEnd"/>
      <w:r w:rsidR="00404438" w:rsidRPr="003A643C">
        <w:rPr>
          <w:sz w:val="22"/>
          <w:szCs w:val="22"/>
        </w:rPr>
        <w:t xml:space="preserve"> vyhlášena </w:t>
      </w:r>
      <w:r w:rsidR="00584A90" w:rsidRPr="003A643C">
        <w:rPr>
          <w:sz w:val="22"/>
          <w:szCs w:val="22"/>
        </w:rPr>
        <w:t xml:space="preserve">žádná nová </w:t>
      </w:r>
      <w:r w:rsidR="00404438" w:rsidRPr="003A643C">
        <w:rPr>
          <w:sz w:val="22"/>
          <w:szCs w:val="22"/>
        </w:rPr>
        <w:t>výzva</w:t>
      </w:r>
      <w:r w:rsidR="00584A90" w:rsidRPr="003A643C">
        <w:rPr>
          <w:sz w:val="22"/>
          <w:szCs w:val="22"/>
        </w:rPr>
        <w:t xml:space="preserve">. </w:t>
      </w:r>
      <w:r w:rsidR="00404438" w:rsidRPr="003A643C">
        <w:rPr>
          <w:sz w:val="22"/>
          <w:szCs w:val="22"/>
        </w:rPr>
        <w:t xml:space="preserve"> </w:t>
      </w:r>
      <w:r w:rsidR="00914BC7" w:rsidRPr="003A643C">
        <w:rPr>
          <w:sz w:val="22"/>
          <w:szCs w:val="22"/>
        </w:rPr>
        <w:t>K 30. 9. 2015</w:t>
      </w:r>
      <w:r w:rsidR="00AF3906" w:rsidRPr="003A643C">
        <w:rPr>
          <w:sz w:val="22"/>
          <w:szCs w:val="22"/>
        </w:rPr>
        <w:t xml:space="preserve"> bylo </w:t>
      </w:r>
      <w:r w:rsidR="00E84ACE">
        <w:rPr>
          <w:sz w:val="22"/>
          <w:szCs w:val="22"/>
        </w:rPr>
        <w:t>v probíhajících</w:t>
      </w:r>
      <w:r w:rsidR="005F6671" w:rsidRPr="003A643C">
        <w:rPr>
          <w:sz w:val="22"/>
          <w:szCs w:val="22"/>
        </w:rPr>
        <w:t xml:space="preserve"> </w:t>
      </w:r>
      <w:r w:rsidR="00AF3906" w:rsidRPr="003A643C">
        <w:rPr>
          <w:sz w:val="22"/>
          <w:szCs w:val="22"/>
        </w:rPr>
        <w:t xml:space="preserve">výzvách </w:t>
      </w:r>
      <w:r w:rsidR="005F6671" w:rsidRPr="003A643C">
        <w:rPr>
          <w:sz w:val="22"/>
          <w:szCs w:val="22"/>
        </w:rPr>
        <w:t xml:space="preserve">předloženo </w:t>
      </w:r>
      <w:r w:rsidR="009D6A39" w:rsidRPr="003A643C">
        <w:rPr>
          <w:sz w:val="22"/>
          <w:szCs w:val="22"/>
        </w:rPr>
        <w:t>1</w:t>
      </w:r>
      <w:r w:rsidR="001F0945">
        <w:rPr>
          <w:sz w:val="22"/>
          <w:szCs w:val="22"/>
        </w:rPr>
        <w:t xml:space="preserve"> </w:t>
      </w:r>
      <w:r w:rsidR="009D6A39" w:rsidRPr="003A643C">
        <w:rPr>
          <w:sz w:val="22"/>
          <w:szCs w:val="22"/>
        </w:rPr>
        <w:t>723</w:t>
      </w:r>
      <w:r w:rsidR="005F6671" w:rsidRPr="003A643C">
        <w:rPr>
          <w:sz w:val="22"/>
          <w:szCs w:val="22"/>
        </w:rPr>
        <w:t xml:space="preserve"> projektových</w:t>
      </w:r>
      <w:r w:rsidR="00AF3906" w:rsidRPr="003A643C">
        <w:rPr>
          <w:sz w:val="22"/>
          <w:szCs w:val="22"/>
        </w:rPr>
        <w:t xml:space="preserve"> žádostí na </w:t>
      </w:r>
      <w:r w:rsidR="005F6671" w:rsidRPr="003A643C">
        <w:rPr>
          <w:sz w:val="22"/>
          <w:szCs w:val="22"/>
        </w:rPr>
        <w:t xml:space="preserve">částku </w:t>
      </w:r>
      <w:r w:rsidR="009D6A39" w:rsidRPr="003A643C">
        <w:rPr>
          <w:sz w:val="22"/>
          <w:szCs w:val="22"/>
        </w:rPr>
        <w:t>572,01</w:t>
      </w:r>
      <w:r w:rsidR="00D437FF" w:rsidRPr="003A643C">
        <w:rPr>
          <w:sz w:val="22"/>
          <w:szCs w:val="22"/>
        </w:rPr>
        <w:t xml:space="preserve"> </w:t>
      </w:r>
      <w:r w:rsidR="00AF3906" w:rsidRPr="003A643C">
        <w:rPr>
          <w:sz w:val="22"/>
          <w:szCs w:val="22"/>
        </w:rPr>
        <w:t>mil. EUR. Schválen</w:t>
      </w:r>
      <w:r w:rsidR="008D20A8" w:rsidRPr="003A643C">
        <w:rPr>
          <w:sz w:val="22"/>
          <w:szCs w:val="22"/>
        </w:rPr>
        <w:t>o</w:t>
      </w:r>
      <w:r w:rsidR="00AF3906" w:rsidRPr="003A643C">
        <w:rPr>
          <w:sz w:val="22"/>
          <w:szCs w:val="22"/>
        </w:rPr>
        <w:t xml:space="preserve"> byl</w:t>
      </w:r>
      <w:r w:rsidR="008D20A8" w:rsidRPr="003A643C">
        <w:rPr>
          <w:sz w:val="22"/>
          <w:szCs w:val="22"/>
        </w:rPr>
        <w:t>o</w:t>
      </w:r>
      <w:r w:rsidR="00AF3906" w:rsidRPr="003A643C">
        <w:rPr>
          <w:sz w:val="22"/>
          <w:szCs w:val="22"/>
        </w:rPr>
        <w:t xml:space="preserve"> </w:t>
      </w:r>
      <w:r w:rsidR="00D437FF" w:rsidRPr="003A643C">
        <w:rPr>
          <w:sz w:val="22"/>
          <w:szCs w:val="22"/>
        </w:rPr>
        <w:t>1</w:t>
      </w:r>
      <w:r w:rsidR="001F0945">
        <w:rPr>
          <w:sz w:val="22"/>
          <w:szCs w:val="22"/>
        </w:rPr>
        <w:t xml:space="preserve"> </w:t>
      </w:r>
      <w:r w:rsidR="009D6A39" w:rsidRPr="003A643C">
        <w:rPr>
          <w:sz w:val="22"/>
          <w:szCs w:val="22"/>
        </w:rPr>
        <w:t xml:space="preserve">654 </w:t>
      </w:r>
      <w:r w:rsidR="00896456" w:rsidRPr="003A643C">
        <w:rPr>
          <w:sz w:val="22"/>
          <w:szCs w:val="22"/>
        </w:rPr>
        <w:t>projekt</w:t>
      </w:r>
      <w:r w:rsidR="005F6671" w:rsidRPr="003A643C">
        <w:rPr>
          <w:sz w:val="22"/>
          <w:szCs w:val="22"/>
        </w:rPr>
        <w:t>ů</w:t>
      </w:r>
      <w:r w:rsidR="00AF3906" w:rsidRPr="003A643C">
        <w:rPr>
          <w:sz w:val="22"/>
          <w:szCs w:val="22"/>
        </w:rPr>
        <w:t xml:space="preserve"> ve výši </w:t>
      </w:r>
      <w:r w:rsidR="003A643C" w:rsidRPr="003A643C">
        <w:rPr>
          <w:sz w:val="22"/>
          <w:szCs w:val="22"/>
        </w:rPr>
        <w:t>292,66</w:t>
      </w:r>
      <w:r w:rsidR="00AF3906" w:rsidRPr="003A643C">
        <w:rPr>
          <w:sz w:val="22"/>
          <w:szCs w:val="22"/>
        </w:rPr>
        <w:t xml:space="preserve"> mil. EUR. Alokovaná částka všech výzev, probíha</w:t>
      </w:r>
      <w:r w:rsidR="00170BF6">
        <w:rPr>
          <w:sz w:val="22"/>
          <w:szCs w:val="22"/>
        </w:rPr>
        <w:t>jících</w:t>
      </w:r>
      <w:r w:rsidR="00AF3906" w:rsidRPr="003A643C">
        <w:rPr>
          <w:sz w:val="22"/>
          <w:szCs w:val="22"/>
        </w:rPr>
        <w:t xml:space="preserve"> ve sledovaném období, činí </w:t>
      </w:r>
      <w:r w:rsidR="001F0945" w:rsidRPr="003A643C">
        <w:rPr>
          <w:sz w:val="22"/>
          <w:szCs w:val="22"/>
        </w:rPr>
        <w:t>294,57 mil.</w:t>
      </w:r>
      <w:r w:rsidR="00AF3906" w:rsidRPr="003A643C">
        <w:rPr>
          <w:sz w:val="22"/>
          <w:szCs w:val="22"/>
        </w:rPr>
        <w:t xml:space="preserve"> EUR.</w:t>
      </w:r>
      <w:r w:rsidR="00A02AFD" w:rsidRPr="003A643C">
        <w:rPr>
          <w:b/>
          <w:sz w:val="22"/>
          <w:szCs w:val="22"/>
        </w:rPr>
        <w:t xml:space="preserve"> </w:t>
      </w:r>
      <w:r w:rsidR="00A02AFD" w:rsidRPr="003A643C">
        <w:rPr>
          <w:sz w:val="22"/>
          <w:szCs w:val="22"/>
        </w:rPr>
        <w:t>Podrobné informace k</w:t>
      </w:r>
      <w:r w:rsidR="008D20A8" w:rsidRPr="003A643C">
        <w:rPr>
          <w:sz w:val="22"/>
          <w:szCs w:val="22"/>
        </w:rPr>
        <w:t> </w:t>
      </w:r>
      <w:r w:rsidR="00A02AFD" w:rsidRPr="003A643C">
        <w:rPr>
          <w:sz w:val="22"/>
          <w:szCs w:val="22"/>
        </w:rPr>
        <w:t>výzvám</w:t>
      </w:r>
      <w:r w:rsidR="008D20A8" w:rsidRPr="003A643C">
        <w:rPr>
          <w:sz w:val="22"/>
          <w:szCs w:val="22"/>
        </w:rPr>
        <w:t xml:space="preserve"> v jednotlivých prioritních osách</w:t>
      </w:r>
      <w:r w:rsidR="00A02AFD" w:rsidRPr="003A643C">
        <w:rPr>
          <w:sz w:val="22"/>
          <w:szCs w:val="22"/>
        </w:rPr>
        <w:t xml:space="preserve"> uv</w:t>
      </w:r>
      <w:r w:rsidR="008D20A8" w:rsidRPr="003A643C">
        <w:rPr>
          <w:sz w:val="22"/>
          <w:szCs w:val="22"/>
        </w:rPr>
        <w:t>á</w:t>
      </w:r>
      <w:r w:rsidR="00A02AFD" w:rsidRPr="003A643C">
        <w:rPr>
          <w:sz w:val="22"/>
          <w:szCs w:val="22"/>
        </w:rPr>
        <w:t>d</w:t>
      </w:r>
      <w:r w:rsidR="008D20A8" w:rsidRPr="003A643C">
        <w:rPr>
          <w:sz w:val="22"/>
          <w:szCs w:val="22"/>
        </w:rPr>
        <w:t>í</w:t>
      </w:r>
      <w:r w:rsidR="00A02AFD" w:rsidRPr="003A643C">
        <w:rPr>
          <w:sz w:val="22"/>
          <w:szCs w:val="22"/>
        </w:rPr>
        <w:t xml:space="preserve"> kapitol</w:t>
      </w:r>
      <w:r w:rsidR="008D20A8" w:rsidRPr="003A643C">
        <w:rPr>
          <w:sz w:val="22"/>
          <w:szCs w:val="22"/>
        </w:rPr>
        <w:t>a</w:t>
      </w:r>
      <w:r w:rsidR="00A02AFD" w:rsidRPr="003A643C">
        <w:rPr>
          <w:sz w:val="22"/>
          <w:szCs w:val="22"/>
        </w:rPr>
        <w:t xml:space="preserve"> 3</w:t>
      </w:r>
      <w:r w:rsidR="00DC6805" w:rsidRPr="003A643C">
        <w:rPr>
          <w:sz w:val="22"/>
          <w:szCs w:val="22"/>
        </w:rPr>
        <w:t>.</w:t>
      </w:r>
    </w:p>
    <w:p w:rsidR="00DC6805" w:rsidRPr="00AF3906" w:rsidRDefault="00DC6805" w:rsidP="00AF3906">
      <w:pPr>
        <w:jc w:val="both"/>
        <w:rPr>
          <w:sz w:val="22"/>
          <w:szCs w:val="22"/>
          <w:highlight w:val="yellow"/>
        </w:rPr>
      </w:pPr>
    </w:p>
    <w:p w:rsidR="00A02AFD" w:rsidRDefault="00A02AFD" w:rsidP="00A02AFD">
      <w:pPr>
        <w:pStyle w:val="Tabulkanzev"/>
        <w:rPr>
          <w:b w:val="0"/>
        </w:rPr>
      </w:pPr>
      <w:bookmarkStart w:id="22" w:name="_Toc433873543"/>
      <w:r w:rsidRPr="00B36FBC">
        <w:rPr>
          <w:rStyle w:val="Siln"/>
        </w:rPr>
        <w:t xml:space="preserve">Přehled výzev probíhajících v období </w:t>
      </w:r>
      <w:r w:rsidRPr="00F630D9">
        <w:rPr>
          <w:b w:val="0"/>
        </w:rPr>
        <w:t xml:space="preserve">od </w:t>
      </w:r>
      <w:r w:rsidR="00B618C5" w:rsidRPr="00F630D9">
        <w:rPr>
          <w:b w:val="0"/>
        </w:rPr>
        <w:t>1</w:t>
      </w:r>
      <w:r w:rsidR="0015783A">
        <w:rPr>
          <w:b w:val="0"/>
        </w:rPr>
        <w:t>7</w:t>
      </w:r>
      <w:r w:rsidR="00B618C5" w:rsidRPr="00F630D9">
        <w:rPr>
          <w:b w:val="0"/>
        </w:rPr>
        <w:t>.</w:t>
      </w:r>
      <w:r w:rsidR="00B618C5">
        <w:rPr>
          <w:b w:val="0"/>
        </w:rPr>
        <w:t xml:space="preserve"> </w:t>
      </w:r>
      <w:r w:rsidR="0015783A">
        <w:rPr>
          <w:b w:val="0"/>
        </w:rPr>
        <w:t>4</w:t>
      </w:r>
      <w:r w:rsidR="00B618C5">
        <w:rPr>
          <w:b w:val="0"/>
        </w:rPr>
        <w:t>. 201</w:t>
      </w:r>
      <w:r w:rsidR="0015783A">
        <w:rPr>
          <w:b w:val="0"/>
        </w:rPr>
        <w:t>5</w:t>
      </w:r>
      <w:r w:rsidRPr="00F630D9">
        <w:rPr>
          <w:b w:val="0"/>
        </w:rPr>
        <w:t xml:space="preserve"> do </w:t>
      </w:r>
      <w:r w:rsidR="0015783A">
        <w:rPr>
          <w:b w:val="0"/>
        </w:rPr>
        <w:t>30. 9. 2015</w:t>
      </w:r>
      <w:bookmarkEnd w:id="22"/>
    </w:p>
    <w:tbl>
      <w:tblPr>
        <w:tblW w:w="8980" w:type="dxa"/>
        <w:tblInd w:w="47" w:type="dxa"/>
        <w:tblBorders>
          <w:top w:val="double" w:sz="6" w:space="0" w:color="1F497D" w:themeColor="text2"/>
          <w:left w:val="double" w:sz="6" w:space="0" w:color="1F497D" w:themeColor="text2"/>
          <w:bottom w:val="double" w:sz="6" w:space="0" w:color="1F497D" w:themeColor="text2"/>
          <w:right w:val="double" w:sz="6" w:space="0" w:color="1F497D" w:themeColor="text2"/>
          <w:insideH w:val="single" w:sz="4" w:space="0" w:color="1F497D" w:themeColor="text2"/>
          <w:insideV w:val="single" w:sz="4" w:space="0" w:color="1F497D" w:themeColor="text2"/>
        </w:tblBorders>
        <w:tblCellMar>
          <w:left w:w="70" w:type="dxa"/>
          <w:right w:w="70" w:type="dxa"/>
        </w:tblCellMar>
        <w:tblLook w:val="04A0" w:firstRow="1" w:lastRow="0" w:firstColumn="1" w:lastColumn="0" w:noHBand="0" w:noVBand="1"/>
      </w:tblPr>
      <w:tblGrid>
        <w:gridCol w:w="676"/>
        <w:gridCol w:w="613"/>
        <w:gridCol w:w="1047"/>
        <w:gridCol w:w="860"/>
        <w:gridCol w:w="918"/>
        <w:gridCol w:w="484"/>
        <w:gridCol w:w="1049"/>
        <w:gridCol w:w="505"/>
        <w:gridCol w:w="1032"/>
        <w:gridCol w:w="623"/>
        <w:gridCol w:w="1314"/>
      </w:tblGrid>
      <w:tr w:rsidR="00B5592E" w:rsidRPr="00B5592E" w:rsidTr="00B5592E">
        <w:trPr>
          <w:trHeight w:val="315"/>
        </w:trPr>
        <w:tc>
          <w:tcPr>
            <w:tcW w:w="676" w:type="dxa"/>
            <w:vMerge w:val="restart"/>
            <w:shd w:val="clear" w:color="000000" w:fill="B8CCE4"/>
            <w:vAlign w:val="center"/>
            <w:hideMark/>
          </w:tcPr>
          <w:p w:rsidR="00B5592E" w:rsidRPr="00B5592E" w:rsidRDefault="00B5592E" w:rsidP="00B5592E">
            <w:pPr>
              <w:jc w:val="center"/>
              <w:rPr>
                <w:b/>
                <w:bCs/>
                <w:color w:val="000000"/>
                <w:sz w:val="16"/>
                <w:szCs w:val="16"/>
              </w:rPr>
            </w:pPr>
            <w:r w:rsidRPr="00B5592E">
              <w:rPr>
                <w:b/>
                <w:bCs/>
                <w:color w:val="000000"/>
                <w:sz w:val="16"/>
                <w:szCs w:val="16"/>
              </w:rPr>
              <w:t>Pořadí výzvy</w:t>
            </w:r>
          </w:p>
        </w:tc>
        <w:tc>
          <w:tcPr>
            <w:tcW w:w="613" w:type="dxa"/>
            <w:vMerge w:val="restart"/>
            <w:shd w:val="clear" w:color="000000" w:fill="B8CCE4"/>
            <w:vAlign w:val="center"/>
            <w:hideMark/>
          </w:tcPr>
          <w:p w:rsidR="00B5592E" w:rsidRPr="00B5592E" w:rsidRDefault="00B5592E" w:rsidP="00B5592E">
            <w:pPr>
              <w:jc w:val="center"/>
              <w:rPr>
                <w:b/>
                <w:bCs/>
                <w:color w:val="000000"/>
                <w:sz w:val="16"/>
                <w:szCs w:val="16"/>
              </w:rPr>
            </w:pPr>
            <w:r w:rsidRPr="00B5592E">
              <w:rPr>
                <w:b/>
                <w:bCs/>
                <w:color w:val="000000"/>
                <w:sz w:val="16"/>
                <w:szCs w:val="16"/>
              </w:rPr>
              <w:t>Číslo výzvy</w:t>
            </w:r>
          </w:p>
        </w:tc>
        <w:tc>
          <w:tcPr>
            <w:tcW w:w="1891" w:type="dxa"/>
            <w:gridSpan w:val="2"/>
            <w:vMerge w:val="restart"/>
            <w:shd w:val="clear" w:color="000000" w:fill="B8CCE4"/>
            <w:vAlign w:val="center"/>
            <w:hideMark/>
          </w:tcPr>
          <w:p w:rsidR="00B5592E" w:rsidRPr="00B5592E" w:rsidRDefault="00B5592E" w:rsidP="00B5592E">
            <w:pPr>
              <w:jc w:val="center"/>
              <w:rPr>
                <w:b/>
                <w:bCs/>
                <w:color w:val="000000"/>
                <w:sz w:val="16"/>
                <w:szCs w:val="16"/>
              </w:rPr>
            </w:pPr>
            <w:r w:rsidRPr="00B5592E">
              <w:rPr>
                <w:b/>
                <w:bCs/>
                <w:color w:val="000000"/>
                <w:sz w:val="16"/>
                <w:szCs w:val="16"/>
              </w:rPr>
              <w:t>Podání projektových žádostí</w:t>
            </w:r>
          </w:p>
        </w:tc>
        <w:tc>
          <w:tcPr>
            <w:tcW w:w="918" w:type="dxa"/>
            <w:vMerge w:val="restart"/>
            <w:shd w:val="clear" w:color="000000" w:fill="B8CCE4"/>
            <w:vAlign w:val="center"/>
            <w:hideMark/>
          </w:tcPr>
          <w:p w:rsidR="00B5592E" w:rsidRPr="00B5592E" w:rsidRDefault="00B5592E" w:rsidP="00B5592E">
            <w:pPr>
              <w:jc w:val="center"/>
              <w:rPr>
                <w:b/>
                <w:bCs/>
                <w:color w:val="000000"/>
                <w:sz w:val="16"/>
                <w:szCs w:val="16"/>
              </w:rPr>
            </w:pPr>
            <w:r w:rsidRPr="00B5592E">
              <w:rPr>
                <w:b/>
                <w:bCs/>
                <w:color w:val="000000"/>
                <w:sz w:val="16"/>
                <w:szCs w:val="16"/>
              </w:rPr>
              <w:t>Druh výzvy</w:t>
            </w:r>
          </w:p>
        </w:tc>
        <w:tc>
          <w:tcPr>
            <w:tcW w:w="484" w:type="dxa"/>
            <w:vMerge w:val="restart"/>
            <w:shd w:val="clear" w:color="000000" w:fill="B8CCE4"/>
            <w:vAlign w:val="center"/>
            <w:hideMark/>
          </w:tcPr>
          <w:p w:rsidR="00B5592E" w:rsidRPr="00B5592E" w:rsidRDefault="00B5592E" w:rsidP="00B5592E">
            <w:pPr>
              <w:jc w:val="center"/>
              <w:rPr>
                <w:b/>
                <w:bCs/>
                <w:color w:val="000000"/>
                <w:sz w:val="16"/>
                <w:szCs w:val="16"/>
              </w:rPr>
            </w:pPr>
            <w:r w:rsidRPr="00B5592E">
              <w:rPr>
                <w:b/>
                <w:bCs/>
                <w:color w:val="000000"/>
                <w:sz w:val="16"/>
                <w:szCs w:val="16"/>
              </w:rPr>
              <w:t>OI</w:t>
            </w:r>
          </w:p>
        </w:tc>
        <w:tc>
          <w:tcPr>
            <w:tcW w:w="1049" w:type="dxa"/>
            <w:vMerge w:val="restart"/>
            <w:shd w:val="clear" w:color="000000" w:fill="B8CCE4"/>
            <w:vAlign w:val="center"/>
            <w:hideMark/>
          </w:tcPr>
          <w:p w:rsidR="00B5592E" w:rsidRPr="00B5592E" w:rsidRDefault="00B5592E" w:rsidP="00B5592E">
            <w:pPr>
              <w:jc w:val="center"/>
              <w:rPr>
                <w:b/>
                <w:bCs/>
                <w:color w:val="000000"/>
                <w:sz w:val="16"/>
                <w:szCs w:val="16"/>
              </w:rPr>
            </w:pPr>
            <w:r w:rsidRPr="00B5592E">
              <w:rPr>
                <w:b/>
                <w:bCs/>
                <w:color w:val="000000"/>
                <w:sz w:val="16"/>
                <w:szCs w:val="16"/>
              </w:rPr>
              <w:t>Alokace na výzvu</w:t>
            </w:r>
          </w:p>
        </w:tc>
        <w:tc>
          <w:tcPr>
            <w:tcW w:w="1519" w:type="dxa"/>
            <w:gridSpan w:val="2"/>
            <w:vMerge w:val="restart"/>
            <w:shd w:val="clear" w:color="000000" w:fill="B8CCE4"/>
            <w:vAlign w:val="center"/>
            <w:hideMark/>
          </w:tcPr>
          <w:p w:rsidR="00B5592E" w:rsidRPr="00B5592E" w:rsidRDefault="00B5592E" w:rsidP="00B5592E">
            <w:pPr>
              <w:jc w:val="center"/>
              <w:rPr>
                <w:b/>
                <w:bCs/>
                <w:color w:val="000000"/>
                <w:sz w:val="16"/>
                <w:szCs w:val="16"/>
              </w:rPr>
            </w:pPr>
            <w:r w:rsidRPr="00B5592E">
              <w:rPr>
                <w:b/>
                <w:bCs/>
                <w:color w:val="000000"/>
                <w:sz w:val="16"/>
                <w:szCs w:val="16"/>
              </w:rPr>
              <w:t>Předložené žádosti o podporu</w:t>
            </w:r>
          </w:p>
        </w:tc>
        <w:tc>
          <w:tcPr>
            <w:tcW w:w="1830" w:type="dxa"/>
            <w:gridSpan w:val="2"/>
            <w:vMerge w:val="restart"/>
            <w:shd w:val="clear" w:color="000000" w:fill="B8CCE4"/>
            <w:vAlign w:val="center"/>
            <w:hideMark/>
          </w:tcPr>
          <w:p w:rsidR="00B5592E" w:rsidRPr="00B5592E" w:rsidRDefault="00B5592E" w:rsidP="00B5592E">
            <w:pPr>
              <w:jc w:val="center"/>
              <w:rPr>
                <w:b/>
                <w:bCs/>
                <w:color w:val="000000"/>
                <w:sz w:val="16"/>
                <w:szCs w:val="16"/>
              </w:rPr>
            </w:pPr>
            <w:r w:rsidRPr="00B5592E">
              <w:rPr>
                <w:b/>
                <w:bCs/>
                <w:color w:val="000000"/>
                <w:sz w:val="16"/>
                <w:szCs w:val="16"/>
              </w:rPr>
              <w:t>Projekty s vydaným Rozhodnutím/podepsanou Smlouvou</w:t>
            </w:r>
          </w:p>
        </w:tc>
      </w:tr>
      <w:tr w:rsidR="00B5592E" w:rsidRPr="00B5592E" w:rsidTr="00B5592E">
        <w:trPr>
          <w:trHeight w:val="315"/>
        </w:trPr>
        <w:tc>
          <w:tcPr>
            <w:tcW w:w="676" w:type="dxa"/>
            <w:vMerge/>
            <w:vAlign w:val="center"/>
            <w:hideMark/>
          </w:tcPr>
          <w:p w:rsidR="00B5592E" w:rsidRPr="00B5592E" w:rsidRDefault="00B5592E" w:rsidP="00B5592E">
            <w:pPr>
              <w:rPr>
                <w:b/>
                <w:bCs/>
                <w:color w:val="000000"/>
                <w:sz w:val="16"/>
                <w:szCs w:val="16"/>
              </w:rPr>
            </w:pPr>
          </w:p>
        </w:tc>
        <w:tc>
          <w:tcPr>
            <w:tcW w:w="613" w:type="dxa"/>
            <w:vMerge/>
            <w:vAlign w:val="center"/>
            <w:hideMark/>
          </w:tcPr>
          <w:p w:rsidR="00B5592E" w:rsidRPr="00B5592E" w:rsidRDefault="00B5592E" w:rsidP="00B5592E">
            <w:pPr>
              <w:rPr>
                <w:b/>
                <w:bCs/>
                <w:color w:val="000000"/>
                <w:sz w:val="16"/>
                <w:szCs w:val="16"/>
              </w:rPr>
            </w:pPr>
          </w:p>
        </w:tc>
        <w:tc>
          <w:tcPr>
            <w:tcW w:w="1891" w:type="dxa"/>
            <w:gridSpan w:val="2"/>
            <w:vMerge/>
            <w:vAlign w:val="center"/>
            <w:hideMark/>
          </w:tcPr>
          <w:p w:rsidR="00B5592E" w:rsidRPr="00B5592E" w:rsidRDefault="00B5592E" w:rsidP="00B5592E">
            <w:pPr>
              <w:rPr>
                <w:b/>
                <w:bCs/>
                <w:color w:val="000000"/>
                <w:sz w:val="16"/>
                <w:szCs w:val="16"/>
              </w:rPr>
            </w:pPr>
          </w:p>
        </w:tc>
        <w:tc>
          <w:tcPr>
            <w:tcW w:w="918" w:type="dxa"/>
            <w:vMerge/>
            <w:vAlign w:val="center"/>
            <w:hideMark/>
          </w:tcPr>
          <w:p w:rsidR="00B5592E" w:rsidRPr="00B5592E" w:rsidRDefault="00B5592E" w:rsidP="00B5592E">
            <w:pPr>
              <w:rPr>
                <w:b/>
                <w:bCs/>
                <w:color w:val="000000"/>
                <w:sz w:val="16"/>
                <w:szCs w:val="16"/>
              </w:rPr>
            </w:pPr>
          </w:p>
        </w:tc>
        <w:tc>
          <w:tcPr>
            <w:tcW w:w="484" w:type="dxa"/>
            <w:vMerge/>
            <w:vAlign w:val="center"/>
            <w:hideMark/>
          </w:tcPr>
          <w:p w:rsidR="00B5592E" w:rsidRPr="00B5592E" w:rsidRDefault="00B5592E" w:rsidP="00B5592E">
            <w:pPr>
              <w:rPr>
                <w:b/>
                <w:bCs/>
                <w:color w:val="000000"/>
                <w:sz w:val="16"/>
                <w:szCs w:val="16"/>
              </w:rPr>
            </w:pPr>
          </w:p>
        </w:tc>
        <w:tc>
          <w:tcPr>
            <w:tcW w:w="1049" w:type="dxa"/>
            <w:vMerge/>
            <w:vAlign w:val="center"/>
            <w:hideMark/>
          </w:tcPr>
          <w:p w:rsidR="00B5592E" w:rsidRPr="00B5592E" w:rsidRDefault="00B5592E" w:rsidP="00B5592E">
            <w:pPr>
              <w:rPr>
                <w:b/>
                <w:bCs/>
                <w:color w:val="000000"/>
                <w:sz w:val="16"/>
                <w:szCs w:val="16"/>
              </w:rPr>
            </w:pPr>
          </w:p>
        </w:tc>
        <w:tc>
          <w:tcPr>
            <w:tcW w:w="1519" w:type="dxa"/>
            <w:gridSpan w:val="2"/>
            <w:vMerge/>
            <w:vAlign w:val="center"/>
            <w:hideMark/>
          </w:tcPr>
          <w:p w:rsidR="00B5592E" w:rsidRPr="00B5592E" w:rsidRDefault="00B5592E" w:rsidP="00B5592E">
            <w:pPr>
              <w:rPr>
                <w:b/>
                <w:bCs/>
                <w:color w:val="000000"/>
                <w:sz w:val="16"/>
                <w:szCs w:val="16"/>
              </w:rPr>
            </w:pPr>
          </w:p>
        </w:tc>
        <w:tc>
          <w:tcPr>
            <w:tcW w:w="1830" w:type="dxa"/>
            <w:gridSpan w:val="2"/>
            <w:vMerge/>
            <w:vAlign w:val="center"/>
            <w:hideMark/>
          </w:tcPr>
          <w:p w:rsidR="00B5592E" w:rsidRPr="00B5592E" w:rsidRDefault="00B5592E" w:rsidP="00B5592E">
            <w:pPr>
              <w:rPr>
                <w:b/>
                <w:bCs/>
                <w:color w:val="000000"/>
                <w:sz w:val="16"/>
                <w:szCs w:val="16"/>
              </w:rPr>
            </w:pPr>
          </w:p>
        </w:tc>
      </w:tr>
      <w:tr w:rsidR="00B5592E" w:rsidRPr="00B5592E" w:rsidTr="00B5592E">
        <w:trPr>
          <w:trHeight w:val="1065"/>
        </w:trPr>
        <w:tc>
          <w:tcPr>
            <w:tcW w:w="676" w:type="dxa"/>
            <w:vMerge/>
            <w:vAlign w:val="center"/>
            <w:hideMark/>
          </w:tcPr>
          <w:p w:rsidR="00B5592E" w:rsidRPr="00B5592E" w:rsidRDefault="00B5592E" w:rsidP="00B5592E">
            <w:pPr>
              <w:rPr>
                <w:b/>
                <w:bCs/>
                <w:color w:val="000000"/>
                <w:sz w:val="16"/>
                <w:szCs w:val="16"/>
              </w:rPr>
            </w:pPr>
          </w:p>
        </w:tc>
        <w:tc>
          <w:tcPr>
            <w:tcW w:w="613" w:type="dxa"/>
            <w:vMerge/>
            <w:vAlign w:val="center"/>
            <w:hideMark/>
          </w:tcPr>
          <w:p w:rsidR="00B5592E" w:rsidRPr="00B5592E" w:rsidRDefault="00B5592E" w:rsidP="00B5592E">
            <w:pPr>
              <w:rPr>
                <w:b/>
                <w:bCs/>
                <w:color w:val="000000"/>
                <w:sz w:val="16"/>
                <w:szCs w:val="16"/>
              </w:rPr>
            </w:pPr>
          </w:p>
        </w:tc>
        <w:tc>
          <w:tcPr>
            <w:tcW w:w="957" w:type="dxa"/>
            <w:shd w:val="clear" w:color="000000" w:fill="B8CCE4"/>
            <w:vAlign w:val="center"/>
            <w:hideMark/>
          </w:tcPr>
          <w:p w:rsidR="00B5592E" w:rsidRPr="00B5592E" w:rsidRDefault="00B5592E" w:rsidP="00B5592E">
            <w:pPr>
              <w:jc w:val="center"/>
              <w:rPr>
                <w:b/>
                <w:bCs/>
                <w:color w:val="000000"/>
                <w:sz w:val="16"/>
                <w:szCs w:val="16"/>
              </w:rPr>
            </w:pPr>
            <w:r w:rsidRPr="00B5592E">
              <w:rPr>
                <w:b/>
                <w:bCs/>
                <w:color w:val="000000"/>
                <w:sz w:val="16"/>
                <w:szCs w:val="16"/>
              </w:rPr>
              <w:t>Datum zahájení příjmu projektových žádostí</w:t>
            </w:r>
          </w:p>
        </w:tc>
        <w:tc>
          <w:tcPr>
            <w:tcW w:w="934" w:type="dxa"/>
            <w:shd w:val="clear" w:color="000000" w:fill="B8CCE4"/>
            <w:vAlign w:val="center"/>
            <w:hideMark/>
          </w:tcPr>
          <w:p w:rsidR="00B5592E" w:rsidRPr="00B5592E" w:rsidRDefault="00B5592E" w:rsidP="00B5592E">
            <w:pPr>
              <w:jc w:val="center"/>
              <w:rPr>
                <w:b/>
                <w:bCs/>
                <w:color w:val="000000"/>
                <w:sz w:val="16"/>
                <w:szCs w:val="16"/>
              </w:rPr>
            </w:pPr>
            <w:r w:rsidRPr="00B5592E">
              <w:rPr>
                <w:b/>
                <w:bCs/>
                <w:color w:val="000000"/>
                <w:sz w:val="16"/>
                <w:szCs w:val="16"/>
              </w:rPr>
              <w:t>Datum ukončení výzvy</w:t>
            </w:r>
          </w:p>
        </w:tc>
        <w:tc>
          <w:tcPr>
            <w:tcW w:w="918" w:type="dxa"/>
            <w:vMerge/>
            <w:vAlign w:val="center"/>
            <w:hideMark/>
          </w:tcPr>
          <w:p w:rsidR="00B5592E" w:rsidRPr="00B5592E" w:rsidRDefault="00B5592E" w:rsidP="00B5592E">
            <w:pPr>
              <w:rPr>
                <w:b/>
                <w:bCs/>
                <w:color w:val="000000"/>
                <w:sz w:val="16"/>
                <w:szCs w:val="16"/>
              </w:rPr>
            </w:pPr>
          </w:p>
        </w:tc>
        <w:tc>
          <w:tcPr>
            <w:tcW w:w="484" w:type="dxa"/>
            <w:vMerge/>
            <w:vAlign w:val="center"/>
            <w:hideMark/>
          </w:tcPr>
          <w:p w:rsidR="00B5592E" w:rsidRPr="00B5592E" w:rsidRDefault="00B5592E" w:rsidP="00B5592E">
            <w:pPr>
              <w:rPr>
                <w:b/>
                <w:bCs/>
                <w:color w:val="000000"/>
                <w:sz w:val="16"/>
                <w:szCs w:val="16"/>
              </w:rPr>
            </w:pPr>
          </w:p>
        </w:tc>
        <w:tc>
          <w:tcPr>
            <w:tcW w:w="1049" w:type="dxa"/>
            <w:shd w:val="clear" w:color="000000" w:fill="B8CCE4"/>
            <w:vAlign w:val="center"/>
            <w:hideMark/>
          </w:tcPr>
          <w:p w:rsidR="00B5592E" w:rsidRPr="00B5592E" w:rsidRDefault="00B5592E" w:rsidP="00B5592E">
            <w:pPr>
              <w:jc w:val="center"/>
              <w:rPr>
                <w:b/>
                <w:bCs/>
                <w:color w:val="000000"/>
                <w:sz w:val="16"/>
                <w:szCs w:val="16"/>
              </w:rPr>
            </w:pPr>
            <w:r w:rsidRPr="00B5592E">
              <w:rPr>
                <w:b/>
                <w:bCs/>
                <w:color w:val="000000"/>
                <w:sz w:val="16"/>
                <w:szCs w:val="16"/>
              </w:rPr>
              <w:t xml:space="preserve">v </w:t>
            </w:r>
            <w:proofErr w:type="gramStart"/>
            <w:r w:rsidRPr="00B5592E">
              <w:rPr>
                <w:b/>
                <w:bCs/>
                <w:color w:val="000000"/>
                <w:sz w:val="16"/>
                <w:szCs w:val="16"/>
              </w:rPr>
              <w:t>EUR</w:t>
            </w:r>
            <w:proofErr w:type="gramEnd"/>
          </w:p>
        </w:tc>
        <w:tc>
          <w:tcPr>
            <w:tcW w:w="487" w:type="dxa"/>
            <w:shd w:val="clear" w:color="000000" w:fill="B8CCE4"/>
            <w:vAlign w:val="center"/>
            <w:hideMark/>
          </w:tcPr>
          <w:p w:rsidR="00B5592E" w:rsidRPr="00B5592E" w:rsidRDefault="00B5592E" w:rsidP="00B5592E">
            <w:pPr>
              <w:jc w:val="center"/>
              <w:rPr>
                <w:b/>
                <w:bCs/>
                <w:color w:val="000000"/>
                <w:sz w:val="16"/>
                <w:szCs w:val="16"/>
              </w:rPr>
            </w:pPr>
            <w:r w:rsidRPr="00B5592E">
              <w:rPr>
                <w:b/>
                <w:bCs/>
                <w:color w:val="000000"/>
                <w:sz w:val="16"/>
                <w:szCs w:val="16"/>
              </w:rPr>
              <w:t>počet</w:t>
            </w:r>
          </w:p>
        </w:tc>
        <w:tc>
          <w:tcPr>
            <w:tcW w:w="1032" w:type="dxa"/>
            <w:shd w:val="clear" w:color="000000" w:fill="B8CCE4"/>
            <w:vAlign w:val="center"/>
            <w:hideMark/>
          </w:tcPr>
          <w:p w:rsidR="00B5592E" w:rsidRPr="00B5592E" w:rsidRDefault="00B5592E" w:rsidP="00B5592E">
            <w:pPr>
              <w:jc w:val="center"/>
              <w:rPr>
                <w:b/>
                <w:bCs/>
                <w:color w:val="000000"/>
                <w:sz w:val="16"/>
                <w:szCs w:val="16"/>
              </w:rPr>
            </w:pPr>
            <w:r w:rsidRPr="00B5592E">
              <w:rPr>
                <w:b/>
                <w:bCs/>
                <w:color w:val="000000"/>
                <w:sz w:val="16"/>
                <w:szCs w:val="16"/>
              </w:rPr>
              <w:t xml:space="preserve">v </w:t>
            </w:r>
            <w:proofErr w:type="gramStart"/>
            <w:r w:rsidRPr="00B5592E">
              <w:rPr>
                <w:b/>
                <w:bCs/>
                <w:color w:val="000000"/>
                <w:sz w:val="16"/>
                <w:szCs w:val="16"/>
              </w:rPr>
              <w:t>EUR</w:t>
            </w:r>
            <w:proofErr w:type="gramEnd"/>
          </w:p>
        </w:tc>
        <w:tc>
          <w:tcPr>
            <w:tcW w:w="589" w:type="dxa"/>
            <w:shd w:val="clear" w:color="000000" w:fill="B8CCE4"/>
            <w:noWrap/>
            <w:vAlign w:val="center"/>
            <w:hideMark/>
          </w:tcPr>
          <w:p w:rsidR="00B5592E" w:rsidRPr="00B5592E" w:rsidRDefault="00B5592E" w:rsidP="00B5592E">
            <w:pPr>
              <w:jc w:val="center"/>
              <w:rPr>
                <w:b/>
                <w:bCs/>
                <w:color w:val="000000"/>
                <w:sz w:val="16"/>
                <w:szCs w:val="16"/>
              </w:rPr>
            </w:pPr>
            <w:r w:rsidRPr="00B5592E">
              <w:rPr>
                <w:b/>
                <w:bCs/>
                <w:color w:val="000000"/>
                <w:sz w:val="16"/>
                <w:szCs w:val="16"/>
              </w:rPr>
              <w:t xml:space="preserve">počet </w:t>
            </w:r>
          </w:p>
        </w:tc>
        <w:tc>
          <w:tcPr>
            <w:tcW w:w="1241" w:type="dxa"/>
            <w:shd w:val="clear" w:color="000000" w:fill="B8CCE4"/>
            <w:noWrap/>
            <w:vAlign w:val="center"/>
            <w:hideMark/>
          </w:tcPr>
          <w:p w:rsidR="00B5592E" w:rsidRPr="00B5592E" w:rsidRDefault="00B5592E" w:rsidP="00B5592E">
            <w:pPr>
              <w:jc w:val="center"/>
              <w:rPr>
                <w:b/>
                <w:bCs/>
                <w:color w:val="000000"/>
                <w:sz w:val="16"/>
                <w:szCs w:val="16"/>
              </w:rPr>
            </w:pPr>
            <w:r w:rsidRPr="00B5592E">
              <w:rPr>
                <w:b/>
                <w:bCs/>
                <w:color w:val="000000"/>
                <w:sz w:val="16"/>
                <w:szCs w:val="16"/>
              </w:rPr>
              <w:t xml:space="preserve">v </w:t>
            </w:r>
            <w:proofErr w:type="gramStart"/>
            <w:r w:rsidRPr="00B5592E">
              <w:rPr>
                <w:b/>
                <w:bCs/>
                <w:color w:val="000000"/>
                <w:sz w:val="16"/>
                <w:szCs w:val="16"/>
              </w:rPr>
              <w:t>EUR</w:t>
            </w:r>
            <w:proofErr w:type="gramEnd"/>
          </w:p>
        </w:tc>
      </w:tr>
      <w:tr w:rsidR="00B5592E" w:rsidRPr="00B5592E" w:rsidTr="00B5592E">
        <w:trPr>
          <w:trHeight w:val="315"/>
        </w:trPr>
        <w:tc>
          <w:tcPr>
            <w:tcW w:w="676" w:type="dxa"/>
            <w:shd w:val="clear" w:color="000000" w:fill="FFFFFF"/>
            <w:noWrap/>
            <w:vAlign w:val="center"/>
            <w:hideMark/>
          </w:tcPr>
          <w:p w:rsidR="00B5592E" w:rsidRPr="00B5592E" w:rsidRDefault="00B5592E" w:rsidP="00B5592E">
            <w:pPr>
              <w:jc w:val="right"/>
              <w:rPr>
                <w:color w:val="000000"/>
                <w:sz w:val="16"/>
                <w:szCs w:val="16"/>
              </w:rPr>
            </w:pPr>
            <w:r w:rsidRPr="00B5592E">
              <w:rPr>
                <w:color w:val="000000"/>
                <w:sz w:val="16"/>
                <w:szCs w:val="16"/>
              </w:rPr>
              <w:t>44</w:t>
            </w:r>
          </w:p>
        </w:tc>
        <w:tc>
          <w:tcPr>
            <w:tcW w:w="613" w:type="dxa"/>
            <w:shd w:val="clear" w:color="000000" w:fill="FFFFFF"/>
            <w:noWrap/>
            <w:vAlign w:val="center"/>
            <w:hideMark/>
          </w:tcPr>
          <w:p w:rsidR="00B5592E" w:rsidRPr="00B5592E" w:rsidRDefault="00B5592E" w:rsidP="00B5592E">
            <w:pPr>
              <w:jc w:val="right"/>
              <w:rPr>
                <w:color w:val="000000"/>
                <w:sz w:val="16"/>
                <w:szCs w:val="16"/>
              </w:rPr>
            </w:pPr>
            <w:r w:rsidRPr="00B5592E">
              <w:rPr>
                <w:color w:val="000000"/>
                <w:sz w:val="16"/>
                <w:szCs w:val="16"/>
              </w:rPr>
              <w:t>12</w:t>
            </w:r>
          </w:p>
        </w:tc>
        <w:tc>
          <w:tcPr>
            <w:tcW w:w="957" w:type="dxa"/>
            <w:shd w:val="clear" w:color="000000" w:fill="FFFFFF"/>
            <w:vAlign w:val="center"/>
            <w:hideMark/>
          </w:tcPr>
          <w:p w:rsidR="00B5592E" w:rsidRPr="00B5592E" w:rsidRDefault="000B727D" w:rsidP="00B5592E">
            <w:pPr>
              <w:jc w:val="right"/>
              <w:rPr>
                <w:color w:val="000000"/>
                <w:sz w:val="16"/>
                <w:szCs w:val="16"/>
              </w:rPr>
            </w:pPr>
            <w:r w:rsidRPr="00B5592E">
              <w:rPr>
                <w:color w:val="000000"/>
                <w:sz w:val="16"/>
                <w:szCs w:val="16"/>
              </w:rPr>
              <w:t>7. 9. 2011</w:t>
            </w:r>
          </w:p>
        </w:tc>
        <w:tc>
          <w:tcPr>
            <w:tcW w:w="934" w:type="dxa"/>
            <w:shd w:val="clear" w:color="000000" w:fill="FFFFFF"/>
            <w:vAlign w:val="center"/>
            <w:hideMark/>
          </w:tcPr>
          <w:p w:rsidR="00B5592E" w:rsidRPr="00B5592E" w:rsidRDefault="000B727D" w:rsidP="00B5592E">
            <w:pPr>
              <w:jc w:val="right"/>
              <w:rPr>
                <w:color w:val="000000"/>
                <w:sz w:val="16"/>
                <w:szCs w:val="16"/>
              </w:rPr>
            </w:pPr>
            <w:r w:rsidRPr="00B5592E">
              <w:rPr>
                <w:color w:val="000000"/>
                <w:sz w:val="16"/>
                <w:szCs w:val="16"/>
              </w:rPr>
              <w:t>30. 4. 2015</w:t>
            </w:r>
          </w:p>
        </w:tc>
        <w:tc>
          <w:tcPr>
            <w:tcW w:w="918" w:type="dxa"/>
            <w:shd w:val="clear" w:color="000000" w:fill="FFFFFF"/>
            <w:noWrap/>
            <w:vAlign w:val="center"/>
            <w:hideMark/>
          </w:tcPr>
          <w:p w:rsidR="00B5592E" w:rsidRPr="00B5592E" w:rsidRDefault="00B5592E" w:rsidP="00B5592E">
            <w:pPr>
              <w:rPr>
                <w:color w:val="000000"/>
                <w:sz w:val="16"/>
                <w:szCs w:val="16"/>
              </w:rPr>
            </w:pPr>
            <w:r w:rsidRPr="00B5592E">
              <w:rPr>
                <w:color w:val="000000"/>
                <w:sz w:val="16"/>
                <w:szCs w:val="16"/>
              </w:rPr>
              <w:t>kontinuální</w:t>
            </w:r>
          </w:p>
        </w:tc>
        <w:tc>
          <w:tcPr>
            <w:tcW w:w="484" w:type="dxa"/>
            <w:shd w:val="clear" w:color="000000" w:fill="FFFFFF"/>
            <w:noWrap/>
            <w:vAlign w:val="center"/>
            <w:hideMark/>
          </w:tcPr>
          <w:p w:rsidR="00B5592E" w:rsidRPr="00B5592E" w:rsidRDefault="00B5592E" w:rsidP="00B5592E">
            <w:pPr>
              <w:jc w:val="center"/>
              <w:rPr>
                <w:color w:val="000000"/>
                <w:sz w:val="16"/>
                <w:szCs w:val="16"/>
              </w:rPr>
            </w:pPr>
            <w:r w:rsidRPr="00B5592E">
              <w:rPr>
                <w:color w:val="000000"/>
                <w:sz w:val="16"/>
                <w:szCs w:val="16"/>
              </w:rPr>
              <w:t>4.1</w:t>
            </w:r>
          </w:p>
        </w:tc>
        <w:tc>
          <w:tcPr>
            <w:tcW w:w="1049" w:type="dxa"/>
            <w:shd w:val="clear" w:color="000000" w:fill="FFFFFF"/>
            <w:noWrap/>
            <w:vAlign w:val="center"/>
            <w:hideMark/>
          </w:tcPr>
          <w:p w:rsidR="00B5592E" w:rsidRPr="00B5592E" w:rsidRDefault="00B5592E" w:rsidP="00B5592E">
            <w:pPr>
              <w:jc w:val="right"/>
              <w:rPr>
                <w:color w:val="000000"/>
                <w:sz w:val="16"/>
                <w:szCs w:val="16"/>
              </w:rPr>
            </w:pPr>
            <w:r w:rsidRPr="00B5592E">
              <w:rPr>
                <w:color w:val="000000"/>
                <w:sz w:val="16"/>
                <w:szCs w:val="16"/>
              </w:rPr>
              <w:t>56 037 951</w:t>
            </w:r>
          </w:p>
        </w:tc>
        <w:tc>
          <w:tcPr>
            <w:tcW w:w="487" w:type="dxa"/>
            <w:shd w:val="clear" w:color="000000" w:fill="FFFFFF"/>
            <w:noWrap/>
            <w:vAlign w:val="center"/>
            <w:hideMark/>
          </w:tcPr>
          <w:p w:rsidR="00B5592E" w:rsidRPr="00B5592E" w:rsidRDefault="00B5592E" w:rsidP="00B5592E">
            <w:pPr>
              <w:jc w:val="right"/>
              <w:rPr>
                <w:color w:val="000000"/>
                <w:sz w:val="16"/>
                <w:szCs w:val="16"/>
              </w:rPr>
            </w:pPr>
            <w:r w:rsidRPr="00B5592E">
              <w:rPr>
                <w:color w:val="000000"/>
                <w:sz w:val="16"/>
                <w:szCs w:val="16"/>
              </w:rPr>
              <w:t>31</w:t>
            </w:r>
          </w:p>
        </w:tc>
        <w:tc>
          <w:tcPr>
            <w:tcW w:w="1032" w:type="dxa"/>
            <w:shd w:val="clear" w:color="000000" w:fill="FFFFFF"/>
            <w:noWrap/>
            <w:vAlign w:val="center"/>
            <w:hideMark/>
          </w:tcPr>
          <w:p w:rsidR="00B5592E" w:rsidRPr="00B5592E" w:rsidRDefault="00B5592E" w:rsidP="00B5592E">
            <w:pPr>
              <w:jc w:val="right"/>
              <w:rPr>
                <w:color w:val="000000"/>
                <w:sz w:val="16"/>
                <w:szCs w:val="16"/>
              </w:rPr>
            </w:pPr>
            <w:r w:rsidRPr="00B5592E">
              <w:rPr>
                <w:color w:val="000000"/>
                <w:sz w:val="16"/>
                <w:szCs w:val="16"/>
              </w:rPr>
              <w:t>75 361 508</w:t>
            </w:r>
          </w:p>
        </w:tc>
        <w:tc>
          <w:tcPr>
            <w:tcW w:w="589" w:type="dxa"/>
            <w:shd w:val="clear" w:color="000000" w:fill="FFFFFF"/>
            <w:noWrap/>
            <w:vAlign w:val="center"/>
            <w:hideMark/>
          </w:tcPr>
          <w:p w:rsidR="00B5592E" w:rsidRPr="00B5592E" w:rsidRDefault="00B5592E" w:rsidP="00B5592E">
            <w:pPr>
              <w:jc w:val="right"/>
              <w:rPr>
                <w:color w:val="000000"/>
                <w:sz w:val="16"/>
                <w:szCs w:val="16"/>
              </w:rPr>
            </w:pPr>
            <w:r w:rsidRPr="00B5592E">
              <w:rPr>
                <w:color w:val="000000"/>
                <w:sz w:val="16"/>
                <w:szCs w:val="16"/>
              </w:rPr>
              <w:t>22</w:t>
            </w:r>
          </w:p>
        </w:tc>
        <w:tc>
          <w:tcPr>
            <w:tcW w:w="1241" w:type="dxa"/>
            <w:shd w:val="clear" w:color="000000" w:fill="FFFFFF"/>
            <w:noWrap/>
            <w:vAlign w:val="center"/>
            <w:hideMark/>
          </w:tcPr>
          <w:p w:rsidR="00B5592E" w:rsidRPr="00B5592E" w:rsidRDefault="00B5592E" w:rsidP="00B5592E">
            <w:pPr>
              <w:jc w:val="right"/>
              <w:rPr>
                <w:color w:val="000000"/>
                <w:sz w:val="16"/>
                <w:szCs w:val="16"/>
              </w:rPr>
            </w:pPr>
            <w:r w:rsidRPr="00B5592E">
              <w:rPr>
                <w:color w:val="000000"/>
                <w:sz w:val="16"/>
                <w:szCs w:val="16"/>
              </w:rPr>
              <w:t>51 501 721</w:t>
            </w:r>
          </w:p>
        </w:tc>
      </w:tr>
      <w:tr w:rsidR="00B5592E" w:rsidRPr="00B5592E" w:rsidTr="00B5592E">
        <w:trPr>
          <w:trHeight w:val="315"/>
        </w:trPr>
        <w:tc>
          <w:tcPr>
            <w:tcW w:w="676" w:type="dxa"/>
            <w:shd w:val="clear" w:color="000000" w:fill="FFFFFF"/>
            <w:noWrap/>
            <w:vAlign w:val="center"/>
            <w:hideMark/>
          </w:tcPr>
          <w:p w:rsidR="00B5592E" w:rsidRPr="00B5592E" w:rsidRDefault="00B5592E" w:rsidP="00B5592E">
            <w:pPr>
              <w:jc w:val="right"/>
              <w:rPr>
                <w:color w:val="000000"/>
                <w:sz w:val="16"/>
                <w:szCs w:val="16"/>
              </w:rPr>
            </w:pPr>
            <w:r w:rsidRPr="00B5592E">
              <w:rPr>
                <w:color w:val="000000"/>
                <w:sz w:val="16"/>
                <w:szCs w:val="16"/>
              </w:rPr>
              <w:t> </w:t>
            </w:r>
          </w:p>
        </w:tc>
        <w:tc>
          <w:tcPr>
            <w:tcW w:w="613" w:type="dxa"/>
            <w:shd w:val="clear" w:color="000000" w:fill="FFFFFF"/>
            <w:noWrap/>
            <w:vAlign w:val="center"/>
            <w:hideMark/>
          </w:tcPr>
          <w:p w:rsidR="00B5592E" w:rsidRPr="00B5592E" w:rsidRDefault="00B5592E" w:rsidP="00B5592E">
            <w:pPr>
              <w:jc w:val="right"/>
              <w:rPr>
                <w:color w:val="000000"/>
                <w:sz w:val="16"/>
                <w:szCs w:val="16"/>
              </w:rPr>
            </w:pPr>
            <w:r w:rsidRPr="00B5592E">
              <w:rPr>
                <w:color w:val="000000"/>
                <w:sz w:val="16"/>
                <w:szCs w:val="16"/>
              </w:rPr>
              <w:t> </w:t>
            </w:r>
          </w:p>
        </w:tc>
        <w:tc>
          <w:tcPr>
            <w:tcW w:w="957" w:type="dxa"/>
            <w:shd w:val="clear" w:color="000000" w:fill="FFFFFF"/>
            <w:vAlign w:val="center"/>
            <w:hideMark/>
          </w:tcPr>
          <w:p w:rsidR="00B5592E" w:rsidRPr="00B5592E" w:rsidRDefault="00B5592E" w:rsidP="00B5592E">
            <w:pPr>
              <w:jc w:val="right"/>
              <w:rPr>
                <w:color w:val="000000"/>
                <w:sz w:val="16"/>
                <w:szCs w:val="16"/>
              </w:rPr>
            </w:pPr>
            <w:r w:rsidRPr="00B5592E">
              <w:rPr>
                <w:color w:val="000000"/>
                <w:sz w:val="16"/>
                <w:szCs w:val="16"/>
              </w:rPr>
              <w:t> </w:t>
            </w:r>
          </w:p>
        </w:tc>
        <w:tc>
          <w:tcPr>
            <w:tcW w:w="934" w:type="dxa"/>
            <w:shd w:val="clear" w:color="000000" w:fill="FFFFFF"/>
            <w:vAlign w:val="center"/>
            <w:hideMark/>
          </w:tcPr>
          <w:p w:rsidR="00B5592E" w:rsidRPr="00B5592E" w:rsidRDefault="00B5592E" w:rsidP="00B5592E">
            <w:pPr>
              <w:jc w:val="right"/>
              <w:rPr>
                <w:color w:val="000000"/>
                <w:sz w:val="16"/>
                <w:szCs w:val="16"/>
              </w:rPr>
            </w:pPr>
            <w:r w:rsidRPr="00B5592E">
              <w:rPr>
                <w:color w:val="000000"/>
                <w:sz w:val="16"/>
                <w:szCs w:val="16"/>
              </w:rPr>
              <w:t> </w:t>
            </w:r>
          </w:p>
        </w:tc>
        <w:tc>
          <w:tcPr>
            <w:tcW w:w="918" w:type="dxa"/>
            <w:shd w:val="clear" w:color="000000" w:fill="FFFFFF"/>
            <w:noWrap/>
            <w:vAlign w:val="center"/>
            <w:hideMark/>
          </w:tcPr>
          <w:p w:rsidR="00B5592E" w:rsidRPr="00B5592E" w:rsidRDefault="00B5592E" w:rsidP="00B5592E">
            <w:pPr>
              <w:rPr>
                <w:color w:val="000000"/>
                <w:sz w:val="16"/>
                <w:szCs w:val="16"/>
              </w:rPr>
            </w:pPr>
            <w:r w:rsidRPr="00B5592E">
              <w:rPr>
                <w:color w:val="000000"/>
                <w:sz w:val="16"/>
                <w:szCs w:val="16"/>
              </w:rPr>
              <w:t> </w:t>
            </w:r>
          </w:p>
        </w:tc>
        <w:tc>
          <w:tcPr>
            <w:tcW w:w="484" w:type="dxa"/>
            <w:shd w:val="clear" w:color="000000" w:fill="FFFFFF"/>
            <w:noWrap/>
            <w:vAlign w:val="center"/>
            <w:hideMark/>
          </w:tcPr>
          <w:p w:rsidR="00B5592E" w:rsidRPr="00B5592E" w:rsidRDefault="00B5592E" w:rsidP="00B5592E">
            <w:pPr>
              <w:rPr>
                <w:color w:val="000000"/>
                <w:sz w:val="16"/>
                <w:szCs w:val="16"/>
              </w:rPr>
            </w:pPr>
            <w:r w:rsidRPr="00B5592E">
              <w:rPr>
                <w:color w:val="000000"/>
                <w:sz w:val="16"/>
                <w:szCs w:val="16"/>
              </w:rPr>
              <w:t> </w:t>
            </w:r>
          </w:p>
        </w:tc>
        <w:tc>
          <w:tcPr>
            <w:tcW w:w="1049" w:type="dxa"/>
            <w:shd w:val="clear" w:color="000000" w:fill="FFFFFF"/>
            <w:noWrap/>
            <w:vAlign w:val="center"/>
            <w:hideMark/>
          </w:tcPr>
          <w:p w:rsidR="00B5592E" w:rsidRPr="00B5592E" w:rsidRDefault="00B5592E" w:rsidP="00B5592E">
            <w:pPr>
              <w:jc w:val="right"/>
              <w:rPr>
                <w:color w:val="000000"/>
                <w:sz w:val="16"/>
                <w:szCs w:val="16"/>
              </w:rPr>
            </w:pPr>
            <w:r w:rsidRPr="00B5592E">
              <w:rPr>
                <w:color w:val="000000"/>
                <w:sz w:val="16"/>
                <w:szCs w:val="16"/>
              </w:rPr>
              <w:t>4 205 182</w:t>
            </w:r>
          </w:p>
        </w:tc>
        <w:tc>
          <w:tcPr>
            <w:tcW w:w="487" w:type="dxa"/>
            <w:shd w:val="clear" w:color="000000" w:fill="FFFFFF"/>
            <w:noWrap/>
            <w:vAlign w:val="center"/>
            <w:hideMark/>
          </w:tcPr>
          <w:p w:rsidR="00B5592E" w:rsidRPr="00B5592E" w:rsidRDefault="00B5592E" w:rsidP="00B5592E">
            <w:pPr>
              <w:jc w:val="right"/>
              <w:rPr>
                <w:color w:val="000000"/>
                <w:sz w:val="16"/>
                <w:szCs w:val="16"/>
              </w:rPr>
            </w:pPr>
            <w:r w:rsidRPr="00B5592E">
              <w:rPr>
                <w:color w:val="000000"/>
                <w:sz w:val="16"/>
                <w:szCs w:val="16"/>
              </w:rPr>
              <w:t>31</w:t>
            </w:r>
          </w:p>
        </w:tc>
        <w:tc>
          <w:tcPr>
            <w:tcW w:w="1032" w:type="dxa"/>
            <w:shd w:val="clear" w:color="000000" w:fill="FFFFFF"/>
            <w:noWrap/>
            <w:vAlign w:val="center"/>
            <w:hideMark/>
          </w:tcPr>
          <w:p w:rsidR="00B5592E" w:rsidRPr="00B5592E" w:rsidRDefault="00B5592E" w:rsidP="00B5592E">
            <w:pPr>
              <w:jc w:val="right"/>
              <w:rPr>
                <w:color w:val="000000"/>
                <w:sz w:val="16"/>
                <w:szCs w:val="16"/>
              </w:rPr>
            </w:pPr>
            <w:r w:rsidRPr="00B5592E">
              <w:rPr>
                <w:color w:val="000000"/>
                <w:sz w:val="16"/>
                <w:szCs w:val="16"/>
              </w:rPr>
              <w:t>9 669 972</w:t>
            </w:r>
          </w:p>
        </w:tc>
        <w:tc>
          <w:tcPr>
            <w:tcW w:w="589" w:type="dxa"/>
            <w:shd w:val="clear" w:color="000000" w:fill="FFFFFF"/>
            <w:noWrap/>
            <w:vAlign w:val="center"/>
            <w:hideMark/>
          </w:tcPr>
          <w:p w:rsidR="00B5592E" w:rsidRPr="00B5592E" w:rsidRDefault="00B5592E" w:rsidP="00B5592E">
            <w:pPr>
              <w:jc w:val="right"/>
              <w:rPr>
                <w:color w:val="000000"/>
                <w:sz w:val="16"/>
                <w:szCs w:val="16"/>
              </w:rPr>
            </w:pPr>
            <w:r w:rsidRPr="00B5592E">
              <w:rPr>
                <w:color w:val="000000"/>
                <w:sz w:val="16"/>
                <w:szCs w:val="16"/>
              </w:rPr>
              <w:t>22</w:t>
            </w:r>
          </w:p>
        </w:tc>
        <w:tc>
          <w:tcPr>
            <w:tcW w:w="1241" w:type="dxa"/>
            <w:shd w:val="clear" w:color="000000" w:fill="FFFFFF"/>
            <w:noWrap/>
            <w:vAlign w:val="center"/>
            <w:hideMark/>
          </w:tcPr>
          <w:p w:rsidR="00B5592E" w:rsidRPr="00B5592E" w:rsidRDefault="00B5592E" w:rsidP="00B5592E">
            <w:pPr>
              <w:jc w:val="right"/>
              <w:rPr>
                <w:color w:val="000000"/>
                <w:sz w:val="16"/>
                <w:szCs w:val="16"/>
              </w:rPr>
            </w:pPr>
            <w:r w:rsidRPr="00B5592E">
              <w:rPr>
                <w:color w:val="000000"/>
                <w:sz w:val="16"/>
                <w:szCs w:val="16"/>
              </w:rPr>
              <w:t>3 960 971</w:t>
            </w:r>
          </w:p>
        </w:tc>
      </w:tr>
      <w:tr w:rsidR="00B5592E" w:rsidRPr="00B5592E" w:rsidTr="00B5592E">
        <w:trPr>
          <w:trHeight w:val="315"/>
        </w:trPr>
        <w:tc>
          <w:tcPr>
            <w:tcW w:w="676" w:type="dxa"/>
            <w:shd w:val="clear" w:color="000000" w:fill="DCE6F1"/>
            <w:noWrap/>
            <w:vAlign w:val="center"/>
            <w:hideMark/>
          </w:tcPr>
          <w:p w:rsidR="00B5592E" w:rsidRPr="00B5592E" w:rsidRDefault="00B5592E" w:rsidP="00B5592E">
            <w:pPr>
              <w:jc w:val="right"/>
              <w:rPr>
                <w:color w:val="000000"/>
                <w:sz w:val="16"/>
                <w:szCs w:val="16"/>
              </w:rPr>
            </w:pPr>
            <w:r w:rsidRPr="00B5592E">
              <w:rPr>
                <w:color w:val="000000"/>
                <w:sz w:val="16"/>
                <w:szCs w:val="16"/>
              </w:rPr>
              <w:t> </w:t>
            </w:r>
          </w:p>
        </w:tc>
        <w:tc>
          <w:tcPr>
            <w:tcW w:w="613" w:type="dxa"/>
            <w:shd w:val="clear" w:color="000000" w:fill="DCE6F1"/>
            <w:noWrap/>
            <w:vAlign w:val="center"/>
            <w:hideMark/>
          </w:tcPr>
          <w:p w:rsidR="00B5592E" w:rsidRPr="00B5592E" w:rsidRDefault="00B5592E" w:rsidP="00B5592E">
            <w:pPr>
              <w:jc w:val="right"/>
              <w:rPr>
                <w:color w:val="000000"/>
                <w:sz w:val="16"/>
                <w:szCs w:val="16"/>
              </w:rPr>
            </w:pPr>
            <w:r w:rsidRPr="00B5592E">
              <w:rPr>
                <w:color w:val="000000"/>
                <w:sz w:val="16"/>
                <w:szCs w:val="16"/>
              </w:rPr>
              <w:t> </w:t>
            </w:r>
          </w:p>
        </w:tc>
        <w:tc>
          <w:tcPr>
            <w:tcW w:w="957" w:type="dxa"/>
            <w:shd w:val="clear" w:color="000000" w:fill="DCE6F1"/>
            <w:vAlign w:val="center"/>
            <w:hideMark/>
          </w:tcPr>
          <w:p w:rsidR="00B5592E" w:rsidRPr="00B5592E" w:rsidRDefault="00B5592E" w:rsidP="00B5592E">
            <w:pPr>
              <w:jc w:val="right"/>
              <w:rPr>
                <w:color w:val="000000"/>
                <w:sz w:val="16"/>
                <w:szCs w:val="16"/>
              </w:rPr>
            </w:pPr>
            <w:r w:rsidRPr="00B5592E">
              <w:rPr>
                <w:color w:val="000000"/>
                <w:sz w:val="16"/>
                <w:szCs w:val="16"/>
              </w:rPr>
              <w:t> </w:t>
            </w:r>
          </w:p>
        </w:tc>
        <w:tc>
          <w:tcPr>
            <w:tcW w:w="934" w:type="dxa"/>
            <w:shd w:val="clear" w:color="000000" w:fill="DCE6F1"/>
            <w:vAlign w:val="center"/>
            <w:hideMark/>
          </w:tcPr>
          <w:p w:rsidR="00B5592E" w:rsidRPr="00B5592E" w:rsidRDefault="00B5592E" w:rsidP="00B5592E">
            <w:pPr>
              <w:jc w:val="right"/>
              <w:rPr>
                <w:color w:val="000000"/>
                <w:sz w:val="16"/>
                <w:szCs w:val="16"/>
              </w:rPr>
            </w:pPr>
            <w:r w:rsidRPr="00B5592E">
              <w:rPr>
                <w:color w:val="000000"/>
                <w:sz w:val="16"/>
                <w:szCs w:val="16"/>
              </w:rPr>
              <w:t> </w:t>
            </w:r>
          </w:p>
        </w:tc>
        <w:tc>
          <w:tcPr>
            <w:tcW w:w="1402" w:type="dxa"/>
            <w:gridSpan w:val="2"/>
            <w:shd w:val="clear" w:color="000000" w:fill="DCE6F1"/>
            <w:noWrap/>
            <w:vAlign w:val="center"/>
            <w:hideMark/>
          </w:tcPr>
          <w:p w:rsidR="00B5592E" w:rsidRPr="00B5592E" w:rsidRDefault="00B5592E" w:rsidP="00B5592E">
            <w:pPr>
              <w:jc w:val="center"/>
              <w:rPr>
                <w:color w:val="000000"/>
                <w:sz w:val="16"/>
                <w:szCs w:val="16"/>
              </w:rPr>
            </w:pPr>
            <w:r w:rsidRPr="00B5592E">
              <w:rPr>
                <w:color w:val="000000"/>
                <w:sz w:val="16"/>
                <w:szCs w:val="16"/>
              </w:rPr>
              <w:t>celkem výzva</w:t>
            </w:r>
          </w:p>
        </w:tc>
        <w:tc>
          <w:tcPr>
            <w:tcW w:w="1049" w:type="dxa"/>
            <w:shd w:val="clear" w:color="000000" w:fill="DCE6F1"/>
            <w:noWrap/>
            <w:vAlign w:val="center"/>
            <w:hideMark/>
          </w:tcPr>
          <w:p w:rsidR="00B5592E" w:rsidRPr="00B5592E" w:rsidRDefault="00B5592E" w:rsidP="00B5592E">
            <w:pPr>
              <w:jc w:val="right"/>
              <w:rPr>
                <w:color w:val="000000"/>
                <w:sz w:val="16"/>
                <w:szCs w:val="16"/>
              </w:rPr>
            </w:pPr>
            <w:r w:rsidRPr="00B5592E">
              <w:rPr>
                <w:color w:val="000000"/>
                <w:sz w:val="16"/>
                <w:szCs w:val="16"/>
              </w:rPr>
              <w:t>60 243 133</w:t>
            </w:r>
          </w:p>
        </w:tc>
        <w:tc>
          <w:tcPr>
            <w:tcW w:w="487" w:type="dxa"/>
            <w:shd w:val="clear" w:color="000000" w:fill="DCE6F1"/>
            <w:noWrap/>
            <w:vAlign w:val="center"/>
            <w:hideMark/>
          </w:tcPr>
          <w:p w:rsidR="00B5592E" w:rsidRPr="00B5592E" w:rsidRDefault="00B5592E" w:rsidP="00B5592E">
            <w:pPr>
              <w:jc w:val="right"/>
              <w:rPr>
                <w:color w:val="000000"/>
                <w:sz w:val="16"/>
                <w:szCs w:val="16"/>
              </w:rPr>
            </w:pPr>
            <w:r w:rsidRPr="00B5592E">
              <w:rPr>
                <w:color w:val="000000"/>
                <w:sz w:val="16"/>
                <w:szCs w:val="16"/>
              </w:rPr>
              <w:t>62</w:t>
            </w:r>
          </w:p>
        </w:tc>
        <w:tc>
          <w:tcPr>
            <w:tcW w:w="1032" w:type="dxa"/>
            <w:shd w:val="clear" w:color="000000" w:fill="DCE6F1"/>
            <w:noWrap/>
            <w:vAlign w:val="center"/>
            <w:hideMark/>
          </w:tcPr>
          <w:p w:rsidR="00B5592E" w:rsidRPr="00B5592E" w:rsidRDefault="00B5592E" w:rsidP="00B5592E">
            <w:pPr>
              <w:jc w:val="right"/>
              <w:rPr>
                <w:color w:val="000000"/>
                <w:sz w:val="16"/>
                <w:szCs w:val="16"/>
              </w:rPr>
            </w:pPr>
            <w:r w:rsidRPr="00B5592E">
              <w:rPr>
                <w:color w:val="000000"/>
                <w:sz w:val="16"/>
                <w:szCs w:val="16"/>
              </w:rPr>
              <w:t>85 031 480</w:t>
            </w:r>
          </w:p>
        </w:tc>
        <w:tc>
          <w:tcPr>
            <w:tcW w:w="589" w:type="dxa"/>
            <w:shd w:val="clear" w:color="000000" w:fill="DCE6F1"/>
            <w:noWrap/>
            <w:vAlign w:val="center"/>
            <w:hideMark/>
          </w:tcPr>
          <w:p w:rsidR="00B5592E" w:rsidRPr="00B5592E" w:rsidRDefault="00B5592E" w:rsidP="00B5592E">
            <w:pPr>
              <w:jc w:val="right"/>
              <w:rPr>
                <w:color w:val="000000"/>
                <w:sz w:val="16"/>
                <w:szCs w:val="16"/>
              </w:rPr>
            </w:pPr>
            <w:r w:rsidRPr="00B5592E">
              <w:rPr>
                <w:color w:val="000000"/>
                <w:sz w:val="16"/>
                <w:szCs w:val="16"/>
              </w:rPr>
              <w:t>44</w:t>
            </w:r>
          </w:p>
        </w:tc>
        <w:tc>
          <w:tcPr>
            <w:tcW w:w="1241" w:type="dxa"/>
            <w:shd w:val="clear" w:color="000000" w:fill="DCE6F1"/>
            <w:noWrap/>
            <w:vAlign w:val="center"/>
            <w:hideMark/>
          </w:tcPr>
          <w:p w:rsidR="00B5592E" w:rsidRPr="00B5592E" w:rsidRDefault="00B5592E" w:rsidP="00B5592E">
            <w:pPr>
              <w:jc w:val="right"/>
              <w:rPr>
                <w:color w:val="000000"/>
                <w:sz w:val="16"/>
                <w:szCs w:val="16"/>
              </w:rPr>
            </w:pPr>
            <w:r w:rsidRPr="00B5592E">
              <w:rPr>
                <w:color w:val="000000"/>
                <w:sz w:val="16"/>
                <w:szCs w:val="16"/>
              </w:rPr>
              <w:t>55 462 692</w:t>
            </w:r>
          </w:p>
        </w:tc>
      </w:tr>
      <w:tr w:rsidR="00B5592E" w:rsidRPr="00B5592E" w:rsidTr="00B5592E">
        <w:trPr>
          <w:trHeight w:val="315"/>
        </w:trPr>
        <w:tc>
          <w:tcPr>
            <w:tcW w:w="676" w:type="dxa"/>
            <w:shd w:val="clear" w:color="000000" w:fill="FFFFFF"/>
            <w:noWrap/>
            <w:vAlign w:val="center"/>
            <w:hideMark/>
          </w:tcPr>
          <w:p w:rsidR="00B5592E" w:rsidRPr="00B5592E" w:rsidRDefault="00B5592E" w:rsidP="00B5592E">
            <w:pPr>
              <w:jc w:val="right"/>
              <w:rPr>
                <w:color w:val="000000"/>
                <w:sz w:val="16"/>
                <w:szCs w:val="16"/>
              </w:rPr>
            </w:pPr>
            <w:r w:rsidRPr="00B5592E">
              <w:rPr>
                <w:color w:val="000000"/>
                <w:sz w:val="16"/>
                <w:szCs w:val="16"/>
              </w:rPr>
              <w:t>16</w:t>
            </w:r>
          </w:p>
        </w:tc>
        <w:tc>
          <w:tcPr>
            <w:tcW w:w="613" w:type="dxa"/>
            <w:shd w:val="clear" w:color="000000" w:fill="FFFFFF"/>
            <w:noWrap/>
            <w:vAlign w:val="center"/>
            <w:hideMark/>
          </w:tcPr>
          <w:p w:rsidR="00B5592E" w:rsidRPr="00B5592E" w:rsidRDefault="00B5592E" w:rsidP="00B5592E">
            <w:pPr>
              <w:jc w:val="right"/>
              <w:rPr>
                <w:color w:val="000000"/>
                <w:sz w:val="16"/>
                <w:szCs w:val="16"/>
              </w:rPr>
            </w:pPr>
            <w:r w:rsidRPr="00B5592E">
              <w:rPr>
                <w:color w:val="000000"/>
                <w:sz w:val="16"/>
                <w:szCs w:val="16"/>
              </w:rPr>
              <w:t>7</w:t>
            </w:r>
          </w:p>
        </w:tc>
        <w:tc>
          <w:tcPr>
            <w:tcW w:w="957" w:type="dxa"/>
            <w:shd w:val="clear" w:color="000000" w:fill="FFFFFF"/>
            <w:vAlign w:val="center"/>
            <w:hideMark/>
          </w:tcPr>
          <w:p w:rsidR="00B5592E" w:rsidRPr="00B5592E" w:rsidRDefault="000B727D" w:rsidP="00B5592E">
            <w:pPr>
              <w:jc w:val="right"/>
              <w:rPr>
                <w:color w:val="000000"/>
                <w:sz w:val="16"/>
                <w:szCs w:val="16"/>
              </w:rPr>
            </w:pPr>
            <w:r w:rsidRPr="00B5592E">
              <w:rPr>
                <w:color w:val="000000"/>
                <w:sz w:val="16"/>
                <w:szCs w:val="16"/>
              </w:rPr>
              <w:t>22. 5. 2009</w:t>
            </w:r>
          </w:p>
        </w:tc>
        <w:tc>
          <w:tcPr>
            <w:tcW w:w="934" w:type="dxa"/>
            <w:shd w:val="clear" w:color="000000" w:fill="FFFFFF"/>
            <w:vAlign w:val="center"/>
            <w:hideMark/>
          </w:tcPr>
          <w:p w:rsidR="00B5592E" w:rsidRPr="00B5592E" w:rsidRDefault="007B0D89" w:rsidP="00B5592E">
            <w:pPr>
              <w:jc w:val="right"/>
              <w:rPr>
                <w:color w:val="000000"/>
                <w:sz w:val="16"/>
                <w:szCs w:val="16"/>
              </w:rPr>
            </w:pPr>
            <w:r>
              <w:rPr>
                <w:color w:val="000000"/>
                <w:sz w:val="16"/>
                <w:szCs w:val="16"/>
              </w:rPr>
              <w:t>15. 7. 2015</w:t>
            </w:r>
          </w:p>
        </w:tc>
        <w:tc>
          <w:tcPr>
            <w:tcW w:w="918" w:type="dxa"/>
            <w:shd w:val="clear" w:color="000000" w:fill="FFFFFF"/>
            <w:noWrap/>
            <w:vAlign w:val="center"/>
            <w:hideMark/>
          </w:tcPr>
          <w:p w:rsidR="00B5592E" w:rsidRPr="00B5592E" w:rsidRDefault="00B5592E" w:rsidP="00B5592E">
            <w:pPr>
              <w:rPr>
                <w:color w:val="000000"/>
                <w:sz w:val="16"/>
                <w:szCs w:val="16"/>
              </w:rPr>
            </w:pPr>
            <w:r w:rsidRPr="00B5592E">
              <w:rPr>
                <w:color w:val="000000"/>
                <w:sz w:val="16"/>
                <w:szCs w:val="16"/>
              </w:rPr>
              <w:t>kontinuální</w:t>
            </w:r>
          </w:p>
        </w:tc>
        <w:tc>
          <w:tcPr>
            <w:tcW w:w="484" w:type="dxa"/>
            <w:shd w:val="clear" w:color="000000" w:fill="FFFFFF"/>
            <w:noWrap/>
            <w:vAlign w:val="center"/>
            <w:hideMark/>
          </w:tcPr>
          <w:p w:rsidR="00B5592E" w:rsidRPr="00B5592E" w:rsidRDefault="00B5592E" w:rsidP="00B5592E">
            <w:pPr>
              <w:jc w:val="center"/>
              <w:rPr>
                <w:color w:val="000000"/>
                <w:sz w:val="16"/>
                <w:szCs w:val="16"/>
              </w:rPr>
            </w:pPr>
            <w:r w:rsidRPr="00B5592E">
              <w:rPr>
                <w:color w:val="000000"/>
                <w:sz w:val="16"/>
                <w:szCs w:val="16"/>
              </w:rPr>
              <w:t>5.2</w:t>
            </w:r>
          </w:p>
        </w:tc>
        <w:tc>
          <w:tcPr>
            <w:tcW w:w="1049" w:type="dxa"/>
            <w:shd w:val="clear" w:color="000000" w:fill="FFFFFF"/>
            <w:noWrap/>
            <w:vAlign w:val="center"/>
            <w:hideMark/>
          </w:tcPr>
          <w:p w:rsidR="00B5592E" w:rsidRPr="00B5592E" w:rsidRDefault="00B5592E" w:rsidP="00B5592E">
            <w:pPr>
              <w:jc w:val="right"/>
              <w:rPr>
                <w:color w:val="000000"/>
                <w:sz w:val="16"/>
                <w:szCs w:val="16"/>
              </w:rPr>
            </w:pPr>
            <w:r w:rsidRPr="00B5592E">
              <w:rPr>
                <w:color w:val="000000"/>
                <w:sz w:val="16"/>
                <w:szCs w:val="16"/>
              </w:rPr>
              <w:t>192 573 322</w:t>
            </w:r>
          </w:p>
        </w:tc>
        <w:tc>
          <w:tcPr>
            <w:tcW w:w="487" w:type="dxa"/>
            <w:shd w:val="clear" w:color="000000" w:fill="FFFFFF"/>
            <w:noWrap/>
            <w:vAlign w:val="center"/>
            <w:hideMark/>
          </w:tcPr>
          <w:p w:rsidR="00B5592E" w:rsidRPr="00B5592E" w:rsidRDefault="00B5592E" w:rsidP="00B5592E">
            <w:pPr>
              <w:jc w:val="right"/>
              <w:rPr>
                <w:color w:val="000000"/>
                <w:sz w:val="16"/>
                <w:szCs w:val="16"/>
              </w:rPr>
            </w:pPr>
            <w:r w:rsidRPr="00B5592E">
              <w:rPr>
                <w:color w:val="000000"/>
                <w:sz w:val="16"/>
                <w:szCs w:val="16"/>
              </w:rPr>
              <w:t>1546</w:t>
            </w:r>
          </w:p>
        </w:tc>
        <w:tc>
          <w:tcPr>
            <w:tcW w:w="1032" w:type="dxa"/>
            <w:shd w:val="clear" w:color="000000" w:fill="FFFFFF"/>
            <w:noWrap/>
            <w:vAlign w:val="center"/>
            <w:hideMark/>
          </w:tcPr>
          <w:p w:rsidR="00B5592E" w:rsidRPr="00B5592E" w:rsidRDefault="00B5592E" w:rsidP="00B5592E">
            <w:pPr>
              <w:jc w:val="right"/>
              <w:rPr>
                <w:color w:val="000000"/>
                <w:sz w:val="16"/>
                <w:szCs w:val="16"/>
              </w:rPr>
            </w:pPr>
            <w:r w:rsidRPr="00B5592E">
              <w:rPr>
                <w:color w:val="000000"/>
                <w:sz w:val="16"/>
                <w:szCs w:val="16"/>
              </w:rPr>
              <w:t>423 488 271</w:t>
            </w:r>
          </w:p>
        </w:tc>
        <w:tc>
          <w:tcPr>
            <w:tcW w:w="589" w:type="dxa"/>
            <w:shd w:val="clear" w:color="000000" w:fill="FFFFFF"/>
            <w:noWrap/>
            <w:vAlign w:val="center"/>
            <w:hideMark/>
          </w:tcPr>
          <w:p w:rsidR="00B5592E" w:rsidRPr="00B5592E" w:rsidRDefault="00B5592E" w:rsidP="00B5592E">
            <w:pPr>
              <w:jc w:val="right"/>
              <w:rPr>
                <w:color w:val="000000"/>
                <w:sz w:val="16"/>
                <w:szCs w:val="16"/>
              </w:rPr>
            </w:pPr>
            <w:r w:rsidRPr="00B5592E">
              <w:rPr>
                <w:color w:val="000000"/>
                <w:sz w:val="16"/>
                <w:szCs w:val="16"/>
              </w:rPr>
              <w:t>1507</w:t>
            </w:r>
          </w:p>
        </w:tc>
        <w:tc>
          <w:tcPr>
            <w:tcW w:w="1241" w:type="dxa"/>
            <w:shd w:val="clear" w:color="000000" w:fill="FFFFFF"/>
            <w:noWrap/>
            <w:vAlign w:val="center"/>
            <w:hideMark/>
          </w:tcPr>
          <w:p w:rsidR="00B5592E" w:rsidRPr="00B5592E" w:rsidRDefault="00B5592E" w:rsidP="00B5592E">
            <w:pPr>
              <w:jc w:val="right"/>
              <w:rPr>
                <w:color w:val="000000"/>
                <w:sz w:val="16"/>
                <w:szCs w:val="16"/>
              </w:rPr>
            </w:pPr>
            <w:r w:rsidRPr="00B5592E">
              <w:rPr>
                <w:color w:val="000000"/>
                <w:sz w:val="16"/>
                <w:szCs w:val="16"/>
              </w:rPr>
              <w:t>184 668 573</w:t>
            </w:r>
          </w:p>
        </w:tc>
      </w:tr>
      <w:tr w:rsidR="00B5592E" w:rsidRPr="00B5592E" w:rsidTr="00B5592E">
        <w:trPr>
          <w:trHeight w:val="315"/>
        </w:trPr>
        <w:tc>
          <w:tcPr>
            <w:tcW w:w="676" w:type="dxa"/>
            <w:shd w:val="clear" w:color="000000" w:fill="FFFFFF"/>
            <w:noWrap/>
            <w:vAlign w:val="center"/>
            <w:hideMark/>
          </w:tcPr>
          <w:p w:rsidR="00B5592E" w:rsidRPr="00B5592E" w:rsidRDefault="00B5592E" w:rsidP="00B5592E">
            <w:pPr>
              <w:jc w:val="right"/>
              <w:rPr>
                <w:color w:val="000000"/>
                <w:sz w:val="16"/>
                <w:szCs w:val="16"/>
              </w:rPr>
            </w:pPr>
            <w:r w:rsidRPr="00B5592E">
              <w:rPr>
                <w:color w:val="000000"/>
                <w:sz w:val="16"/>
                <w:szCs w:val="16"/>
              </w:rPr>
              <w:t>5</w:t>
            </w:r>
          </w:p>
        </w:tc>
        <w:tc>
          <w:tcPr>
            <w:tcW w:w="613" w:type="dxa"/>
            <w:shd w:val="clear" w:color="000000" w:fill="FFFFFF"/>
            <w:noWrap/>
            <w:vAlign w:val="center"/>
            <w:hideMark/>
          </w:tcPr>
          <w:p w:rsidR="00B5592E" w:rsidRPr="00B5592E" w:rsidRDefault="00B5592E" w:rsidP="00B5592E">
            <w:pPr>
              <w:jc w:val="right"/>
              <w:rPr>
                <w:color w:val="000000"/>
                <w:sz w:val="16"/>
                <w:szCs w:val="16"/>
              </w:rPr>
            </w:pPr>
            <w:r w:rsidRPr="00B5592E">
              <w:rPr>
                <w:color w:val="000000"/>
                <w:sz w:val="16"/>
                <w:szCs w:val="16"/>
              </w:rPr>
              <w:t>01</w:t>
            </w:r>
          </w:p>
        </w:tc>
        <w:tc>
          <w:tcPr>
            <w:tcW w:w="957" w:type="dxa"/>
            <w:shd w:val="clear" w:color="000000" w:fill="FFFFFF"/>
            <w:vAlign w:val="center"/>
            <w:hideMark/>
          </w:tcPr>
          <w:p w:rsidR="00B5592E" w:rsidRPr="00B5592E" w:rsidRDefault="000B727D" w:rsidP="00B5592E">
            <w:pPr>
              <w:jc w:val="right"/>
              <w:rPr>
                <w:color w:val="000000"/>
                <w:sz w:val="16"/>
                <w:szCs w:val="16"/>
              </w:rPr>
            </w:pPr>
            <w:r w:rsidRPr="00B5592E">
              <w:rPr>
                <w:color w:val="000000"/>
                <w:sz w:val="16"/>
                <w:szCs w:val="16"/>
              </w:rPr>
              <w:t>5. 6. 2008</w:t>
            </w:r>
          </w:p>
        </w:tc>
        <w:tc>
          <w:tcPr>
            <w:tcW w:w="934" w:type="dxa"/>
            <w:shd w:val="clear" w:color="000000" w:fill="FFFFFF"/>
            <w:vAlign w:val="center"/>
            <w:hideMark/>
          </w:tcPr>
          <w:p w:rsidR="00B5592E" w:rsidRPr="00B5592E" w:rsidRDefault="00B5592E" w:rsidP="00B5592E">
            <w:pPr>
              <w:jc w:val="right"/>
              <w:rPr>
                <w:color w:val="000000"/>
                <w:sz w:val="16"/>
                <w:szCs w:val="16"/>
              </w:rPr>
            </w:pPr>
            <w:proofErr w:type="gramStart"/>
            <w:r w:rsidRPr="00B5592E">
              <w:rPr>
                <w:color w:val="000000"/>
                <w:sz w:val="16"/>
                <w:szCs w:val="16"/>
              </w:rPr>
              <w:t>30.10.2015</w:t>
            </w:r>
            <w:proofErr w:type="gramEnd"/>
          </w:p>
        </w:tc>
        <w:tc>
          <w:tcPr>
            <w:tcW w:w="918" w:type="dxa"/>
            <w:shd w:val="clear" w:color="000000" w:fill="FFFFFF"/>
            <w:noWrap/>
            <w:vAlign w:val="center"/>
            <w:hideMark/>
          </w:tcPr>
          <w:p w:rsidR="00B5592E" w:rsidRPr="00B5592E" w:rsidRDefault="00B5592E" w:rsidP="00B5592E">
            <w:pPr>
              <w:rPr>
                <w:color w:val="000000"/>
                <w:sz w:val="16"/>
                <w:szCs w:val="16"/>
              </w:rPr>
            </w:pPr>
            <w:r w:rsidRPr="00B5592E">
              <w:rPr>
                <w:color w:val="000000"/>
                <w:sz w:val="16"/>
                <w:szCs w:val="16"/>
              </w:rPr>
              <w:t>kontinuální</w:t>
            </w:r>
          </w:p>
        </w:tc>
        <w:tc>
          <w:tcPr>
            <w:tcW w:w="484" w:type="dxa"/>
            <w:shd w:val="clear" w:color="000000" w:fill="FFFFFF"/>
            <w:noWrap/>
            <w:vAlign w:val="center"/>
            <w:hideMark/>
          </w:tcPr>
          <w:p w:rsidR="00B5592E" w:rsidRPr="00B5592E" w:rsidRDefault="00B5592E" w:rsidP="00B5592E">
            <w:pPr>
              <w:jc w:val="center"/>
              <w:rPr>
                <w:color w:val="000000"/>
                <w:sz w:val="16"/>
                <w:szCs w:val="16"/>
              </w:rPr>
            </w:pPr>
            <w:r w:rsidRPr="00B5592E">
              <w:rPr>
                <w:color w:val="000000"/>
                <w:sz w:val="16"/>
                <w:szCs w:val="16"/>
              </w:rPr>
              <w:t>6.1</w:t>
            </w:r>
          </w:p>
        </w:tc>
        <w:tc>
          <w:tcPr>
            <w:tcW w:w="1049" w:type="dxa"/>
            <w:shd w:val="clear" w:color="000000" w:fill="FFFFFF"/>
            <w:noWrap/>
            <w:vAlign w:val="center"/>
            <w:hideMark/>
          </w:tcPr>
          <w:p w:rsidR="00B5592E" w:rsidRPr="00B5592E" w:rsidRDefault="00B5592E" w:rsidP="00B5592E">
            <w:pPr>
              <w:jc w:val="right"/>
              <w:rPr>
                <w:color w:val="000000"/>
                <w:sz w:val="16"/>
                <w:szCs w:val="16"/>
              </w:rPr>
            </w:pPr>
            <w:r w:rsidRPr="00B5592E">
              <w:rPr>
                <w:color w:val="000000"/>
                <w:sz w:val="16"/>
                <w:szCs w:val="16"/>
              </w:rPr>
              <w:t>29 449 400</w:t>
            </w:r>
          </w:p>
        </w:tc>
        <w:tc>
          <w:tcPr>
            <w:tcW w:w="487" w:type="dxa"/>
            <w:shd w:val="clear" w:color="000000" w:fill="FFFFFF"/>
            <w:noWrap/>
            <w:vAlign w:val="center"/>
            <w:hideMark/>
          </w:tcPr>
          <w:p w:rsidR="00B5592E" w:rsidRPr="00B5592E" w:rsidRDefault="00B5592E" w:rsidP="00B5592E">
            <w:pPr>
              <w:jc w:val="right"/>
              <w:rPr>
                <w:color w:val="000000"/>
                <w:sz w:val="16"/>
                <w:szCs w:val="16"/>
              </w:rPr>
            </w:pPr>
            <w:r w:rsidRPr="00B5592E">
              <w:rPr>
                <w:color w:val="000000"/>
                <w:sz w:val="16"/>
                <w:szCs w:val="16"/>
              </w:rPr>
              <w:t>55</w:t>
            </w:r>
          </w:p>
        </w:tc>
        <w:tc>
          <w:tcPr>
            <w:tcW w:w="1032" w:type="dxa"/>
            <w:shd w:val="clear" w:color="000000" w:fill="FFFFFF"/>
            <w:noWrap/>
            <w:vAlign w:val="center"/>
            <w:hideMark/>
          </w:tcPr>
          <w:p w:rsidR="00B5592E" w:rsidRPr="00B5592E" w:rsidRDefault="00B5592E" w:rsidP="00B5592E">
            <w:pPr>
              <w:jc w:val="right"/>
              <w:rPr>
                <w:color w:val="000000"/>
                <w:sz w:val="16"/>
                <w:szCs w:val="16"/>
              </w:rPr>
            </w:pPr>
            <w:r w:rsidRPr="00B5592E">
              <w:rPr>
                <w:color w:val="000000"/>
                <w:sz w:val="16"/>
                <w:szCs w:val="16"/>
              </w:rPr>
              <w:t>54 706 339</w:t>
            </w:r>
          </w:p>
        </w:tc>
        <w:tc>
          <w:tcPr>
            <w:tcW w:w="589" w:type="dxa"/>
            <w:shd w:val="clear" w:color="000000" w:fill="FFFFFF"/>
            <w:noWrap/>
            <w:vAlign w:val="center"/>
            <w:hideMark/>
          </w:tcPr>
          <w:p w:rsidR="00B5592E" w:rsidRPr="00B5592E" w:rsidRDefault="00B5592E" w:rsidP="00B5592E">
            <w:pPr>
              <w:jc w:val="right"/>
              <w:rPr>
                <w:color w:val="000000"/>
                <w:sz w:val="16"/>
                <w:szCs w:val="16"/>
              </w:rPr>
            </w:pPr>
            <w:r w:rsidRPr="00B5592E">
              <w:rPr>
                <w:color w:val="000000"/>
                <w:sz w:val="16"/>
                <w:szCs w:val="16"/>
              </w:rPr>
              <w:t>53</w:t>
            </w:r>
          </w:p>
        </w:tc>
        <w:tc>
          <w:tcPr>
            <w:tcW w:w="1241" w:type="dxa"/>
            <w:shd w:val="clear" w:color="000000" w:fill="FFFFFF"/>
            <w:noWrap/>
            <w:vAlign w:val="center"/>
            <w:hideMark/>
          </w:tcPr>
          <w:p w:rsidR="00B5592E" w:rsidRPr="00B5592E" w:rsidRDefault="00B5592E" w:rsidP="00B5592E">
            <w:pPr>
              <w:jc w:val="right"/>
              <w:rPr>
                <w:color w:val="000000"/>
                <w:sz w:val="16"/>
                <w:szCs w:val="16"/>
              </w:rPr>
            </w:pPr>
            <w:r w:rsidRPr="00B5592E">
              <w:rPr>
                <w:color w:val="000000"/>
                <w:sz w:val="16"/>
                <w:szCs w:val="16"/>
              </w:rPr>
              <w:t>46719820</w:t>
            </w:r>
          </w:p>
        </w:tc>
      </w:tr>
      <w:tr w:rsidR="00B5592E" w:rsidRPr="00B5592E" w:rsidTr="00B5592E">
        <w:trPr>
          <w:trHeight w:val="315"/>
        </w:trPr>
        <w:tc>
          <w:tcPr>
            <w:tcW w:w="676" w:type="dxa"/>
            <w:shd w:val="clear" w:color="000000" w:fill="FFFFFF"/>
            <w:noWrap/>
            <w:vAlign w:val="center"/>
            <w:hideMark/>
          </w:tcPr>
          <w:p w:rsidR="00B5592E" w:rsidRPr="00B5592E" w:rsidRDefault="00B5592E" w:rsidP="00B5592E">
            <w:pPr>
              <w:jc w:val="right"/>
              <w:rPr>
                <w:color w:val="000000"/>
                <w:sz w:val="16"/>
                <w:szCs w:val="16"/>
              </w:rPr>
            </w:pPr>
            <w:r w:rsidRPr="00B5592E">
              <w:rPr>
                <w:color w:val="000000"/>
                <w:sz w:val="16"/>
                <w:szCs w:val="16"/>
              </w:rPr>
              <w:t>5</w:t>
            </w:r>
          </w:p>
        </w:tc>
        <w:tc>
          <w:tcPr>
            <w:tcW w:w="613" w:type="dxa"/>
            <w:shd w:val="clear" w:color="000000" w:fill="FFFFFF"/>
            <w:noWrap/>
            <w:vAlign w:val="center"/>
            <w:hideMark/>
          </w:tcPr>
          <w:p w:rsidR="00B5592E" w:rsidRPr="00B5592E" w:rsidRDefault="00B5592E" w:rsidP="00B5592E">
            <w:pPr>
              <w:jc w:val="right"/>
              <w:rPr>
                <w:color w:val="000000"/>
                <w:sz w:val="16"/>
                <w:szCs w:val="16"/>
              </w:rPr>
            </w:pPr>
            <w:r w:rsidRPr="00B5592E">
              <w:rPr>
                <w:color w:val="000000"/>
                <w:sz w:val="16"/>
                <w:szCs w:val="16"/>
              </w:rPr>
              <w:t>01</w:t>
            </w:r>
          </w:p>
        </w:tc>
        <w:tc>
          <w:tcPr>
            <w:tcW w:w="957" w:type="dxa"/>
            <w:shd w:val="clear" w:color="000000" w:fill="FFFFFF"/>
            <w:vAlign w:val="center"/>
            <w:hideMark/>
          </w:tcPr>
          <w:p w:rsidR="00B5592E" w:rsidRPr="00B5592E" w:rsidRDefault="000B727D" w:rsidP="00B5592E">
            <w:pPr>
              <w:jc w:val="right"/>
              <w:rPr>
                <w:color w:val="000000"/>
                <w:sz w:val="16"/>
                <w:szCs w:val="16"/>
              </w:rPr>
            </w:pPr>
            <w:r w:rsidRPr="00B5592E">
              <w:rPr>
                <w:color w:val="000000"/>
                <w:sz w:val="16"/>
                <w:szCs w:val="16"/>
              </w:rPr>
              <w:t>5. 6. 2008</w:t>
            </w:r>
          </w:p>
        </w:tc>
        <w:tc>
          <w:tcPr>
            <w:tcW w:w="934" w:type="dxa"/>
            <w:shd w:val="clear" w:color="000000" w:fill="FFFFFF"/>
            <w:vAlign w:val="center"/>
            <w:hideMark/>
          </w:tcPr>
          <w:p w:rsidR="00B5592E" w:rsidRPr="00B5592E" w:rsidRDefault="00B5592E" w:rsidP="00B5592E">
            <w:pPr>
              <w:jc w:val="right"/>
              <w:rPr>
                <w:color w:val="000000"/>
                <w:sz w:val="16"/>
                <w:szCs w:val="16"/>
              </w:rPr>
            </w:pPr>
            <w:proofErr w:type="gramStart"/>
            <w:r w:rsidRPr="00B5592E">
              <w:rPr>
                <w:color w:val="000000"/>
                <w:sz w:val="16"/>
                <w:szCs w:val="16"/>
              </w:rPr>
              <w:t>30.10.2015</w:t>
            </w:r>
            <w:proofErr w:type="gramEnd"/>
          </w:p>
        </w:tc>
        <w:tc>
          <w:tcPr>
            <w:tcW w:w="918" w:type="dxa"/>
            <w:shd w:val="clear" w:color="000000" w:fill="FFFFFF"/>
            <w:noWrap/>
            <w:vAlign w:val="center"/>
            <w:hideMark/>
          </w:tcPr>
          <w:p w:rsidR="00B5592E" w:rsidRPr="00B5592E" w:rsidRDefault="00B5592E" w:rsidP="00B5592E">
            <w:pPr>
              <w:rPr>
                <w:color w:val="000000"/>
                <w:sz w:val="16"/>
                <w:szCs w:val="16"/>
              </w:rPr>
            </w:pPr>
            <w:r w:rsidRPr="00B5592E">
              <w:rPr>
                <w:color w:val="000000"/>
                <w:sz w:val="16"/>
                <w:szCs w:val="16"/>
              </w:rPr>
              <w:t> </w:t>
            </w:r>
          </w:p>
        </w:tc>
        <w:tc>
          <w:tcPr>
            <w:tcW w:w="484" w:type="dxa"/>
            <w:shd w:val="clear" w:color="000000" w:fill="FFFFFF"/>
            <w:noWrap/>
            <w:vAlign w:val="center"/>
            <w:hideMark/>
          </w:tcPr>
          <w:p w:rsidR="00B5592E" w:rsidRPr="00B5592E" w:rsidRDefault="00B5592E" w:rsidP="00B5592E">
            <w:pPr>
              <w:jc w:val="center"/>
              <w:rPr>
                <w:color w:val="000000"/>
                <w:sz w:val="16"/>
                <w:szCs w:val="16"/>
              </w:rPr>
            </w:pPr>
            <w:r w:rsidRPr="00B5592E">
              <w:rPr>
                <w:color w:val="000000"/>
                <w:sz w:val="16"/>
                <w:szCs w:val="16"/>
              </w:rPr>
              <w:t> </w:t>
            </w:r>
          </w:p>
        </w:tc>
        <w:tc>
          <w:tcPr>
            <w:tcW w:w="1049" w:type="dxa"/>
            <w:shd w:val="clear" w:color="000000" w:fill="FFFFFF"/>
            <w:noWrap/>
            <w:vAlign w:val="center"/>
            <w:hideMark/>
          </w:tcPr>
          <w:p w:rsidR="00B5592E" w:rsidRPr="00B5592E" w:rsidRDefault="00B5592E" w:rsidP="00B5592E">
            <w:pPr>
              <w:jc w:val="right"/>
              <w:rPr>
                <w:color w:val="000000"/>
                <w:sz w:val="16"/>
                <w:szCs w:val="16"/>
              </w:rPr>
            </w:pPr>
            <w:r w:rsidRPr="00B5592E">
              <w:rPr>
                <w:color w:val="000000"/>
                <w:sz w:val="16"/>
                <w:szCs w:val="16"/>
              </w:rPr>
              <w:t>541 481</w:t>
            </w:r>
          </w:p>
        </w:tc>
        <w:tc>
          <w:tcPr>
            <w:tcW w:w="487" w:type="dxa"/>
            <w:shd w:val="clear" w:color="000000" w:fill="FFFFFF"/>
            <w:noWrap/>
            <w:vAlign w:val="center"/>
            <w:hideMark/>
          </w:tcPr>
          <w:p w:rsidR="00B5592E" w:rsidRPr="00B5592E" w:rsidRDefault="00B5592E" w:rsidP="00B5592E">
            <w:pPr>
              <w:jc w:val="right"/>
              <w:rPr>
                <w:color w:val="000000"/>
                <w:sz w:val="16"/>
                <w:szCs w:val="16"/>
              </w:rPr>
            </w:pPr>
            <w:r w:rsidRPr="00B5592E">
              <w:rPr>
                <w:color w:val="000000"/>
                <w:sz w:val="16"/>
                <w:szCs w:val="16"/>
              </w:rPr>
              <w:t>0</w:t>
            </w:r>
          </w:p>
        </w:tc>
        <w:tc>
          <w:tcPr>
            <w:tcW w:w="1032" w:type="dxa"/>
            <w:shd w:val="clear" w:color="000000" w:fill="FFFFFF"/>
            <w:noWrap/>
            <w:vAlign w:val="center"/>
            <w:hideMark/>
          </w:tcPr>
          <w:p w:rsidR="00B5592E" w:rsidRPr="00B5592E" w:rsidRDefault="00B5592E" w:rsidP="00B5592E">
            <w:pPr>
              <w:jc w:val="right"/>
              <w:rPr>
                <w:color w:val="000000"/>
                <w:sz w:val="16"/>
                <w:szCs w:val="16"/>
              </w:rPr>
            </w:pPr>
            <w:r w:rsidRPr="00B5592E">
              <w:rPr>
                <w:color w:val="000000"/>
                <w:sz w:val="16"/>
                <w:szCs w:val="16"/>
              </w:rPr>
              <w:t>1 005 759</w:t>
            </w:r>
          </w:p>
        </w:tc>
        <w:tc>
          <w:tcPr>
            <w:tcW w:w="589" w:type="dxa"/>
            <w:shd w:val="clear" w:color="000000" w:fill="FFFFFF"/>
            <w:noWrap/>
            <w:vAlign w:val="center"/>
            <w:hideMark/>
          </w:tcPr>
          <w:p w:rsidR="00B5592E" w:rsidRPr="00B5592E" w:rsidRDefault="00B5592E" w:rsidP="00B5592E">
            <w:pPr>
              <w:jc w:val="right"/>
              <w:rPr>
                <w:color w:val="000000"/>
                <w:sz w:val="16"/>
                <w:szCs w:val="16"/>
              </w:rPr>
            </w:pPr>
            <w:r w:rsidRPr="00B5592E">
              <w:rPr>
                <w:color w:val="000000"/>
                <w:sz w:val="16"/>
                <w:szCs w:val="16"/>
              </w:rPr>
              <w:t>0</w:t>
            </w:r>
          </w:p>
        </w:tc>
        <w:tc>
          <w:tcPr>
            <w:tcW w:w="1241" w:type="dxa"/>
            <w:shd w:val="clear" w:color="000000" w:fill="FFFFFF"/>
            <w:noWrap/>
            <w:vAlign w:val="center"/>
            <w:hideMark/>
          </w:tcPr>
          <w:p w:rsidR="00B5592E" w:rsidRPr="00B5592E" w:rsidRDefault="00B5592E" w:rsidP="00B5592E">
            <w:pPr>
              <w:jc w:val="right"/>
              <w:rPr>
                <w:color w:val="000000"/>
                <w:sz w:val="16"/>
                <w:szCs w:val="16"/>
              </w:rPr>
            </w:pPr>
            <w:r w:rsidRPr="00B5592E">
              <w:rPr>
                <w:color w:val="000000"/>
                <w:sz w:val="16"/>
                <w:szCs w:val="16"/>
              </w:rPr>
              <w:t>858 930</w:t>
            </w:r>
          </w:p>
        </w:tc>
      </w:tr>
      <w:tr w:rsidR="00B5592E" w:rsidRPr="00B5592E" w:rsidTr="00B5592E">
        <w:trPr>
          <w:trHeight w:val="315"/>
        </w:trPr>
        <w:tc>
          <w:tcPr>
            <w:tcW w:w="676" w:type="dxa"/>
            <w:shd w:val="clear" w:color="000000" w:fill="DCE6F1"/>
            <w:noWrap/>
            <w:vAlign w:val="center"/>
            <w:hideMark/>
          </w:tcPr>
          <w:p w:rsidR="00B5592E" w:rsidRPr="00B5592E" w:rsidRDefault="00B5592E" w:rsidP="00B5592E">
            <w:pPr>
              <w:jc w:val="right"/>
              <w:rPr>
                <w:color w:val="000000"/>
                <w:sz w:val="16"/>
                <w:szCs w:val="16"/>
              </w:rPr>
            </w:pPr>
            <w:r w:rsidRPr="00B5592E">
              <w:rPr>
                <w:color w:val="000000"/>
                <w:sz w:val="16"/>
                <w:szCs w:val="16"/>
              </w:rPr>
              <w:t> </w:t>
            </w:r>
          </w:p>
        </w:tc>
        <w:tc>
          <w:tcPr>
            <w:tcW w:w="613" w:type="dxa"/>
            <w:shd w:val="clear" w:color="000000" w:fill="DCE6F1"/>
            <w:noWrap/>
            <w:vAlign w:val="center"/>
            <w:hideMark/>
          </w:tcPr>
          <w:p w:rsidR="00B5592E" w:rsidRPr="00B5592E" w:rsidRDefault="00B5592E" w:rsidP="00B5592E">
            <w:pPr>
              <w:jc w:val="right"/>
              <w:rPr>
                <w:color w:val="000000"/>
                <w:sz w:val="16"/>
                <w:szCs w:val="16"/>
              </w:rPr>
            </w:pPr>
            <w:r w:rsidRPr="00B5592E">
              <w:rPr>
                <w:color w:val="000000"/>
                <w:sz w:val="16"/>
                <w:szCs w:val="16"/>
              </w:rPr>
              <w:t> </w:t>
            </w:r>
          </w:p>
        </w:tc>
        <w:tc>
          <w:tcPr>
            <w:tcW w:w="957" w:type="dxa"/>
            <w:shd w:val="clear" w:color="000000" w:fill="DCE6F1"/>
            <w:vAlign w:val="center"/>
            <w:hideMark/>
          </w:tcPr>
          <w:p w:rsidR="00B5592E" w:rsidRPr="00B5592E" w:rsidRDefault="00B5592E" w:rsidP="00B5592E">
            <w:pPr>
              <w:jc w:val="right"/>
              <w:rPr>
                <w:color w:val="000000"/>
                <w:sz w:val="16"/>
                <w:szCs w:val="16"/>
              </w:rPr>
            </w:pPr>
            <w:r w:rsidRPr="00B5592E">
              <w:rPr>
                <w:color w:val="000000"/>
                <w:sz w:val="16"/>
                <w:szCs w:val="16"/>
              </w:rPr>
              <w:t> </w:t>
            </w:r>
          </w:p>
        </w:tc>
        <w:tc>
          <w:tcPr>
            <w:tcW w:w="934" w:type="dxa"/>
            <w:shd w:val="clear" w:color="000000" w:fill="DCE6F1"/>
            <w:vAlign w:val="center"/>
            <w:hideMark/>
          </w:tcPr>
          <w:p w:rsidR="00B5592E" w:rsidRPr="00B5592E" w:rsidRDefault="00B5592E" w:rsidP="00B5592E">
            <w:pPr>
              <w:jc w:val="right"/>
              <w:rPr>
                <w:color w:val="000000"/>
                <w:sz w:val="16"/>
                <w:szCs w:val="16"/>
              </w:rPr>
            </w:pPr>
            <w:r w:rsidRPr="00B5592E">
              <w:rPr>
                <w:color w:val="000000"/>
                <w:sz w:val="16"/>
                <w:szCs w:val="16"/>
              </w:rPr>
              <w:t> </w:t>
            </w:r>
          </w:p>
        </w:tc>
        <w:tc>
          <w:tcPr>
            <w:tcW w:w="1402" w:type="dxa"/>
            <w:gridSpan w:val="2"/>
            <w:shd w:val="clear" w:color="000000" w:fill="DCE6F1"/>
            <w:noWrap/>
            <w:vAlign w:val="center"/>
            <w:hideMark/>
          </w:tcPr>
          <w:p w:rsidR="00B5592E" w:rsidRPr="00B5592E" w:rsidRDefault="00B5592E" w:rsidP="00B5592E">
            <w:pPr>
              <w:jc w:val="center"/>
              <w:rPr>
                <w:color w:val="000000"/>
                <w:sz w:val="16"/>
                <w:szCs w:val="16"/>
              </w:rPr>
            </w:pPr>
            <w:r w:rsidRPr="00B5592E">
              <w:rPr>
                <w:color w:val="000000"/>
                <w:sz w:val="16"/>
                <w:szCs w:val="16"/>
              </w:rPr>
              <w:t>celkem výzva</w:t>
            </w:r>
          </w:p>
        </w:tc>
        <w:tc>
          <w:tcPr>
            <w:tcW w:w="1049" w:type="dxa"/>
            <w:shd w:val="clear" w:color="000000" w:fill="DCE6F1"/>
            <w:noWrap/>
            <w:vAlign w:val="center"/>
            <w:hideMark/>
          </w:tcPr>
          <w:p w:rsidR="00B5592E" w:rsidRPr="00B5592E" w:rsidRDefault="00B5592E" w:rsidP="00B5592E">
            <w:pPr>
              <w:jc w:val="right"/>
              <w:rPr>
                <w:color w:val="000000"/>
                <w:sz w:val="16"/>
                <w:szCs w:val="16"/>
              </w:rPr>
            </w:pPr>
            <w:r w:rsidRPr="00B5592E">
              <w:rPr>
                <w:color w:val="000000"/>
                <w:sz w:val="16"/>
                <w:szCs w:val="16"/>
              </w:rPr>
              <w:t>29 990 881</w:t>
            </w:r>
          </w:p>
        </w:tc>
        <w:tc>
          <w:tcPr>
            <w:tcW w:w="487" w:type="dxa"/>
            <w:shd w:val="clear" w:color="000000" w:fill="DCE6F1"/>
            <w:noWrap/>
            <w:vAlign w:val="center"/>
            <w:hideMark/>
          </w:tcPr>
          <w:p w:rsidR="00B5592E" w:rsidRPr="00B5592E" w:rsidRDefault="00B5592E" w:rsidP="00B5592E">
            <w:pPr>
              <w:jc w:val="right"/>
              <w:rPr>
                <w:color w:val="000000"/>
                <w:sz w:val="16"/>
                <w:szCs w:val="16"/>
              </w:rPr>
            </w:pPr>
            <w:r w:rsidRPr="00B5592E">
              <w:rPr>
                <w:color w:val="000000"/>
                <w:sz w:val="16"/>
                <w:szCs w:val="16"/>
              </w:rPr>
              <w:t>55</w:t>
            </w:r>
          </w:p>
        </w:tc>
        <w:tc>
          <w:tcPr>
            <w:tcW w:w="1032" w:type="dxa"/>
            <w:shd w:val="clear" w:color="000000" w:fill="DCE6F1"/>
            <w:noWrap/>
            <w:vAlign w:val="center"/>
            <w:hideMark/>
          </w:tcPr>
          <w:p w:rsidR="00B5592E" w:rsidRPr="00B5592E" w:rsidRDefault="00B5592E" w:rsidP="00B5592E">
            <w:pPr>
              <w:jc w:val="right"/>
              <w:rPr>
                <w:color w:val="000000"/>
                <w:sz w:val="16"/>
                <w:szCs w:val="16"/>
              </w:rPr>
            </w:pPr>
            <w:r w:rsidRPr="00B5592E">
              <w:rPr>
                <w:color w:val="000000"/>
                <w:sz w:val="16"/>
                <w:szCs w:val="16"/>
              </w:rPr>
              <w:t>55 712 098</w:t>
            </w:r>
          </w:p>
        </w:tc>
        <w:tc>
          <w:tcPr>
            <w:tcW w:w="589" w:type="dxa"/>
            <w:shd w:val="clear" w:color="000000" w:fill="DCE6F1"/>
            <w:noWrap/>
            <w:vAlign w:val="center"/>
            <w:hideMark/>
          </w:tcPr>
          <w:p w:rsidR="00B5592E" w:rsidRPr="00B5592E" w:rsidRDefault="00B5592E" w:rsidP="00B5592E">
            <w:pPr>
              <w:jc w:val="right"/>
              <w:rPr>
                <w:color w:val="000000"/>
                <w:sz w:val="16"/>
                <w:szCs w:val="16"/>
              </w:rPr>
            </w:pPr>
            <w:r w:rsidRPr="00B5592E">
              <w:rPr>
                <w:color w:val="000000"/>
                <w:sz w:val="16"/>
                <w:szCs w:val="16"/>
              </w:rPr>
              <w:t>53</w:t>
            </w:r>
          </w:p>
        </w:tc>
        <w:tc>
          <w:tcPr>
            <w:tcW w:w="1241" w:type="dxa"/>
            <w:shd w:val="clear" w:color="000000" w:fill="DCE6F1"/>
            <w:noWrap/>
            <w:vAlign w:val="center"/>
            <w:hideMark/>
          </w:tcPr>
          <w:p w:rsidR="00B5592E" w:rsidRPr="00B5592E" w:rsidRDefault="00B5592E" w:rsidP="00B5592E">
            <w:pPr>
              <w:jc w:val="right"/>
              <w:rPr>
                <w:color w:val="000000"/>
                <w:sz w:val="16"/>
                <w:szCs w:val="16"/>
              </w:rPr>
            </w:pPr>
            <w:r w:rsidRPr="00B5592E">
              <w:rPr>
                <w:color w:val="000000"/>
                <w:sz w:val="16"/>
                <w:szCs w:val="16"/>
              </w:rPr>
              <w:t>47 578 750</w:t>
            </w:r>
          </w:p>
        </w:tc>
      </w:tr>
      <w:tr w:rsidR="00B5592E" w:rsidRPr="00B5592E" w:rsidTr="00B5592E">
        <w:trPr>
          <w:trHeight w:val="315"/>
        </w:trPr>
        <w:tc>
          <w:tcPr>
            <w:tcW w:w="676" w:type="dxa"/>
            <w:shd w:val="clear" w:color="000000" w:fill="FFFFFF"/>
            <w:noWrap/>
            <w:vAlign w:val="center"/>
            <w:hideMark/>
          </w:tcPr>
          <w:p w:rsidR="00B5592E" w:rsidRPr="00B5592E" w:rsidRDefault="00B5592E" w:rsidP="00B5592E">
            <w:pPr>
              <w:jc w:val="right"/>
              <w:rPr>
                <w:color w:val="000000"/>
                <w:sz w:val="16"/>
                <w:szCs w:val="16"/>
              </w:rPr>
            </w:pPr>
            <w:r w:rsidRPr="00B5592E">
              <w:rPr>
                <w:color w:val="000000"/>
                <w:sz w:val="16"/>
                <w:szCs w:val="16"/>
              </w:rPr>
              <w:t>37</w:t>
            </w:r>
          </w:p>
        </w:tc>
        <w:tc>
          <w:tcPr>
            <w:tcW w:w="613" w:type="dxa"/>
            <w:shd w:val="clear" w:color="000000" w:fill="FFFFFF"/>
            <w:noWrap/>
            <w:vAlign w:val="center"/>
            <w:hideMark/>
          </w:tcPr>
          <w:p w:rsidR="00B5592E" w:rsidRPr="00B5592E" w:rsidRDefault="00B5592E" w:rsidP="00B5592E">
            <w:pPr>
              <w:jc w:val="right"/>
              <w:rPr>
                <w:color w:val="000000"/>
                <w:sz w:val="16"/>
                <w:szCs w:val="16"/>
              </w:rPr>
            </w:pPr>
            <w:r w:rsidRPr="00B5592E">
              <w:rPr>
                <w:color w:val="000000"/>
                <w:sz w:val="16"/>
                <w:szCs w:val="16"/>
              </w:rPr>
              <w:t>10</w:t>
            </w:r>
          </w:p>
        </w:tc>
        <w:tc>
          <w:tcPr>
            <w:tcW w:w="957" w:type="dxa"/>
            <w:shd w:val="clear" w:color="000000" w:fill="FFFFFF"/>
            <w:vAlign w:val="center"/>
            <w:hideMark/>
          </w:tcPr>
          <w:p w:rsidR="00B5592E" w:rsidRPr="00B5592E" w:rsidRDefault="000B727D" w:rsidP="00B5592E">
            <w:pPr>
              <w:jc w:val="right"/>
              <w:rPr>
                <w:color w:val="000000"/>
                <w:sz w:val="16"/>
                <w:szCs w:val="16"/>
              </w:rPr>
            </w:pPr>
            <w:r w:rsidRPr="00B5592E">
              <w:rPr>
                <w:color w:val="000000"/>
                <w:sz w:val="16"/>
                <w:szCs w:val="16"/>
              </w:rPr>
              <w:t>27. 9. 2010</w:t>
            </w:r>
          </w:p>
        </w:tc>
        <w:tc>
          <w:tcPr>
            <w:tcW w:w="934" w:type="dxa"/>
            <w:shd w:val="clear" w:color="000000" w:fill="FFFFFF"/>
            <w:vAlign w:val="center"/>
            <w:hideMark/>
          </w:tcPr>
          <w:p w:rsidR="00B5592E" w:rsidRPr="00B5592E" w:rsidRDefault="00B5592E" w:rsidP="00B5592E">
            <w:pPr>
              <w:jc w:val="right"/>
              <w:rPr>
                <w:color w:val="000000"/>
                <w:sz w:val="16"/>
                <w:szCs w:val="16"/>
              </w:rPr>
            </w:pPr>
            <w:proofErr w:type="gramStart"/>
            <w:r w:rsidRPr="00B5592E">
              <w:rPr>
                <w:color w:val="000000"/>
                <w:sz w:val="16"/>
                <w:szCs w:val="16"/>
              </w:rPr>
              <w:t>30.10.2015</w:t>
            </w:r>
            <w:proofErr w:type="gramEnd"/>
          </w:p>
        </w:tc>
        <w:tc>
          <w:tcPr>
            <w:tcW w:w="918" w:type="dxa"/>
            <w:shd w:val="clear" w:color="000000" w:fill="FFFFFF"/>
            <w:noWrap/>
            <w:vAlign w:val="center"/>
            <w:hideMark/>
          </w:tcPr>
          <w:p w:rsidR="00B5592E" w:rsidRPr="00B5592E" w:rsidRDefault="00B5592E" w:rsidP="00B5592E">
            <w:pPr>
              <w:rPr>
                <w:color w:val="000000"/>
                <w:sz w:val="16"/>
                <w:szCs w:val="16"/>
              </w:rPr>
            </w:pPr>
            <w:r w:rsidRPr="00B5592E">
              <w:rPr>
                <w:color w:val="000000"/>
                <w:sz w:val="16"/>
                <w:szCs w:val="16"/>
              </w:rPr>
              <w:t>kontinuální</w:t>
            </w:r>
          </w:p>
        </w:tc>
        <w:tc>
          <w:tcPr>
            <w:tcW w:w="484" w:type="dxa"/>
            <w:shd w:val="clear" w:color="000000" w:fill="FFFFFF"/>
            <w:noWrap/>
            <w:vAlign w:val="center"/>
            <w:hideMark/>
          </w:tcPr>
          <w:p w:rsidR="00B5592E" w:rsidRPr="00B5592E" w:rsidRDefault="00B5592E" w:rsidP="00B5592E">
            <w:pPr>
              <w:jc w:val="center"/>
              <w:rPr>
                <w:color w:val="000000"/>
                <w:sz w:val="16"/>
                <w:szCs w:val="16"/>
              </w:rPr>
            </w:pPr>
            <w:r w:rsidRPr="00B5592E">
              <w:rPr>
                <w:color w:val="000000"/>
                <w:sz w:val="16"/>
                <w:szCs w:val="16"/>
              </w:rPr>
              <w:t>6.2</w:t>
            </w:r>
          </w:p>
        </w:tc>
        <w:tc>
          <w:tcPr>
            <w:tcW w:w="1049" w:type="dxa"/>
            <w:shd w:val="clear" w:color="000000" w:fill="FFFFFF"/>
            <w:noWrap/>
            <w:vAlign w:val="center"/>
            <w:hideMark/>
          </w:tcPr>
          <w:p w:rsidR="00B5592E" w:rsidRPr="00B5592E" w:rsidRDefault="00B5592E" w:rsidP="00B5592E">
            <w:pPr>
              <w:jc w:val="right"/>
              <w:rPr>
                <w:color w:val="000000"/>
                <w:sz w:val="16"/>
                <w:szCs w:val="16"/>
              </w:rPr>
            </w:pPr>
            <w:r w:rsidRPr="00B5592E">
              <w:rPr>
                <w:color w:val="000000"/>
                <w:sz w:val="16"/>
                <w:szCs w:val="16"/>
              </w:rPr>
              <w:t>11 761 247</w:t>
            </w:r>
          </w:p>
        </w:tc>
        <w:tc>
          <w:tcPr>
            <w:tcW w:w="487" w:type="dxa"/>
            <w:shd w:val="clear" w:color="000000" w:fill="FFFFFF"/>
            <w:noWrap/>
            <w:vAlign w:val="center"/>
            <w:hideMark/>
          </w:tcPr>
          <w:p w:rsidR="00B5592E" w:rsidRPr="00B5592E" w:rsidRDefault="00B5592E" w:rsidP="00B5592E">
            <w:pPr>
              <w:jc w:val="right"/>
              <w:rPr>
                <w:color w:val="000000"/>
                <w:sz w:val="16"/>
                <w:szCs w:val="16"/>
              </w:rPr>
            </w:pPr>
            <w:r w:rsidRPr="00B5592E">
              <w:rPr>
                <w:color w:val="000000"/>
                <w:sz w:val="16"/>
                <w:szCs w:val="16"/>
              </w:rPr>
              <w:t>60</w:t>
            </w:r>
          </w:p>
        </w:tc>
        <w:tc>
          <w:tcPr>
            <w:tcW w:w="1032" w:type="dxa"/>
            <w:shd w:val="clear" w:color="000000" w:fill="FFFFFF"/>
            <w:noWrap/>
            <w:vAlign w:val="center"/>
            <w:hideMark/>
          </w:tcPr>
          <w:p w:rsidR="00B5592E" w:rsidRPr="00B5592E" w:rsidRDefault="00B5592E" w:rsidP="00B5592E">
            <w:pPr>
              <w:jc w:val="right"/>
              <w:rPr>
                <w:color w:val="000000"/>
                <w:sz w:val="16"/>
                <w:szCs w:val="16"/>
              </w:rPr>
            </w:pPr>
            <w:r w:rsidRPr="00B5592E">
              <w:rPr>
                <w:color w:val="000000"/>
                <w:sz w:val="16"/>
                <w:szCs w:val="16"/>
              </w:rPr>
              <w:t>7 639 975</w:t>
            </w:r>
          </w:p>
        </w:tc>
        <w:tc>
          <w:tcPr>
            <w:tcW w:w="589" w:type="dxa"/>
            <w:shd w:val="clear" w:color="000000" w:fill="FFFFFF"/>
            <w:noWrap/>
            <w:vAlign w:val="center"/>
            <w:hideMark/>
          </w:tcPr>
          <w:p w:rsidR="00B5592E" w:rsidRPr="00B5592E" w:rsidRDefault="00B5592E" w:rsidP="00B5592E">
            <w:pPr>
              <w:jc w:val="right"/>
              <w:rPr>
                <w:color w:val="000000"/>
                <w:sz w:val="16"/>
                <w:szCs w:val="16"/>
              </w:rPr>
            </w:pPr>
            <w:r w:rsidRPr="00B5592E">
              <w:rPr>
                <w:color w:val="000000"/>
                <w:sz w:val="16"/>
                <w:szCs w:val="16"/>
              </w:rPr>
              <w:t>57</w:t>
            </w:r>
          </w:p>
        </w:tc>
        <w:tc>
          <w:tcPr>
            <w:tcW w:w="1241" w:type="dxa"/>
            <w:shd w:val="clear" w:color="000000" w:fill="FFFFFF"/>
            <w:noWrap/>
            <w:vAlign w:val="center"/>
            <w:hideMark/>
          </w:tcPr>
          <w:p w:rsidR="00B5592E" w:rsidRPr="00B5592E" w:rsidRDefault="00B5592E" w:rsidP="00B5592E">
            <w:pPr>
              <w:jc w:val="right"/>
              <w:rPr>
                <w:color w:val="000000"/>
                <w:sz w:val="16"/>
                <w:szCs w:val="16"/>
              </w:rPr>
            </w:pPr>
            <w:r w:rsidRPr="00B5592E">
              <w:rPr>
                <w:color w:val="000000"/>
                <w:sz w:val="16"/>
                <w:szCs w:val="16"/>
              </w:rPr>
              <w:t>48</w:t>
            </w:r>
            <w:r w:rsidR="00E84ACE">
              <w:rPr>
                <w:color w:val="000000"/>
                <w:sz w:val="16"/>
                <w:szCs w:val="16"/>
              </w:rPr>
              <w:t> </w:t>
            </w:r>
            <w:r w:rsidRPr="00B5592E">
              <w:rPr>
                <w:color w:val="000000"/>
                <w:sz w:val="16"/>
                <w:szCs w:val="16"/>
              </w:rPr>
              <w:t>687</w:t>
            </w:r>
            <w:r w:rsidR="00E84ACE">
              <w:rPr>
                <w:color w:val="000000"/>
                <w:sz w:val="16"/>
                <w:szCs w:val="16"/>
              </w:rPr>
              <w:t xml:space="preserve"> </w:t>
            </w:r>
            <w:r w:rsidRPr="00B5592E">
              <w:rPr>
                <w:color w:val="000000"/>
                <w:sz w:val="16"/>
                <w:szCs w:val="16"/>
              </w:rPr>
              <w:t>68</w:t>
            </w:r>
          </w:p>
        </w:tc>
      </w:tr>
      <w:tr w:rsidR="00B5592E" w:rsidRPr="00B5592E" w:rsidTr="00B5592E">
        <w:trPr>
          <w:trHeight w:val="315"/>
        </w:trPr>
        <w:tc>
          <w:tcPr>
            <w:tcW w:w="676" w:type="dxa"/>
            <w:shd w:val="clear" w:color="000000" w:fill="FFFFFF"/>
            <w:noWrap/>
            <w:vAlign w:val="center"/>
            <w:hideMark/>
          </w:tcPr>
          <w:p w:rsidR="00B5592E" w:rsidRPr="00B5592E" w:rsidRDefault="00B5592E" w:rsidP="00B5592E">
            <w:pPr>
              <w:jc w:val="right"/>
              <w:rPr>
                <w:color w:val="000000"/>
                <w:sz w:val="16"/>
                <w:szCs w:val="16"/>
              </w:rPr>
            </w:pPr>
            <w:r w:rsidRPr="00B5592E">
              <w:rPr>
                <w:color w:val="000000"/>
                <w:sz w:val="16"/>
                <w:szCs w:val="16"/>
              </w:rPr>
              <w:t>37</w:t>
            </w:r>
          </w:p>
        </w:tc>
        <w:tc>
          <w:tcPr>
            <w:tcW w:w="613" w:type="dxa"/>
            <w:shd w:val="clear" w:color="000000" w:fill="FFFFFF"/>
            <w:noWrap/>
            <w:vAlign w:val="center"/>
            <w:hideMark/>
          </w:tcPr>
          <w:p w:rsidR="00B5592E" w:rsidRPr="00B5592E" w:rsidRDefault="00B5592E" w:rsidP="00B5592E">
            <w:pPr>
              <w:jc w:val="right"/>
              <w:rPr>
                <w:color w:val="000000"/>
                <w:sz w:val="16"/>
                <w:szCs w:val="16"/>
              </w:rPr>
            </w:pPr>
            <w:r w:rsidRPr="00B5592E">
              <w:rPr>
                <w:color w:val="000000"/>
                <w:sz w:val="16"/>
                <w:szCs w:val="16"/>
              </w:rPr>
              <w:t>10</w:t>
            </w:r>
          </w:p>
        </w:tc>
        <w:tc>
          <w:tcPr>
            <w:tcW w:w="957" w:type="dxa"/>
            <w:shd w:val="clear" w:color="000000" w:fill="FFFFFF"/>
            <w:vAlign w:val="center"/>
            <w:hideMark/>
          </w:tcPr>
          <w:p w:rsidR="00B5592E" w:rsidRPr="00B5592E" w:rsidRDefault="000B727D" w:rsidP="00B5592E">
            <w:pPr>
              <w:jc w:val="right"/>
              <w:rPr>
                <w:color w:val="000000"/>
                <w:sz w:val="16"/>
                <w:szCs w:val="16"/>
              </w:rPr>
            </w:pPr>
            <w:r w:rsidRPr="00B5592E">
              <w:rPr>
                <w:color w:val="000000"/>
                <w:sz w:val="16"/>
                <w:szCs w:val="16"/>
              </w:rPr>
              <w:t>27. 9. 2010</w:t>
            </w:r>
          </w:p>
        </w:tc>
        <w:tc>
          <w:tcPr>
            <w:tcW w:w="934" w:type="dxa"/>
            <w:shd w:val="clear" w:color="000000" w:fill="FFFFFF"/>
            <w:vAlign w:val="center"/>
            <w:hideMark/>
          </w:tcPr>
          <w:p w:rsidR="00B5592E" w:rsidRPr="00B5592E" w:rsidRDefault="00B5592E" w:rsidP="00B5592E">
            <w:pPr>
              <w:jc w:val="right"/>
              <w:rPr>
                <w:color w:val="000000"/>
                <w:sz w:val="16"/>
                <w:szCs w:val="16"/>
              </w:rPr>
            </w:pPr>
            <w:proofErr w:type="gramStart"/>
            <w:r w:rsidRPr="00B5592E">
              <w:rPr>
                <w:color w:val="000000"/>
                <w:sz w:val="16"/>
                <w:szCs w:val="16"/>
              </w:rPr>
              <w:t>30.10.2015</w:t>
            </w:r>
            <w:proofErr w:type="gramEnd"/>
          </w:p>
        </w:tc>
        <w:tc>
          <w:tcPr>
            <w:tcW w:w="918" w:type="dxa"/>
            <w:shd w:val="clear" w:color="000000" w:fill="FFFFFF"/>
            <w:noWrap/>
            <w:vAlign w:val="center"/>
            <w:hideMark/>
          </w:tcPr>
          <w:p w:rsidR="00B5592E" w:rsidRPr="00B5592E" w:rsidRDefault="00B5592E" w:rsidP="00B5592E">
            <w:pPr>
              <w:rPr>
                <w:color w:val="000000"/>
                <w:sz w:val="16"/>
                <w:szCs w:val="16"/>
              </w:rPr>
            </w:pPr>
            <w:r w:rsidRPr="00B5592E">
              <w:rPr>
                <w:color w:val="000000"/>
                <w:sz w:val="16"/>
                <w:szCs w:val="16"/>
              </w:rPr>
              <w:t> </w:t>
            </w:r>
          </w:p>
        </w:tc>
        <w:tc>
          <w:tcPr>
            <w:tcW w:w="484" w:type="dxa"/>
            <w:shd w:val="clear" w:color="000000" w:fill="FFFFFF"/>
            <w:noWrap/>
            <w:vAlign w:val="center"/>
            <w:hideMark/>
          </w:tcPr>
          <w:p w:rsidR="00B5592E" w:rsidRPr="00B5592E" w:rsidRDefault="00B5592E" w:rsidP="00B5592E">
            <w:pPr>
              <w:jc w:val="center"/>
              <w:rPr>
                <w:color w:val="000000"/>
                <w:sz w:val="16"/>
                <w:szCs w:val="16"/>
              </w:rPr>
            </w:pPr>
            <w:r w:rsidRPr="00B5592E">
              <w:rPr>
                <w:color w:val="000000"/>
                <w:sz w:val="16"/>
                <w:szCs w:val="16"/>
              </w:rPr>
              <w:t> </w:t>
            </w:r>
          </w:p>
        </w:tc>
        <w:tc>
          <w:tcPr>
            <w:tcW w:w="1049" w:type="dxa"/>
            <w:shd w:val="clear" w:color="000000" w:fill="FFFFFF"/>
            <w:noWrap/>
            <w:vAlign w:val="center"/>
            <w:hideMark/>
          </w:tcPr>
          <w:p w:rsidR="00B5592E" w:rsidRPr="00B5592E" w:rsidRDefault="00B5592E" w:rsidP="00B5592E">
            <w:pPr>
              <w:jc w:val="right"/>
              <w:rPr>
                <w:color w:val="000000"/>
                <w:sz w:val="16"/>
                <w:szCs w:val="16"/>
              </w:rPr>
            </w:pPr>
            <w:r w:rsidRPr="00B5592E">
              <w:rPr>
                <w:color w:val="000000"/>
                <w:sz w:val="16"/>
                <w:szCs w:val="16"/>
              </w:rPr>
              <w:t> </w:t>
            </w:r>
          </w:p>
        </w:tc>
        <w:tc>
          <w:tcPr>
            <w:tcW w:w="487" w:type="dxa"/>
            <w:shd w:val="clear" w:color="000000" w:fill="FFFFFF"/>
            <w:noWrap/>
            <w:vAlign w:val="center"/>
            <w:hideMark/>
          </w:tcPr>
          <w:p w:rsidR="00B5592E" w:rsidRPr="00B5592E" w:rsidRDefault="00B5592E" w:rsidP="00B5592E">
            <w:pPr>
              <w:jc w:val="right"/>
              <w:rPr>
                <w:color w:val="000000"/>
                <w:sz w:val="16"/>
                <w:szCs w:val="16"/>
              </w:rPr>
            </w:pPr>
            <w:r w:rsidRPr="00B5592E">
              <w:rPr>
                <w:color w:val="000000"/>
                <w:sz w:val="16"/>
                <w:szCs w:val="16"/>
              </w:rPr>
              <w:t>0</w:t>
            </w:r>
          </w:p>
        </w:tc>
        <w:tc>
          <w:tcPr>
            <w:tcW w:w="1032" w:type="dxa"/>
            <w:shd w:val="clear" w:color="000000" w:fill="FFFFFF"/>
            <w:noWrap/>
            <w:vAlign w:val="center"/>
            <w:hideMark/>
          </w:tcPr>
          <w:p w:rsidR="00B5592E" w:rsidRPr="00B5592E" w:rsidRDefault="00B5592E" w:rsidP="00B5592E">
            <w:pPr>
              <w:jc w:val="right"/>
              <w:rPr>
                <w:color w:val="000000"/>
                <w:sz w:val="16"/>
                <w:szCs w:val="16"/>
              </w:rPr>
            </w:pPr>
            <w:r w:rsidRPr="00B5592E">
              <w:rPr>
                <w:color w:val="000000"/>
                <w:sz w:val="16"/>
                <w:szCs w:val="16"/>
              </w:rPr>
              <w:t>140 458</w:t>
            </w:r>
          </w:p>
        </w:tc>
        <w:tc>
          <w:tcPr>
            <w:tcW w:w="589" w:type="dxa"/>
            <w:shd w:val="clear" w:color="000000" w:fill="FFFFFF"/>
            <w:noWrap/>
            <w:vAlign w:val="center"/>
            <w:hideMark/>
          </w:tcPr>
          <w:p w:rsidR="00B5592E" w:rsidRPr="00B5592E" w:rsidRDefault="00B5592E" w:rsidP="00B5592E">
            <w:pPr>
              <w:jc w:val="right"/>
              <w:rPr>
                <w:color w:val="000000"/>
                <w:sz w:val="16"/>
                <w:szCs w:val="16"/>
              </w:rPr>
            </w:pPr>
            <w:r w:rsidRPr="00B5592E">
              <w:rPr>
                <w:color w:val="000000"/>
                <w:sz w:val="16"/>
                <w:szCs w:val="16"/>
              </w:rPr>
              <w:t>0</w:t>
            </w:r>
          </w:p>
        </w:tc>
        <w:tc>
          <w:tcPr>
            <w:tcW w:w="1241" w:type="dxa"/>
            <w:shd w:val="clear" w:color="000000" w:fill="FFFFFF"/>
            <w:noWrap/>
            <w:vAlign w:val="center"/>
            <w:hideMark/>
          </w:tcPr>
          <w:p w:rsidR="00B5592E" w:rsidRPr="00B5592E" w:rsidRDefault="00B5592E" w:rsidP="00B5592E">
            <w:pPr>
              <w:jc w:val="right"/>
              <w:rPr>
                <w:color w:val="000000"/>
                <w:sz w:val="16"/>
                <w:szCs w:val="16"/>
              </w:rPr>
            </w:pPr>
            <w:r w:rsidRPr="00B5592E">
              <w:rPr>
                <w:color w:val="000000"/>
                <w:sz w:val="16"/>
                <w:szCs w:val="16"/>
              </w:rPr>
              <w:t>89</w:t>
            </w:r>
            <w:r w:rsidR="00E84ACE">
              <w:rPr>
                <w:color w:val="000000"/>
                <w:sz w:val="16"/>
                <w:szCs w:val="16"/>
              </w:rPr>
              <w:t xml:space="preserve"> </w:t>
            </w:r>
            <w:r w:rsidRPr="00B5592E">
              <w:rPr>
                <w:color w:val="000000"/>
                <w:sz w:val="16"/>
                <w:szCs w:val="16"/>
              </w:rPr>
              <w:t>510</w:t>
            </w:r>
          </w:p>
        </w:tc>
      </w:tr>
      <w:tr w:rsidR="00B5592E" w:rsidRPr="00B5592E" w:rsidTr="00B5592E">
        <w:trPr>
          <w:trHeight w:val="315"/>
        </w:trPr>
        <w:tc>
          <w:tcPr>
            <w:tcW w:w="676" w:type="dxa"/>
            <w:shd w:val="clear" w:color="000000" w:fill="DCE6F1"/>
            <w:noWrap/>
            <w:vAlign w:val="center"/>
            <w:hideMark/>
          </w:tcPr>
          <w:p w:rsidR="00B5592E" w:rsidRPr="00B5592E" w:rsidRDefault="00B5592E" w:rsidP="00B5592E">
            <w:pPr>
              <w:jc w:val="right"/>
              <w:rPr>
                <w:color w:val="000000"/>
                <w:sz w:val="16"/>
                <w:szCs w:val="16"/>
              </w:rPr>
            </w:pPr>
            <w:r w:rsidRPr="00B5592E">
              <w:rPr>
                <w:color w:val="000000"/>
                <w:sz w:val="16"/>
                <w:szCs w:val="16"/>
              </w:rPr>
              <w:t> </w:t>
            </w:r>
          </w:p>
        </w:tc>
        <w:tc>
          <w:tcPr>
            <w:tcW w:w="613" w:type="dxa"/>
            <w:shd w:val="clear" w:color="000000" w:fill="DCE6F1"/>
            <w:noWrap/>
            <w:vAlign w:val="center"/>
            <w:hideMark/>
          </w:tcPr>
          <w:p w:rsidR="00B5592E" w:rsidRPr="00B5592E" w:rsidRDefault="00B5592E" w:rsidP="00B5592E">
            <w:pPr>
              <w:jc w:val="right"/>
              <w:rPr>
                <w:color w:val="000000"/>
                <w:sz w:val="16"/>
                <w:szCs w:val="16"/>
              </w:rPr>
            </w:pPr>
            <w:r w:rsidRPr="00B5592E">
              <w:rPr>
                <w:color w:val="000000"/>
                <w:sz w:val="16"/>
                <w:szCs w:val="16"/>
              </w:rPr>
              <w:t> </w:t>
            </w:r>
          </w:p>
        </w:tc>
        <w:tc>
          <w:tcPr>
            <w:tcW w:w="957" w:type="dxa"/>
            <w:shd w:val="clear" w:color="000000" w:fill="DCE6F1"/>
            <w:vAlign w:val="center"/>
            <w:hideMark/>
          </w:tcPr>
          <w:p w:rsidR="00B5592E" w:rsidRPr="00B5592E" w:rsidRDefault="00B5592E" w:rsidP="00B5592E">
            <w:pPr>
              <w:jc w:val="right"/>
              <w:rPr>
                <w:color w:val="000000"/>
                <w:sz w:val="16"/>
                <w:szCs w:val="16"/>
              </w:rPr>
            </w:pPr>
            <w:r w:rsidRPr="00B5592E">
              <w:rPr>
                <w:color w:val="000000"/>
                <w:sz w:val="16"/>
                <w:szCs w:val="16"/>
              </w:rPr>
              <w:t> </w:t>
            </w:r>
          </w:p>
        </w:tc>
        <w:tc>
          <w:tcPr>
            <w:tcW w:w="934" w:type="dxa"/>
            <w:shd w:val="clear" w:color="000000" w:fill="DCE6F1"/>
            <w:vAlign w:val="center"/>
            <w:hideMark/>
          </w:tcPr>
          <w:p w:rsidR="00B5592E" w:rsidRPr="00B5592E" w:rsidRDefault="00B5592E" w:rsidP="00B5592E">
            <w:pPr>
              <w:jc w:val="right"/>
              <w:rPr>
                <w:color w:val="000000"/>
                <w:sz w:val="16"/>
                <w:szCs w:val="16"/>
              </w:rPr>
            </w:pPr>
            <w:r w:rsidRPr="00B5592E">
              <w:rPr>
                <w:color w:val="000000"/>
                <w:sz w:val="16"/>
                <w:szCs w:val="16"/>
              </w:rPr>
              <w:t> </w:t>
            </w:r>
          </w:p>
        </w:tc>
        <w:tc>
          <w:tcPr>
            <w:tcW w:w="1402" w:type="dxa"/>
            <w:gridSpan w:val="2"/>
            <w:shd w:val="clear" w:color="000000" w:fill="DCE6F1"/>
            <w:noWrap/>
            <w:vAlign w:val="center"/>
            <w:hideMark/>
          </w:tcPr>
          <w:p w:rsidR="00B5592E" w:rsidRPr="00B5592E" w:rsidRDefault="00B5592E" w:rsidP="00B5592E">
            <w:pPr>
              <w:jc w:val="center"/>
              <w:rPr>
                <w:color w:val="000000"/>
                <w:sz w:val="16"/>
                <w:szCs w:val="16"/>
              </w:rPr>
            </w:pPr>
            <w:r w:rsidRPr="00B5592E">
              <w:rPr>
                <w:color w:val="000000"/>
                <w:sz w:val="16"/>
                <w:szCs w:val="16"/>
              </w:rPr>
              <w:t>celkem výzva</w:t>
            </w:r>
          </w:p>
        </w:tc>
        <w:tc>
          <w:tcPr>
            <w:tcW w:w="1049" w:type="dxa"/>
            <w:shd w:val="clear" w:color="000000" w:fill="DCE6F1"/>
            <w:noWrap/>
            <w:vAlign w:val="center"/>
            <w:hideMark/>
          </w:tcPr>
          <w:p w:rsidR="00B5592E" w:rsidRPr="00B5592E" w:rsidRDefault="00B5592E" w:rsidP="00B5592E">
            <w:pPr>
              <w:jc w:val="right"/>
              <w:rPr>
                <w:color w:val="000000"/>
                <w:sz w:val="16"/>
                <w:szCs w:val="16"/>
              </w:rPr>
            </w:pPr>
            <w:r w:rsidRPr="00B5592E">
              <w:rPr>
                <w:color w:val="000000"/>
                <w:sz w:val="16"/>
                <w:szCs w:val="16"/>
              </w:rPr>
              <w:t>11 761 247</w:t>
            </w:r>
          </w:p>
        </w:tc>
        <w:tc>
          <w:tcPr>
            <w:tcW w:w="487" w:type="dxa"/>
            <w:shd w:val="clear" w:color="000000" w:fill="DCE6F1"/>
            <w:noWrap/>
            <w:vAlign w:val="center"/>
            <w:hideMark/>
          </w:tcPr>
          <w:p w:rsidR="00B5592E" w:rsidRPr="00B5592E" w:rsidRDefault="00B5592E" w:rsidP="00B5592E">
            <w:pPr>
              <w:jc w:val="right"/>
              <w:rPr>
                <w:color w:val="000000"/>
                <w:sz w:val="16"/>
                <w:szCs w:val="16"/>
              </w:rPr>
            </w:pPr>
            <w:r w:rsidRPr="00B5592E">
              <w:rPr>
                <w:color w:val="000000"/>
                <w:sz w:val="16"/>
                <w:szCs w:val="16"/>
              </w:rPr>
              <w:t>60</w:t>
            </w:r>
          </w:p>
        </w:tc>
        <w:tc>
          <w:tcPr>
            <w:tcW w:w="1032" w:type="dxa"/>
            <w:shd w:val="clear" w:color="000000" w:fill="DCE6F1"/>
            <w:noWrap/>
            <w:vAlign w:val="center"/>
            <w:hideMark/>
          </w:tcPr>
          <w:p w:rsidR="00B5592E" w:rsidRPr="00B5592E" w:rsidRDefault="00B5592E" w:rsidP="00B5592E">
            <w:pPr>
              <w:jc w:val="right"/>
              <w:rPr>
                <w:color w:val="000000"/>
                <w:sz w:val="16"/>
                <w:szCs w:val="16"/>
              </w:rPr>
            </w:pPr>
            <w:r w:rsidRPr="00B5592E">
              <w:rPr>
                <w:color w:val="000000"/>
                <w:sz w:val="16"/>
                <w:szCs w:val="16"/>
              </w:rPr>
              <w:t>7 780 433</w:t>
            </w:r>
          </w:p>
        </w:tc>
        <w:tc>
          <w:tcPr>
            <w:tcW w:w="589" w:type="dxa"/>
            <w:shd w:val="clear" w:color="000000" w:fill="DCE6F1"/>
            <w:noWrap/>
            <w:vAlign w:val="center"/>
            <w:hideMark/>
          </w:tcPr>
          <w:p w:rsidR="00B5592E" w:rsidRPr="00B5592E" w:rsidRDefault="00B5592E" w:rsidP="00B5592E">
            <w:pPr>
              <w:jc w:val="right"/>
              <w:rPr>
                <w:color w:val="000000"/>
                <w:sz w:val="16"/>
                <w:szCs w:val="16"/>
              </w:rPr>
            </w:pPr>
            <w:r w:rsidRPr="00B5592E">
              <w:rPr>
                <w:color w:val="000000"/>
                <w:sz w:val="16"/>
                <w:szCs w:val="16"/>
              </w:rPr>
              <w:t>50</w:t>
            </w:r>
          </w:p>
        </w:tc>
        <w:tc>
          <w:tcPr>
            <w:tcW w:w="1241" w:type="dxa"/>
            <w:shd w:val="clear" w:color="000000" w:fill="DCE6F1"/>
            <w:noWrap/>
            <w:vAlign w:val="center"/>
            <w:hideMark/>
          </w:tcPr>
          <w:p w:rsidR="00B5592E" w:rsidRPr="00B5592E" w:rsidRDefault="00B5592E" w:rsidP="00B5592E">
            <w:pPr>
              <w:jc w:val="right"/>
              <w:rPr>
                <w:color w:val="000000"/>
                <w:sz w:val="16"/>
                <w:szCs w:val="16"/>
              </w:rPr>
            </w:pPr>
            <w:r w:rsidRPr="00B5592E">
              <w:rPr>
                <w:color w:val="000000"/>
                <w:sz w:val="16"/>
                <w:szCs w:val="16"/>
              </w:rPr>
              <w:t>4 958 278</w:t>
            </w:r>
          </w:p>
        </w:tc>
      </w:tr>
      <w:tr w:rsidR="00B5592E" w:rsidRPr="00B5592E" w:rsidTr="00B5592E">
        <w:trPr>
          <w:trHeight w:val="315"/>
        </w:trPr>
        <w:tc>
          <w:tcPr>
            <w:tcW w:w="4582" w:type="dxa"/>
            <w:gridSpan w:val="6"/>
            <w:shd w:val="clear" w:color="000000" w:fill="FFFFFF"/>
            <w:noWrap/>
            <w:vAlign w:val="bottom"/>
            <w:hideMark/>
          </w:tcPr>
          <w:p w:rsidR="00B5592E" w:rsidRPr="00B5592E" w:rsidRDefault="00B5592E" w:rsidP="00B5592E">
            <w:pPr>
              <w:rPr>
                <w:color w:val="000000"/>
              </w:rPr>
            </w:pPr>
            <w:r w:rsidRPr="00B5592E">
              <w:rPr>
                <w:color w:val="000000"/>
              </w:rPr>
              <w:t>Celkem KONV</w:t>
            </w:r>
          </w:p>
        </w:tc>
        <w:tc>
          <w:tcPr>
            <w:tcW w:w="1049" w:type="dxa"/>
            <w:shd w:val="clear" w:color="000000" w:fill="FFFFFF"/>
            <w:noWrap/>
            <w:vAlign w:val="center"/>
            <w:hideMark/>
          </w:tcPr>
          <w:p w:rsidR="00B5592E" w:rsidRPr="00B5592E" w:rsidRDefault="00B5592E" w:rsidP="00B5592E">
            <w:pPr>
              <w:jc w:val="right"/>
              <w:rPr>
                <w:color w:val="000000"/>
                <w:sz w:val="16"/>
                <w:szCs w:val="16"/>
              </w:rPr>
            </w:pPr>
            <w:r w:rsidRPr="00B5592E">
              <w:rPr>
                <w:color w:val="000000"/>
                <w:sz w:val="16"/>
                <w:szCs w:val="16"/>
              </w:rPr>
              <w:t>289 821 920</w:t>
            </w:r>
          </w:p>
        </w:tc>
        <w:tc>
          <w:tcPr>
            <w:tcW w:w="487" w:type="dxa"/>
            <w:shd w:val="clear" w:color="000000" w:fill="FFFFFF"/>
            <w:noWrap/>
            <w:vAlign w:val="center"/>
            <w:hideMark/>
          </w:tcPr>
          <w:p w:rsidR="00B5592E" w:rsidRPr="00B5592E" w:rsidRDefault="00B5592E" w:rsidP="00B5592E">
            <w:pPr>
              <w:jc w:val="right"/>
              <w:rPr>
                <w:color w:val="000000"/>
                <w:sz w:val="16"/>
                <w:szCs w:val="16"/>
              </w:rPr>
            </w:pPr>
            <w:r w:rsidRPr="00B5592E">
              <w:rPr>
                <w:color w:val="000000"/>
                <w:sz w:val="16"/>
                <w:szCs w:val="16"/>
              </w:rPr>
              <w:t>1 692</w:t>
            </w:r>
          </w:p>
        </w:tc>
        <w:tc>
          <w:tcPr>
            <w:tcW w:w="1032" w:type="dxa"/>
            <w:shd w:val="clear" w:color="000000" w:fill="FFFFFF"/>
            <w:noWrap/>
            <w:vAlign w:val="center"/>
            <w:hideMark/>
          </w:tcPr>
          <w:p w:rsidR="00B5592E" w:rsidRPr="00B5592E" w:rsidRDefault="00B5592E" w:rsidP="00B5592E">
            <w:pPr>
              <w:jc w:val="right"/>
              <w:rPr>
                <w:color w:val="000000"/>
                <w:sz w:val="16"/>
                <w:szCs w:val="16"/>
              </w:rPr>
            </w:pPr>
            <w:r w:rsidRPr="00B5592E">
              <w:rPr>
                <w:color w:val="000000"/>
                <w:sz w:val="16"/>
                <w:szCs w:val="16"/>
              </w:rPr>
              <w:t>561 196 093</w:t>
            </w:r>
          </w:p>
        </w:tc>
        <w:tc>
          <w:tcPr>
            <w:tcW w:w="589" w:type="dxa"/>
            <w:shd w:val="clear" w:color="000000" w:fill="FFFFFF"/>
            <w:noWrap/>
            <w:vAlign w:val="center"/>
            <w:hideMark/>
          </w:tcPr>
          <w:p w:rsidR="00B5592E" w:rsidRPr="00B5592E" w:rsidRDefault="00B5592E" w:rsidP="00B5592E">
            <w:pPr>
              <w:jc w:val="right"/>
              <w:rPr>
                <w:color w:val="000000"/>
                <w:sz w:val="16"/>
                <w:szCs w:val="16"/>
              </w:rPr>
            </w:pPr>
            <w:r w:rsidRPr="00B5592E">
              <w:rPr>
                <w:color w:val="000000"/>
                <w:sz w:val="16"/>
                <w:szCs w:val="16"/>
              </w:rPr>
              <w:t>1 639</w:t>
            </w:r>
          </w:p>
        </w:tc>
        <w:tc>
          <w:tcPr>
            <w:tcW w:w="1241" w:type="dxa"/>
            <w:shd w:val="clear" w:color="000000" w:fill="FFFFFF"/>
            <w:noWrap/>
            <w:vAlign w:val="center"/>
            <w:hideMark/>
          </w:tcPr>
          <w:p w:rsidR="00B5592E" w:rsidRPr="00B5592E" w:rsidRDefault="00B5592E" w:rsidP="00B5592E">
            <w:pPr>
              <w:jc w:val="right"/>
              <w:rPr>
                <w:color w:val="000000"/>
                <w:sz w:val="16"/>
                <w:szCs w:val="16"/>
              </w:rPr>
            </w:pPr>
            <w:r w:rsidRPr="00B5592E">
              <w:rPr>
                <w:color w:val="000000"/>
                <w:sz w:val="16"/>
                <w:szCs w:val="16"/>
              </w:rPr>
              <w:t>287 758 882</w:t>
            </w:r>
          </w:p>
        </w:tc>
      </w:tr>
      <w:tr w:rsidR="00B5592E" w:rsidRPr="00B5592E" w:rsidTr="00B5592E">
        <w:trPr>
          <w:trHeight w:val="315"/>
        </w:trPr>
        <w:tc>
          <w:tcPr>
            <w:tcW w:w="4582" w:type="dxa"/>
            <w:gridSpan w:val="6"/>
            <w:shd w:val="clear" w:color="000000" w:fill="B8CCE4"/>
            <w:noWrap/>
            <w:vAlign w:val="bottom"/>
            <w:hideMark/>
          </w:tcPr>
          <w:p w:rsidR="00B5592E" w:rsidRPr="00B5592E" w:rsidRDefault="00B5592E" w:rsidP="00B5592E">
            <w:pPr>
              <w:rPr>
                <w:color w:val="000000"/>
              </w:rPr>
            </w:pPr>
            <w:r w:rsidRPr="00B5592E">
              <w:rPr>
                <w:color w:val="000000"/>
              </w:rPr>
              <w:t xml:space="preserve">Celkem </w:t>
            </w:r>
            <w:proofErr w:type="spellStart"/>
            <w:r w:rsidRPr="00B5592E">
              <w:rPr>
                <w:color w:val="000000"/>
              </w:rPr>
              <w:t>RKaZ</w:t>
            </w:r>
            <w:proofErr w:type="spellEnd"/>
          </w:p>
        </w:tc>
        <w:tc>
          <w:tcPr>
            <w:tcW w:w="1049" w:type="dxa"/>
            <w:shd w:val="clear" w:color="000000" w:fill="B8CCE4"/>
            <w:noWrap/>
            <w:vAlign w:val="center"/>
            <w:hideMark/>
          </w:tcPr>
          <w:p w:rsidR="00B5592E" w:rsidRPr="00B5592E" w:rsidRDefault="00B5592E" w:rsidP="00B5592E">
            <w:pPr>
              <w:jc w:val="right"/>
              <w:rPr>
                <w:color w:val="000000"/>
                <w:sz w:val="16"/>
                <w:szCs w:val="16"/>
              </w:rPr>
            </w:pPr>
            <w:r w:rsidRPr="00B5592E">
              <w:rPr>
                <w:color w:val="000000"/>
                <w:sz w:val="16"/>
                <w:szCs w:val="16"/>
              </w:rPr>
              <w:t> </w:t>
            </w:r>
          </w:p>
        </w:tc>
        <w:tc>
          <w:tcPr>
            <w:tcW w:w="487" w:type="dxa"/>
            <w:shd w:val="clear" w:color="000000" w:fill="B8CCE4"/>
            <w:noWrap/>
            <w:vAlign w:val="center"/>
            <w:hideMark/>
          </w:tcPr>
          <w:p w:rsidR="00B5592E" w:rsidRPr="00B5592E" w:rsidRDefault="00B5592E" w:rsidP="00B5592E">
            <w:pPr>
              <w:jc w:val="right"/>
              <w:rPr>
                <w:color w:val="000000"/>
                <w:sz w:val="16"/>
                <w:szCs w:val="16"/>
              </w:rPr>
            </w:pPr>
            <w:r w:rsidRPr="00B5592E">
              <w:rPr>
                <w:color w:val="000000"/>
                <w:sz w:val="16"/>
                <w:szCs w:val="16"/>
              </w:rPr>
              <w:t>31</w:t>
            </w:r>
          </w:p>
        </w:tc>
        <w:tc>
          <w:tcPr>
            <w:tcW w:w="1032" w:type="dxa"/>
            <w:shd w:val="clear" w:color="000000" w:fill="B8CCE4"/>
            <w:noWrap/>
            <w:vAlign w:val="center"/>
            <w:hideMark/>
          </w:tcPr>
          <w:p w:rsidR="00B5592E" w:rsidRPr="00B5592E" w:rsidRDefault="00B5592E" w:rsidP="00B5592E">
            <w:pPr>
              <w:jc w:val="right"/>
              <w:rPr>
                <w:color w:val="000000"/>
                <w:sz w:val="16"/>
                <w:szCs w:val="16"/>
              </w:rPr>
            </w:pPr>
            <w:r w:rsidRPr="00B5592E">
              <w:rPr>
                <w:color w:val="000000"/>
                <w:sz w:val="16"/>
                <w:szCs w:val="16"/>
              </w:rPr>
              <w:t>9 669 972</w:t>
            </w:r>
          </w:p>
        </w:tc>
        <w:tc>
          <w:tcPr>
            <w:tcW w:w="589" w:type="dxa"/>
            <w:shd w:val="clear" w:color="000000" w:fill="B8CCE4"/>
            <w:noWrap/>
            <w:vAlign w:val="center"/>
            <w:hideMark/>
          </w:tcPr>
          <w:p w:rsidR="00B5592E" w:rsidRPr="00B5592E" w:rsidRDefault="00B5592E" w:rsidP="00B5592E">
            <w:pPr>
              <w:jc w:val="right"/>
              <w:rPr>
                <w:color w:val="000000"/>
                <w:sz w:val="16"/>
                <w:szCs w:val="16"/>
              </w:rPr>
            </w:pPr>
            <w:r w:rsidRPr="00B5592E">
              <w:rPr>
                <w:color w:val="000000"/>
                <w:sz w:val="16"/>
                <w:szCs w:val="16"/>
              </w:rPr>
              <w:t>22</w:t>
            </w:r>
          </w:p>
        </w:tc>
        <w:tc>
          <w:tcPr>
            <w:tcW w:w="1241" w:type="dxa"/>
            <w:shd w:val="clear" w:color="000000" w:fill="B8CCE4"/>
            <w:noWrap/>
            <w:vAlign w:val="center"/>
            <w:hideMark/>
          </w:tcPr>
          <w:p w:rsidR="00B5592E" w:rsidRPr="00B5592E" w:rsidRDefault="00B5592E" w:rsidP="00B5592E">
            <w:pPr>
              <w:jc w:val="right"/>
              <w:rPr>
                <w:color w:val="000000"/>
                <w:sz w:val="16"/>
                <w:szCs w:val="16"/>
              </w:rPr>
            </w:pPr>
            <w:r w:rsidRPr="00B5592E">
              <w:rPr>
                <w:color w:val="000000"/>
                <w:sz w:val="16"/>
                <w:szCs w:val="16"/>
              </w:rPr>
              <w:t>3 960 971</w:t>
            </w:r>
          </w:p>
        </w:tc>
      </w:tr>
      <w:tr w:rsidR="00B5592E" w:rsidRPr="00B5592E" w:rsidTr="00B5592E">
        <w:trPr>
          <w:trHeight w:val="315"/>
        </w:trPr>
        <w:tc>
          <w:tcPr>
            <w:tcW w:w="4582" w:type="dxa"/>
            <w:gridSpan w:val="6"/>
            <w:shd w:val="clear" w:color="000000" w:fill="B8CCE4"/>
            <w:noWrap/>
            <w:vAlign w:val="center"/>
            <w:hideMark/>
          </w:tcPr>
          <w:p w:rsidR="00B5592E" w:rsidRPr="00B5592E" w:rsidRDefault="00B5592E" w:rsidP="00B5592E">
            <w:pPr>
              <w:rPr>
                <w:b/>
                <w:bCs/>
                <w:color w:val="000000"/>
                <w:sz w:val="16"/>
                <w:szCs w:val="16"/>
              </w:rPr>
            </w:pPr>
            <w:r w:rsidRPr="00B5592E">
              <w:rPr>
                <w:b/>
                <w:bCs/>
                <w:color w:val="000000"/>
                <w:sz w:val="16"/>
                <w:szCs w:val="16"/>
              </w:rPr>
              <w:t xml:space="preserve">Celkem IOP </w:t>
            </w:r>
          </w:p>
        </w:tc>
        <w:tc>
          <w:tcPr>
            <w:tcW w:w="1049" w:type="dxa"/>
            <w:shd w:val="clear" w:color="000000" w:fill="B8CCE4"/>
            <w:noWrap/>
            <w:vAlign w:val="center"/>
            <w:hideMark/>
          </w:tcPr>
          <w:p w:rsidR="00B5592E" w:rsidRPr="00B5592E" w:rsidRDefault="00B5592E" w:rsidP="00B5592E">
            <w:pPr>
              <w:jc w:val="right"/>
              <w:rPr>
                <w:b/>
                <w:bCs/>
                <w:color w:val="000000"/>
                <w:sz w:val="16"/>
                <w:szCs w:val="16"/>
              </w:rPr>
            </w:pPr>
            <w:r w:rsidRPr="00B5592E">
              <w:rPr>
                <w:b/>
                <w:bCs/>
                <w:color w:val="000000"/>
                <w:sz w:val="16"/>
                <w:szCs w:val="16"/>
              </w:rPr>
              <w:t>294 568 583</w:t>
            </w:r>
          </w:p>
        </w:tc>
        <w:tc>
          <w:tcPr>
            <w:tcW w:w="487" w:type="dxa"/>
            <w:shd w:val="clear" w:color="000000" w:fill="B8CCE4"/>
            <w:noWrap/>
            <w:vAlign w:val="center"/>
            <w:hideMark/>
          </w:tcPr>
          <w:p w:rsidR="00B5592E" w:rsidRPr="00B5592E" w:rsidRDefault="00B5592E" w:rsidP="00B5592E">
            <w:pPr>
              <w:jc w:val="right"/>
              <w:rPr>
                <w:b/>
                <w:bCs/>
                <w:color w:val="000000"/>
                <w:sz w:val="16"/>
                <w:szCs w:val="16"/>
              </w:rPr>
            </w:pPr>
            <w:r w:rsidRPr="00B5592E">
              <w:rPr>
                <w:b/>
                <w:bCs/>
                <w:color w:val="000000"/>
                <w:sz w:val="16"/>
                <w:szCs w:val="16"/>
              </w:rPr>
              <w:t>1 723</w:t>
            </w:r>
          </w:p>
        </w:tc>
        <w:tc>
          <w:tcPr>
            <w:tcW w:w="1032" w:type="dxa"/>
            <w:shd w:val="clear" w:color="000000" w:fill="B8CCE4"/>
            <w:noWrap/>
            <w:vAlign w:val="center"/>
            <w:hideMark/>
          </w:tcPr>
          <w:p w:rsidR="00B5592E" w:rsidRPr="00B5592E" w:rsidRDefault="00B5592E" w:rsidP="00B5592E">
            <w:pPr>
              <w:jc w:val="right"/>
              <w:rPr>
                <w:b/>
                <w:bCs/>
                <w:color w:val="000000"/>
                <w:sz w:val="16"/>
                <w:szCs w:val="16"/>
              </w:rPr>
            </w:pPr>
            <w:r w:rsidRPr="00B5592E">
              <w:rPr>
                <w:b/>
                <w:bCs/>
                <w:color w:val="000000"/>
                <w:sz w:val="16"/>
                <w:szCs w:val="16"/>
              </w:rPr>
              <w:t>572 012 282</w:t>
            </w:r>
          </w:p>
        </w:tc>
        <w:tc>
          <w:tcPr>
            <w:tcW w:w="589" w:type="dxa"/>
            <w:shd w:val="clear" w:color="000000" w:fill="B8CCE4"/>
            <w:noWrap/>
            <w:vAlign w:val="center"/>
            <w:hideMark/>
          </w:tcPr>
          <w:p w:rsidR="00B5592E" w:rsidRPr="00B5592E" w:rsidRDefault="00B5592E" w:rsidP="00B5592E">
            <w:pPr>
              <w:jc w:val="right"/>
              <w:rPr>
                <w:b/>
                <w:bCs/>
                <w:color w:val="000000"/>
                <w:sz w:val="16"/>
                <w:szCs w:val="16"/>
              </w:rPr>
            </w:pPr>
            <w:r w:rsidRPr="00B5592E">
              <w:rPr>
                <w:b/>
                <w:bCs/>
                <w:color w:val="000000"/>
                <w:sz w:val="16"/>
                <w:szCs w:val="16"/>
              </w:rPr>
              <w:t>1 654</w:t>
            </w:r>
          </w:p>
        </w:tc>
        <w:tc>
          <w:tcPr>
            <w:tcW w:w="1241" w:type="dxa"/>
            <w:shd w:val="clear" w:color="000000" w:fill="B8CCE4"/>
            <w:noWrap/>
            <w:vAlign w:val="center"/>
            <w:hideMark/>
          </w:tcPr>
          <w:p w:rsidR="00B5592E" w:rsidRPr="00B5592E" w:rsidRDefault="00B5592E" w:rsidP="00B5592E">
            <w:pPr>
              <w:jc w:val="right"/>
              <w:rPr>
                <w:b/>
                <w:bCs/>
                <w:color w:val="000000"/>
                <w:sz w:val="16"/>
                <w:szCs w:val="16"/>
              </w:rPr>
            </w:pPr>
            <w:r w:rsidRPr="00B5592E">
              <w:rPr>
                <w:b/>
                <w:bCs/>
                <w:color w:val="000000"/>
                <w:sz w:val="16"/>
                <w:szCs w:val="16"/>
              </w:rPr>
              <w:t>292 668 293</w:t>
            </w:r>
          </w:p>
        </w:tc>
      </w:tr>
    </w:tbl>
    <w:p w:rsidR="00E33310" w:rsidRDefault="00F154AE" w:rsidP="00F154AE">
      <w:pPr>
        <w:rPr>
          <w:i/>
          <w:sz w:val="18"/>
          <w:szCs w:val="18"/>
        </w:rPr>
      </w:pPr>
      <w:r>
        <w:rPr>
          <w:i/>
          <w:sz w:val="18"/>
          <w:szCs w:val="18"/>
        </w:rPr>
        <w:t xml:space="preserve">Zdroj: IS </w:t>
      </w:r>
      <w:r w:rsidRPr="004F22BE">
        <w:rPr>
          <w:i/>
          <w:sz w:val="18"/>
          <w:szCs w:val="18"/>
        </w:rPr>
        <w:t xml:space="preserve">Monit7+ ke dni </w:t>
      </w:r>
      <w:r w:rsidR="0015783A">
        <w:rPr>
          <w:i/>
          <w:sz w:val="18"/>
          <w:szCs w:val="18"/>
        </w:rPr>
        <w:t>30. 9. 2015</w:t>
      </w:r>
      <w:r>
        <w:rPr>
          <w:i/>
          <w:sz w:val="18"/>
          <w:szCs w:val="18"/>
        </w:rPr>
        <w:t xml:space="preserve">; </w:t>
      </w:r>
    </w:p>
    <w:p w:rsidR="00CA54D4" w:rsidRPr="00FC1F95" w:rsidRDefault="00F154AE" w:rsidP="00CA54D4">
      <w:pPr>
        <w:rPr>
          <w:i/>
          <w:sz w:val="18"/>
          <w:szCs w:val="18"/>
        </w:rPr>
      </w:pPr>
      <w:r w:rsidRPr="004F22BE">
        <w:rPr>
          <w:i/>
          <w:sz w:val="18"/>
          <w:szCs w:val="18"/>
        </w:rPr>
        <w:t xml:space="preserve">Kurz CZK/EUR: </w:t>
      </w:r>
      <w:r w:rsidR="00B618C5">
        <w:rPr>
          <w:i/>
          <w:sz w:val="18"/>
          <w:szCs w:val="18"/>
        </w:rPr>
        <w:t>27,</w:t>
      </w:r>
      <w:r w:rsidR="00B5592E">
        <w:rPr>
          <w:i/>
          <w:sz w:val="18"/>
          <w:szCs w:val="18"/>
        </w:rPr>
        <w:t>208</w:t>
      </w:r>
      <w:r w:rsidR="00CA54D4">
        <w:rPr>
          <w:i/>
          <w:sz w:val="18"/>
          <w:szCs w:val="18"/>
        </w:rPr>
        <w:t>;</w:t>
      </w:r>
      <w:r>
        <w:rPr>
          <w:i/>
          <w:sz w:val="18"/>
          <w:szCs w:val="18"/>
        </w:rPr>
        <w:t xml:space="preserve"> </w:t>
      </w:r>
      <w:r w:rsidR="00CA54D4" w:rsidRPr="004F22BE">
        <w:rPr>
          <w:i/>
          <w:sz w:val="18"/>
          <w:szCs w:val="18"/>
        </w:rPr>
        <w:t xml:space="preserve">Zdroj financování – </w:t>
      </w:r>
      <w:r w:rsidR="00CA54D4">
        <w:rPr>
          <w:i/>
          <w:sz w:val="18"/>
          <w:szCs w:val="18"/>
        </w:rPr>
        <w:t>veřejné prostředky celkem</w:t>
      </w:r>
    </w:p>
    <w:p w:rsidR="00A912D1" w:rsidRDefault="00A912D1" w:rsidP="00D302FA"/>
    <w:p w:rsidR="00DC214C" w:rsidRDefault="00DC214C" w:rsidP="00DC214C">
      <w:pPr>
        <w:pStyle w:val="Nadpis3"/>
        <w:rPr>
          <w:rFonts w:ascii="Times New Roman" w:hAnsi="Times New Roman"/>
          <w:sz w:val="24"/>
          <w:szCs w:val="24"/>
        </w:rPr>
      </w:pPr>
      <w:bookmarkStart w:id="23" w:name="_Toc433873465"/>
      <w:r w:rsidRPr="004D5887">
        <w:rPr>
          <w:rFonts w:ascii="Times New Roman" w:hAnsi="Times New Roman"/>
          <w:sz w:val="24"/>
          <w:szCs w:val="24"/>
        </w:rPr>
        <w:t>2.3.3 Změny a dodatky důležitých dokumentů IOP</w:t>
      </w:r>
      <w:bookmarkEnd w:id="23"/>
    </w:p>
    <w:p w:rsidR="00FC09DF" w:rsidRDefault="00FC09DF" w:rsidP="00FC09DF">
      <w:pPr>
        <w:rPr>
          <w:b/>
          <w:sz w:val="22"/>
          <w:szCs w:val="22"/>
        </w:rPr>
      </w:pPr>
      <w:r w:rsidRPr="008E5BCA">
        <w:rPr>
          <w:b/>
          <w:sz w:val="22"/>
          <w:szCs w:val="22"/>
        </w:rPr>
        <w:t>Změny Programového dokumentu IOP</w:t>
      </w:r>
    </w:p>
    <w:p w:rsidR="00FE6182" w:rsidRPr="00FE6182" w:rsidRDefault="00FE6182" w:rsidP="00FE6182">
      <w:pPr>
        <w:pStyle w:val="textPDIOP"/>
        <w:spacing w:after="0" w:line="240" w:lineRule="auto"/>
        <w:rPr>
          <w:rFonts w:ascii="Times New Roman" w:hAnsi="Times New Roman" w:cs="Times New Roman"/>
          <w:sz w:val="22"/>
          <w:szCs w:val="22"/>
        </w:rPr>
      </w:pPr>
      <w:r w:rsidRPr="00FE6182">
        <w:rPr>
          <w:rFonts w:ascii="Times New Roman" w:hAnsi="Times New Roman" w:cs="Times New Roman"/>
          <w:sz w:val="22"/>
          <w:szCs w:val="22"/>
        </w:rPr>
        <w:t>Reviz</w:t>
      </w:r>
      <w:r w:rsidR="00170BF6">
        <w:rPr>
          <w:rFonts w:ascii="Times New Roman" w:hAnsi="Times New Roman" w:cs="Times New Roman"/>
          <w:sz w:val="22"/>
          <w:szCs w:val="22"/>
        </w:rPr>
        <w:t>i</w:t>
      </w:r>
      <w:r w:rsidRPr="00FE6182">
        <w:rPr>
          <w:rFonts w:ascii="Times New Roman" w:hAnsi="Times New Roman" w:cs="Times New Roman"/>
          <w:sz w:val="22"/>
          <w:szCs w:val="22"/>
        </w:rPr>
        <w:t xml:space="preserve"> Programového dokumentu Integrovaného operačního programu ve smyslu čl. 33 a čl. 93 Nařízení Rady č. 1083/2006 schvál</w:t>
      </w:r>
      <w:r w:rsidR="00170BF6">
        <w:rPr>
          <w:rFonts w:ascii="Times New Roman" w:hAnsi="Times New Roman" w:cs="Times New Roman"/>
          <w:sz w:val="22"/>
          <w:szCs w:val="22"/>
        </w:rPr>
        <w:t>il</w:t>
      </w:r>
      <w:r w:rsidRPr="00FE6182">
        <w:rPr>
          <w:rFonts w:ascii="Times New Roman" w:hAnsi="Times New Roman" w:cs="Times New Roman"/>
          <w:sz w:val="22"/>
          <w:szCs w:val="22"/>
        </w:rPr>
        <w:t xml:space="preserve"> Monitorovací výbor IOP 16. června 2015. </w:t>
      </w:r>
    </w:p>
    <w:p w:rsidR="00DA04F7" w:rsidRPr="004A56BD" w:rsidRDefault="00FE6182" w:rsidP="004A56BD">
      <w:pPr>
        <w:pStyle w:val="textPDIOP"/>
        <w:spacing w:after="0" w:line="240" w:lineRule="auto"/>
        <w:rPr>
          <w:rFonts w:ascii="Times New Roman" w:hAnsi="Times New Roman" w:cs="Times New Roman"/>
          <w:sz w:val="22"/>
          <w:szCs w:val="22"/>
        </w:rPr>
      </w:pPr>
      <w:r w:rsidRPr="00FE6182">
        <w:rPr>
          <w:rFonts w:ascii="Times New Roman" w:hAnsi="Times New Roman" w:cs="Times New Roman"/>
          <w:sz w:val="22"/>
          <w:szCs w:val="22"/>
        </w:rPr>
        <w:t>Důvodem revize je změna finančních tabulek</w:t>
      </w:r>
      <w:r w:rsidR="00170BF6">
        <w:rPr>
          <w:rFonts w:ascii="Times New Roman" w:hAnsi="Times New Roman" w:cs="Times New Roman"/>
          <w:sz w:val="22"/>
          <w:szCs w:val="22"/>
        </w:rPr>
        <w:t xml:space="preserve"> po</w:t>
      </w:r>
      <w:r w:rsidRPr="00FE6182">
        <w:rPr>
          <w:rFonts w:ascii="Times New Roman" w:hAnsi="Times New Roman" w:cs="Times New Roman"/>
          <w:sz w:val="22"/>
          <w:szCs w:val="22"/>
        </w:rPr>
        <w:t xml:space="preserve"> vyčíslení </w:t>
      </w:r>
      <w:r>
        <w:rPr>
          <w:rFonts w:ascii="Times New Roman" w:hAnsi="Times New Roman" w:cs="Times New Roman"/>
          <w:sz w:val="22"/>
          <w:szCs w:val="22"/>
        </w:rPr>
        <w:t xml:space="preserve">ztráty alokace </w:t>
      </w:r>
      <w:r w:rsidRPr="00FE6182">
        <w:rPr>
          <w:rFonts w:ascii="Times New Roman" w:hAnsi="Times New Roman" w:cs="Times New Roman"/>
          <w:sz w:val="22"/>
          <w:szCs w:val="22"/>
        </w:rPr>
        <w:t xml:space="preserve">za rok 2014. Změna se týká </w:t>
      </w:r>
      <w:r w:rsidR="004A56BD">
        <w:rPr>
          <w:rFonts w:ascii="Times New Roman" w:hAnsi="Times New Roman" w:cs="Times New Roman"/>
          <w:sz w:val="22"/>
          <w:szCs w:val="22"/>
        </w:rPr>
        <w:br/>
      </w:r>
      <w:r w:rsidRPr="00FE6182">
        <w:rPr>
          <w:rFonts w:ascii="Times New Roman" w:hAnsi="Times New Roman" w:cs="Times New Roman"/>
          <w:sz w:val="22"/>
          <w:szCs w:val="22"/>
        </w:rPr>
        <w:t>i úpravy zprostředkujících subjektů a finančních útvarů v oblastech intervence 2.1, 3.4 a 5.1. Jedná se o schválenou formální změnu, která byla prostřednictvím revize zapracována do Programového dokumentu.</w:t>
      </w:r>
    </w:p>
    <w:p w:rsidR="00DA04F7" w:rsidRDefault="00DA04F7" w:rsidP="00727BD4">
      <w:pPr>
        <w:rPr>
          <w:b/>
          <w:sz w:val="22"/>
          <w:szCs w:val="22"/>
        </w:rPr>
      </w:pPr>
    </w:p>
    <w:p w:rsidR="00020338" w:rsidRDefault="00020338" w:rsidP="00727BD4">
      <w:pPr>
        <w:rPr>
          <w:b/>
          <w:sz w:val="22"/>
          <w:szCs w:val="22"/>
        </w:rPr>
      </w:pPr>
      <w:r w:rsidRPr="00727BD4">
        <w:rPr>
          <w:b/>
          <w:sz w:val="22"/>
          <w:szCs w:val="22"/>
        </w:rPr>
        <w:t>Metodické pokyny a Závazná stanoviska ŘO IOP</w:t>
      </w:r>
    </w:p>
    <w:p w:rsidR="00FE6182" w:rsidRPr="00FE6182" w:rsidRDefault="00FE6182" w:rsidP="00FE6182">
      <w:pPr>
        <w:tabs>
          <w:tab w:val="left" w:pos="709"/>
        </w:tabs>
        <w:jc w:val="both"/>
        <w:rPr>
          <w:sz w:val="22"/>
          <w:szCs w:val="22"/>
          <w:u w:val="single"/>
        </w:rPr>
      </w:pPr>
      <w:r w:rsidRPr="00FE6182">
        <w:rPr>
          <w:sz w:val="22"/>
          <w:szCs w:val="22"/>
          <w:u w:val="single"/>
        </w:rPr>
        <w:t>Metodický pokyn č. 60 – Publicita</w:t>
      </w:r>
    </w:p>
    <w:p w:rsidR="00FE6182" w:rsidRDefault="00FE6182" w:rsidP="00FE6182">
      <w:pPr>
        <w:tabs>
          <w:tab w:val="left" w:pos="709"/>
        </w:tabs>
        <w:jc w:val="both"/>
        <w:rPr>
          <w:sz w:val="22"/>
          <w:szCs w:val="22"/>
        </w:rPr>
      </w:pPr>
      <w:r w:rsidRPr="00FE6182">
        <w:rPr>
          <w:sz w:val="22"/>
          <w:szCs w:val="22"/>
        </w:rPr>
        <w:t xml:space="preserve">Důvodem pro vydání je umožnit označování informačních a propagačních výstupů v souladu s Metodickým pokynem pro publicitu a komunikaci ESI fondů 2014-2020 v případě, že materiály informují o Integrovaném regionálním operačním programu. </w:t>
      </w:r>
    </w:p>
    <w:p w:rsidR="00FE6182" w:rsidRPr="00FE6182" w:rsidRDefault="00FE6182" w:rsidP="00FE6182">
      <w:pPr>
        <w:tabs>
          <w:tab w:val="left" w:pos="709"/>
        </w:tabs>
        <w:jc w:val="both"/>
        <w:rPr>
          <w:sz w:val="22"/>
          <w:szCs w:val="22"/>
        </w:rPr>
      </w:pPr>
    </w:p>
    <w:p w:rsidR="00FE6182" w:rsidRPr="00FE6182" w:rsidRDefault="00FE6182" w:rsidP="00FE6182">
      <w:pPr>
        <w:tabs>
          <w:tab w:val="left" w:pos="709"/>
        </w:tabs>
        <w:jc w:val="both"/>
        <w:rPr>
          <w:sz w:val="22"/>
          <w:szCs w:val="22"/>
          <w:u w:val="single"/>
        </w:rPr>
      </w:pPr>
      <w:r w:rsidRPr="00FE6182">
        <w:rPr>
          <w:sz w:val="22"/>
          <w:szCs w:val="22"/>
          <w:u w:val="single"/>
        </w:rPr>
        <w:t xml:space="preserve">Metodický pokyn č. 61 – Aktualizace kapitoly </w:t>
      </w:r>
      <w:r w:rsidR="00066799" w:rsidRPr="00FE6182">
        <w:rPr>
          <w:sz w:val="22"/>
          <w:szCs w:val="22"/>
          <w:u w:val="single"/>
        </w:rPr>
        <w:t>C. 5 Kontroly</w:t>
      </w:r>
    </w:p>
    <w:p w:rsidR="00FE6182" w:rsidRDefault="00FE6182" w:rsidP="00FE6182">
      <w:pPr>
        <w:rPr>
          <w:sz w:val="22"/>
          <w:szCs w:val="22"/>
        </w:rPr>
      </w:pPr>
      <w:r w:rsidRPr="00FE6182">
        <w:rPr>
          <w:sz w:val="22"/>
          <w:szCs w:val="22"/>
        </w:rPr>
        <w:t xml:space="preserve">Důvodem pro vydání je aktualizace postupů kontroly zakázek a kontrolních listů v souladu s aktuálními potřebami Integrovaného operačního programu. </w:t>
      </w:r>
    </w:p>
    <w:p w:rsidR="00FE6182" w:rsidRPr="00FE6182" w:rsidRDefault="00FE6182" w:rsidP="00FE6182">
      <w:pPr>
        <w:rPr>
          <w:sz w:val="22"/>
          <w:szCs w:val="22"/>
        </w:rPr>
      </w:pPr>
    </w:p>
    <w:p w:rsidR="00FE6182" w:rsidRPr="00FE6182" w:rsidRDefault="00FE6182" w:rsidP="00FE6182">
      <w:pPr>
        <w:tabs>
          <w:tab w:val="left" w:pos="709"/>
        </w:tabs>
        <w:jc w:val="both"/>
        <w:rPr>
          <w:sz w:val="22"/>
          <w:szCs w:val="22"/>
          <w:u w:val="single"/>
        </w:rPr>
      </w:pPr>
      <w:r w:rsidRPr="00FE6182">
        <w:rPr>
          <w:sz w:val="22"/>
          <w:szCs w:val="22"/>
          <w:u w:val="single"/>
        </w:rPr>
        <w:t>Metodický pokyn č. 62 – Uzavírání IOP</w:t>
      </w:r>
    </w:p>
    <w:p w:rsidR="00FE6182" w:rsidRPr="00FE6182" w:rsidRDefault="00FE6182" w:rsidP="00FE6182">
      <w:pPr>
        <w:jc w:val="both"/>
        <w:rPr>
          <w:sz w:val="22"/>
          <w:szCs w:val="22"/>
        </w:rPr>
      </w:pPr>
      <w:r w:rsidRPr="00FE6182">
        <w:rPr>
          <w:sz w:val="22"/>
          <w:szCs w:val="22"/>
        </w:rPr>
        <w:t>Důvodem pro vydání je revize „Rozhodnutí komise ze dne 20. 3. 2013, o schválení pokynů k uzavření operačních programů určených k čerpání pomoci z Evropského fondu pro regionální rozvoj, Evropského sociálního fondu a Fondu soudržnosti (2007-</w:t>
      </w:r>
      <w:proofErr w:type="gramStart"/>
      <w:r w:rsidRPr="00FE6182">
        <w:rPr>
          <w:sz w:val="22"/>
          <w:szCs w:val="22"/>
        </w:rPr>
        <w:t>2013) (Pokyny</w:t>
      </w:r>
      <w:proofErr w:type="gramEnd"/>
      <w:r w:rsidRPr="00FE6182">
        <w:rPr>
          <w:sz w:val="22"/>
          <w:szCs w:val="22"/>
        </w:rPr>
        <w:t xml:space="preserve"> EK k uzavření)“ z května roku 2015 a nastavení postupu při uzavírání IOP.</w:t>
      </w:r>
    </w:p>
    <w:p w:rsidR="00243D0D" w:rsidRPr="00243D0D" w:rsidRDefault="00243D0D" w:rsidP="00727BD4">
      <w:pPr>
        <w:rPr>
          <w:b/>
          <w:sz w:val="22"/>
          <w:szCs w:val="22"/>
        </w:rPr>
      </w:pPr>
    </w:p>
    <w:p w:rsidR="00D60711" w:rsidRDefault="00D60711" w:rsidP="00D60711">
      <w:pPr>
        <w:rPr>
          <w:b/>
          <w:sz w:val="22"/>
          <w:szCs w:val="22"/>
        </w:rPr>
      </w:pPr>
      <w:r w:rsidRPr="00D60711">
        <w:rPr>
          <w:b/>
          <w:sz w:val="22"/>
          <w:szCs w:val="22"/>
        </w:rPr>
        <w:t>Popis řídících a kontrolních systémů IOP</w:t>
      </w:r>
    </w:p>
    <w:p w:rsidR="00D60711" w:rsidRPr="00D60711" w:rsidRDefault="00D60711" w:rsidP="008967E2">
      <w:pPr>
        <w:jc w:val="both"/>
        <w:rPr>
          <w:b/>
          <w:sz w:val="22"/>
          <w:szCs w:val="22"/>
        </w:rPr>
      </w:pPr>
      <w:r w:rsidRPr="00D60711">
        <w:rPr>
          <w:sz w:val="22"/>
          <w:szCs w:val="22"/>
        </w:rPr>
        <w:t>Aktualizace dokumentu byla provedena na základě změny Popisu řídícího a kontrolního systému na úrovni Platebního a certifikačního orgánu pro programové období 2007–20</w:t>
      </w:r>
      <w:r w:rsidR="004A6350">
        <w:rPr>
          <w:sz w:val="22"/>
          <w:szCs w:val="22"/>
        </w:rPr>
        <w:t>1</w:t>
      </w:r>
      <w:r w:rsidRPr="00D60711">
        <w:rPr>
          <w:sz w:val="22"/>
          <w:szCs w:val="22"/>
        </w:rPr>
        <w:t>3.</w:t>
      </w:r>
    </w:p>
    <w:p w:rsidR="00FA6107" w:rsidRDefault="00FA6107" w:rsidP="004C19F3">
      <w:pPr>
        <w:pStyle w:val="Zhlav"/>
        <w:tabs>
          <w:tab w:val="left" w:pos="2268"/>
        </w:tabs>
        <w:jc w:val="both"/>
      </w:pPr>
    </w:p>
    <w:p w:rsidR="001B0D73" w:rsidRDefault="00D644B0" w:rsidP="00FA6107">
      <w:pPr>
        <w:pStyle w:val="Nadpis2"/>
        <w:jc w:val="both"/>
        <w:rPr>
          <w:rFonts w:ascii="Times New Roman" w:hAnsi="Times New Roman"/>
          <w:i w:val="0"/>
        </w:rPr>
      </w:pPr>
      <w:bookmarkStart w:id="24" w:name="_Toc433873466"/>
      <w:r w:rsidRPr="00B27700">
        <w:rPr>
          <w:rFonts w:ascii="Times New Roman" w:hAnsi="Times New Roman"/>
          <w:i w:val="0"/>
        </w:rPr>
        <w:t>2.4 Hlavní problémy, které se vyskytly při realizaci programu, a přijatá opatření</w:t>
      </w:r>
      <w:bookmarkEnd w:id="24"/>
    </w:p>
    <w:p w:rsidR="00493D7E" w:rsidRDefault="00493D7E" w:rsidP="00493D7E">
      <w:pPr>
        <w:pStyle w:val="Nadpis3"/>
        <w:rPr>
          <w:rFonts w:ascii="Times New Roman" w:hAnsi="Times New Roman"/>
          <w:sz w:val="24"/>
          <w:szCs w:val="24"/>
        </w:rPr>
      </w:pPr>
      <w:bookmarkStart w:id="25" w:name="_Toc433873467"/>
      <w:r w:rsidRPr="00FA4E14">
        <w:rPr>
          <w:rFonts w:ascii="Times New Roman" w:hAnsi="Times New Roman"/>
          <w:sz w:val="24"/>
          <w:szCs w:val="24"/>
        </w:rPr>
        <w:t>2.4.</w:t>
      </w:r>
      <w:r>
        <w:rPr>
          <w:rFonts w:ascii="Times New Roman" w:hAnsi="Times New Roman"/>
          <w:sz w:val="24"/>
          <w:szCs w:val="24"/>
        </w:rPr>
        <w:t>1</w:t>
      </w:r>
      <w:r w:rsidRPr="00FA4E14">
        <w:rPr>
          <w:rFonts w:ascii="Times New Roman" w:hAnsi="Times New Roman"/>
          <w:sz w:val="24"/>
          <w:szCs w:val="24"/>
        </w:rPr>
        <w:t xml:space="preserve"> Riziko</w:t>
      </w:r>
      <w:r>
        <w:rPr>
          <w:rFonts w:ascii="Times New Roman" w:hAnsi="Times New Roman"/>
          <w:sz w:val="24"/>
          <w:szCs w:val="24"/>
        </w:rPr>
        <w:t xml:space="preserve"> nedočerpání alokace </w:t>
      </w:r>
      <w:r w:rsidR="00673E63">
        <w:rPr>
          <w:rFonts w:ascii="Times New Roman" w:hAnsi="Times New Roman"/>
          <w:sz w:val="24"/>
          <w:szCs w:val="24"/>
        </w:rPr>
        <w:t>programu</w:t>
      </w:r>
      <w:bookmarkEnd w:id="25"/>
    </w:p>
    <w:p w:rsidR="00493D7E" w:rsidRDefault="00493D7E" w:rsidP="00673E63">
      <w:pPr>
        <w:pStyle w:val="Odstavecseseznamem"/>
        <w:widowControl w:val="0"/>
        <w:autoSpaceDE w:val="0"/>
        <w:autoSpaceDN w:val="0"/>
        <w:adjustRightInd w:val="0"/>
        <w:spacing w:after="0" w:line="240" w:lineRule="auto"/>
        <w:ind w:left="0"/>
        <w:jc w:val="both"/>
        <w:rPr>
          <w:rFonts w:ascii="Times New Roman" w:hAnsi="Times New Roman"/>
        </w:rPr>
      </w:pPr>
      <w:r w:rsidRPr="00673E63">
        <w:rPr>
          <w:rFonts w:ascii="Times New Roman" w:hAnsi="Times New Roman"/>
        </w:rPr>
        <w:t xml:space="preserve">V roce 2015 je hlavním cílem uzavřít poslední </w:t>
      </w:r>
      <w:r w:rsidR="00170BF6">
        <w:rPr>
          <w:rFonts w:ascii="Times New Roman" w:hAnsi="Times New Roman"/>
        </w:rPr>
        <w:t xml:space="preserve">zadávací a </w:t>
      </w:r>
      <w:r w:rsidRPr="00673E63">
        <w:rPr>
          <w:rFonts w:ascii="Times New Roman" w:hAnsi="Times New Roman"/>
        </w:rPr>
        <w:t>výběrová řízení,</w:t>
      </w:r>
      <w:r w:rsidR="00170BF6">
        <w:rPr>
          <w:rFonts w:ascii="Times New Roman" w:hAnsi="Times New Roman"/>
        </w:rPr>
        <w:t xml:space="preserve"> </w:t>
      </w:r>
      <w:r w:rsidRPr="00673E63">
        <w:rPr>
          <w:rFonts w:ascii="Times New Roman" w:hAnsi="Times New Roman"/>
        </w:rPr>
        <w:t>úspěšně dokončit realizaci projektů</w:t>
      </w:r>
      <w:r w:rsidR="00170BF6">
        <w:rPr>
          <w:rFonts w:ascii="Times New Roman" w:hAnsi="Times New Roman"/>
        </w:rPr>
        <w:t xml:space="preserve"> </w:t>
      </w:r>
      <w:r w:rsidRPr="00673E63">
        <w:rPr>
          <w:rFonts w:ascii="Times New Roman" w:hAnsi="Times New Roman"/>
        </w:rPr>
        <w:t>a dočerpat maximum prostředků z disponibilní alokace programu. Zároveň je nutné př</w:t>
      </w:r>
      <w:r w:rsidR="00170BF6">
        <w:rPr>
          <w:rFonts w:ascii="Times New Roman" w:hAnsi="Times New Roman"/>
        </w:rPr>
        <w:t>i</w:t>
      </w:r>
      <w:r w:rsidRPr="00673E63">
        <w:rPr>
          <w:rFonts w:ascii="Times New Roman" w:hAnsi="Times New Roman"/>
        </w:rPr>
        <w:t>pravo</w:t>
      </w:r>
      <w:r w:rsidR="00170BF6">
        <w:rPr>
          <w:rFonts w:ascii="Times New Roman" w:hAnsi="Times New Roman"/>
        </w:rPr>
        <w:t>vat</w:t>
      </w:r>
      <w:r w:rsidRPr="00673E63">
        <w:rPr>
          <w:rFonts w:ascii="Times New Roman" w:hAnsi="Times New Roman"/>
        </w:rPr>
        <w:t xml:space="preserve"> ukončování programu.</w:t>
      </w:r>
    </w:p>
    <w:p w:rsidR="00493D7E" w:rsidRPr="00AE4C3C" w:rsidRDefault="00493D7E" w:rsidP="00493D7E">
      <w:pPr>
        <w:jc w:val="both"/>
        <w:rPr>
          <w:rFonts w:eastAsia="Calibri" w:cs="Arial"/>
          <w:sz w:val="22"/>
          <w:szCs w:val="22"/>
        </w:rPr>
      </w:pPr>
      <w:r w:rsidRPr="00AE4C3C">
        <w:rPr>
          <w:rFonts w:eastAsia="Calibri" w:cs="Arial"/>
          <w:sz w:val="22"/>
          <w:szCs w:val="22"/>
        </w:rPr>
        <w:t xml:space="preserve">Celá alokace v cíli Konvergence je pokrytá projekty s vydaným právním aktem, alokace pro cíl Regionální konkurenceschopnost a zaměstnanost je </w:t>
      </w:r>
      <w:proofErr w:type="spellStart"/>
      <w:r w:rsidRPr="00AE4C3C">
        <w:rPr>
          <w:rFonts w:eastAsia="Calibri" w:cs="Arial"/>
          <w:sz w:val="22"/>
          <w:szCs w:val="22"/>
        </w:rPr>
        <w:t>zazávazkovaná</w:t>
      </w:r>
      <w:proofErr w:type="spellEnd"/>
      <w:r w:rsidRPr="00AE4C3C">
        <w:rPr>
          <w:rFonts w:eastAsia="Calibri" w:cs="Arial"/>
          <w:sz w:val="22"/>
          <w:szCs w:val="22"/>
        </w:rPr>
        <w:t xml:space="preserve"> do výše 95,2</w:t>
      </w:r>
      <w:r w:rsidR="00170BF6">
        <w:rPr>
          <w:rFonts w:eastAsia="Calibri" w:cs="Arial"/>
          <w:sz w:val="22"/>
          <w:szCs w:val="22"/>
        </w:rPr>
        <w:t xml:space="preserve"> </w:t>
      </w:r>
      <w:r w:rsidRPr="00AE4C3C">
        <w:rPr>
          <w:rFonts w:eastAsia="Calibri" w:cs="Arial"/>
          <w:sz w:val="22"/>
          <w:szCs w:val="22"/>
        </w:rPr>
        <w:t>% alokace.</w:t>
      </w:r>
    </w:p>
    <w:p w:rsidR="00493D7E" w:rsidRPr="00673E63" w:rsidRDefault="00493D7E" w:rsidP="00493D7E">
      <w:pPr>
        <w:widowControl w:val="0"/>
        <w:autoSpaceDE w:val="0"/>
        <w:autoSpaceDN w:val="0"/>
        <w:adjustRightInd w:val="0"/>
        <w:jc w:val="both"/>
        <w:rPr>
          <w:rFonts w:eastAsia="Calibri" w:cs="Arial"/>
          <w:sz w:val="22"/>
          <w:szCs w:val="22"/>
        </w:rPr>
      </w:pPr>
      <w:r w:rsidRPr="00AE4C3C">
        <w:rPr>
          <w:rFonts w:eastAsia="Calibri" w:cs="Arial"/>
          <w:sz w:val="22"/>
          <w:szCs w:val="22"/>
        </w:rPr>
        <w:t>K </w:t>
      </w:r>
      <w:r w:rsidR="00FD039C" w:rsidRPr="00AE4C3C">
        <w:rPr>
          <w:rFonts w:eastAsia="Calibri" w:cs="Arial"/>
          <w:sz w:val="22"/>
          <w:szCs w:val="22"/>
        </w:rPr>
        <w:t>30. 9. 2015</w:t>
      </w:r>
      <w:r w:rsidRPr="00AE4C3C">
        <w:rPr>
          <w:rFonts w:eastAsia="Calibri" w:cs="Arial"/>
          <w:sz w:val="22"/>
          <w:szCs w:val="22"/>
        </w:rPr>
        <w:t xml:space="preserve"> předložili příjemci žádosti o platbu ve výši 64,7</w:t>
      </w:r>
      <w:r w:rsidR="00170BF6">
        <w:rPr>
          <w:rFonts w:eastAsia="Calibri" w:cs="Arial"/>
          <w:sz w:val="22"/>
          <w:szCs w:val="22"/>
        </w:rPr>
        <w:t xml:space="preserve"> </w:t>
      </w:r>
      <w:r w:rsidRPr="00AE4C3C">
        <w:rPr>
          <w:rFonts w:eastAsia="Calibri" w:cs="Arial"/>
          <w:sz w:val="22"/>
          <w:szCs w:val="22"/>
        </w:rPr>
        <w:t>% alokace programu. Na základě údajů v IS Monit7+ předpokládá ŘO IOP, že do konce ledna 2016</w:t>
      </w:r>
      <w:r w:rsidR="00170BF6">
        <w:rPr>
          <w:rFonts w:eastAsia="Calibri" w:cs="Arial"/>
          <w:sz w:val="22"/>
          <w:szCs w:val="22"/>
        </w:rPr>
        <w:t xml:space="preserve"> </w:t>
      </w:r>
      <w:r w:rsidRPr="00AE4C3C">
        <w:rPr>
          <w:rFonts w:eastAsia="Calibri" w:cs="Arial"/>
          <w:sz w:val="22"/>
          <w:szCs w:val="22"/>
        </w:rPr>
        <w:t xml:space="preserve">předloží příjemci 651 žádostí o platbu o objemu 14,14 mld. Kč. </w:t>
      </w:r>
      <w:r w:rsidR="00170BF6">
        <w:rPr>
          <w:rFonts w:eastAsia="Calibri" w:cs="Arial"/>
          <w:sz w:val="22"/>
          <w:szCs w:val="22"/>
        </w:rPr>
        <w:t>Velký</w:t>
      </w:r>
      <w:r w:rsidRPr="00AE4C3C">
        <w:rPr>
          <w:rFonts w:eastAsia="Calibri" w:cs="Arial"/>
          <w:sz w:val="22"/>
          <w:szCs w:val="22"/>
        </w:rPr>
        <w:t xml:space="preserve"> objem </w:t>
      </w:r>
      <w:proofErr w:type="spellStart"/>
      <w:r w:rsidRPr="00AE4C3C">
        <w:rPr>
          <w:rFonts w:eastAsia="Calibri" w:cs="Arial"/>
          <w:sz w:val="22"/>
          <w:szCs w:val="22"/>
        </w:rPr>
        <w:t>Ž</w:t>
      </w:r>
      <w:r w:rsidR="004A56BD">
        <w:rPr>
          <w:rFonts w:eastAsia="Calibri" w:cs="Arial"/>
          <w:sz w:val="22"/>
          <w:szCs w:val="22"/>
        </w:rPr>
        <w:t>o</w:t>
      </w:r>
      <w:r w:rsidRPr="00AE4C3C">
        <w:rPr>
          <w:rFonts w:eastAsia="Calibri" w:cs="Arial"/>
          <w:sz w:val="22"/>
          <w:szCs w:val="22"/>
        </w:rPr>
        <w:t>P</w:t>
      </w:r>
      <w:proofErr w:type="spellEnd"/>
      <w:r w:rsidRPr="00AE4C3C">
        <w:rPr>
          <w:rFonts w:eastAsia="Calibri" w:cs="Arial"/>
          <w:sz w:val="22"/>
          <w:szCs w:val="22"/>
        </w:rPr>
        <w:t xml:space="preserve"> ve výši 8,8 mld. Kč (21</w:t>
      </w:r>
      <w:r w:rsidR="00170BF6">
        <w:rPr>
          <w:rFonts w:eastAsia="Calibri" w:cs="Arial"/>
          <w:sz w:val="22"/>
          <w:szCs w:val="22"/>
        </w:rPr>
        <w:t xml:space="preserve"> </w:t>
      </w:r>
      <w:r w:rsidRPr="00AE4C3C">
        <w:rPr>
          <w:rFonts w:eastAsia="Calibri" w:cs="Arial"/>
          <w:sz w:val="22"/>
          <w:szCs w:val="22"/>
        </w:rPr>
        <w:t xml:space="preserve">% alokace programu) plánují příjemci předložit v prosinci 2015 a </w:t>
      </w:r>
      <w:r w:rsidR="00170BF6">
        <w:rPr>
          <w:rFonts w:eastAsia="Calibri" w:cs="Arial"/>
          <w:sz w:val="22"/>
          <w:szCs w:val="22"/>
        </w:rPr>
        <w:t xml:space="preserve">v </w:t>
      </w:r>
      <w:r w:rsidRPr="00AE4C3C">
        <w:rPr>
          <w:rFonts w:eastAsia="Calibri" w:cs="Arial"/>
          <w:sz w:val="22"/>
          <w:szCs w:val="22"/>
        </w:rPr>
        <w:t xml:space="preserve">lednu 2016, což souvisí s využitím nejzazšího termínu způsobilosti výdajů v některých výzvách. </w:t>
      </w:r>
    </w:p>
    <w:p w:rsidR="00493D7E" w:rsidRPr="00673E63" w:rsidRDefault="00493D7E" w:rsidP="000C2352">
      <w:pPr>
        <w:widowControl w:val="0"/>
        <w:autoSpaceDE w:val="0"/>
        <w:autoSpaceDN w:val="0"/>
        <w:adjustRightInd w:val="0"/>
        <w:jc w:val="both"/>
        <w:rPr>
          <w:rFonts w:eastAsia="Calibri" w:cs="Arial"/>
          <w:sz w:val="22"/>
          <w:szCs w:val="22"/>
        </w:rPr>
      </w:pPr>
      <w:r w:rsidRPr="00673E63">
        <w:rPr>
          <w:rFonts w:eastAsia="Calibri" w:cs="Arial"/>
          <w:sz w:val="22"/>
          <w:szCs w:val="22"/>
        </w:rPr>
        <w:t xml:space="preserve">Ačkoliv objem předložených žádostí o platbu v r. 2015 a lednu 2016 (15,9 mld. Kč) je nejvyšší za všechny roky implementace programu, </w:t>
      </w:r>
      <w:r w:rsidR="000C2352">
        <w:rPr>
          <w:rFonts w:eastAsia="Calibri" w:cs="Arial"/>
          <w:sz w:val="22"/>
          <w:szCs w:val="22"/>
        </w:rPr>
        <w:t xml:space="preserve">jejich </w:t>
      </w:r>
      <w:r w:rsidRPr="00673E63">
        <w:rPr>
          <w:rFonts w:eastAsia="Calibri" w:cs="Arial"/>
          <w:sz w:val="22"/>
          <w:szCs w:val="22"/>
        </w:rPr>
        <w:t>poč</w:t>
      </w:r>
      <w:r w:rsidR="000C2352">
        <w:rPr>
          <w:rFonts w:eastAsia="Calibri" w:cs="Arial"/>
          <w:sz w:val="22"/>
          <w:szCs w:val="22"/>
        </w:rPr>
        <w:t>e</w:t>
      </w:r>
      <w:r w:rsidRPr="00673E63">
        <w:rPr>
          <w:rFonts w:eastAsia="Calibri" w:cs="Arial"/>
          <w:sz w:val="22"/>
          <w:szCs w:val="22"/>
        </w:rPr>
        <w:t>t (896) je obdobn</w:t>
      </w:r>
      <w:r w:rsidR="000C2352">
        <w:rPr>
          <w:rFonts w:eastAsia="Calibri" w:cs="Arial"/>
          <w:sz w:val="22"/>
          <w:szCs w:val="22"/>
        </w:rPr>
        <w:t>ý</w:t>
      </w:r>
      <w:r w:rsidRPr="00673E63">
        <w:rPr>
          <w:rFonts w:eastAsia="Calibri" w:cs="Arial"/>
          <w:sz w:val="22"/>
          <w:szCs w:val="22"/>
        </w:rPr>
        <w:t xml:space="preserve"> jako</w:t>
      </w:r>
      <w:r w:rsidR="000C2352">
        <w:rPr>
          <w:rFonts w:eastAsia="Calibri" w:cs="Arial"/>
          <w:sz w:val="22"/>
          <w:szCs w:val="22"/>
        </w:rPr>
        <w:t xml:space="preserve"> </w:t>
      </w:r>
      <w:r w:rsidRPr="00673E63">
        <w:rPr>
          <w:rFonts w:eastAsia="Calibri" w:cs="Arial"/>
          <w:sz w:val="22"/>
          <w:szCs w:val="22"/>
        </w:rPr>
        <w:t>v r</w:t>
      </w:r>
      <w:r w:rsidR="00066799">
        <w:rPr>
          <w:rFonts w:eastAsia="Calibri" w:cs="Arial"/>
          <w:sz w:val="22"/>
          <w:szCs w:val="22"/>
        </w:rPr>
        <w:t>oce</w:t>
      </w:r>
      <w:r w:rsidRPr="00673E63">
        <w:rPr>
          <w:rFonts w:eastAsia="Calibri" w:cs="Arial"/>
          <w:sz w:val="22"/>
          <w:szCs w:val="22"/>
        </w:rPr>
        <w:t xml:space="preserve"> 2014, kdy příjemci předložili 904 </w:t>
      </w:r>
      <w:proofErr w:type="spellStart"/>
      <w:r w:rsidRPr="00673E63">
        <w:rPr>
          <w:rFonts w:eastAsia="Calibri" w:cs="Arial"/>
          <w:sz w:val="22"/>
          <w:szCs w:val="22"/>
        </w:rPr>
        <w:t>ŽoP</w:t>
      </w:r>
      <w:proofErr w:type="spellEnd"/>
      <w:r w:rsidR="000C2352">
        <w:rPr>
          <w:rFonts w:eastAsia="Calibri" w:cs="Arial"/>
          <w:sz w:val="22"/>
          <w:szCs w:val="22"/>
        </w:rPr>
        <w:t>.</w:t>
      </w:r>
      <w:r w:rsidRPr="00673E63">
        <w:rPr>
          <w:rFonts w:eastAsia="Calibri" w:cs="Arial"/>
          <w:sz w:val="22"/>
          <w:szCs w:val="22"/>
        </w:rPr>
        <w:t xml:space="preserve"> </w:t>
      </w:r>
      <w:r w:rsidR="000C2352">
        <w:rPr>
          <w:rFonts w:eastAsia="Calibri" w:cs="Arial"/>
          <w:sz w:val="22"/>
          <w:szCs w:val="22"/>
        </w:rPr>
        <w:t>P</w:t>
      </w:r>
      <w:r w:rsidRPr="00673E63">
        <w:rPr>
          <w:rFonts w:eastAsia="Calibri" w:cs="Arial"/>
          <w:sz w:val="22"/>
          <w:szCs w:val="22"/>
        </w:rPr>
        <w:t xml:space="preserve">roto lze administrativní kapacitu ŘO IOP a ZS považovat za dostatečnou. Největším rizikem je posun ukončení realizace projektů a tedy i předložení </w:t>
      </w:r>
      <w:proofErr w:type="spellStart"/>
      <w:r w:rsidRPr="00673E63">
        <w:rPr>
          <w:rFonts w:eastAsia="Calibri" w:cs="Arial"/>
          <w:sz w:val="22"/>
          <w:szCs w:val="22"/>
        </w:rPr>
        <w:t>Ž</w:t>
      </w:r>
      <w:r w:rsidR="004A56BD">
        <w:rPr>
          <w:rFonts w:eastAsia="Calibri" w:cs="Arial"/>
          <w:sz w:val="22"/>
          <w:szCs w:val="22"/>
        </w:rPr>
        <w:t>o</w:t>
      </w:r>
      <w:r w:rsidRPr="00673E63">
        <w:rPr>
          <w:rFonts w:eastAsia="Calibri" w:cs="Arial"/>
          <w:sz w:val="22"/>
          <w:szCs w:val="22"/>
        </w:rPr>
        <w:t>P</w:t>
      </w:r>
      <w:proofErr w:type="spellEnd"/>
      <w:r w:rsidRPr="00673E63">
        <w:rPr>
          <w:rFonts w:eastAsia="Calibri" w:cs="Arial"/>
          <w:sz w:val="22"/>
          <w:szCs w:val="22"/>
        </w:rPr>
        <w:t xml:space="preserve"> na konec roku 2015 </w:t>
      </w:r>
      <w:r w:rsidR="004A56BD">
        <w:rPr>
          <w:rFonts w:eastAsia="Calibri" w:cs="Arial"/>
          <w:sz w:val="22"/>
          <w:szCs w:val="22"/>
        </w:rPr>
        <w:br/>
      </w:r>
      <w:r w:rsidRPr="00673E63">
        <w:rPr>
          <w:rFonts w:eastAsia="Calibri" w:cs="Arial"/>
          <w:sz w:val="22"/>
          <w:szCs w:val="22"/>
        </w:rPr>
        <w:t xml:space="preserve">a </w:t>
      </w:r>
      <w:r w:rsidR="000C2352">
        <w:rPr>
          <w:rFonts w:eastAsia="Calibri" w:cs="Arial"/>
          <w:sz w:val="22"/>
          <w:szCs w:val="22"/>
        </w:rPr>
        <w:t>s tím spojená</w:t>
      </w:r>
      <w:r w:rsidRPr="00673E63">
        <w:rPr>
          <w:rFonts w:eastAsia="Calibri" w:cs="Arial"/>
          <w:sz w:val="22"/>
          <w:szCs w:val="22"/>
        </w:rPr>
        <w:t xml:space="preserve"> akumulace velkého objemu</w:t>
      </w:r>
      <w:r w:rsidR="000C2352">
        <w:rPr>
          <w:rFonts w:eastAsia="Calibri" w:cs="Arial"/>
          <w:sz w:val="22"/>
          <w:szCs w:val="22"/>
        </w:rPr>
        <w:t xml:space="preserve"> </w:t>
      </w:r>
      <w:r w:rsidRPr="00673E63">
        <w:rPr>
          <w:rFonts w:eastAsia="Calibri" w:cs="Arial"/>
          <w:sz w:val="22"/>
          <w:szCs w:val="22"/>
        </w:rPr>
        <w:t xml:space="preserve">a počtu </w:t>
      </w:r>
      <w:proofErr w:type="spellStart"/>
      <w:r w:rsidRPr="00673E63">
        <w:rPr>
          <w:rFonts w:eastAsia="Calibri" w:cs="Arial"/>
          <w:sz w:val="22"/>
          <w:szCs w:val="22"/>
        </w:rPr>
        <w:t>Ž</w:t>
      </w:r>
      <w:r w:rsidR="004A56BD">
        <w:rPr>
          <w:rFonts w:eastAsia="Calibri" w:cs="Arial"/>
          <w:sz w:val="22"/>
          <w:szCs w:val="22"/>
        </w:rPr>
        <w:t>o</w:t>
      </w:r>
      <w:r w:rsidRPr="00673E63">
        <w:rPr>
          <w:rFonts w:eastAsia="Calibri" w:cs="Arial"/>
          <w:sz w:val="22"/>
          <w:szCs w:val="22"/>
        </w:rPr>
        <w:t>P</w:t>
      </w:r>
      <w:proofErr w:type="spellEnd"/>
      <w:r w:rsidRPr="00673E63">
        <w:rPr>
          <w:rFonts w:eastAsia="Calibri" w:cs="Arial"/>
          <w:sz w:val="22"/>
          <w:szCs w:val="22"/>
        </w:rPr>
        <w:t xml:space="preserve"> na závěr roku 2015 a počátek roku 2016. Těmto změnám lze jen omezeně bránit, protože </w:t>
      </w:r>
      <w:r w:rsidR="000C2352">
        <w:rPr>
          <w:rFonts w:eastAsia="Calibri" w:cs="Arial"/>
          <w:sz w:val="22"/>
          <w:szCs w:val="22"/>
        </w:rPr>
        <w:t xml:space="preserve">po </w:t>
      </w:r>
      <w:r w:rsidRPr="00673E63">
        <w:rPr>
          <w:rFonts w:eastAsia="Calibri" w:cs="Arial"/>
          <w:sz w:val="22"/>
          <w:szCs w:val="22"/>
        </w:rPr>
        <w:t xml:space="preserve">neschválení posunu termínu může příjemce </w:t>
      </w:r>
      <w:r w:rsidR="000C2352">
        <w:rPr>
          <w:rFonts w:eastAsia="Calibri" w:cs="Arial"/>
          <w:sz w:val="22"/>
          <w:szCs w:val="22"/>
        </w:rPr>
        <w:t>odstoupit od realizace</w:t>
      </w:r>
      <w:r w:rsidRPr="00673E63">
        <w:rPr>
          <w:rFonts w:eastAsia="Calibri" w:cs="Arial"/>
          <w:sz w:val="22"/>
          <w:szCs w:val="22"/>
        </w:rPr>
        <w:t xml:space="preserve"> projekt</w:t>
      </w:r>
      <w:r w:rsidR="000C2352">
        <w:rPr>
          <w:rFonts w:eastAsia="Calibri" w:cs="Arial"/>
          <w:sz w:val="22"/>
          <w:szCs w:val="22"/>
        </w:rPr>
        <w:t>u</w:t>
      </w:r>
      <w:r w:rsidRPr="00673E63">
        <w:rPr>
          <w:rFonts w:eastAsia="Calibri" w:cs="Arial"/>
          <w:sz w:val="22"/>
          <w:szCs w:val="22"/>
        </w:rPr>
        <w:t xml:space="preserve"> </w:t>
      </w:r>
      <w:r w:rsidR="000C2352">
        <w:rPr>
          <w:rFonts w:eastAsia="Calibri" w:cs="Arial"/>
          <w:sz w:val="22"/>
          <w:szCs w:val="22"/>
        </w:rPr>
        <w:t>a zvětšoval</w:t>
      </w:r>
      <w:r w:rsidRPr="00673E63">
        <w:rPr>
          <w:rFonts w:eastAsia="Calibri" w:cs="Arial"/>
          <w:sz w:val="22"/>
          <w:szCs w:val="22"/>
        </w:rPr>
        <w:t xml:space="preserve"> </w:t>
      </w:r>
      <w:r w:rsidR="000C2352">
        <w:rPr>
          <w:rFonts w:eastAsia="Calibri" w:cs="Arial"/>
          <w:sz w:val="22"/>
          <w:szCs w:val="22"/>
        </w:rPr>
        <w:t xml:space="preserve">by se </w:t>
      </w:r>
      <w:r w:rsidRPr="00673E63">
        <w:rPr>
          <w:rFonts w:eastAsia="Calibri" w:cs="Arial"/>
          <w:sz w:val="22"/>
          <w:szCs w:val="22"/>
        </w:rPr>
        <w:t>objem nedočerpaných prostředků</w:t>
      </w:r>
      <w:r w:rsidR="000C2352">
        <w:rPr>
          <w:rFonts w:eastAsia="Calibri" w:cs="Arial"/>
          <w:sz w:val="22"/>
          <w:szCs w:val="22"/>
        </w:rPr>
        <w:t xml:space="preserve"> </w:t>
      </w:r>
      <w:r w:rsidRPr="00673E63">
        <w:rPr>
          <w:rFonts w:eastAsia="Calibri" w:cs="Arial"/>
          <w:sz w:val="22"/>
          <w:szCs w:val="22"/>
        </w:rPr>
        <w:t xml:space="preserve">v programu. </w:t>
      </w:r>
    </w:p>
    <w:p w:rsidR="00493D7E" w:rsidRDefault="00493D7E" w:rsidP="00493D7E">
      <w:pPr>
        <w:widowControl w:val="0"/>
        <w:autoSpaceDE w:val="0"/>
        <w:autoSpaceDN w:val="0"/>
        <w:adjustRightInd w:val="0"/>
        <w:jc w:val="both"/>
        <w:rPr>
          <w:rFonts w:eastAsia="Calibri" w:cs="Arial"/>
          <w:sz w:val="22"/>
          <w:szCs w:val="22"/>
        </w:rPr>
      </w:pPr>
      <w:r w:rsidRPr="00673E63">
        <w:rPr>
          <w:rFonts w:eastAsia="Calibri" w:cs="Arial"/>
          <w:sz w:val="22"/>
          <w:szCs w:val="22"/>
        </w:rPr>
        <w:t xml:space="preserve">ŘO IOP na základě plánů předložených </w:t>
      </w:r>
      <w:proofErr w:type="spellStart"/>
      <w:r w:rsidRPr="00673E63">
        <w:rPr>
          <w:rFonts w:eastAsia="Calibri" w:cs="Arial"/>
          <w:sz w:val="22"/>
          <w:szCs w:val="22"/>
        </w:rPr>
        <w:t>Ž</w:t>
      </w:r>
      <w:r w:rsidR="004A56BD">
        <w:rPr>
          <w:rFonts w:eastAsia="Calibri" w:cs="Arial"/>
          <w:sz w:val="22"/>
          <w:szCs w:val="22"/>
        </w:rPr>
        <w:t>o</w:t>
      </w:r>
      <w:r w:rsidRPr="00673E63">
        <w:rPr>
          <w:rFonts w:eastAsia="Calibri" w:cs="Arial"/>
          <w:sz w:val="22"/>
          <w:szCs w:val="22"/>
        </w:rPr>
        <w:t>P</w:t>
      </w:r>
      <w:proofErr w:type="spellEnd"/>
      <w:r w:rsidRPr="00673E63">
        <w:rPr>
          <w:rFonts w:eastAsia="Calibri" w:cs="Arial"/>
          <w:sz w:val="22"/>
          <w:szCs w:val="22"/>
        </w:rPr>
        <w:t xml:space="preserve"> a dosavadních zkušeností z realizace programu každý měsíc aktualizuje predikce nedočerpání alokace. Bere v potaz míru úspor z výběrových řízení, z nezpůsobilých výdajů v </w:t>
      </w:r>
      <w:proofErr w:type="spellStart"/>
      <w:proofErr w:type="gramStart"/>
      <w:r w:rsidRPr="00673E63">
        <w:rPr>
          <w:rFonts w:eastAsia="Calibri" w:cs="Arial"/>
          <w:sz w:val="22"/>
          <w:szCs w:val="22"/>
        </w:rPr>
        <w:t>ŽoP</w:t>
      </w:r>
      <w:proofErr w:type="spellEnd"/>
      <w:proofErr w:type="gramEnd"/>
      <w:r w:rsidRPr="00673E63">
        <w:rPr>
          <w:rFonts w:eastAsia="Calibri" w:cs="Arial"/>
          <w:sz w:val="22"/>
          <w:szCs w:val="22"/>
        </w:rPr>
        <w:t xml:space="preserve"> a počítá s tím, že určitý podíl vysoce rizikových a spících projektů nebude realizován a odstoupí. Predikce nedočerpání programu osciluje mezi </w:t>
      </w:r>
      <w:r w:rsidR="005A05FD">
        <w:rPr>
          <w:rFonts w:eastAsia="Calibri" w:cs="Arial"/>
          <w:sz w:val="22"/>
          <w:szCs w:val="22"/>
        </w:rPr>
        <w:t>2,039</w:t>
      </w:r>
      <w:r w:rsidRPr="00673E63">
        <w:rPr>
          <w:rFonts w:eastAsia="Calibri" w:cs="Arial"/>
          <w:sz w:val="22"/>
          <w:szCs w:val="22"/>
        </w:rPr>
        <w:t xml:space="preserve"> mld. Kč až </w:t>
      </w:r>
      <w:r w:rsidR="005A05FD">
        <w:rPr>
          <w:rFonts w:eastAsia="Calibri" w:cs="Arial"/>
          <w:sz w:val="22"/>
          <w:szCs w:val="22"/>
        </w:rPr>
        <w:t>4,131</w:t>
      </w:r>
      <w:r w:rsidRPr="00673E63">
        <w:rPr>
          <w:rFonts w:eastAsia="Calibri" w:cs="Arial"/>
          <w:sz w:val="22"/>
          <w:szCs w:val="22"/>
        </w:rPr>
        <w:t xml:space="preserve"> mld. Kč. ŘO IOP očekává nedočerpání </w:t>
      </w:r>
      <w:r w:rsidR="000C2352">
        <w:rPr>
          <w:rFonts w:eastAsia="Calibri" w:cs="Arial"/>
          <w:sz w:val="22"/>
          <w:szCs w:val="22"/>
        </w:rPr>
        <w:t>po</w:t>
      </w:r>
      <w:r w:rsidRPr="00673E63">
        <w:rPr>
          <w:rFonts w:eastAsia="Calibri" w:cs="Arial"/>
          <w:sz w:val="22"/>
          <w:szCs w:val="22"/>
        </w:rPr>
        <w:t xml:space="preserve">dle střední, realistické varianty ve výši </w:t>
      </w:r>
      <w:r w:rsidRPr="00DC27A7">
        <w:rPr>
          <w:rFonts w:eastAsia="Calibri" w:cs="Arial"/>
          <w:sz w:val="22"/>
          <w:szCs w:val="22"/>
        </w:rPr>
        <w:t>2,</w:t>
      </w:r>
      <w:r w:rsidR="005A05FD" w:rsidRPr="00DC27A7">
        <w:rPr>
          <w:rFonts w:eastAsia="Calibri" w:cs="Arial"/>
          <w:sz w:val="22"/>
          <w:szCs w:val="22"/>
        </w:rPr>
        <w:t>3</w:t>
      </w:r>
      <w:r w:rsidRPr="00DC27A7">
        <w:rPr>
          <w:rFonts w:eastAsia="Calibri" w:cs="Arial"/>
          <w:sz w:val="22"/>
          <w:szCs w:val="22"/>
        </w:rPr>
        <w:t>7</w:t>
      </w:r>
      <w:r w:rsidRPr="00673E63">
        <w:rPr>
          <w:rFonts w:eastAsia="Calibri" w:cs="Arial"/>
          <w:sz w:val="22"/>
          <w:szCs w:val="22"/>
        </w:rPr>
        <w:t xml:space="preserve"> mld. Kč. </w:t>
      </w:r>
    </w:p>
    <w:p w:rsidR="004B3400" w:rsidRPr="00673E63" w:rsidRDefault="004B3400" w:rsidP="00493D7E">
      <w:pPr>
        <w:widowControl w:val="0"/>
        <w:autoSpaceDE w:val="0"/>
        <w:autoSpaceDN w:val="0"/>
        <w:adjustRightInd w:val="0"/>
        <w:jc w:val="both"/>
        <w:rPr>
          <w:rFonts w:eastAsia="Calibri" w:cs="Arial"/>
          <w:sz w:val="22"/>
          <w:szCs w:val="22"/>
        </w:rPr>
      </w:pPr>
    </w:p>
    <w:p w:rsidR="00DC27A7" w:rsidRDefault="00DC27A7" w:rsidP="00493D7E">
      <w:pPr>
        <w:widowControl w:val="0"/>
        <w:autoSpaceDE w:val="0"/>
        <w:autoSpaceDN w:val="0"/>
        <w:adjustRightInd w:val="0"/>
        <w:jc w:val="both"/>
        <w:rPr>
          <w:rFonts w:eastAsia="Calibri" w:cs="Arial"/>
          <w:b/>
          <w:sz w:val="22"/>
          <w:szCs w:val="22"/>
        </w:rPr>
      </w:pPr>
    </w:p>
    <w:p w:rsidR="00493D7E" w:rsidRPr="00673E63" w:rsidRDefault="00493D7E" w:rsidP="00493D7E">
      <w:pPr>
        <w:widowControl w:val="0"/>
        <w:autoSpaceDE w:val="0"/>
        <w:autoSpaceDN w:val="0"/>
        <w:adjustRightInd w:val="0"/>
        <w:jc w:val="both"/>
        <w:rPr>
          <w:rFonts w:eastAsia="Calibri" w:cs="Arial"/>
          <w:b/>
          <w:sz w:val="22"/>
          <w:szCs w:val="22"/>
        </w:rPr>
      </w:pPr>
      <w:r w:rsidRPr="00673E63">
        <w:rPr>
          <w:rFonts w:eastAsia="Calibri" w:cs="Arial"/>
          <w:b/>
          <w:sz w:val="22"/>
          <w:szCs w:val="22"/>
        </w:rPr>
        <w:t>Příčiny stavu čerpání</w:t>
      </w:r>
    </w:p>
    <w:p w:rsidR="00DF1DB7" w:rsidRDefault="00493D7E" w:rsidP="00493D7E">
      <w:pPr>
        <w:jc w:val="both"/>
        <w:rPr>
          <w:sz w:val="22"/>
          <w:szCs w:val="22"/>
        </w:rPr>
      </w:pPr>
      <w:r w:rsidRPr="00673E63">
        <w:rPr>
          <w:sz w:val="22"/>
          <w:szCs w:val="22"/>
        </w:rPr>
        <w:t xml:space="preserve">Klíčovým problémem je prodlužování realizace některých projektů. Řídící orgán IOP ve spolupráci se zprostředkujícími subjekty provádí od července 2012 </w:t>
      </w:r>
      <w:r w:rsidRPr="00673E63">
        <w:rPr>
          <w:b/>
          <w:sz w:val="22"/>
          <w:szCs w:val="22"/>
        </w:rPr>
        <w:t>systém dohledu a řízení spících projektů</w:t>
      </w:r>
      <w:r w:rsidRPr="00673E63">
        <w:rPr>
          <w:sz w:val="22"/>
          <w:szCs w:val="22"/>
        </w:rPr>
        <w:t xml:space="preserve"> (termíny pro realizaci projektu jsou na hranici proveditelnosti), vysoce rizikových projektů (obtížná komunikace s příjemcem, plnění termínů vykazuje vážné nedostatky) a rizikových projektů (plnění termínů realizace vykazuje zvýšené riziko nedokončení </w:t>
      </w:r>
      <w:r w:rsidR="00DF1DB7">
        <w:rPr>
          <w:sz w:val="22"/>
          <w:szCs w:val="22"/>
        </w:rPr>
        <w:t>po</w:t>
      </w:r>
      <w:r w:rsidRPr="00673E63">
        <w:rPr>
          <w:sz w:val="22"/>
          <w:szCs w:val="22"/>
        </w:rPr>
        <w:t xml:space="preserve">dle původního harmonogramu realizace projektu). Tento systém se v čase rozvíjel a více </w:t>
      </w:r>
      <w:r w:rsidR="00DF1DB7">
        <w:rPr>
          <w:sz w:val="22"/>
          <w:szCs w:val="22"/>
        </w:rPr>
        <w:t xml:space="preserve">se </w:t>
      </w:r>
      <w:r w:rsidRPr="00673E63">
        <w:rPr>
          <w:sz w:val="22"/>
          <w:szCs w:val="22"/>
        </w:rPr>
        <w:t xml:space="preserve">zaměřoval </w:t>
      </w:r>
      <w:r w:rsidR="00DF1DB7">
        <w:rPr>
          <w:sz w:val="22"/>
          <w:szCs w:val="22"/>
        </w:rPr>
        <w:t>na</w:t>
      </w:r>
      <w:r w:rsidRPr="00673E63">
        <w:rPr>
          <w:sz w:val="22"/>
          <w:szCs w:val="22"/>
        </w:rPr>
        <w:t xml:space="preserve"> individuální poradenství a dozor nad jednotlivými projekty, </w:t>
      </w:r>
      <w:r w:rsidR="00DF1DB7">
        <w:rPr>
          <w:sz w:val="22"/>
          <w:szCs w:val="22"/>
        </w:rPr>
        <w:t xml:space="preserve">například </w:t>
      </w:r>
      <w:r w:rsidRPr="00673E63">
        <w:rPr>
          <w:sz w:val="22"/>
          <w:szCs w:val="22"/>
        </w:rPr>
        <w:t xml:space="preserve">se zapojením ŘO IOP v řídicích výborech projektů. </w:t>
      </w:r>
    </w:p>
    <w:p w:rsidR="00493D7E" w:rsidRPr="00673E63" w:rsidRDefault="00DF1DB7" w:rsidP="00493D7E">
      <w:pPr>
        <w:jc w:val="both"/>
        <w:rPr>
          <w:sz w:val="22"/>
          <w:szCs w:val="22"/>
        </w:rPr>
      </w:pPr>
      <w:r>
        <w:rPr>
          <w:sz w:val="22"/>
          <w:szCs w:val="22"/>
        </w:rPr>
        <w:t>D</w:t>
      </w:r>
      <w:r w:rsidR="00493D7E" w:rsidRPr="00673E63">
        <w:rPr>
          <w:sz w:val="22"/>
          <w:szCs w:val="22"/>
        </w:rPr>
        <w:t>ůvod</w:t>
      </w:r>
      <w:r>
        <w:rPr>
          <w:sz w:val="22"/>
          <w:szCs w:val="22"/>
        </w:rPr>
        <w:t>y</w:t>
      </w:r>
      <w:r w:rsidR="00493D7E" w:rsidRPr="00673E63">
        <w:rPr>
          <w:sz w:val="22"/>
          <w:szCs w:val="22"/>
        </w:rPr>
        <w:t xml:space="preserve"> stávajícího stavu </w:t>
      </w:r>
      <w:r>
        <w:rPr>
          <w:sz w:val="22"/>
          <w:szCs w:val="22"/>
        </w:rPr>
        <w:t xml:space="preserve">realizace projektů a </w:t>
      </w:r>
      <w:r w:rsidR="00493D7E" w:rsidRPr="00673E63">
        <w:rPr>
          <w:sz w:val="22"/>
          <w:szCs w:val="22"/>
        </w:rPr>
        <w:t>čerpání:</w:t>
      </w:r>
    </w:p>
    <w:p w:rsidR="00493D7E" w:rsidRPr="00673E63" w:rsidRDefault="00493D7E" w:rsidP="00FB2466">
      <w:pPr>
        <w:pStyle w:val="Odstavecseseznamem"/>
        <w:numPr>
          <w:ilvl w:val="0"/>
          <w:numId w:val="29"/>
        </w:numPr>
        <w:jc w:val="both"/>
        <w:rPr>
          <w:rFonts w:ascii="Times New Roman" w:hAnsi="Times New Roman"/>
          <w:b/>
        </w:rPr>
      </w:pPr>
      <w:r w:rsidRPr="00673E63">
        <w:rPr>
          <w:rFonts w:ascii="Times New Roman" w:hAnsi="Times New Roman"/>
        </w:rPr>
        <w:t>zpoždění realizace projektu a oproti harmonogramu (zdržení dodávky, reklamační řízení, prodloužení délky stavebních prací, archeologické nálezy);</w:t>
      </w:r>
    </w:p>
    <w:p w:rsidR="00493D7E" w:rsidRPr="00673E63" w:rsidRDefault="00493D7E" w:rsidP="00FB2466">
      <w:pPr>
        <w:pStyle w:val="Odstavecseseznamem"/>
        <w:numPr>
          <w:ilvl w:val="0"/>
          <w:numId w:val="29"/>
        </w:numPr>
        <w:jc w:val="both"/>
        <w:rPr>
          <w:rFonts w:ascii="Times New Roman" w:hAnsi="Times New Roman"/>
          <w:b/>
        </w:rPr>
      </w:pPr>
      <w:r w:rsidRPr="00673E63">
        <w:rPr>
          <w:rFonts w:ascii="Times New Roman" w:hAnsi="Times New Roman"/>
        </w:rPr>
        <w:t xml:space="preserve">opakovaní veřejných zakázek (podnět na ÚOHS, žádná nebo jedna </w:t>
      </w:r>
      <w:r w:rsidR="00DF1DB7" w:rsidRPr="00673E63">
        <w:rPr>
          <w:rFonts w:ascii="Times New Roman" w:hAnsi="Times New Roman"/>
        </w:rPr>
        <w:t>nabídka</w:t>
      </w:r>
      <w:r w:rsidRPr="00673E63">
        <w:rPr>
          <w:rFonts w:ascii="Times New Roman" w:hAnsi="Times New Roman"/>
        </w:rPr>
        <w:t>);</w:t>
      </w:r>
    </w:p>
    <w:p w:rsidR="00493D7E" w:rsidRPr="00673E63" w:rsidRDefault="00493D7E" w:rsidP="00FB2466">
      <w:pPr>
        <w:pStyle w:val="Odstavecseseznamem"/>
        <w:numPr>
          <w:ilvl w:val="0"/>
          <w:numId w:val="29"/>
        </w:numPr>
        <w:jc w:val="both"/>
        <w:rPr>
          <w:rFonts w:ascii="Times New Roman" w:hAnsi="Times New Roman"/>
          <w:b/>
        </w:rPr>
      </w:pPr>
      <w:r w:rsidRPr="00673E63">
        <w:rPr>
          <w:rFonts w:ascii="Times New Roman" w:hAnsi="Times New Roman"/>
        </w:rPr>
        <w:t>opakované napadání průběhu výběrových řízení neúspěšnými uchazeči;</w:t>
      </w:r>
    </w:p>
    <w:p w:rsidR="00493D7E" w:rsidRPr="00673E63" w:rsidRDefault="00493D7E" w:rsidP="00FB2466">
      <w:pPr>
        <w:pStyle w:val="Odstavecseseznamem"/>
        <w:numPr>
          <w:ilvl w:val="0"/>
          <w:numId w:val="29"/>
        </w:numPr>
        <w:jc w:val="both"/>
        <w:rPr>
          <w:rFonts w:ascii="Times New Roman" w:hAnsi="Times New Roman"/>
          <w:b/>
        </w:rPr>
      </w:pPr>
      <w:r w:rsidRPr="00673E63">
        <w:rPr>
          <w:rFonts w:ascii="Times New Roman" w:hAnsi="Times New Roman"/>
        </w:rPr>
        <w:lastRenderedPageBreak/>
        <w:t>projekty resortu ministerstva vnitra, kde je generální</w:t>
      </w:r>
      <w:r w:rsidR="005D6A33">
        <w:rPr>
          <w:rFonts w:ascii="Times New Roman" w:hAnsi="Times New Roman"/>
        </w:rPr>
        <w:t>m</w:t>
      </w:r>
      <w:r w:rsidRPr="00673E63">
        <w:rPr>
          <w:rFonts w:ascii="Times New Roman" w:hAnsi="Times New Roman"/>
        </w:rPr>
        <w:t xml:space="preserve"> dodavatel</w:t>
      </w:r>
      <w:r w:rsidR="005D6A33">
        <w:rPr>
          <w:rFonts w:ascii="Times New Roman" w:hAnsi="Times New Roman"/>
        </w:rPr>
        <w:t>em</w:t>
      </w:r>
      <w:r w:rsidRPr="00673E63">
        <w:rPr>
          <w:rFonts w:ascii="Times New Roman" w:hAnsi="Times New Roman"/>
        </w:rPr>
        <w:t xml:space="preserve"> Česká pošta </w:t>
      </w:r>
      <w:proofErr w:type="spellStart"/>
      <w:proofErr w:type="gramStart"/>
      <w:r w:rsidRPr="00673E63">
        <w:rPr>
          <w:rFonts w:ascii="Times New Roman" w:hAnsi="Times New Roman"/>
        </w:rPr>
        <w:t>s.p</w:t>
      </w:r>
      <w:proofErr w:type="spellEnd"/>
      <w:r w:rsidRPr="00673E63">
        <w:rPr>
          <w:rFonts w:ascii="Times New Roman" w:hAnsi="Times New Roman"/>
        </w:rPr>
        <w:t>.</w:t>
      </w:r>
      <w:proofErr w:type="gramEnd"/>
      <w:r w:rsidRPr="00673E63">
        <w:rPr>
          <w:rFonts w:ascii="Times New Roman" w:hAnsi="Times New Roman"/>
        </w:rPr>
        <w:t xml:space="preserve">, Odštěpný závod ICT </w:t>
      </w:r>
      <w:r w:rsidR="005D6A33">
        <w:rPr>
          <w:rFonts w:ascii="Times New Roman" w:hAnsi="Times New Roman"/>
        </w:rPr>
        <w:t>s</w:t>
      </w:r>
      <w:r w:rsidRPr="00673E63">
        <w:rPr>
          <w:rFonts w:ascii="Times New Roman" w:hAnsi="Times New Roman"/>
        </w:rPr>
        <w:t xml:space="preserve"> nedostatk</w:t>
      </w:r>
      <w:r w:rsidR="005D6A33">
        <w:rPr>
          <w:rFonts w:ascii="Times New Roman" w:hAnsi="Times New Roman"/>
        </w:rPr>
        <w:t>em</w:t>
      </w:r>
      <w:r w:rsidRPr="00673E63">
        <w:rPr>
          <w:rFonts w:ascii="Times New Roman" w:hAnsi="Times New Roman"/>
        </w:rPr>
        <w:t xml:space="preserve"> potřebných zkušeností dodavatele při realizaci veřejných zakázek (jde o 21 projektů, ve kterých zbývá vyčerpat 971 mil. Kč);</w:t>
      </w:r>
    </w:p>
    <w:p w:rsidR="00493D7E" w:rsidRPr="00673E63" w:rsidRDefault="00493D7E" w:rsidP="00FB2466">
      <w:pPr>
        <w:pStyle w:val="Odstavecseseznamem"/>
        <w:numPr>
          <w:ilvl w:val="0"/>
          <w:numId w:val="29"/>
        </w:numPr>
        <w:jc w:val="both"/>
        <w:rPr>
          <w:rFonts w:ascii="Times New Roman" w:hAnsi="Times New Roman"/>
          <w:b/>
        </w:rPr>
      </w:pPr>
      <w:r w:rsidRPr="00673E63">
        <w:rPr>
          <w:rFonts w:ascii="Times New Roman" w:hAnsi="Times New Roman"/>
        </w:rPr>
        <w:t xml:space="preserve">fluktuace pracovníků realizačního týmu a opakované změny </w:t>
      </w:r>
      <w:r w:rsidR="005D6A33">
        <w:rPr>
          <w:rFonts w:ascii="Times New Roman" w:hAnsi="Times New Roman"/>
        </w:rPr>
        <w:t>manažerů</w:t>
      </w:r>
      <w:r w:rsidRPr="00673E63">
        <w:rPr>
          <w:rFonts w:ascii="Times New Roman" w:hAnsi="Times New Roman"/>
        </w:rPr>
        <w:t xml:space="preserve"> projektů;</w:t>
      </w:r>
    </w:p>
    <w:p w:rsidR="00493D7E" w:rsidRPr="00673E63" w:rsidRDefault="00493D7E" w:rsidP="00FB2466">
      <w:pPr>
        <w:pStyle w:val="Odstavecseseznamem"/>
        <w:numPr>
          <w:ilvl w:val="0"/>
          <w:numId w:val="29"/>
        </w:numPr>
        <w:jc w:val="both"/>
        <w:rPr>
          <w:rFonts w:ascii="Times New Roman" w:hAnsi="Times New Roman"/>
          <w:b/>
        </w:rPr>
      </w:pPr>
      <w:r w:rsidRPr="00673E63">
        <w:rPr>
          <w:rFonts w:ascii="Times New Roman" w:hAnsi="Times New Roman"/>
        </w:rPr>
        <w:t>zdlouhav</w:t>
      </w:r>
      <w:r w:rsidR="005D6A33">
        <w:rPr>
          <w:rFonts w:ascii="Times New Roman" w:hAnsi="Times New Roman"/>
        </w:rPr>
        <w:t>é</w:t>
      </w:r>
      <w:r w:rsidRPr="00673E63">
        <w:rPr>
          <w:rFonts w:ascii="Times New Roman" w:hAnsi="Times New Roman"/>
        </w:rPr>
        <w:t xml:space="preserve"> a komplikovan</w:t>
      </w:r>
      <w:r w:rsidR="005D6A33">
        <w:rPr>
          <w:rFonts w:ascii="Times New Roman" w:hAnsi="Times New Roman"/>
        </w:rPr>
        <w:t>é</w:t>
      </w:r>
      <w:r w:rsidRPr="00673E63">
        <w:rPr>
          <w:rFonts w:ascii="Times New Roman" w:hAnsi="Times New Roman"/>
        </w:rPr>
        <w:t xml:space="preserve"> vnitřní proces</w:t>
      </w:r>
      <w:r w:rsidR="005D6A33">
        <w:rPr>
          <w:rFonts w:ascii="Times New Roman" w:hAnsi="Times New Roman"/>
        </w:rPr>
        <w:t>y</w:t>
      </w:r>
      <w:r w:rsidRPr="00673E63">
        <w:rPr>
          <w:rFonts w:ascii="Times New Roman" w:hAnsi="Times New Roman"/>
        </w:rPr>
        <w:t xml:space="preserve"> u velkých příjemců</w:t>
      </w:r>
      <w:r w:rsidR="005D6A33">
        <w:rPr>
          <w:rFonts w:ascii="Times New Roman" w:hAnsi="Times New Roman"/>
        </w:rPr>
        <w:t>,</w:t>
      </w:r>
      <w:r w:rsidRPr="00673E63">
        <w:rPr>
          <w:rFonts w:ascii="Times New Roman" w:hAnsi="Times New Roman"/>
        </w:rPr>
        <w:t xml:space="preserve"> například </w:t>
      </w:r>
      <w:r w:rsidR="004B3400">
        <w:rPr>
          <w:rFonts w:ascii="Times New Roman" w:hAnsi="Times New Roman"/>
        </w:rPr>
        <w:br/>
      </w:r>
      <w:r w:rsidRPr="00673E63">
        <w:rPr>
          <w:rFonts w:ascii="Times New Roman" w:hAnsi="Times New Roman"/>
        </w:rPr>
        <w:t>příspěvkových organizací OSS.</w:t>
      </w:r>
    </w:p>
    <w:p w:rsidR="004B3400" w:rsidRPr="00673E63" w:rsidRDefault="00493D7E" w:rsidP="005D6A33">
      <w:pPr>
        <w:widowControl w:val="0"/>
        <w:autoSpaceDE w:val="0"/>
        <w:autoSpaceDN w:val="0"/>
        <w:adjustRightInd w:val="0"/>
        <w:jc w:val="both"/>
        <w:rPr>
          <w:rFonts w:eastAsia="Calibri"/>
          <w:sz w:val="22"/>
          <w:szCs w:val="22"/>
        </w:rPr>
      </w:pPr>
      <w:r w:rsidRPr="00673E63">
        <w:rPr>
          <w:rFonts w:eastAsia="Calibri"/>
          <w:sz w:val="22"/>
          <w:szCs w:val="22"/>
        </w:rPr>
        <w:t>Těžiště rizik leží mimo přím</w:t>
      </w:r>
      <w:r w:rsidR="005D6A33">
        <w:rPr>
          <w:rFonts w:eastAsia="Calibri"/>
          <w:sz w:val="22"/>
          <w:szCs w:val="22"/>
        </w:rPr>
        <w:t>ý</w:t>
      </w:r>
      <w:r w:rsidRPr="00673E63">
        <w:rPr>
          <w:rFonts w:eastAsia="Calibri"/>
          <w:sz w:val="22"/>
          <w:szCs w:val="22"/>
        </w:rPr>
        <w:t xml:space="preserve"> vliv ŘO IOP, případně ZS IOP. ŘO IOP se snaží na tyto problémy adresně poukazovat (např. pomocí materiálů předkládaných vládě)</w:t>
      </w:r>
      <w:r w:rsidR="005D6A33">
        <w:rPr>
          <w:rFonts w:eastAsia="Calibri"/>
          <w:sz w:val="22"/>
          <w:szCs w:val="22"/>
        </w:rPr>
        <w:t xml:space="preserve"> </w:t>
      </w:r>
      <w:r w:rsidRPr="00673E63">
        <w:rPr>
          <w:rFonts w:eastAsia="Calibri"/>
          <w:sz w:val="22"/>
          <w:szCs w:val="22"/>
        </w:rPr>
        <w:t xml:space="preserve">a napomáhat všem příjemcům, aby řádně dokončili své projekty. </w:t>
      </w:r>
    </w:p>
    <w:p w:rsidR="004F3946" w:rsidRDefault="004F3946" w:rsidP="00493D7E">
      <w:pPr>
        <w:widowControl w:val="0"/>
        <w:autoSpaceDE w:val="0"/>
        <w:autoSpaceDN w:val="0"/>
        <w:adjustRightInd w:val="0"/>
        <w:jc w:val="both"/>
        <w:rPr>
          <w:rFonts w:eastAsia="Calibri"/>
          <w:b/>
          <w:sz w:val="22"/>
          <w:szCs w:val="22"/>
        </w:rPr>
      </w:pPr>
    </w:p>
    <w:p w:rsidR="00493D7E" w:rsidRPr="00673E63" w:rsidRDefault="005D6A33" w:rsidP="00493D7E">
      <w:pPr>
        <w:widowControl w:val="0"/>
        <w:autoSpaceDE w:val="0"/>
        <w:autoSpaceDN w:val="0"/>
        <w:adjustRightInd w:val="0"/>
        <w:jc w:val="both"/>
        <w:rPr>
          <w:rFonts w:eastAsia="Calibri"/>
          <w:b/>
          <w:sz w:val="22"/>
          <w:szCs w:val="22"/>
        </w:rPr>
      </w:pPr>
      <w:r>
        <w:rPr>
          <w:rFonts w:eastAsia="Calibri"/>
          <w:b/>
          <w:sz w:val="22"/>
          <w:szCs w:val="22"/>
        </w:rPr>
        <w:t>P</w:t>
      </w:r>
      <w:r w:rsidRPr="00673E63">
        <w:rPr>
          <w:rFonts w:eastAsia="Calibri"/>
          <w:b/>
          <w:sz w:val="22"/>
          <w:szCs w:val="22"/>
        </w:rPr>
        <w:t xml:space="preserve">řijatá a realizovaná </w:t>
      </w:r>
      <w:r>
        <w:rPr>
          <w:rFonts w:eastAsia="Calibri"/>
          <w:b/>
          <w:sz w:val="22"/>
          <w:szCs w:val="22"/>
        </w:rPr>
        <w:t>o</w:t>
      </w:r>
      <w:r w:rsidR="00493D7E" w:rsidRPr="00673E63">
        <w:rPr>
          <w:rFonts w:eastAsia="Calibri"/>
          <w:b/>
          <w:sz w:val="22"/>
          <w:szCs w:val="22"/>
        </w:rPr>
        <w:t>patření ŘO IOP a ZS IOP</w:t>
      </w:r>
    </w:p>
    <w:p w:rsidR="00493D7E" w:rsidRPr="00673E63" w:rsidRDefault="00493D7E" w:rsidP="00493D7E">
      <w:pPr>
        <w:spacing w:after="120"/>
        <w:jc w:val="both"/>
        <w:rPr>
          <w:sz w:val="22"/>
          <w:szCs w:val="22"/>
        </w:rPr>
      </w:pPr>
      <w:r w:rsidRPr="00673E63">
        <w:rPr>
          <w:sz w:val="22"/>
          <w:szCs w:val="22"/>
        </w:rPr>
        <w:t xml:space="preserve">Řídicí orgán IOP připravil a aktualizoval Strategii dočerpání IOP s výhledem </w:t>
      </w:r>
      <w:r w:rsidR="004B3400">
        <w:rPr>
          <w:sz w:val="22"/>
          <w:szCs w:val="22"/>
        </w:rPr>
        <w:br/>
      </w:r>
      <w:r w:rsidRPr="00673E63">
        <w:rPr>
          <w:sz w:val="22"/>
          <w:szCs w:val="22"/>
        </w:rPr>
        <w:t xml:space="preserve">do konce roku 2015, kterou </w:t>
      </w:r>
      <w:r w:rsidR="00FD039C" w:rsidRPr="00673E63">
        <w:rPr>
          <w:sz w:val="22"/>
          <w:szCs w:val="22"/>
        </w:rPr>
        <w:t>4. 3. 2015</w:t>
      </w:r>
      <w:r w:rsidRPr="00673E63">
        <w:rPr>
          <w:sz w:val="22"/>
          <w:szCs w:val="22"/>
        </w:rPr>
        <w:t xml:space="preserve"> vzala vláda na vědomí. S ohledem na blížící se konec programového období zbývá omezený čas pro realizaci opatření k vyčerpání zbývající alokace. </w:t>
      </w:r>
      <w:r w:rsidR="005D6A33">
        <w:rPr>
          <w:sz w:val="22"/>
          <w:szCs w:val="22"/>
        </w:rPr>
        <w:t>P</w:t>
      </w:r>
      <w:r w:rsidRPr="00673E63">
        <w:rPr>
          <w:sz w:val="22"/>
          <w:szCs w:val="22"/>
        </w:rPr>
        <w:t xml:space="preserve">okračuje realizace opatření započatých v roce 2013 a 2014. Znamená to především soustředěnou </w:t>
      </w:r>
      <w:r w:rsidR="004B3400">
        <w:rPr>
          <w:sz w:val="22"/>
          <w:szCs w:val="22"/>
        </w:rPr>
        <w:br/>
      </w:r>
      <w:r w:rsidRPr="00673E63">
        <w:rPr>
          <w:sz w:val="22"/>
          <w:szCs w:val="22"/>
        </w:rPr>
        <w:t>a odpovědnou práci celé implementační struktury a plnění plánů čerpání, byl</w:t>
      </w:r>
      <w:r w:rsidR="005D6A33">
        <w:rPr>
          <w:sz w:val="22"/>
          <w:szCs w:val="22"/>
        </w:rPr>
        <w:t>a</w:t>
      </w:r>
      <w:r w:rsidRPr="00673E63">
        <w:rPr>
          <w:sz w:val="22"/>
          <w:szCs w:val="22"/>
        </w:rPr>
        <w:t xml:space="preserve"> přijat</w:t>
      </w:r>
      <w:r w:rsidR="005D6A33">
        <w:rPr>
          <w:sz w:val="22"/>
          <w:szCs w:val="22"/>
        </w:rPr>
        <w:t>a</w:t>
      </w:r>
      <w:r w:rsidRPr="00673E63">
        <w:rPr>
          <w:sz w:val="22"/>
          <w:szCs w:val="22"/>
        </w:rPr>
        <w:t xml:space="preserve"> mimořádn</w:t>
      </w:r>
      <w:r w:rsidR="005D6A33">
        <w:rPr>
          <w:sz w:val="22"/>
          <w:szCs w:val="22"/>
        </w:rPr>
        <w:t>á</w:t>
      </w:r>
      <w:r w:rsidRPr="00673E63">
        <w:rPr>
          <w:sz w:val="22"/>
          <w:szCs w:val="22"/>
        </w:rPr>
        <w:t xml:space="preserve"> opatření v podobě </w:t>
      </w:r>
      <w:proofErr w:type="spellStart"/>
      <w:r w:rsidRPr="00673E63">
        <w:rPr>
          <w:sz w:val="22"/>
          <w:szCs w:val="22"/>
        </w:rPr>
        <w:t>přezávazkování</w:t>
      </w:r>
      <w:proofErr w:type="spellEnd"/>
      <w:r w:rsidRPr="00673E63">
        <w:rPr>
          <w:sz w:val="22"/>
          <w:szCs w:val="22"/>
        </w:rPr>
        <w:t xml:space="preserve"> v některých oblastech intervence. </w:t>
      </w:r>
    </w:p>
    <w:p w:rsidR="00493D7E" w:rsidRDefault="00493D7E" w:rsidP="00493D7E">
      <w:pPr>
        <w:spacing w:after="120"/>
        <w:jc w:val="both"/>
        <w:rPr>
          <w:sz w:val="22"/>
          <w:szCs w:val="22"/>
        </w:rPr>
      </w:pPr>
      <w:r w:rsidRPr="00673E63">
        <w:rPr>
          <w:sz w:val="22"/>
          <w:szCs w:val="22"/>
        </w:rPr>
        <w:t xml:space="preserve">ŘO IOP vydal Metodický pokyn č. 46, který upravuje Operační manuál IOP, aby výdaje </w:t>
      </w:r>
      <w:r w:rsidR="005D6A33">
        <w:rPr>
          <w:sz w:val="22"/>
          <w:szCs w:val="22"/>
        </w:rPr>
        <w:t>byly</w:t>
      </w:r>
      <w:r w:rsidRPr="00673E63">
        <w:rPr>
          <w:sz w:val="22"/>
          <w:szCs w:val="22"/>
        </w:rPr>
        <w:t xml:space="preserve"> </w:t>
      </w:r>
      <w:r w:rsidR="005D6A33" w:rsidRPr="00673E63">
        <w:rPr>
          <w:sz w:val="22"/>
          <w:szCs w:val="22"/>
        </w:rPr>
        <w:t xml:space="preserve">způsobilé </w:t>
      </w:r>
      <w:r w:rsidRPr="00673E63">
        <w:rPr>
          <w:sz w:val="22"/>
          <w:szCs w:val="22"/>
        </w:rPr>
        <w:t>do 31. 12. 2015. Aktualizace Strategie dočerpání programu v r</w:t>
      </w:r>
      <w:r w:rsidR="004B3400">
        <w:rPr>
          <w:sz w:val="22"/>
          <w:szCs w:val="22"/>
        </w:rPr>
        <w:t>oce</w:t>
      </w:r>
      <w:r w:rsidRPr="00673E63">
        <w:rPr>
          <w:sz w:val="22"/>
          <w:szCs w:val="22"/>
        </w:rPr>
        <w:t xml:space="preserve"> 2015 se zabývala </w:t>
      </w:r>
      <w:r w:rsidR="005D6A33">
        <w:rPr>
          <w:sz w:val="22"/>
          <w:szCs w:val="22"/>
        </w:rPr>
        <w:t xml:space="preserve">nástroji </w:t>
      </w:r>
      <w:r w:rsidRPr="00673E63">
        <w:rPr>
          <w:sz w:val="22"/>
          <w:szCs w:val="22"/>
        </w:rPr>
        <w:t>pro snížení hrozícího nedočerpání alokace</w:t>
      </w:r>
      <w:r w:rsidR="005D6A33">
        <w:rPr>
          <w:sz w:val="22"/>
          <w:szCs w:val="22"/>
        </w:rPr>
        <w:t>,</w:t>
      </w:r>
      <w:r w:rsidRPr="00673E63">
        <w:rPr>
          <w:sz w:val="22"/>
          <w:szCs w:val="22"/>
        </w:rPr>
        <w:t xml:space="preserve"> jako je např. využ</w:t>
      </w:r>
      <w:r w:rsidR="005D6A33">
        <w:rPr>
          <w:sz w:val="22"/>
          <w:szCs w:val="22"/>
        </w:rPr>
        <w:t>i</w:t>
      </w:r>
      <w:r w:rsidRPr="00673E63">
        <w:rPr>
          <w:sz w:val="22"/>
          <w:szCs w:val="22"/>
        </w:rPr>
        <w:t>t</w:t>
      </w:r>
      <w:r w:rsidR="005D6A33">
        <w:rPr>
          <w:sz w:val="22"/>
          <w:szCs w:val="22"/>
        </w:rPr>
        <w:t>í</w:t>
      </w:r>
      <w:r w:rsidRPr="00673E63">
        <w:rPr>
          <w:sz w:val="22"/>
          <w:szCs w:val="22"/>
        </w:rPr>
        <w:t xml:space="preserve"> zásobník</w:t>
      </w:r>
      <w:r w:rsidR="005D6A33">
        <w:rPr>
          <w:sz w:val="22"/>
          <w:szCs w:val="22"/>
        </w:rPr>
        <w:t>u</w:t>
      </w:r>
      <w:r w:rsidRPr="00673E63">
        <w:rPr>
          <w:sz w:val="22"/>
          <w:szCs w:val="22"/>
        </w:rPr>
        <w:t xml:space="preserve"> projektů z ukončených výzev nebo vyhlá</w:t>
      </w:r>
      <w:r w:rsidR="005D6A33">
        <w:rPr>
          <w:sz w:val="22"/>
          <w:szCs w:val="22"/>
        </w:rPr>
        <w:t>šení</w:t>
      </w:r>
      <w:r w:rsidRPr="00673E63">
        <w:rPr>
          <w:sz w:val="22"/>
          <w:szCs w:val="22"/>
        </w:rPr>
        <w:t xml:space="preserve"> nov</w:t>
      </w:r>
      <w:r w:rsidR="005D6A33">
        <w:rPr>
          <w:sz w:val="22"/>
          <w:szCs w:val="22"/>
        </w:rPr>
        <w:t>é</w:t>
      </w:r>
      <w:r w:rsidRPr="00673E63">
        <w:rPr>
          <w:sz w:val="22"/>
          <w:szCs w:val="22"/>
        </w:rPr>
        <w:t xml:space="preserve"> výzv</w:t>
      </w:r>
      <w:r w:rsidR="005D6A33">
        <w:rPr>
          <w:sz w:val="22"/>
          <w:szCs w:val="22"/>
        </w:rPr>
        <w:t>y</w:t>
      </w:r>
      <w:r w:rsidRPr="00673E63">
        <w:rPr>
          <w:sz w:val="22"/>
          <w:szCs w:val="22"/>
        </w:rPr>
        <w:t xml:space="preserve"> na rychloobrátkové projekty. Tato opatření byla splněna, všechny náhradní projekty byly do programu vpuštěny a byla vyhlášena poslední výzva na nákup techniky pro onkologická centra ve výši 1,7 mld. Kč.</w:t>
      </w:r>
    </w:p>
    <w:p w:rsidR="00493D7E" w:rsidRPr="00673E63" w:rsidRDefault="00281557" w:rsidP="0094387C">
      <w:pPr>
        <w:spacing w:after="120"/>
        <w:jc w:val="both"/>
        <w:rPr>
          <w:sz w:val="22"/>
          <w:szCs w:val="22"/>
        </w:rPr>
      </w:pPr>
      <w:r w:rsidRPr="00281557">
        <w:rPr>
          <w:sz w:val="22"/>
          <w:szCs w:val="22"/>
        </w:rPr>
        <w:t xml:space="preserve">V roce 2015 byla aplikována sada 23 plošných a 11 konkrétních opatření pro maximalizaci čerpání. Všechna </w:t>
      </w:r>
      <w:r w:rsidR="0094387C">
        <w:rPr>
          <w:sz w:val="22"/>
          <w:szCs w:val="22"/>
        </w:rPr>
        <w:t xml:space="preserve">jednorázová </w:t>
      </w:r>
      <w:r w:rsidRPr="00281557">
        <w:rPr>
          <w:sz w:val="22"/>
          <w:szCs w:val="22"/>
        </w:rPr>
        <w:t>opatření byla splněna</w:t>
      </w:r>
      <w:r w:rsidR="005D6A33">
        <w:rPr>
          <w:sz w:val="22"/>
          <w:szCs w:val="22"/>
        </w:rPr>
        <w:t xml:space="preserve"> ve stanovených termínech</w:t>
      </w:r>
      <w:r w:rsidR="0094387C">
        <w:rPr>
          <w:sz w:val="22"/>
          <w:szCs w:val="22"/>
        </w:rPr>
        <w:t>,</w:t>
      </w:r>
      <w:r w:rsidR="005D6A33">
        <w:rPr>
          <w:sz w:val="22"/>
          <w:szCs w:val="22"/>
        </w:rPr>
        <w:t xml:space="preserve"> </w:t>
      </w:r>
      <w:r w:rsidR="0094387C">
        <w:rPr>
          <w:sz w:val="22"/>
          <w:szCs w:val="22"/>
        </w:rPr>
        <w:t>plnění</w:t>
      </w:r>
      <w:r w:rsidRPr="00281557">
        <w:rPr>
          <w:sz w:val="22"/>
          <w:szCs w:val="22"/>
        </w:rPr>
        <w:t xml:space="preserve"> průběžn</w:t>
      </w:r>
      <w:r w:rsidR="0094387C">
        <w:rPr>
          <w:sz w:val="22"/>
          <w:szCs w:val="22"/>
        </w:rPr>
        <w:t>ých</w:t>
      </w:r>
      <w:r w:rsidRPr="00281557">
        <w:rPr>
          <w:sz w:val="22"/>
          <w:szCs w:val="22"/>
        </w:rPr>
        <w:t xml:space="preserve"> opatření ověř</w:t>
      </w:r>
      <w:r w:rsidR="0094387C">
        <w:rPr>
          <w:sz w:val="22"/>
          <w:szCs w:val="22"/>
        </w:rPr>
        <w:t>uje ŘO</w:t>
      </w:r>
      <w:r w:rsidRPr="00281557">
        <w:rPr>
          <w:sz w:val="22"/>
          <w:szCs w:val="22"/>
        </w:rPr>
        <w:t xml:space="preserve"> </w:t>
      </w:r>
      <w:r w:rsidR="0094387C">
        <w:rPr>
          <w:sz w:val="22"/>
          <w:szCs w:val="22"/>
        </w:rPr>
        <w:t>n</w:t>
      </w:r>
      <w:r w:rsidRPr="00281557">
        <w:rPr>
          <w:sz w:val="22"/>
          <w:szCs w:val="22"/>
        </w:rPr>
        <w:t>a</w:t>
      </w:r>
      <w:r w:rsidR="0094387C">
        <w:rPr>
          <w:sz w:val="22"/>
          <w:szCs w:val="22"/>
        </w:rPr>
        <w:t xml:space="preserve"> jednáních se</w:t>
      </w:r>
      <w:r w:rsidRPr="00281557">
        <w:rPr>
          <w:sz w:val="22"/>
          <w:szCs w:val="22"/>
        </w:rPr>
        <w:t xml:space="preserve"> zprostředkující</w:t>
      </w:r>
      <w:r w:rsidR="0094387C">
        <w:rPr>
          <w:sz w:val="22"/>
          <w:szCs w:val="22"/>
        </w:rPr>
        <w:t>mi</w:t>
      </w:r>
      <w:r w:rsidRPr="00281557">
        <w:rPr>
          <w:sz w:val="22"/>
          <w:szCs w:val="22"/>
        </w:rPr>
        <w:t xml:space="preserve"> subjekt</w:t>
      </w:r>
      <w:r w:rsidR="0094387C">
        <w:rPr>
          <w:sz w:val="22"/>
          <w:szCs w:val="22"/>
        </w:rPr>
        <w:t>y</w:t>
      </w:r>
      <w:r w:rsidRPr="00281557">
        <w:rPr>
          <w:sz w:val="22"/>
          <w:szCs w:val="22"/>
        </w:rPr>
        <w:t>.</w:t>
      </w:r>
    </w:p>
    <w:p w:rsidR="00493D7E" w:rsidRPr="00673E63" w:rsidRDefault="00493D7E" w:rsidP="00493D7E">
      <w:pPr>
        <w:spacing w:after="120"/>
        <w:jc w:val="both"/>
        <w:rPr>
          <w:sz w:val="22"/>
          <w:szCs w:val="22"/>
        </w:rPr>
      </w:pPr>
      <w:r w:rsidRPr="00673E63">
        <w:rPr>
          <w:sz w:val="22"/>
          <w:szCs w:val="22"/>
        </w:rPr>
        <w:t xml:space="preserve">Klíčovým opatřením pro celou implementační strukturu je poskytovat </w:t>
      </w:r>
      <w:r w:rsidR="0094387C">
        <w:rPr>
          <w:sz w:val="22"/>
          <w:szCs w:val="22"/>
        </w:rPr>
        <w:t>maximální</w:t>
      </w:r>
      <w:r w:rsidRPr="00673E63">
        <w:rPr>
          <w:sz w:val="22"/>
          <w:szCs w:val="22"/>
        </w:rPr>
        <w:t xml:space="preserve"> podporu a spolupráci problémovým příjemcům, aby realiz</w:t>
      </w:r>
      <w:r w:rsidR="0094387C">
        <w:rPr>
          <w:sz w:val="22"/>
          <w:szCs w:val="22"/>
        </w:rPr>
        <w:t>ova</w:t>
      </w:r>
      <w:r w:rsidRPr="00673E63">
        <w:rPr>
          <w:sz w:val="22"/>
          <w:szCs w:val="22"/>
        </w:rPr>
        <w:t>l</w:t>
      </w:r>
      <w:r w:rsidR="0094387C">
        <w:rPr>
          <w:sz w:val="22"/>
          <w:szCs w:val="22"/>
        </w:rPr>
        <w:t>i projekty</w:t>
      </w:r>
      <w:r w:rsidRPr="00673E63">
        <w:rPr>
          <w:sz w:val="22"/>
          <w:szCs w:val="22"/>
        </w:rPr>
        <w:t xml:space="preserve"> včas a žádosti o platbu předlož</w:t>
      </w:r>
      <w:r w:rsidR="0094387C">
        <w:rPr>
          <w:sz w:val="22"/>
          <w:szCs w:val="22"/>
        </w:rPr>
        <w:t>ili bez chyb</w:t>
      </w:r>
      <w:r w:rsidRPr="00673E63">
        <w:rPr>
          <w:sz w:val="22"/>
          <w:szCs w:val="22"/>
        </w:rPr>
        <w:t xml:space="preserve">. Soustředěním na tento cíl lze maximalizovat výši dočerpání </w:t>
      </w:r>
      <w:r w:rsidR="0094387C">
        <w:rPr>
          <w:sz w:val="22"/>
          <w:szCs w:val="22"/>
        </w:rPr>
        <w:t>alokace programu</w:t>
      </w:r>
      <w:r w:rsidRPr="00673E63">
        <w:rPr>
          <w:sz w:val="22"/>
          <w:szCs w:val="22"/>
        </w:rPr>
        <w:t xml:space="preserve">. </w:t>
      </w:r>
    </w:p>
    <w:p w:rsidR="00A74ABA" w:rsidRDefault="0094387C" w:rsidP="00A74ABA">
      <w:pPr>
        <w:spacing w:after="120"/>
        <w:jc w:val="both"/>
        <w:rPr>
          <w:sz w:val="22"/>
          <w:szCs w:val="22"/>
        </w:rPr>
      </w:pPr>
      <w:r>
        <w:rPr>
          <w:sz w:val="22"/>
          <w:szCs w:val="22"/>
        </w:rPr>
        <w:t>P</w:t>
      </w:r>
      <w:r w:rsidR="00493D7E" w:rsidRPr="00673E63">
        <w:rPr>
          <w:sz w:val="22"/>
          <w:szCs w:val="22"/>
        </w:rPr>
        <w:t xml:space="preserve">řehled přijatých a realizovaných opatření: </w:t>
      </w:r>
    </w:p>
    <w:p w:rsidR="00907320" w:rsidRPr="00907320" w:rsidRDefault="00493D7E" w:rsidP="002848A2">
      <w:pPr>
        <w:numPr>
          <w:ilvl w:val="0"/>
          <w:numId w:val="47"/>
        </w:numPr>
        <w:spacing w:after="120"/>
        <w:jc w:val="both"/>
        <w:rPr>
          <w:sz w:val="22"/>
          <w:szCs w:val="22"/>
        </w:rPr>
      </w:pPr>
      <w:r w:rsidRPr="00673E63">
        <w:rPr>
          <w:sz w:val="22"/>
          <w:szCs w:val="22"/>
        </w:rPr>
        <w:t>snaha zamezit fluktuaci pracovníků –</w:t>
      </w:r>
      <w:r w:rsidR="00A74ABA" w:rsidRPr="00A74ABA">
        <w:rPr>
          <w:sz w:val="22"/>
          <w:szCs w:val="22"/>
        </w:rPr>
        <w:t xml:space="preserve"> </w:t>
      </w:r>
      <w:r w:rsidR="00E57DFF" w:rsidRPr="00620855">
        <w:rPr>
          <w:sz w:val="22"/>
          <w:szCs w:val="22"/>
        </w:rPr>
        <w:t>k zajištění financování resortních ZS IOP do července 2016</w:t>
      </w:r>
      <w:r w:rsidR="00E57DFF">
        <w:rPr>
          <w:sz w:val="22"/>
          <w:szCs w:val="22"/>
        </w:rPr>
        <w:t xml:space="preserve"> vlád</w:t>
      </w:r>
      <w:r w:rsidR="0094387C">
        <w:rPr>
          <w:sz w:val="22"/>
          <w:szCs w:val="22"/>
        </w:rPr>
        <w:t>a</w:t>
      </w:r>
      <w:r w:rsidR="00E57DFF">
        <w:rPr>
          <w:sz w:val="22"/>
          <w:szCs w:val="22"/>
        </w:rPr>
        <w:t xml:space="preserve"> schvál</w:t>
      </w:r>
      <w:r w:rsidR="0094387C">
        <w:rPr>
          <w:sz w:val="22"/>
          <w:szCs w:val="22"/>
        </w:rPr>
        <w:t>ila</w:t>
      </w:r>
      <w:r w:rsidR="00E57DFF">
        <w:rPr>
          <w:sz w:val="22"/>
          <w:szCs w:val="22"/>
        </w:rPr>
        <w:t xml:space="preserve"> materiál</w:t>
      </w:r>
      <w:r w:rsidR="0094387C">
        <w:rPr>
          <w:sz w:val="22"/>
          <w:szCs w:val="22"/>
        </w:rPr>
        <w:t xml:space="preserve"> MMR</w:t>
      </w:r>
      <w:r w:rsidR="00E57DFF">
        <w:rPr>
          <w:sz w:val="22"/>
          <w:szCs w:val="22"/>
        </w:rPr>
        <w:t xml:space="preserve"> „</w:t>
      </w:r>
      <w:r w:rsidR="00E57DFF" w:rsidRPr="00A74ABA">
        <w:rPr>
          <w:sz w:val="22"/>
          <w:szCs w:val="22"/>
        </w:rPr>
        <w:t>I</w:t>
      </w:r>
      <w:r w:rsidR="00E57DFF">
        <w:rPr>
          <w:sz w:val="22"/>
          <w:szCs w:val="22"/>
        </w:rPr>
        <w:t>nformace</w:t>
      </w:r>
      <w:r w:rsidR="0094387C">
        <w:rPr>
          <w:sz w:val="22"/>
          <w:szCs w:val="22"/>
        </w:rPr>
        <w:t xml:space="preserve"> </w:t>
      </w:r>
      <w:r w:rsidR="00E57DFF" w:rsidRPr="00A74ABA">
        <w:rPr>
          <w:sz w:val="22"/>
          <w:szCs w:val="22"/>
        </w:rPr>
        <w:t>o nezbytných podmínkách pro řádné dokončení</w:t>
      </w:r>
      <w:r w:rsidR="00E57DFF">
        <w:rPr>
          <w:sz w:val="22"/>
          <w:szCs w:val="22"/>
        </w:rPr>
        <w:t xml:space="preserve"> </w:t>
      </w:r>
      <w:r w:rsidR="00E57DFF" w:rsidRPr="00A74ABA">
        <w:rPr>
          <w:sz w:val="22"/>
          <w:szCs w:val="22"/>
        </w:rPr>
        <w:t>Integrovaného operačního programu</w:t>
      </w:r>
      <w:r w:rsidR="0094387C">
        <w:rPr>
          <w:sz w:val="22"/>
          <w:szCs w:val="22"/>
        </w:rPr>
        <w:t xml:space="preserve"> </w:t>
      </w:r>
      <w:r w:rsidR="00E57DFF" w:rsidRPr="00A74ABA">
        <w:rPr>
          <w:sz w:val="22"/>
          <w:szCs w:val="22"/>
        </w:rPr>
        <w:t>2007 – 2013</w:t>
      </w:r>
      <w:r w:rsidR="00E57DFF">
        <w:rPr>
          <w:sz w:val="22"/>
          <w:szCs w:val="22"/>
        </w:rPr>
        <w:t>“ (</w:t>
      </w:r>
      <w:r w:rsidR="00A74ABA" w:rsidRPr="00A74ABA">
        <w:rPr>
          <w:sz w:val="22"/>
          <w:szCs w:val="22"/>
        </w:rPr>
        <w:t>U</w:t>
      </w:r>
      <w:r w:rsidR="00E57DFF">
        <w:rPr>
          <w:sz w:val="22"/>
          <w:szCs w:val="22"/>
        </w:rPr>
        <w:t>snesení Vlády ČR</w:t>
      </w:r>
      <w:r w:rsidR="00A74ABA">
        <w:rPr>
          <w:sz w:val="22"/>
          <w:szCs w:val="22"/>
        </w:rPr>
        <w:t xml:space="preserve"> </w:t>
      </w:r>
      <w:r w:rsidR="00A74ABA" w:rsidRPr="00A74ABA">
        <w:rPr>
          <w:sz w:val="22"/>
          <w:szCs w:val="22"/>
        </w:rPr>
        <w:t>ze dne 29. července 2015 č. 604</w:t>
      </w:r>
      <w:r w:rsidR="00E57DFF">
        <w:rPr>
          <w:sz w:val="22"/>
          <w:szCs w:val="22"/>
        </w:rPr>
        <w:t>)</w:t>
      </w:r>
      <w:r w:rsidR="002848A2">
        <w:rPr>
          <w:sz w:val="22"/>
          <w:szCs w:val="22"/>
        </w:rPr>
        <w:t>,</w:t>
      </w:r>
      <w:r w:rsidR="00A74ABA" w:rsidRPr="00A74ABA">
        <w:rPr>
          <w:sz w:val="22"/>
          <w:szCs w:val="22"/>
        </w:rPr>
        <w:t xml:space="preserve"> </w:t>
      </w:r>
    </w:p>
    <w:p w:rsidR="00907320" w:rsidRPr="00907320" w:rsidRDefault="00493D7E" w:rsidP="00907320">
      <w:pPr>
        <w:numPr>
          <w:ilvl w:val="0"/>
          <w:numId w:val="46"/>
        </w:numPr>
        <w:spacing w:after="120"/>
        <w:jc w:val="both"/>
        <w:rPr>
          <w:sz w:val="22"/>
          <w:szCs w:val="22"/>
        </w:rPr>
      </w:pPr>
      <w:r w:rsidRPr="00673E63">
        <w:rPr>
          <w:sz w:val="22"/>
          <w:szCs w:val="22"/>
        </w:rPr>
        <w:t xml:space="preserve">zjednodušení a zrychlení procesů příjemce, aby nedocházelo k prodlužování termínů realizace projektu – jedná se o průběžný apel na příjemce, </w:t>
      </w:r>
    </w:p>
    <w:p w:rsidR="00907320" w:rsidRPr="00907320" w:rsidRDefault="00493D7E" w:rsidP="00907320">
      <w:pPr>
        <w:numPr>
          <w:ilvl w:val="0"/>
          <w:numId w:val="46"/>
        </w:numPr>
        <w:spacing w:after="120"/>
        <w:jc w:val="both"/>
        <w:rPr>
          <w:sz w:val="22"/>
          <w:szCs w:val="22"/>
        </w:rPr>
      </w:pPr>
      <w:r w:rsidRPr="00673E63">
        <w:rPr>
          <w:sz w:val="22"/>
          <w:szCs w:val="22"/>
        </w:rPr>
        <w:t xml:space="preserve">měsíční aktualizace přehledu </w:t>
      </w:r>
      <w:proofErr w:type="spellStart"/>
      <w:r w:rsidRPr="00673E63">
        <w:rPr>
          <w:sz w:val="22"/>
          <w:szCs w:val="22"/>
        </w:rPr>
        <w:t>Ž</w:t>
      </w:r>
      <w:r w:rsidR="004A56BD">
        <w:rPr>
          <w:sz w:val="22"/>
          <w:szCs w:val="22"/>
        </w:rPr>
        <w:t>o</w:t>
      </w:r>
      <w:r w:rsidRPr="00673E63">
        <w:rPr>
          <w:sz w:val="22"/>
          <w:szCs w:val="22"/>
        </w:rPr>
        <w:t>P</w:t>
      </w:r>
      <w:proofErr w:type="spellEnd"/>
      <w:r w:rsidRPr="00673E63">
        <w:rPr>
          <w:sz w:val="22"/>
          <w:szCs w:val="22"/>
        </w:rPr>
        <w:t xml:space="preserve"> po měsících, aby bylo možné </w:t>
      </w:r>
      <w:r w:rsidR="004A56BD" w:rsidRPr="00673E63">
        <w:rPr>
          <w:sz w:val="22"/>
          <w:szCs w:val="22"/>
        </w:rPr>
        <w:t>vyhodnocovat na</w:t>
      </w:r>
      <w:r w:rsidRPr="00673E63">
        <w:rPr>
          <w:sz w:val="22"/>
          <w:szCs w:val="22"/>
        </w:rPr>
        <w:t xml:space="preserve"> administrativní kapacity na ZS IOP a ŘO IOP;</w:t>
      </w:r>
    </w:p>
    <w:p w:rsidR="00493D7E" w:rsidRPr="00673E63" w:rsidRDefault="00493D7E" w:rsidP="00907320">
      <w:pPr>
        <w:numPr>
          <w:ilvl w:val="0"/>
          <w:numId w:val="46"/>
        </w:numPr>
        <w:spacing w:after="120"/>
        <w:jc w:val="both"/>
        <w:rPr>
          <w:sz w:val="22"/>
          <w:szCs w:val="22"/>
        </w:rPr>
      </w:pPr>
      <w:r w:rsidRPr="00673E63">
        <w:rPr>
          <w:sz w:val="22"/>
          <w:szCs w:val="22"/>
        </w:rPr>
        <w:t xml:space="preserve">sledování dodržování plánu pro předkládání </w:t>
      </w:r>
      <w:proofErr w:type="spellStart"/>
      <w:r w:rsidRPr="00673E63">
        <w:rPr>
          <w:sz w:val="22"/>
          <w:szCs w:val="22"/>
        </w:rPr>
        <w:t>Ž</w:t>
      </w:r>
      <w:r w:rsidR="004A56BD">
        <w:rPr>
          <w:sz w:val="22"/>
          <w:szCs w:val="22"/>
        </w:rPr>
        <w:t>o</w:t>
      </w:r>
      <w:r w:rsidRPr="00673E63">
        <w:rPr>
          <w:sz w:val="22"/>
          <w:szCs w:val="22"/>
        </w:rPr>
        <w:t>P</w:t>
      </w:r>
      <w:proofErr w:type="spellEnd"/>
      <w:r w:rsidRPr="00673E63">
        <w:rPr>
          <w:sz w:val="22"/>
          <w:szCs w:val="22"/>
        </w:rPr>
        <w:t xml:space="preserve">, identifikace příčin nepředložení </w:t>
      </w:r>
      <w:proofErr w:type="spellStart"/>
      <w:r w:rsidRPr="00673E63">
        <w:rPr>
          <w:sz w:val="22"/>
          <w:szCs w:val="22"/>
        </w:rPr>
        <w:t>ŽoP</w:t>
      </w:r>
      <w:proofErr w:type="spellEnd"/>
      <w:r w:rsidRPr="00673E63">
        <w:rPr>
          <w:sz w:val="22"/>
          <w:szCs w:val="22"/>
        </w:rPr>
        <w:t xml:space="preserve"> v plánovaných termínech;</w:t>
      </w:r>
    </w:p>
    <w:p w:rsidR="00493D7E" w:rsidRPr="00673E63" w:rsidRDefault="00493D7E" w:rsidP="00907320">
      <w:pPr>
        <w:numPr>
          <w:ilvl w:val="0"/>
          <w:numId w:val="46"/>
        </w:numPr>
        <w:spacing w:after="120"/>
        <w:jc w:val="both"/>
        <w:rPr>
          <w:sz w:val="22"/>
          <w:szCs w:val="22"/>
        </w:rPr>
      </w:pPr>
      <w:r w:rsidRPr="00673E63">
        <w:rPr>
          <w:sz w:val="22"/>
          <w:szCs w:val="22"/>
        </w:rPr>
        <w:t xml:space="preserve">aktualizace seznamu rizikových projektů a seznamu opatření pro maximalizaci čerpání – </w:t>
      </w:r>
      <w:r w:rsidR="002848A2">
        <w:rPr>
          <w:sz w:val="22"/>
          <w:szCs w:val="22"/>
        </w:rPr>
        <w:t>čtvrtletní a</w:t>
      </w:r>
      <w:r w:rsidRPr="00673E63">
        <w:rPr>
          <w:sz w:val="22"/>
          <w:szCs w:val="22"/>
        </w:rPr>
        <w:t xml:space="preserve"> měsíční aktualizace stavu </w:t>
      </w:r>
      <w:r w:rsidR="002848A2">
        <w:rPr>
          <w:sz w:val="22"/>
          <w:szCs w:val="22"/>
        </w:rPr>
        <w:t>realizace</w:t>
      </w:r>
      <w:r w:rsidRPr="00673E63">
        <w:rPr>
          <w:sz w:val="22"/>
          <w:szCs w:val="22"/>
        </w:rPr>
        <w:t> projekt</w:t>
      </w:r>
      <w:r w:rsidR="002848A2">
        <w:rPr>
          <w:sz w:val="22"/>
          <w:szCs w:val="22"/>
        </w:rPr>
        <w:t>ů</w:t>
      </w:r>
      <w:r w:rsidRPr="00673E63">
        <w:rPr>
          <w:sz w:val="22"/>
          <w:szCs w:val="22"/>
        </w:rPr>
        <w:t>;</w:t>
      </w:r>
    </w:p>
    <w:p w:rsidR="00493D7E" w:rsidRPr="00673E63" w:rsidRDefault="00493D7E" w:rsidP="00907320">
      <w:pPr>
        <w:numPr>
          <w:ilvl w:val="0"/>
          <w:numId w:val="46"/>
        </w:numPr>
        <w:spacing w:after="120"/>
        <w:jc w:val="both"/>
        <w:rPr>
          <w:sz w:val="22"/>
          <w:szCs w:val="22"/>
        </w:rPr>
      </w:pPr>
      <w:r w:rsidRPr="00673E63">
        <w:rPr>
          <w:sz w:val="22"/>
          <w:szCs w:val="22"/>
        </w:rPr>
        <w:t>podpora příjemcům při přípravě zadávacích a výběrových řízení;</w:t>
      </w:r>
    </w:p>
    <w:p w:rsidR="00493D7E" w:rsidRPr="00673E63" w:rsidRDefault="00493D7E" w:rsidP="00907320">
      <w:pPr>
        <w:numPr>
          <w:ilvl w:val="0"/>
          <w:numId w:val="46"/>
        </w:numPr>
        <w:spacing w:after="120"/>
        <w:jc w:val="both"/>
        <w:rPr>
          <w:sz w:val="22"/>
          <w:szCs w:val="22"/>
        </w:rPr>
      </w:pPr>
      <w:r w:rsidRPr="00673E63">
        <w:rPr>
          <w:sz w:val="22"/>
          <w:szCs w:val="22"/>
        </w:rPr>
        <w:t xml:space="preserve">sledování termínů schvalování zadávací dokumentace </w:t>
      </w:r>
      <w:r w:rsidR="009B4235">
        <w:rPr>
          <w:sz w:val="22"/>
          <w:szCs w:val="22"/>
        </w:rPr>
        <w:t>na</w:t>
      </w:r>
      <w:r w:rsidRPr="00673E63">
        <w:rPr>
          <w:sz w:val="22"/>
          <w:szCs w:val="22"/>
        </w:rPr>
        <w:t xml:space="preserve"> ZS;</w:t>
      </w:r>
    </w:p>
    <w:p w:rsidR="00493D7E" w:rsidRPr="00673E63" w:rsidRDefault="00493D7E" w:rsidP="00907320">
      <w:pPr>
        <w:numPr>
          <w:ilvl w:val="0"/>
          <w:numId w:val="46"/>
        </w:numPr>
        <w:spacing w:after="120"/>
        <w:jc w:val="both"/>
        <w:rPr>
          <w:sz w:val="22"/>
          <w:szCs w:val="22"/>
        </w:rPr>
      </w:pPr>
      <w:r w:rsidRPr="00673E63">
        <w:rPr>
          <w:sz w:val="22"/>
          <w:szCs w:val="22"/>
        </w:rPr>
        <w:t xml:space="preserve">zpracování žádosti o posun poslední souhrnné žádosti na PCO z řádného termínu </w:t>
      </w:r>
      <w:r w:rsidR="00620855">
        <w:rPr>
          <w:sz w:val="22"/>
          <w:szCs w:val="22"/>
        </w:rPr>
        <w:br/>
      </w:r>
      <w:r w:rsidRPr="00673E63">
        <w:rPr>
          <w:sz w:val="22"/>
          <w:szCs w:val="22"/>
        </w:rPr>
        <w:t>30. 4. 2016 na 31. 5. 2016, resp. 30. 6. 2016;</w:t>
      </w:r>
    </w:p>
    <w:p w:rsidR="00493D7E" w:rsidRPr="00BB3911" w:rsidRDefault="00493D7E" w:rsidP="00BB3911">
      <w:pPr>
        <w:numPr>
          <w:ilvl w:val="0"/>
          <w:numId w:val="46"/>
        </w:numPr>
        <w:spacing w:after="120"/>
        <w:jc w:val="both"/>
        <w:rPr>
          <w:sz w:val="22"/>
          <w:szCs w:val="22"/>
        </w:rPr>
      </w:pPr>
      <w:r w:rsidRPr="00BB3911">
        <w:rPr>
          <w:sz w:val="22"/>
          <w:szCs w:val="22"/>
        </w:rPr>
        <w:lastRenderedPageBreak/>
        <w:t>účast ZS IOP a ŘO IOP na řídicích výborech významných projektů (například u projektů operačních středisek, kde je ČP OZ generálním dodavatelem);</w:t>
      </w:r>
    </w:p>
    <w:p w:rsidR="00493D7E" w:rsidRPr="00673E63" w:rsidRDefault="00493D7E" w:rsidP="00907320">
      <w:pPr>
        <w:numPr>
          <w:ilvl w:val="0"/>
          <w:numId w:val="46"/>
        </w:numPr>
        <w:spacing w:after="120"/>
        <w:jc w:val="both"/>
        <w:rPr>
          <w:sz w:val="22"/>
          <w:szCs w:val="22"/>
        </w:rPr>
      </w:pPr>
      <w:r w:rsidRPr="00673E63">
        <w:rPr>
          <w:sz w:val="22"/>
          <w:szCs w:val="22"/>
        </w:rPr>
        <w:t xml:space="preserve">jednání náměstků s vyhodnocováním plnění úkolů a termínů </w:t>
      </w:r>
      <w:r w:rsidR="009B4235">
        <w:rPr>
          <w:sz w:val="22"/>
          <w:szCs w:val="22"/>
        </w:rPr>
        <w:t>v</w:t>
      </w:r>
      <w:r w:rsidRPr="00673E63">
        <w:rPr>
          <w:sz w:val="22"/>
          <w:szCs w:val="22"/>
        </w:rPr>
        <w:t xml:space="preserve"> klíčových projekt</w:t>
      </w:r>
      <w:r w:rsidR="009B4235">
        <w:rPr>
          <w:sz w:val="22"/>
          <w:szCs w:val="22"/>
        </w:rPr>
        <w:t>ech</w:t>
      </w:r>
      <w:r w:rsidRPr="00673E63">
        <w:rPr>
          <w:sz w:val="22"/>
          <w:szCs w:val="22"/>
        </w:rPr>
        <w:t xml:space="preserve"> MVČR s gen</w:t>
      </w:r>
      <w:r w:rsidR="008865EB">
        <w:rPr>
          <w:sz w:val="22"/>
          <w:szCs w:val="22"/>
        </w:rPr>
        <w:t>erálním</w:t>
      </w:r>
      <w:r w:rsidRPr="00673E63">
        <w:rPr>
          <w:sz w:val="22"/>
          <w:szCs w:val="22"/>
        </w:rPr>
        <w:t xml:space="preserve"> dodavatelem ČP OZ (cca 1 mld. Kč)</w:t>
      </w:r>
      <w:r w:rsidR="009B4235">
        <w:rPr>
          <w:sz w:val="22"/>
          <w:szCs w:val="22"/>
        </w:rPr>
        <w:t xml:space="preserve"> a</w:t>
      </w:r>
      <w:r w:rsidRPr="00673E63">
        <w:rPr>
          <w:sz w:val="22"/>
          <w:szCs w:val="22"/>
        </w:rPr>
        <w:t xml:space="preserve"> projekty v oblasti kultury a cestovního ruchu;</w:t>
      </w:r>
    </w:p>
    <w:p w:rsidR="00493D7E" w:rsidRPr="00673E63" w:rsidRDefault="00493D7E" w:rsidP="00907320">
      <w:pPr>
        <w:numPr>
          <w:ilvl w:val="0"/>
          <w:numId w:val="46"/>
        </w:numPr>
        <w:spacing w:after="120"/>
        <w:jc w:val="both"/>
        <w:rPr>
          <w:sz w:val="22"/>
          <w:szCs w:val="22"/>
        </w:rPr>
      </w:pPr>
      <w:r w:rsidRPr="00673E63">
        <w:rPr>
          <w:sz w:val="22"/>
          <w:szCs w:val="22"/>
        </w:rPr>
        <w:t xml:space="preserve">zvýšená podpora příjemcům </w:t>
      </w:r>
      <w:r w:rsidR="009B4235">
        <w:rPr>
          <w:sz w:val="22"/>
          <w:szCs w:val="22"/>
        </w:rPr>
        <w:t>při</w:t>
      </w:r>
      <w:r w:rsidRPr="00673E63">
        <w:rPr>
          <w:sz w:val="22"/>
          <w:szCs w:val="22"/>
        </w:rPr>
        <w:t> příprav</w:t>
      </w:r>
      <w:r w:rsidR="009B4235">
        <w:rPr>
          <w:sz w:val="22"/>
          <w:szCs w:val="22"/>
        </w:rPr>
        <w:t>ě</w:t>
      </w:r>
      <w:r w:rsidRPr="00673E63">
        <w:rPr>
          <w:sz w:val="22"/>
          <w:szCs w:val="22"/>
        </w:rPr>
        <w:t xml:space="preserve"> a předběžn</w:t>
      </w:r>
      <w:r w:rsidR="009B4235">
        <w:rPr>
          <w:sz w:val="22"/>
          <w:szCs w:val="22"/>
        </w:rPr>
        <w:t>é</w:t>
      </w:r>
      <w:r w:rsidRPr="00673E63">
        <w:rPr>
          <w:sz w:val="22"/>
          <w:szCs w:val="22"/>
        </w:rPr>
        <w:t xml:space="preserve"> kontrol</w:t>
      </w:r>
      <w:r w:rsidR="009B4235">
        <w:rPr>
          <w:sz w:val="22"/>
          <w:szCs w:val="22"/>
        </w:rPr>
        <w:t>e</w:t>
      </w:r>
      <w:r w:rsidRPr="00673E63">
        <w:rPr>
          <w:sz w:val="22"/>
          <w:szCs w:val="22"/>
        </w:rPr>
        <w:t xml:space="preserve"> </w:t>
      </w:r>
      <w:proofErr w:type="spellStart"/>
      <w:r w:rsidRPr="00673E63">
        <w:rPr>
          <w:sz w:val="22"/>
          <w:szCs w:val="22"/>
        </w:rPr>
        <w:t>ŽoP</w:t>
      </w:r>
      <w:proofErr w:type="spellEnd"/>
      <w:r w:rsidRPr="00673E63">
        <w:rPr>
          <w:sz w:val="22"/>
          <w:szCs w:val="22"/>
        </w:rPr>
        <w:t xml:space="preserve"> a monitorovací zpráv</w:t>
      </w:r>
      <w:r w:rsidR="009B4235">
        <w:rPr>
          <w:sz w:val="22"/>
          <w:szCs w:val="22"/>
        </w:rPr>
        <w:t>y</w:t>
      </w:r>
      <w:r w:rsidRPr="00673E63">
        <w:rPr>
          <w:sz w:val="22"/>
          <w:szCs w:val="22"/>
        </w:rPr>
        <w:t>;</w:t>
      </w:r>
    </w:p>
    <w:p w:rsidR="00493D7E" w:rsidRPr="00673E63" w:rsidRDefault="00493D7E" w:rsidP="00907320">
      <w:pPr>
        <w:numPr>
          <w:ilvl w:val="0"/>
          <w:numId w:val="46"/>
        </w:numPr>
        <w:spacing w:after="120"/>
        <w:jc w:val="both"/>
        <w:rPr>
          <w:sz w:val="22"/>
          <w:szCs w:val="22"/>
        </w:rPr>
      </w:pPr>
      <w:r w:rsidRPr="00673E63">
        <w:rPr>
          <w:sz w:val="22"/>
          <w:szCs w:val="22"/>
        </w:rPr>
        <w:t xml:space="preserve">prodloužení nejzazšího termínu pro přijetí a proplacení </w:t>
      </w:r>
      <w:proofErr w:type="spellStart"/>
      <w:r w:rsidRPr="00673E63">
        <w:rPr>
          <w:sz w:val="22"/>
          <w:szCs w:val="22"/>
        </w:rPr>
        <w:t>ŽoP</w:t>
      </w:r>
      <w:proofErr w:type="spellEnd"/>
      <w:r w:rsidRPr="00673E63">
        <w:rPr>
          <w:sz w:val="22"/>
          <w:szCs w:val="22"/>
        </w:rPr>
        <w:t>;</w:t>
      </w:r>
    </w:p>
    <w:p w:rsidR="00493D7E" w:rsidRPr="00673E63" w:rsidRDefault="00493D7E" w:rsidP="00907320">
      <w:pPr>
        <w:numPr>
          <w:ilvl w:val="0"/>
          <w:numId w:val="46"/>
        </w:numPr>
        <w:spacing w:after="120"/>
        <w:jc w:val="both"/>
        <w:rPr>
          <w:sz w:val="22"/>
          <w:szCs w:val="22"/>
        </w:rPr>
      </w:pPr>
      <w:r w:rsidRPr="00673E63">
        <w:rPr>
          <w:sz w:val="22"/>
          <w:szCs w:val="22"/>
        </w:rPr>
        <w:t>zkráceny etapy projektů, individuální proškolení klíčových příjemců;</w:t>
      </w:r>
    </w:p>
    <w:p w:rsidR="00493D7E" w:rsidRDefault="00493D7E" w:rsidP="00907320">
      <w:pPr>
        <w:pStyle w:val="Odstavecseseznamem"/>
        <w:widowControl w:val="0"/>
        <w:numPr>
          <w:ilvl w:val="0"/>
          <w:numId w:val="46"/>
        </w:numPr>
        <w:autoSpaceDE w:val="0"/>
        <w:autoSpaceDN w:val="0"/>
        <w:adjustRightInd w:val="0"/>
        <w:spacing w:after="120" w:line="240" w:lineRule="auto"/>
        <w:jc w:val="both"/>
        <w:rPr>
          <w:rFonts w:ascii="Times New Roman" w:hAnsi="Times New Roman"/>
        </w:rPr>
      </w:pPr>
      <w:r w:rsidRPr="00673E63">
        <w:rPr>
          <w:rFonts w:ascii="Times New Roman" w:hAnsi="Times New Roman"/>
        </w:rPr>
        <w:t>příprava metodického pokynu k aplikaci nedokončených projektů</w:t>
      </w:r>
      <w:r w:rsidR="00835225">
        <w:rPr>
          <w:rFonts w:ascii="Times New Roman" w:hAnsi="Times New Roman"/>
        </w:rPr>
        <w:t>;</w:t>
      </w:r>
    </w:p>
    <w:p w:rsidR="00835225" w:rsidRPr="00673E63" w:rsidRDefault="009B4235" w:rsidP="00835225">
      <w:pPr>
        <w:pStyle w:val="Odstavecseseznamem"/>
        <w:numPr>
          <w:ilvl w:val="0"/>
          <w:numId w:val="46"/>
        </w:numPr>
        <w:jc w:val="both"/>
        <w:rPr>
          <w:rFonts w:ascii="Times New Roman" w:hAnsi="Times New Roman"/>
        </w:rPr>
      </w:pPr>
      <w:r>
        <w:rPr>
          <w:rFonts w:ascii="Times New Roman" w:hAnsi="Times New Roman"/>
        </w:rPr>
        <w:t xml:space="preserve">dostatečné </w:t>
      </w:r>
      <w:r w:rsidR="00835225" w:rsidRPr="00673E63">
        <w:rPr>
          <w:rFonts w:ascii="Times New Roman" w:hAnsi="Times New Roman"/>
        </w:rPr>
        <w:t>administrativní kapacit</w:t>
      </w:r>
      <w:r>
        <w:rPr>
          <w:rFonts w:ascii="Times New Roman" w:hAnsi="Times New Roman"/>
        </w:rPr>
        <w:t>y</w:t>
      </w:r>
      <w:r w:rsidR="00835225" w:rsidRPr="00673E63">
        <w:rPr>
          <w:rFonts w:ascii="Times New Roman" w:hAnsi="Times New Roman"/>
        </w:rPr>
        <w:t xml:space="preserve"> na ZS IOP;</w:t>
      </w:r>
    </w:p>
    <w:p w:rsidR="00835225" w:rsidRDefault="009B4235" w:rsidP="00835225">
      <w:pPr>
        <w:pStyle w:val="Odstavecseseznamem"/>
        <w:numPr>
          <w:ilvl w:val="0"/>
          <w:numId w:val="46"/>
        </w:numPr>
        <w:jc w:val="both"/>
        <w:rPr>
          <w:rFonts w:ascii="Times New Roman" w:hAnsi="Times New Roman"/>
        </w:rPr>
      </w:pPr>
      <w:r>
        <w:rPr>
          <w:rFonts w:ascii="Times New Roman" w:hAnsi="Times New Roman"/>
        </w:rPr>
        <w:t>maximální zkrácení a optimalizace</w:t>
      </w:r>
      <w:r w:rsidR="00835225" w:rsidRPr="00673E63">
        <w:rPr>
          <w:rFonts w:ascii="Times New Roman" w:hAnsi="Times New Roman"/>
        </w:rPr>
        <w:t xml:space="preserve"> lhůt ZS IOP a ŘO IOP při zachování nezbytného kontrolního standardu</w:t>
      </w:r>
      <w:r w:rsidR="00835225">
        <w:rPr>
          <w:rFonts w:ascii="Times New Roman" w:hAnsi="Times New Roman"/>
        </w:rPr>
        <w:t>;</w:t>
      </w:r>
    </w:p>
    <w:p w:rsidR="00835225" w:rsidRPr="0094387C" w:rsidRDefault="009B4235" w:rsidP="00835225">
      <w:pPr>
        <w:pStyle w:val="Odstavecseseznamem"/>
        <w:widowControl w:val="0"/>
        <w:numPr>
          <w:ilvl w:val="0"/>
          <w:numId w:val="46"/>
        </w:numPr>
        <w:autoSpaceDE w:val="0"/>
        <w:autoSpaceDN w:val="0"/>
        <w:adjustRightInd w:val="0"/>
        <w:spacing w:after="120" w:line="240" w:lineRule="auto"/>
        <w:jc w:val="both"/>
        <w:rPr>
          <w:rFonts w:ascii="Times New Roman" w:hAnsi="Times New Roman"/>
        </w:rPr>
      </w:pPr>
      <w:r>
        <w:rPr>
          <w:rFonts w:ascii="Times New Roman" w:hAnsi="Times New Roman"/>
        </w:rPr>
        <w:t>ú</w:t>
      </w:r>
      <w:r w:rsidR="00835225" w:rsidRPr="00DF1DB7">
        <w:rPr>
          <w:rFonts w:ascii="Times New Roman" w:hAnsi="Times New Roman"/>
        </w:rPr>
        <w:t>prav</w:t>
      </w:r>
      <w:r>
        <w:rPr>
          <w:rFonts w:ascii="Times New Roman" w:hAnsi="Times New Roman"/>
        </w:rPr>
        <w:t>a</w:t>
      </w:r>
      <w:r w:rsidR="00835225" w:rsidRPr="00DF1DB7">
        <w:rPr>
          <w:rFonts w:ascii="Times New Roman" w:hAnsi="Times New Roman"/>
        </w:rPr>
        <w:t xml:space="preserve"> </w:t>
      </w:r>
      <w:r w:rsidR="00835225" w:rsidRPr="005D6A33">
        <w:rPr>
          <w:rFonts w:ascii="Times New Roman" w:hAnsi="Times New Roman"/>
        </w:rPr>
        <w:t>a optimaliza</w:t>
      </w:r>
      <w:r>
        <w:rPr>
          <w:rFonts w:ascii="Times New Roman" w:hAnsi="Times New Roman"/>
        </w:rPr>
        <w:t>ce</w:t>
      </w:r>
      <w:r w:rsidR="00835225" w:rsidRPr="005D6A33">
        <w:rPr>
          <w:rFonts w:ascii="Times New Roman" w:hAnsi="Times New Roman"/>
        </w:rPr>
        <w:t xml:space="preserve"> postup</w:t>
      </w:r>
      <w:r>
        <w:rPr>
          <w:rFonts w:ascii="Times New Roman" w:hAnsi="Times New Roman"/>
        </w:rPr>
        <w:t>ů</w:t>
      </w:r>
      <w:r w:rsidR="00835225" w:rsidRPr="005D6A33">
        <w:rPr>
          <w:rFonts w:ascii="Times New Roman" w:hAnsi="Times New Roman"/>
        </w:rPr>
        <w:t xml:space="preserve"> </w:t>
      </w:r>
      <w:r w:rsidR="00835225" w:rsidRPr="0094387C">
        <w:rPr>
          <w:rFonts w:ascii="Times New Roman" w:hAnsi="Times New Roman"/>
        </w:rPr>
        <w:t xml:space="preserve">ZS IOP a ŘO IOP.  </w:t>
      </w:r>
    </w:p>
    <w:p w:rsidR="00992B2D" w:rsidRDefault="00992B2D" w:rsidP="00992B2D">
      <w:pPr>
        <w:jc w:val="both"/>
        <w:rPr>
          <w:sz w:val="22"/>
          <w:szCs w:val="22"/>
        </w:rPr>
      </w:pPr>
    </w:p>
    <w:p w:rsidR="00C03C8A" w:rsidRDefault="00C03C8A" w:rsidP="00C03C8A">
      <w:pPr>
        <w:pStyle w:val="Nadpis3"/>
        <w:rPr>
          <w:rFonts w:ascii="Times New Roman" w:hAnsi="Times New Roman"/>
          <w:sz w:val="24"/>
          <w:szCs w:val="24"/>
        </w:rPr>
      </w:pPr>
      <w:bookmarkStart w:id="26" w:name="_Toc433873468"/>
      <w:r>
        <w:rPr>
          <w:rFonts w:ascii="Times New Roman" w:hAnsi="Times New Roman"/>
          <w:sz w:val="24"/>
          <w:szCs w:val="24"/>
        </w:rPr>
        <w:t>2.4.2 Ř</w:t>
      </w:r>
      <w:r w:rsidRPr="00FA6107">
        <w:rPr>
          <w:rFonts w:ascii="Times New Roman" w:hAnsi="Times New Roman"/>
          <w:sz w:val="24"/>
          <w:szCs w:val="24"/>
        </w:rPr>
        <w:t xml:space="preserve">ešení chybovosti IOP ve </w:t>
      </w:r>
      <w:r>
        <w:rPr>
          <w:rFonts w:ascii="Times New Roman" w:hAnsi="Times New Roman"/>
          <w:sz w:val="24"/>
          <w:szCs w:val="24"/>
        </w:rPr>
        <w:t xml:space="preserve">Výroční kontrolní zprávě za rok </w:t>
      </w:r>
      <w:r w:rsidRPr="00FA6107">
        <w:rPr>
          <w:rFonts w:ascii="Times New Roman" w:hAnsi="Times New Roman"/>
          <w:sz w:val="24"/>
          <w:szCs w:val="24"/>
        </w:rPr>
        <w:t>2013</w:t>
      </w:r>
      <w:bookmarkEnd w:id="26"/>
    </w:p>
    <w:p w:rsidR="00C03C8A" w:rsidRDefault="00C03C8A" w:rsidP="00C03C8A">
      <w:pPr>
        <w:jc w:val="both"/>
        <w:rPr>
          <w:sz w:val="22"/>
          <w:szCs w:val="22"/>
        </w:rPr>
      </w:pPr>
      <w:r w:rsidRPr="00535442">
        <w:rPr>
          <w:sz w:val="22"/>
          <w:szCs w:val="22"/>
        </w:rPr>
        <w:t xml:space="preserve">Auditoři AO </w:t>
      </w:r>
      <w:r>
        <w:rPr>
          <w:sz w:val="22"/>
          <w:szCs w:val="22"/>
        </w:rPr>
        <w:t>uved</w:t>
      </w:r>
      <w:r w:rsidRPr="00535442">
        <w:rPr>
          <w:sz w:val="22"/>
          <w:szCs w:val="22"/>
        </w:rPr>
        <w:t>li ve Výroční kontrolní zprávě za rok 2013 individuální chyby představující 2,46 % z celkových auditovaných výdajů a na základě tohoto údaje stanovili extrapolovanou chybovost.</w:t>
      </w:r>
    </w:p>
    <w:p w:rsidR="000C42BC" w:rsidRDefault="00C03C8A" w:rsidP="00980714">
      <w:pPr>
        <w:jc w:val="both"/>
        <w:rPr>
          <w:sz w:val="22"/>
          <w:szCs w:val="22"/>
        </w:rPr>
      </w:pPr>
      <w:r w:rsidRPr="00535442">
        <w:rPr>
          <w:sz w:val="22"/>
          <w:szCs w:val="22"/>
        </w:rPr>
        <w:t xml:space="preserve">V období 7. – 11. dubna 2014 vykonali pracovníci Evropské komise (DG REGIO) auditní misi </w:t>
      </w:r>
      <w:r>
        <w:rPr>
          <w:sz w:val="22"/>
          <w:szCs w:val="22"/>
        </w:rPr>
        <w:br/>
      </w:r>
      <w:r w:rsidRPr="00535442">
        <w:rPr>
          <w:sz w:val="22"/>
          <w:szCs w:val="22"/>
        </w:rPr>
        <w:t>č. 2013/CZ/REGIO/C4/1332/1 zaměřenou na ověření činnosti Auditního orgánu MF ČR. Audit probíhal na vzorku 12 projektů</w:t>
      </w:r>
      <w:r w:rsidR="00980714">
        <w:rPr>
          <w:sz w:val="22"/>
          <w:szCs w:val="22"/>
        </w:rPr>
        <w:t>, kde</w:t>
      </w:r>
      <w:r w:rsidRPr="00535442">
        <w:rPr>
          <w:sz w:val="22"/>
          <w:szCs w:val="22"/>
        </w:rPr>
        <w:t xml:space="preserve"> AO </w:t>
      </w:r>
      <w:r w:rsidR="00980714">
        <w:rPr>
          <w:sz w:val="22"/>
          <w:szCs w:val="22"/>
        </w:rPr>
        <w:t>provedl</w:t>
      </w:r>
      <w:r w:rsidRPr="00535442">
        <w:rPr>
          <w:sz w:val="22"/>
          <w:szCs w:val="22"/>
        </w:rPr>
        <w:t xml:space="preserve"> audit operací v roce 2013. </w:t>
      </w:r>
    </w:p>
    <w:p w:rsidR="00C03C8A" w:rsidRDefault="00C03C8A" w:rsidP="00980714">
      <w:pPr>
        <w:jc w:val="both"/>
        <w:rPr>
          <w:sz w:val="22"/>
          <w:szCs w:val="22"/>
        </w:rPr>
      </w:pPr>
      <w:r w:rsidRPr="00535442">
        <w:rPr>
          <w:sz w:val="22"/>
          <w:szCs w:val="22"/>
        </w:rPr>
        <w:t>ŘO IOP obdržel návrh zprávy z auditní mise v českém jazyce dne 11. 8. 2014 a do měsíce vypracoval ve spolupráci s příjemci a zprostředkujícím subjektem námitky.</w:t>
      </w:r>
      <w:r w:rsidR="00980714">
        <w:rPr>
          <w:sz w:val="22"/>
          <w:szCs w:val="22"/>
        </w:rPr>
        <w:t xml:space="preserve"> </w:t>
      </w:r>
      <w:r w:rsidRPr="006E33DB">
        <w:rPr>
          <w:sz w:val="22"/>
          <w:szCs w:val="22"/>
        </w:rPr>
        <w:t>Dne 19. 3. 2015 obdržel ŘO IOP finální zprávu z auditu EK</w:t>
      </w:r>
      <w:r w:rsidR="002C05DE">
        <w:rPr>
          <w:sz w:val="22"/>
          <w:szCs w:val="22"/>
        </w:rPr>
        <w:t>.</w:t>
      </w:r>
      <w:r w:rsidRPr="006E33DB">
        <w:rPr>
          <w:sz w:val="22"/>
          <w:szCs w:val="22"/>
        </w:rPr>
        <w:t xml:space="preserve"> </w:t>
      </w:r>
      <w:r w:rsidR="002C05DE">
        <w:rPr>
          <w:sz w:val="22"/>
          <w:szCs w:val="22"/>
        </w:rPr>
        <w:t>A</w:t>
      </w:r>
      <w:r w:rsidRPr="006E33DB">
        <w:rPr>
          <w:sz w:val="22"/>
          <w:szCs w:val="22"/>
        </w:rPr>
        <w:t xml:space="preserve">uditoři EK nevyhověli námitkám </w:t>
      </w:r>
      <w:r>
        <w:rPr>
          <w:sz w:val="22"/>
          <w:szCs w:val="22"/>
        </w:rPr>
        <w:t>ke třem</w:t>
      </w:r>
      <w:r w:rsidRPr="006E33DB">
        <w:rPr>
          <w:sz w:val="22"/>
          <w:szCs w:val="22"/>
        </w:rPr>
        <w:t xml:space="preserve"> zjištěním a výsledná chybovost činí 2,97</w:t>
      </w:r>
      <w:r>
        <w:rPr>
          <w:sz w:val="22"/>
          <w:szCs w:val="22"/>
        </w:rPr>
        <w:t xml:space="preserve"> </w:t>
      </w:r>
      <w:r w:rsidRPr="006E33DB">
        <w:rPr>
          <w:sz w:val="22"/>
          <w:szCs w:val="22"/>
        </w:rPr>
        <w:t>%.</w:t>
      </w:r>
      <w:r>
        <w:rPr>
          <w:sz w:val="22"/>
          <w:szCs w:val="22"/>
        </w:rPr>
        <w:t xml:space="preserve"> </w:t>
      </w:r>
      <w:r w:rsidRPr="00535442">
        <w:rPr>
          <w:sz w:val="22"/>
          <w:szCs w:val="22"/>
        </w:rPr>
        <w:t>Jedním z</w:t>
      </w:r>
      <w:r>
        <w:rPr>
          <w:sz w:val="22"/>
          <w:szCs w:val="22"/>
        </w:rPr>
        <w:t> </w:t>
      </w:r>
      <w:r w:rsidRPr="00535442">
        <w:rPr>
          <w:sz w:val="22"/>
          <w:szCs w:val="22"/>
        </w:rPr>
        <w:t>opatření</w:t>
      </w:r>
      <w:r>
        <w:rPr>
          <w:sz w:val="22"/>
          <w:szCs w:val="22"/>
        </w:rPr>
        <w:t>,</w:t>
      </w:r>
      <w:r w:rsidRPr="00535442">
        <w:rPr>
          <w:sz w:val="22"/>
          <w:szCs w:val="22"/>
        </w:rPr>
        <w:t xml:space="preserve"> vyplývající</w:t>
      </w:r>
      <w:r>
        <w:rPr>
          <w:sz w:val="22"/>
          <w:szCs w:val="22"/>
        </w:rPr>
        <w:t>ch</w:t>
      </w:r>
      <w:r w:rsidRPr="00535442">
        <w:rPr>
          <w:sz w:val="22"/>
          <w:szCs w:val="22"/>
        </w:rPr>
        <w:t xml:space="preserve"> z této auditní mise</w:t>
      </w:r>
      <w:r>
        <w:rPr>
          <w:sz w:val="22"/>
          <w:szCs w:val="22"/>
        </w:rPr>
        <w:t>,</w:t>
      </w:r>
      <w:r w:rsidRPr="00535442">
        <w:rPr>
          <w:sz w:val="22"/>
          <w:szCs w:val="22"/>
        </w:rPr>
        <w:t xml:space="preserve"> je</w:t>
      </w:r>
      <w:r>
        <w:rPr>
          <w:sz w:val="22"/>
          <w:szCs w:val="22"/>
        </w:rPr>
        <w:t xml:space="preserve"> </w:t>
      </w:r>
      <w:r w:rsidRPr="00535442">
        <w:rPr>
          <w:sz w:val="22"/>
          <w:szCs w:val="22"/>
        </w:rPr>
        <w:t>provedení auditu IT</w:t>
      </w:r>
      <w:r>
        <w:rPr>
          <w:sz w:val="22"/>
          <w:szCs w:val="22"/>
        </w:rPr>
        <w:t xml:space="preserve"> projektů</w:t>
      </w:r>
      <w:r w:rsidRPr="00535442">
        <w:rPr>
          <w:sz w:val="22"/>
          <w:szCs w:val="22"/>
        </w:rPr>
        <w:t xml:space="preserve"> v roce 201</w:t>
      </w:r>
      <w:r w:rsidRPr="007329C1">
        <w:rPr>
          <w:sz w:val="22"/>
          <w:szCs w:val="22"/>
        </w:rPr>
        <w:t>5</w:t>
      </w:r>
      <w:r>
        <w:rPr>
          <w:sz w:val="22"/>
          <w:szCs w:val="22"/>
        </w:rPr>
        <w:t xml:space="preserve"> (viz bod </w:t>
      </w:r>
      <w:r w:rsidR="00FE6A4F" w:rsidRPr="00E36829">
        <w:rPr>
          <w:sz w:val="22"/>
          <w:szCs w:val="22"/>
        </w:rPr>
        <w:fldChar w:fldCharType="begin"/>
      </w:r>
      <w:r w:rsidR="00FE6A4F" w:rsidRPr="00AB4EE8">
        <w:rPr>
          <w:sz w:val="22"/>
          <w:szCs w:val="22"/>
        </w:rPr>
        <w:instrText xml:space="preserve"> REF _Ref430935563 \h </w:instrText>
      </w:r>
      <w:r w:rsidR="00AB4EE8">
        <w:rPr>
          <w:sz w:val="22"/>
          <w:szCs w:val="22"/>
        </w:rPr>
        <w:instrText xml:space="preserve"> \* MERGEFORMAT </w:instrText>
      </w:r>
      <w:r w:rsidR="00FE6A4F" w:rsidRPr="00E36829">
        <w:rPr>
          <w:sz w:val="22"/>
          <w:szCs w:val="22"/>
        </w:rPr>
      </w:r>
      <w:r w:rsidR="00FE6A4F" w:rsidRPr="00E36829">
        <w:rPr>
          <w:sz w:val="22"/>
          <w:szCs w:val="22"/>
        </w:rPr>
        <w:fldChar w:fldCharType="separate"/>
      </w:r>
      <w:r w:rsidR="00FE6A4F" w:rsidRPr="00FA4218">
        <w:rPr>
          <w:sz w:val="22"/>
          <w:szCs w:val="22"/>
        </w:rPr>
        <w:t>2. 4. 1</w:t>
      </w:r>
      <w:r w:rsidR="000E6FAC">
        <w:rPr>
          <w:sz w:val="22"/>
          <w:szCs w:val="22"/>
        </w:rPr>
        <w:t>0</w:t>
      </w:r>
      <w:r w:rsidR="00FE6A4F" w:rsidRPr="00FA4218">
        <w:rPr>
          <w:sz w:val="22"/>
          <w:szCs w:val="22"/>
        </w:rPr>
        <w:t xml:space="preserve"> Horizontální audit ICT projektů</w:t>
      </w:r>
      <w:r w:rsidR="00FE6A4F" w:rsidRPr="00E36829">
        <w:rPr>
          <w:sz w:val="22"/>
          <w:szCs w:val="22"/>
        </w:rPr>
        <w:fldChar w:fldCharType="end"/>
      </w:r>
      <w:r w:rsidRPr="00AB4EE8">
        <w:rPr>
          <w:sz w:val="22"/>
          <w:szCs w:val="22"/>
        </w:rPr>
        <w:t xml:space="preserve">). </w:t>
      </w:r>
      <w:r w:rsidR="00D34E2D" w:rsidRPr="00AB4EE8">
        <w:rPr>
          <w:sz w:val="22"/>
          <w:szCs w:val="22"/>
        </w:rPr>
        <w:t xml:space="preserve">ŘO IOP nadále rozporuje zjištění </w:t>
      </w:r>
      <w:r w:rsidR="000E6FAC">
        <w:rPr>
          <w:sz w:val="22"/>
          <w:szCs w:val="22"/>
        </w:rPr>
        <w:br/>
      </w:r>
      <w:r w:rsidR="00D34E2D" w:rsidRPr="00AB4EE8">
        <w:rPr>
          <w:sz w:val="22"/>
          <w:szCs w:val="22"/>
        </w:rPr>
        <w:t>č. 1</w:t>
      </w:r>
      <w:r w:rsidR="00BC52DE">
        <w:rPr>
          <w:sz w:val="22"/>
          <w:szCs w:val="22"/>
        </w:rPr>
        <w:t xml:space="preserve"> z předmětné auditní mise EK, kterým auditoři </w:t>
      </w:r>
      <w:r w:rsidR="002C05DE">
        <w:rPr>
          <w:sz w:val="22"/>
          <w:szCs w:val="22"/>
        </w:rPr>
        <w:t>z</w:t>
      </w:r>
      <w:r w:rsidR="00377F64">
        <w:rPr>
          <w:sz w:val="22"/>
          <w:szCs w:val="22"/>
        </w:rPr>
        <w:t>výšili korekci</w:t>
      </w:r>
      <w:r w:rsidR="002C05DE">
        <w:rPr>
          <w:sz w:val="22"/>
          <w:szCs w:val="22"/>
        </w:rPr>
        <w:t>, kterou</w:t>
      </w:r>
      <w:r w:rsidR="00FE6A4F">
        <w:rPr>
          <w:sz w:val="22"/>
          <w:szCs w:val="22"/>
        </w:rPr>
        <w:t xml:space="preserve"> ulož</w:t>
      </w:r>
      <w:r w:rsidR="002C05DE">
        <w:rPr>
          <w:sz w:val="22"/>
          <w:szCs w:val="22"/>
        </w:rPr>
        <w:t>il</w:t>
      </w:r>
      <w:r w:rsidR="00FE6A4F">
        <w:rPr>
          <w:sz w:val="22"/>
          <w:szCs w:val="22"/>
        </w:rPr>
        <w:t xml:space="preserve"> AO</w:t>
      </w:r>
      <w:r w:rsidR="00377F64">
        <w:rPr>
          <w:sz w:val="22"/>
          <w:szCs w:val="22"/>
        </w:rPr>
        <w:t xml:space="preserve"> za porušení zákona při zadávání veřejných zakázek v projektech Registr obyvatel, Registr práv a povinností a Informační systém základních registrů z</w:t>
      </w:r>
      <w:r w:rsidR="002C05DE">
        <w:rPr>
          <w:sz w:val="22"/>
          <w:szCs w:val="22"/>
        </w:rPr>
        <w:t> </w:t>
      </w:r>
      <w:r w:rsidR="00377F64">
        <w:rPr>
          <w:sz w:val="22"/>
          <w:szCs w:val="22"/>
        </w:rPr>
        <w:t>5</w:t>
      </w:r>
      <w:r w:rsidR="002C05DE">
        <w:rPr>
          <w:sz w:val="22"/>
          <w:szCs w:val="22"/>
        </w:rPr>
        <w:t xml:space="preserve"> </w:t>
      </w:r>
      <w:r w:rsidR="00377F64">
        <w:rPr>
          <w:sz w:val="22"/>
          <w:szCs w:val="22"/>
        </w:rPr>
        <w:t>% na 10</w:t>
      </w:r>
      <w:r w:rsidR="002C05DE">
        <w:rPr>
          <w:sz w:val="22"/>
          <w:szCs w:val="22"/>
        </w:rPr>
        <w:t xml:space="preserve"> </w:t>
      </w:r>
      <w:r w:rsidR="00377F64">
        <w:rPr>
          <w:sz w:val="22"/>
          <w:szCs w:val="22"/>
        </w:rPr>
        <w:t>% částky použité na financování dotčených veřejných zakázek (celkem o 41 079 836,96 Kč)</w:t>
      </w:r>
      <w:r w:rsidR="00D34E2D">
        <w:rPr>
          <w:sz w:val="22"/>
          <w:szCs w:val="22"/>
        </w:rPr>
        <w:t>. ŘO IOP</w:t>
      </w:r>
      <w:r w:rsidR="00980714">
        <w:rPr>
          <w:sz w:val="22"/>
          <w:szCs w:val="22"/>
        </w:rPr>
        <w:t xml:space="preserve"> </w:t>
      </w:r>
      <w:r w:rsidR="00D34E2D">
        <w:rPr>
          <w:sz w:val="22"/>
          <w:szCs w:val="22"/>
        </w:rPr>
        <w:t>ve spolupráci s AO a PCO zpracoval reakci na závěrečnou zprávu o auditu, která byla dne 20. 8</w:t>
      </w:r>
      <w:r w:rsidR="00377F64">
        <w:rPr>
          <w:sz w:val="22"/>
          <w:szCs w:val="22"/>
        </w:rPr>
        <w:t>. 2015 odeslána do EK</w:t>
      </w:r>
      <w:r w:rsidR="00414357">
        <w:rPr>
          <w:sz w:val="22"/>
          <w:szCs w:val="22"/>
        </w:rPr>
        <w:t xml:space="preserve">. </w:t>
      </w:r>
    </w:p>
    <w:p w:rsidR="00DA0457" w:rsidRDefault="00DA0457" w:rsidP="00A30F50">
      <w:pPr>
        <w:pStyle w:val="Nadpis3"/>
        <w:rPr>
          <w:rFonts w:ascii="Times New Roman" w:hAnsi="Times New Roman"/>
          <w:sz w:val="24"/>
          <w:szCs w:val="24"/>
        </w:rPr>
      </w:pPr>
      <w:bookmarkStart w:id="27" w:name="_Toc433873469"/>
      <w:r w:rsidRPr="00B27700">
        <w:rPr>
          <w:rFonts w:ascii="Times New Roman" w:hAnsi="Times New Roman"/>
          <w:sz w:val="24"/>
          <w:szCs w:val="24"/>
        </w:rPr>
        <w:t>2.4.</w:t>
      </w:r>
      <w:r w:rsidR="008967E2">
        <w:rPr>
          <w:rFonts w:ascii="Times New Roman" w:hAnsi="Times New Roman"/>
          <w:sz w:val="24"/>
          <w:szCs w:val="24"/>
        </w:rPr>
        <w:t>3</w:t>
      </w:r>
      <w:r w:rsidR="00F13EA1" w:rsidRPr="00B27700">
        <w:rPr>
          <w:rFonts w:ascii="Times New Roman" w:hAnsi="Times New Roman"/>
          <w:sz w:val="24"/>
          <w:szCs w:val="24"/>
        </w:rPr>
        <w:t xml:space="preserve"> </w:t>
      </w:r>
      <w:r w:rsidR="00FA79B5" w:rsidRPr="00B27700">
        <w:rPr>
          <w:rFonts w:ascii="Times New Roman" w:hAnsi="Times New Roman"/>
          <w:sz w:val="24"/>
          <w:szCs w:val="24"/>
        </w:rPr>
        <w:t>Spící a rizikové projekty IOP</w:t>
      </w:r>
      <w:bookmarkEnd w:id="27"/>
    </w:p>
    <w:p w:rsidR="00C5047D" w:rsidRDefault="00105E4A" w:rsidP="00105E4A">
      <w:pPr>
        <w:jc w:val="both"/>
        <w:rPr>
          <w:sz w:val="22"/>
          <w:szCs w:val="22"/>
        </w:rPr>
      </w:pPr>
      <w:r w:rsidRPr="00105E4A">
        <w:rPr>
          <w:sz w:val="22"/>
          <w:szCs w:val="22"/>
        </w:rPr>
        <w:t>Na základě pravidelného vyhodnocení, provedeného zprostředkujícími subjekty IOP</w:t>
      </w:r>
      <w:r w:rsidR="002C05DE">
        <w:rPr>
          <w:sz w:val="22"/>
          <w:szCs w:val="22"/>
        </w:rPr>
        <w:t>,</w:t>
      </w:r>
      <w:r w:rsidRPr="00105E4A">
        <w:rPr>
          <w:sz w:val="22"/>
          <w:szCs w:val="22"/>
        </w:rPr>
        <w:t xml:space="preserve"> a po kontrole ŘO IOP bylo k 1. 7. 2015 evidováno 47 vysoce rizikových projektů v hodnotě cca 6 mld. Kč. Na rozdíl od předchozí sestavy k dubnu 2015 </w:t>
      </w:r>
      <w:r w:rsidR="002C05DE">
        <w:rPr>
          <w:sz w:val="22"/>
          <w:szCs w:val="22"/>
        </w:rPr>
        <w:t>nebyl</w:t>
      </w:r>
      <w:r w:rsidRPr="00105E4A">
        <w:rPr>
          <w:sz w:val="22"/>
          <w:szCs w:val="22"/>
        </w:rPr>
        <w:t xml:space="preserve"> k 1. 7. 2015 identifikován žádný spící projekt. ŘO IOP ve spolupráci se ZS IOP detailně sleduje stav rizikových projektů (projekty s minimálně dvěma rizikovými parametry)</w:t>
      </w:r>
      <w:r w:rsidR="002C05DE">
        <w:rPr>
          <w:sz w:val="22"/>
          <w:szCs w:val="22"/>
        </w:rPr>
        <w:t xml:space="preserve"> a</w:t>
      </w:r>
      <w:r w:rsidRPr="00105E4A">
        <w:rPr>
          <w:sz w:val="22"/>
          <w:szCs w:val="22"/>
        </w:rPr>
        <w:t xml:space="preserve"> identifikov</w:t>
      </w:r>
      <w:r w:rsidR="002C05DE">
        <w:rPr>
          <w:sz w:val="22"/>
          <w:szCs w:val="22"/>
        </w:rPr>
        <w:t>al</w:t>
      </w:r>
      <w:r w:rsidRPr="00105E4A">
        <w:rPr>
          <w:sz w:val="22"/>
          <w:szCs w:val="22"/>
        </w:rPr>
        <w:t xml:space="preserve"> 89 rizikových projektů v hodnotě přesahující 2,8 mld. Kč. ŘO IOP a zprostředkující subjekty řeší a stanovují opatření již pro rizikov</w:t>
      </w:r>
      <w:r w:rsidR="002C05DE">
        <w:rPr>
          <w:sz w:val="22"/>
          <w:szCs w:val="22"/>
        </w:rPr>
        <w:t>é</w:t>
      </w:r>
      <w:r w:rsidRPr="00105E4A">
        <w:rPr>
          <w:sz w:val="22"/>
          <w:szCs w:val="22"/>
        </w:rPr>
        <w:t xml:space="preserve"> projekt</w:t>
      </w:r>
      <w:r w:rsidR="002C05DE">
        <w:rPr>
          <w:sz w:val="22"/>
          <w:szCs w:val="22"/>
        </w:rPr>
        <w:t>y</w:t>
      </w:r>
      <w:r w:rsidRPr="00105E4A">
        <w:rPr>
          <w:sz w:val="22"/>
          <w:szCs w:val="22"/>
        </w:rPr>
        <w:t xml:space="preserve">. </w:t>
      </w:r>
    </w:p>
    <w:p w:rsidR="00C5047D" w:rsidRDefault="00C5047D" w:rsidP="00105E4A">
      <w:pPr>
        <w:jc w:val="both"/>
        <w:rPr>
          <w:sz w:val="22"/>
          <w:szCs w:val="22"/>
        </w:rPr>
      </w:pPr>
    </w:p>
    <w:p w:rsidR="00105E4A" w:rsidRPr="00105E4A" w:rsidRDefault="00105E4A" w:rsidP="002C05DE">
      <w:pPr>
        <w:jc w:val="both"/>
        <w:rPr>
          <w:sz w:val="22"/>
          <w:szCs w:val="22"/>
        </w:rPr>
      </w:pPr>
      <w:r w:rsidRPr="00105E4A">
        <w:rPr>
          <w:sz w:val="22"/>
          <w:szCs w:val="22"/>
        </w:rPr>
        <w:t>Oproti vyhodnocení problémových projektů k dubnu 2015 odstoup</w:t>
      </w:r>
      <w:r w:rsidR="002C05DE">
        <w:rPr>
          <w:sz w:val="22"/>
          <w:szCs w:val="22"/>
        </w:rPr>
        <w:t>il</w:t>
      </w:r>
      <w:r w:rsidRPr="00105E4A">
        <w:rPr>
          <w:sz w:val="22"/>
          <w:szCs w:val="22"/>
        </w:rPr>
        <w:t xml:space="preserve"> jed</w:t>
      </w:r>
      <w:r w:rsidR="002C05DE">
        <w:rPr>
          <w:sz w:val="22"/>
          <w:szCs w:val="22"/>
        </w:rPr>
        <w:t>e</w:t>
      </w:r>
      <w:r w:rsidRPr="00105E4A">
        <w:rPr>
          <w:sz w:val="22"/>
          <w:szCs w:val="22"/>
        </w:rPr>
        <w:t xml:space="preserve">n spící projekt v hodnotě cca 299 mil. Kč. V kategorii vysoce rizikových projektů byl zaznamenán růst o 22 projektů v hodnotě cca 2,6 mld. Kč. Tyto projekty byly přeřazeny z kategorie rizikových zejména z důvodu napjatého plánu realizace. Častým důvodem je jejich schválení v průběhu léta a podzimu 2014 </w:t>
      </w:r>
      <w:r w:rsidR="002C05DE">
        <w:rPr>
          <w:sz w:val="22"/>
          <w:szCs w:val="22"/>
        </w:rPr>
        <w:t xml:space="preserve">a </w:t>
      </w:r>
      <w:r w:rsidR="004A6350">
        <w:rPr>
          <w:sz w:val="22"/>
          <w:szCs w:val="22"/>
        </w:rPr>
        <w:t>období</w:t>
      </w:r>
      <w:r w:rsidRPr="00105E4A">
        <w:rPr>
          <w:sz w:val="22"/>
          <w:szCs w:val="22"/>
        </w:rPr>
        <w:t xml:space="preserve"> </w:t>
      </w:r>
      <w:r w:rsidR="004A6350">
        <w:rPr>
          <w:sz w:val="22"/>
          <w:szCs w:val="22"/>
        </w:rPr>
        <w:t xml:space="preserve">pro </w:t>
      </w:r>
      <w:r w:rsidRPr="00105E4A">
        <w:rPr>
          <w:sz w:val="22"/>
          <w:szCs w:val="22"/>
        </w:rPr>
        <w:t>realizac</w:t>
      </w:r>
      <w:r w:rsidR="004A6350">
        <w:rPr>
          <w:sz w:val="22"/>
          <w:szCs w:val="22"/>
        </w:rPr>
        <w:t>i v délce</w:t>
      </w:r>
      <w:r w:rsidRPr="00105E4A">
        <w:rPr>
          <w:sz w:val="22"/>
          <w:szCs w:val="22"/>
        </w:rPr>
        <w:t xml:space="preserve"> </w:t>
      </w:r>
      <w:r w:rsidR="004A6350">
        <w:rPr>
          <w:sz w:val="22"/>
          <w:szCs w:val="22"/>
        </w:rPr>
        <w:t xml:space="preserve">přibližně </w:t>
      </w:r>
      <w:r w:rsidRPr="00105E4A">
        <w:rPr>
          <w:sz w:val="22"/>
          <w:szCs w:val="22"/>
        </w:rPr>
        <w:t>jednoho roku včetně uskutečnění všech veřejných zakázek. Jedná se především</w:t>
      </w:r>
      <w:r w:rsidR="002C05DE">
        <w:rPr>
          <w:sz w:val="22"/>
          <w:szCs w:val="22"/>
        </w:rPr>
        <w:t xml:space="preserve"> </w:t>
      </w:r>
      <w:r w:rsidRPr="00105E4A">
        <w:rPr>
          <w:sz w:val="22"/>
          <w:szCs w:val="22"/>
        </w:rPr>
        <w:t xml:space="preserve">o projekty měst a obcí z 22. výzvy v oblasti intervence </w:t>
      </w:r>
      <w:r w:rsidR="00177836" w:rsidRPr="00105E4A">
        <w:rPr>
          <w:sz w:val="22"/>
          <w:szCs w:val="22"/>
        </w:rPr>
        <w:t>2. 1</w:t>
      </w:r>
      <w:r w:rsidRPr="00105E4A">
        <w:rPr>
          <w:sz w:val="22"/>
          <w:szCs w:val="22"/>
        </w:rPr>
        <w:t>. a projekty organizačních složek státu</w:t>
      </w:r>
      <w:r w:rsidR="002C05DE">
        <w:rPr>
          <w:sz w:val="22"/>
          <w:szCs w:val="22"/>
        </w:rPr>
        <w:t xml:space="preserve"> </w:t>
      </w:r>
      <w:r w:rsidRPr="00105E4A">
        <w:rPr>
          <w:sz w:val="22"/>
          <w:szCs w:val="22"/>
        </w:rPr>
        <w:t>v 17. výzvě v oblasti intervence 1.1</w:t>
      </w:r>
      <w:r w:rsidR="002C05DE">
        <w:rPr>
          <w:sz w:val="22"/>
          <w:szCs w:val="22"/>
        </w:rPr>
        <w:t>.</w:t>
      </w:r>
    </w:p>
    <w:p w:rsidR="008E693D" w:rsidRDefault="008E693D" w:rsidP="004B1F8B">
      <w:pPr>
        <w:jc w:val="both"/>
        <w:rPr>
          <w:sz w:val="22"/>
          <w:szCs w:val="22"/>
        </w:rPr>
      </w:pPr>
    </w:p>
    <w:p w:rsidR="009918CD" w:rsidRDefault="009918CD" w:rsidP="004B1F8B">
      <w:pPr>
        <w:jc w:val="both"/>
        <w:rPr>
          <w:sz w:val="22"/>
          <w:szCs w:val="22"/>
        </w:rPr>
      </w:pPr>
    </w:p>
    <w:p w:rsidR="007D66D0" w:rsidRDefault="007D66D0" w:rsidP="004B1F8B">
      <w:pPr>
        <w:jc w:val="both"/>
        <w:rPr>
          <w:sz w:val="22"/>
          <w:szCs w:val="22"/>
        </w:rPr>
      </w:pPr>
    </w:p>
    <w:p w:rsidR="007D66D0" w:rsidRDefault="007D66D0" w:rsidP="004B1F8B">
      <w:pPr>
        <w:jc w:val="both"/>
        <w:rPr>
          <w:sz w:val="22"/>
          <w:szCs w:val="22"/>
        </w:rPr>
      </w:pPr>
    </w:p>
    <w:p w:rsidR="00105E4A" w:rsidRPr="001E6971" w:rsidRDefault="004B1F8B" w:rsidP="00105E4A">
      <w:pPr>
        <w:pStyle w:val="Tabulkanzev"/>
        <w:rPr>
          <w:b w:val="0"/>
        </w:rPr>
      </w:pPr>
      <w:bookmarkStart w:id="28" w:name="_Toc416431814"/>
      <w:bookmarkStart w:id="29" w:name="_Toc433873544"/>
      <w:r w:rsidRPr="003004BF">
        <w:rPr>
          <w:b w:val="0"/>
        </w:rPr>
        <w:t>Přehled spících a vysoce rizikových projektů</w:t>
      </w:r>
      <w:bookmarkEnd w:id="28"/>
      <w:bookmarkEnd w:id="29"/>
    </w:p>
    <w:tbl>
      <w:tblPr>
        <w:tblW w:w="5000" w:type="pct"/>
        <w:tblCellMar>
          <w:left w:w="70" w:type="dxa"/>
          <w:right w:w="70" w:type="dxa"/>
        </w:tblCellMar>
        <w:tblLook w:val="04A0" w:firstRow="1" w:lastRow="0" w:firstColumn="1" w:lastColumn="0" w:noHBand="0" w:noVBand="1"/>
      </w:tblPr>
      <w:tblGrid>
        <w:gridCol w:w="1261"/>
        <w:gridCol w:w="650"/>
        <w:gridCol w:w="1135"/>
        <w:gridCol w:w="851"/>
        <w:gridCol w:w="1175"/>
        <w:gridCol w:w="811"/>
        <w:gridCol w:w="1304"/>
        <w:gridCol w:w="849"/>
        <w:gridCol w:w="1175"/>
      </w:tblGrid>
      <w:tr w:rsidR="009300DE" w:rsidRPr="001E6971" w:rsidTr="0067695E">
        <w:trPr>
          <w:trHeight w:val="330"/>
          <w:tblHeader/>
        </w:trPr>
        <w:tc>
          <w:tcPr>
            <w:tcW w:w="685" w:type="pct"/>
            <w:vMerge w:val="restart"/>
            <w:tcBorders>
              <w:top w:val="double" w:sz="6" w:space="0" w:color="1F497D"/>
              <w:left w:val="double" w:sz="6" w:space="0" w:color="1F497D"/>
              <w:bottom w:val="single" w:sz="8" w:space="0" w:color="1F497D"/>
              <w:right w:val="single" w:sz="8" w:space="0" w:color="1F497D"/>
            </w:tcBorders>
            <w:shd w:val="clear" w:color="000000" w:fill="8DB3E2"/>
            <w:vAlign w:val="center"/>
            <w:hideMark/>
          </w:tcPr>
          <w:p w:rsidR="001E6971" w:rsidRPr="001E6971" w:rsidRDefault="001E6971" w:rsidP="001E6971">
            <w:pPr>
              <w:jc w:val="center"/>
              <w:rPr>
                <w:b/>
                <w:bCs/>
                <w:color w:val="000000"/>
                <w:sz w:val="18"/>
                <w:szCs w:val="18"/>
              </w:rPr>
            </w:pPr>
            <w:r w:rsidRPr="001E6971">
              <w:rPr>
                <w:b/>
                <w:bCs/>
                <w:color w:val="000000"/>
                <w:sz w:val="18"/>
                <w:szCs w:val="18"/>
              </w:rPr>
              <w:t>příjemce</w:t>
            </w:r>
          </w:p>
        </w:tc>
        <w:tc>
          <w:tcPr>
            <w:tcW w:w="969" w:type="pct"/>
            <w:gridSpan w:val="2"/>
            <w:tcBorders>
              <w:top w:val="double" w:sz="6" w:space="0" w:color="1F497D"/>
              <w:left w:val="nil"/>
              <w:bottom w:val="single" w:sz="8" w:space="0" w:color="1F497D"/>
              <w:right w:val="single" w:sz="8" w:space="0" w:color="1F497D"/>
            </w:tcBorders>
            <w:shd w:val="clear" w:color="000000" w:fill="FF0000"/>
            <w:vAlign w:val="center"/>
            <w:hideMark/>
          </w:tcPr>
          <w:p w:rsidR="001E6971" w:rsidRPr="001E6971" w:rsidRDefault="001E6971" w:rsidP="001E6971">
            <w:pPr>
              <w:jc w:val="center"/>
              <w:rPr>
                <w:b/>
                <w:bCs/>
                <w:color w:val="000000"/>
                <w:sz w:val="18"/>
                <w:szCs w:val="18"/>
              </w:rPr>
            </w:pPr>
            <w:r w:rsidRPr="001E6971">
              <w:rPr>
                <w:b/>
                <w:bCs/>
                <w:color w:val="000000"/>
                <w:sz w:val="18"/>
                <w:szCs w:val="18"/>
              </w:rPr>
              <w:t>spící</w:t>
            </w:r>
          </w:p>
        </w:tc>
        <w:tc>
          <w:tcPr>
            <w:tcW w:w="1100" w:type="pct"/>
            <w:gridSpan w:val="2"/>
            <w:tcBorders>
              <w:top w:val="double" w:sz="6" w:space="0" w:color="1F497D"/>
              <w:left w:val="nil"/>
              <w:bottom w:val="single" w:sz="8" w:space="0" w:color="1F497D"/>
              <w:right w:val="single" w:sz="8" w:space="0" w:color="1F497D"/>
            </w:tcBorders>
            <w:shd w:val="clear" w:color="000000" w:fill="FFC000"/>
            <w:vAlign w:val="center"/>
            <w:hideMark/>
          </w:tcPr>
          <w:p w:rsidR="001E6971" w:rsidRPr="001E6971" w:rsidRDefault="001E6971" w:rsidP="001E6971">
            <w:pPr>
              <w:jc w:val="center"/>
              <w:rPr>
                <w:b/>
                <w:bCs/>
                <w:color w:val="000000"/>
                <w:sz w:val="18"/>
                <w:szCs w:val="18"/>
              </w:rPr>
            </w:pPr>
            <w:r w:rsidRPr="001E6971">
              <w:rPr>
                <w:b/>
                <w:bCs/>
                <w:color w:val="000000"/>
                <w:sz w:val="18"/>
                <w:szCs w:val="18"/>
              </w:rPr>
              <w:t>vysoce rizikové</w:t>
            </w:r>
          </w:p>
        </w:tc>
        <w:tc>
          <w:tcPr>
            <w:tcW w:w="1148" w:type="pct"/>
            <w:gridSpan w:val="2"/>
            <w:tcBorders>
              <w:top w:val="double" w:sz="6" w:space="0" w:color="1F497D"/>
              <w:left w:val="nil"/>
              <w:bottom w:val="single" w:sz="8" w:space="0" w:color="1F497D"/>
              <w:right w:val="single" w:sz="8" w:space="0" w:color="1F497D"/>
            </w:tcBorders>
            <w:shd w:val="clear" w:color="000000" w:fill="FFFF00"/>
            <w:vAlign w:val="center"/>
            <w:hideMark/>
          </w:tcPr>
          <w:p w:rsidR="001E6971" w:rsidRPr="001E6971" w:rsidRDefault="001E6971" w:rsidP="001E6971">
            <w:pPr>
              <w:jc w:val="center"/>
              <w:rPr>
                <w:b/>
                <w:bCs/>
                <w:color w:val="000000"/>
                <w:sz w:val="18"/>
                <w:szCs w:val="18"/>
              </w:rPr>
            </w:pPr>
            <w:r w:rsidRPr="001E6971">
              <w:rPr>
                <w:b/>
                <w:bCs/>
                <w:color w:val="000000"/>
                <w:sz w:val="18"/>
                <w:szCs w:val="18"/>
              </w:rPr>
              <w:t>rizikové</w:t>
            </w:r>
          </w:p>
        </w:tc>
        <w:tc>
          <w:tcPr>
            <w:tcW w:w="1099" w:type="pct"/>
            <w:gridSpan w:val="2"/>
            <w:tcBorders>
              <w:top w:val="double" w:sz="6" w:space="0" w:color="1F497D"/>
              <w:left w:val="nil"/>
              <w:bottom w:val="single" w:sz="8" w:space="0" w:color="1F497D"/>
              <w:right w:val="double" w:sz="6" w:space="0" w:color="1F497D"/>
            </w:tcBorders>
            <w:shd w:val="clear" w:color="000000" w:fill="8DB3E2"/>
            <w:vAlign w:val="center"/>
            <w:hideMark/>
          </w:tcPr>
          <w:p w:rsidR="001E6971" w:rsidRPr="001E6971" w:rsidRDefault="001E6971" w:rsidP="001E6971">
            <w:pPr>
              <w:jc w:val="center"/>
              <w:rPr>
                <w:b/>
                <w:bCs/>
                <w:color w:val="000000"/>
                <w:sz w:val="18"/>
                <w:szCs w:val="18"/>
              </w:rPr>
            </w:pPr>
            <w:r w:rsidRPr="001E6971">
              <w:rPr>
                <w:b/>
                <w:bCs/>
                <w:color w:val="000000"/>
                <w:sz w:val="18"/>
                <w:szCs w:val="18"/>
              </w:rPr>
              <w:t>celkem</w:t>
            </w:r>
          </w:p>
        </w:tc>
      </w:tr>
      <w:tr w:rsidR="001E6971" w:rsidRPr="001E6971" w:rsidTr="0067695E">
        <w:trPr>
          <w:trHeight w:val="315"/>
          <w:tblHeader/>
        </w:trPr>
        <w:tc>
          <w:tcPr>
            <w:tcW w:w="685" w:type="pct"/>
            <w:vMerge/>
            <w:tcBorders>
              <w:top w:val="double" w:sz="6" w:space="0" w:color="1F497D"/>
              <w:left w:val="double" w:sz="6" w:space="0" w:color="1F497D"/>
              <w:bottom w:val="single" w:sz="8" w:space="0" w:color="1F497D"/>
              <w:right w:val="single" w:sz="8" w:space="0" w:color="1F497D"/>
            </w:tcBorders>
            <w:vAlign w:val="center"/>
            <w:hideMark/>
          </w:tcPr>
          <w:p w:rsidR="001E6971" w:rsidRPr="001E6971" w:rsidRDefault="001E6971" w:rsidP="001E6971">
            <w:pPr>
              <w:rPr>
                <w:b/>
                <w:bCs/>
                <w:color w:val="000000"/>
                <w:sz w:val="18"/>
                <w:szCs w:val="18"/>
              </w:rPr>
            </w:pPr>
          </w:p>
        </w:tc>
        <w:tc>
          <w:tcPr>
            <w:tcW w:w="353" w:type="pct"/>
            <w:vMerge w:val="restart"/>
            <w:tcBorders>
              <w:top w:val="nil"/>
              <w:left w:val="single" w:sz="8" w:space="0" w:color="1F497D"/>
              <w:bottom w:val="single" w:sz="8" w:space="0" w:color="1F497D"/>
              <w:right w:val="single" w:sz="8" w:space="0" w:color="1F497D"/>
            </w:tcBorders>
            <w:shd w:val="clear" w:color="000000" w:fill="FF0000"/>
            <w:vAlign w:val="center"/>
            <w:hideMark/>
          </w:tcPr>
          <w:p w:rsidR="001E6971" w:rsidRPr="001E6971" w:rsidRDefault="001E6971" w:rsidP="001E6971">
            <w:pPr>
              <w:jc w:val="center"/>
              <w:rPr>
                <w:b/>
                <w:bCs/>
                <w:color w:val="000000"/>
                <w:sz w:val="18"/>
                <w:szCs w:val="18"/>
              </w:rPr>
            </w:pPr>
            <w:r w:rsidRPr="001E6971">
              <w:rPr>
                <w:b/>
                <w:bCs/>
                <w:color w:val="000000"/>
                <w:sz w:val="18"/>
                <w:szCs w:val="18"/>
              </w:rPr>
              <w:t>počet</w:t>
            </w:r>
          </w:p>
        </w:tc>
        <w:tc>
          <w:tcPr>
            <w:tcW w:w="616" w:type="pct"/>
            <w:tcBorders>
              <w:top w:val="nil"/>
              <w:left w:val="nil"/>
              <w:bottom w:val="single" w:sz="8" w:space="0" w:color="1F497D"/>
              <w:right w:val="single" w:sz="8" w:space="0" w:color="1F497D"/>
            </w:tcBorders>
            <w:shd w:val="clear" w:color="000000" w:fill="FF0000"/>
            <w:vAlign w:val="center"/>
            <w:hideMark/>
          </w:tcPr>
          <w:p w:rsidR="001E6971" w:rsidRPr="001E6971" w:rsidRDefault="001E6971" w:rsidP="001E6971">
            <w:pPr>
              <w:jc w:val="center"/>
              <w:rPr>
                <w:b/>
                <w:bCs/>
                <w:color w:val="000000"/>
                <w:sz w:val="18"/>
                <w:szCs w:val="18"/>
              </w:rPr>
            </w:pPr>
            <w:r w:rsidRPr="001E6971">
              <w:rPr>
                <w:b/>
                <w:bCs/>
                <w:color w:val="000000"/>
                <w:sz w:val="18"/>
                <w:szCs w:val="18"/>
              </w:rPr>
              <w:t xml:space="preserve">objem </w:t>
            </w:r>
          </w:p>
        </w:tc>
        <w:tc>
          <w:tcPr>
            <w:tcW w:w="462" w:type="pct"/>
            <w:vMerge w:val="restart"/>
            <w:tcBorders>
              <w:top w:val="nil"/>
              <w:left w:val="single" w:sz="8" w:space="0" w:color="1F497D"/>
              <w:bottom w:val="single" w:sz="8" w:space="0" w:color="1F497D"/>
              <w:right w:val="single" w:sz="8" w:space="0" w:color="1F497D"/>
            </w:tcBorders>
            <w:shd w:val="clear" w:color="000000" w:fill="FFC000"/>
            <w:vAlign w:val="center"/>
            <w:hideMark/>
          </w:tcPr>
          <w:p w:rsidR="001E6971" w:rsidRPr="001E6971" w:rsidRDefault="001E6971" w:rsidP="001E6971">
            <w:pPr>
              <w:jc w:val="center"/>
              <w:rPr>
                <w:b/>
                <w:bCs/>
                <w:color w:val="000000"/>
                <w:sz w:val="18"/>
                <w:szCs w:val="18"/>
              </w:rPr>
            </w:pPr>
            <w:r w:rsidRPr="001E6971">
              <w:rPr>
                <w:b/>
                <w:bCs/>
                <w:color w:val="000000"/>
                <w:sz w:val="18"/>
                <w:szCs w:val="18"/>
              </w:rPr>
              <w:t>počet</w:t>
            </w:r>
          </w:p>
        </w:tc>
        <w:tc>
          <w:tcPr>
            <w:tcW w:w="638" w:type="pct"/>
            <w:tcBorders>
              <w:top w:val="nil"/>
              <w:left w:val="nil"/>
              <w:bottom w:val="single" w:sz="8" w:space="0" w:color="1F497D"/>
              <w:right w:val="single" w:sz="8" w:space="0" w:color="1F497D"/>
            </w:tcBorders>
            <w:shd w:val="clear" w:color="000000" w:fill="FFC000"/>
            <w:vAlign w:val="center"/>
            <w:hideMark/>
          </w:tcPr>
          <w:p w:rsidR="001E6971" w:rsidRPr="001E6971" w:rsidRDefault="001E6971" w:rsidP="001E6971">
            <w:pPr>
              <w:jc w:val="center"/>
              <w:rPr>
                <w:b/>
                <w:bCs/>
                <w:color w:val="000000"/>
                <w:sz w:val="18"/>
                <w:szCs w:val="18"/>
              </w:rPr>
            </w:pPr>
            <w:r w:rsidRPr="001E6971">
              <w:rPr>
                <w:b/>
                <w:bCs/>
                <w:color w:val="000000"/>
                <w:sz w:val="18"/>
                <w:szCs w:val="18"/>
              </w:rPr>
              <w:t>objem</w:t>
            </w:r>
          </w:p>
        </w:tc>
        <w:tc>
          <w:tcPr>
            <w:tcW w:w="440" w:type="pct"/>
            <w:vMerge w:val="restart"/>
            <w:tcBorders>
              <w:top w:val="nil"/>
              <w:left w:val="single" w:sz="8" w:space="0" w:color="1F497D"/>
              <w:bottom w:val="single" w:sz="8" w:space="0" w:color="1F497D"/>
              <w:right w:val="single" w:sz="8" w:space="0" w:color="1F497D"/>
            </w:tcBorders>
            <w:shd w:val="clear" w:color="000000" w:fill="FFFF00"/>
            <w:vAlign w:val="center"/>
            <w:hideMark/>
          </w:tcPr>
          <w:p w:rsidR="001E6971" w:rsidRPr="001E6971" w:rsidRDefault="001E6971" w:rsidP="001E6971">
            <w:pPr>
              <w:jc w:val="center"/>
              <w:rPr>
                <w:b/>
                <w:bCs/>
                <w:color w:val="000000"/>
                <w:sz w:val="18"/>
                <w:szCs w:val="18"/>
              </w:rPr>
            </w:pPr>
            <w:r w:rsidRPr="001E6971">
              <w:rPr>
                <w:b/>
                <w:bCs/>
                <w:color w:val="000000"/>
                <w:sz w:val="18"/>
                <w:szCs w:val="18"/>
              </w:rPr>
              <w:t>počet</w:t>
            </w:r>
          </w:p>
        </w:tc>
        <w:tc>
          <w:tcPr>
            <w:tcW w:w="708" w:type="pct"/>
            <w:tcBorders>
              <w:top w:val="nil"/>
              <w:left w:val="nil"/>
              <w:bottom w:val="single" w:sz="8" w:space="0" w:color="1F497D"/>
              <w:right w:val="single" w:sz="8" w:space="0" w:color="1F497D"/>
            </w:tcBorders>
            <w:shd w:val="clear" w:color="000000" w:fill="FFFF00"/>
            <w:vAlign w:val="center"/>
            <w:hideMark/>
          </w:tcPr>
          <w:p w:rsidR="001E6971" w:rsidRPr="001E6971" w:rsidRDefault="001E6971" w:rsidP="001E6971">
            <w:pPr>
              <w:jc w:val="center"/>
              <w:rPr>
                <w:b/>
                <w:bCs/>
                <w:color w:val="000000"/>
                <w:sz w:val="18"/>
                <w:szCs w:val="18"/>
              </w:rPr>
            </w:pPr>
            <w:r w:rsidRPr="001E6971">
              <w:rPr>
                <w:b/>
                <w:bCs/>
                <w:color w:val="000000"/>
                <w:sz w:val="18"/>
                <w:szCs w:val="18"/>
              </w:rPr>
              <w:t xml:space="preserve">objem </w:t>
            </w:r>
          </w:p>
        </w:tc>
        <w:tc>
          <w:tcPr>
            <w:tcW w:w="461" w:type="pct"/>
            <w:vMerge w:val="restart"/>
            <w:tcBorders>
              <w:top w:val="nil"/>
              <w:left w:val="single" w:sz="8" w:space="0" w:color="1F497D"/>
              <w:bottom w:val="single" w:sz="8" w:space="0" w:color="1F497D"/>
              <w:right w:val="single" w:sz="4" w:space="0" w:color="1F497D"/>
            </w:tcBorders>
            <w:shd w:val="clear" w:color="000000" w:fill="8DB3E2"/>
            <w:vAlign w:val="center"/>
            <w:hideMark/>
          </w:tcPr>
          <w:p w:rsidR="001E6971" w:rsidRPr="001E6971" w:rsidRDefault="001E6971" w:rsidP="001E6971">
            <w:pPr>
              <w:jc w:val="center"/>
              <w:rPr>
                <w:b/>
                <w:bCs/>
                <w:color w:val="000000"/>
                <w:sz w:val="18"/>
                <w:szCs w:val="18"/>
              </w:rPr>
            </w:pPr>
            <w:r w:rsidRPr="001E6971">
              <w:rPr>
                <w:b/>
                <w:bCs/>
                <w:color w:val="000000"/>
                <w:sz w:val="18"/>
                <w:szCs w:val="18"/>
              </w:rPr>
              <w:t>počet</w:t>
            </w:r>
          </w:p>
        </w:tc>
        <w:tc>
          <w:tcPr>
            <w:tcW w:w="638" w:type="pct"/>
            <w:tcBorders>
              <w:top w:val="single" w:sz="4" w:space="0" w:color="1F497D"/>
              <w:left w:val="single" w:sz="4" w:space="0" w:color="1F497D"/>
              <w:bottom w:val="single" w:sz="4" w:space="0" w:color="1F497D"/>
              <w:right w:val="double" w:sz="6" w:space="0" w:color="1F497D"/>
            </w:tcBorders>
            <w:shd w:val="clear" w:color="000000" w:fill="8DB3E2"/>
            <w:vAlign w:val="center"/>
            <w:hideMark/>
          </w:tcPr>
          <w:p w:rsidR="001E6971" w:rsidRPr="001E6971" w:rsidRDefault="001E6971" w:rsidP="001E6971">
            <w:pPr>
              <w:jc w:val="center"/>
              <w:rPr>
                <w:b/>
                <w:bCs/>
                <w:color w:val="000000"/>
                <w:sz w:val="18"/>
                <w:szCs w:val="18"/>
              </w:rPr>
            </w:pPr>
            <w:r w:rsidRPr="001E6971">
              <w:rPr>
                <w:b/>
                <w:bCs/>
                <w:color w:val="000000"/>
                <w:sz w:val="18"/>
                <w:szCs w:val="18"/>
              </w:rPr>
              <w:t>objem</w:t>
            </w:r>
          </w:p>
        </w:tc>
      </w:tr>
      <w:tr w:rsidR="001E6971" w:rsidRPr="001E6971" w:rsidTr="0067695E">
        <w:trPr>
          <w:trHeight w:val="315"/>
          <w:tblHeader/>
        </w:trPr>
        <w:tc>
          <w:tcPr>
            <w:tcW w:w="685" w:type="pct"/>
            <w:vMerge/>
            <w:tcBorders>
              <w:top w:val="double" w:sz="6" w:space="0" w:color="1F497D"/>
              <w:left w:val="double" w:sz="6" w:space="0" w:color="1F497D"/>
              <w:bottom w:val="single" w:sz="8" w:space="0" w:color="1F497D"/>
              <w:right w:val="single" w:sz="8" w:space="0" w:color="1F497D"/>
            </w:tcBorders>
            <w:vAlign w:val="center"/>
            <w:hideMark/>
          </w:tcPr>
          <w:p w:rsidR="001E6971" w:rsidRPr="001E6971" w:rsidRDefault="001E6971" w:rsidP="001E6971">
            <w:pPr>
              <w:rPr>
                <w:b/>
                <w:bCs/>
                <w:color w:val="000000"/>
                <w:sz w:val="18"/>
                <w:szCs w:val="18"/>
              </w:rPr>
            </w:pPr>
          </w:p>
        </w:tc>
        <w:tc>
          <w:tcPr>
            <w:tcW w:w="353" w:type="pct"/>
            <w:vMerge/>
            <w:tcBorders>
              <w:top w:val="nil"/>
              <w:left w:val="single" w:sz="8" w:space="0" w:color="1F497D"/>
              <w:bottom w:val="single" w:sz="8" w:space="0" w:color="1F497D"/>
              <w:right w:val="single" w:sz="8" w:space="0" w:color="1F497D"/>
            </w:tcBorders>
            <w:vAlign w:val="center"/>
            <w:hideMark/>
          </w:tcPr>
          <w:p w:rsidR="001E6971" w:rsidRPr="001E6971" w:rsidRDefault="001E6971" w:rsidP="001E6971">
            <w:pPr>
              <w:rPr>
                <w:b/>
                <w:bCs/>
                <w:color w:val="000000"/>
                <w:sz w:val="18"/>
                <w:szCs w:val="18"/>
              </w:rPr>
            </w:pPr>
          </w:p>
        </w:tc>
        <w:tc>
          <w:tcPr>
            <w:tcW w:w="616" w:type="pct"/>
            <w:tcBorders>
              <w:top w:val="nil"/>
              <w:left w:val="nil"/>
              <w:bottom w:val="single" w:sz="8" w:space="0" w:color="1F497D"/>
              <w:right w:val="single" w:sz="8" w:space="0" w:color="1F497D"/>
            </w:tcBorders>
            <w:shd w:val="clear" w:color="000000" w:fill="FF0000"/>
            <w:vAlign w:val="center"/>
            <w:hideMark/>
          </w:tcPr>
          <w:p w:rsidR="001E6971" w:rsidRPr="001E6971" w:rsidRDefault="001E6971" w:rsidP="001E6971">
            <w:pPr>
              <w:jc w:val="center"/>
              <w:rPr>
                <w:b/>
                <w:bCs/>
                <w:color w:val="000000"/>
                <w:sz w:val="18"/>
                <w:szCs w:val="18"/>
              </w:rPr>
            </w:pPr>
            <w:r w:rsidRPr="001E6971">
              <w:rPr>
                <w:b/>
                <w:bCs/>
                <w:color w:val="000000"/>
                <w:sz w:val="18"/>
                <w:szCs w:val="18"/>
              </w:rPr>
              <w:t>Kč</w:t>
            </w:r>
          </w:p>
        </w:tc>
        <w:tc>
          <w:tcPr>
            <w:tcW w:w="462" w:type="pct"/>
            <w:vMerge/>
            <w:tcBorders>
              <w:top w:val="nil"/>
              <w:left w:val="single" w:sz="8" w:space="0" w:color="1F497D"/>
              <w:bottom w:val="single" w:sz="8" w:space="0" w:color="1F497D"/>
              <w:right w:val="single" w:sz="8" w:space="0" w:color="1F497D"/>
            </w:tcBorders>
            <w:vAlign w:val="center"/>
            <w:hideMark/>
          </w:tcPr>
          <w:p w:rsidR="001E6971" w:rsidRPr="001E6971" w:rsidRDefault="001E6971" w:rsidP="001E6971">
            <w:pPr>
              <w:rPr>
                <w:b/>
                <w:bCs/>
                <w:color w:val="000000"/>
                <w:sz w:val="18"/>
                <w:szCs w:val="18"/>
              </w:rPr>
            </w:pPr>
          </w:p>
        </w:tc>
        <w:tc>
          <w:tcPr>
            <w:tcW w:w="638" w:type="pct"/>
            <w:tcBorders>
              <w:top w:val="nil"/>
              <w:left w:val="nil"/>
              <w:bottom w:val="single" w:sz="8" w:space="0" w:color="1F497D"/>
              <w:right w:val="single" w:sz="8" w:space="0" w:color="1F497D"/>
            </w:tcBorders>
            <w:shd w:val="clear" w:color="000000" w:fill="FFC000"/>
            <w:vAlign w:val="center"/>
            <w:hideMark/>
          </w:tcPr>
          <w:p w:rsidR="001E6971" w:rsidRPr="001E6971" w:rsidRDefault="001E6971" w:rsidP="001E6971">
            <w:pPr>
              <w:jc w:val="center"/>
              <w:rPr>
                <w:b/>
                <w:bCs/>
                <w:color w:val="000000"/>
                <w:sz w:val="18"/>
                <w:szCs w:val="18"/>
              </w:rPr>
            </w:pPr>
            <w:r w:rsidRPr="001E6971">
              <w:rPr>
                <w:b/>
                <w:bCs/>
                <w:color w:val="000000"/>
                <w:sz w:val="18"/>
                <w:szCs w:val="18"/>
              </w:rPr>
              <w:t>Kč</w:t>
            </w:r>
          </w:p>
        </w:tc>
        <w:tc>
          <w:tcPr>
            <w:tcW w:w="440" w:type="pct"/>
            <w:vMerge/>
            <w:tcBorders>
              <w:top w:val="nil"/>
              <w:left w:val="single" w:sz="8" w:space="0" w:color="1F497D"/>
              <w:bottom w:val="single" w:sz="8" w:space="0" w:color="1F497D"/>
              <w:right w:val="single" w:sz="8" w:space="0" w:color="1F497D"/>
            </w:tcBorders>
            <w:vAlign w:val="center"/>
            <w:hideMark/>
          </w:tcPr>
          <w:p w:rsidR="001E6971" w:rsidRPr="001E6971" w:rsidRDefault="001E6971" w:rsidP="001E6971">
            <w:pPr>
              <w:rPr>
                <w:b/>
                <w:bCs/>
                <w:color w:val="000000"/>
                <w:sz w:val="18"/>
                <w:szCs w:val="18"/>
              </w:rPr>
            </w:pPr>
          </w:p>
        </w:tc>
        <w:tc>
          <w:tcPr>
            <w:tcW w:w="708" w:type="pct"/>
            <w:tcBorders>
              <w:top w:val="nil"/>
              <w:left w:val="nil"/>
              <w:bottom w:val="single" w:sz="8" w:space="0" w:color="1F497D"/>
              <w:right w:val="single" w:sz="8" w:space="0" w:color="1F497D"/>
            </w:tcBorders>
            <w:shd w:val="clear" w:color="000000" w:fill="FFFF00"/>
            <w:vAlign w:val="center"/>
            <w:hideMark/>
          </w:tcPr>
          <w:p w:rsidR="001E6971" w:rsidRPr="001E6971" w:rsidRDefault="001E6971" w:rsidP="001E6971">
            <w:pPr>
              <w:jc w:val="center"/>
              <w:rPr>
                <w:b/>
                <w:bCs/>
                <w:color w:val="000000"/>
                <w:sz w:val="18"/>
                <w:szCs w:val="18"/>
              </w:rPr>
            </w:pPr>
            <w:r w:rsidRPr="001E6971">
              <w:rPr>
                <w:b/>
                <w:bCs/>
                <w:color w:val="000000"/>
                <w:sz w:val="18"/>
                <w:szCs w:val="18"/>
              </w:rPr>
              <w:t>Kč</w:t>
            </w:r>
          </w:p>
        </w:tc>
        <w:tc>
          <w:tcPr>
            <w:tcW w:w="461" w:type="pct"/>
            <w:vMerge/>
            <w:tcBorders>
              <w:top w:val="nil"/>
              <w:left w:val="single" w:sz="8" w:space="0" w:color="1F497D"/>
              <w:bottom w:val="single" w:sz="8" w:space="0" w:color="1F497D"/>
              <w:right w:val="single" w:sz="4" w:space="0" w:color="1F497D"/>
            </w:tcBorders>
            <w:vAlign w:val="center"/>
            <w:hideMark/>
          </w:tcPr>
          <w:p w:rsidR="001E6971" w:rsidRPr="001E6971" w:rsidRDefault="001E6971" w:rsidP="001E6971">
            <w:pPr>
              <w:rPr>
                <w:b/>
                <w:bCs/>
                <w:color w:val="000000"/>
                <w:sz w:val="18"/>
                <w:szCs w:val="18"/>
              </w:rPr>
            </w:pPr>
          </w:p>
        </w:tc>
        <w:tc>
          <w:tcPr>
            <w:tcW w:w="638" w:type="pct"/>
            <w:tcBorders>
              <w:top w:val="single" w:sz="4" w:space="0" w:color="1F497D"/>
              <w:left w:val="single" w:sz="4" w:space="0" w:color="1F497D"/>
              <w:bottom w:val="single" w:sz="4" w:space="0" w:color="1F497D"/>
              <w:right w:val="double" w:sz="6" w:space="0" w:color="1F497D"/>
            </w:tcBorders>
            <w:shd w:val="clear" w:color="000000" w:fill="8DB3E2"/>
            <w:vAlign w:val="center"/>
            <w:hideMark/>
          </w:tcPr>
          <w:p w:rsidR="001E6971" w:rsidRPr="001E6971" w:rsidRDefault="001E6971" w:rsidP="001E6971">
            <w:pPr>
              <w:jc w:val="center"/>
              <w:rPr>
                <w:b/>
                <w:bCs/>
                <w:color w:val="000000"/>
                <w:sz w:val="18"/>
                <w:szCs w:val="18"/>
              </w:rPr>
            </w:pPr>
            <w:r w:rsidRPr="001E6971">
              <w:rPr>
                <w:b/>
                <w:bCs/>
                <w:color w:val="000000"/>
                <w:sz w:val="18"/>
                <w:szCs w:val="18"/>
              </w:rPr>
              <w:t>Kč</w:t>
            </w:r>
          </w:p>
        </w:tc>
      </w:tr>
      <w:tr w:rsidR="001E6971" w:rsidRPr="001E6971" w:rsidTr="002F713F">
        <w:trPr>
          <w:trHeight w:val="315"/>
        </w:trPr>
        <w:tc>
          <w:tcPr>
            <w:tcW w:w="685" w:type="pct"/>
            <w:tcBorders>
              <w:top w:val="nil"/>
              <w:left w:val="double" w:sz="6" w:space="0" w:color="1F497D"/>
              <w:bottom w:val="single" w:sz="8" w:space="0" w:color="1F497D"/>
              <w:right w:val="single" w:sz="8" w:space="0" w:color="1F497D"/>
            </w:tcBorders>
            <w:shd w:val="clear" w:color="000000" w:fill="FFFFFF"/>
            <w:noWrap/>
            <w:vAlign w:val="center"/>
            <w:hideMark/>
          </w:tcPr>
          <w:p w:rsidR="001E6971" w:rsidRPr="001E6971" w:rsidRDefault="001E6971" w:rsidP="001E6971">
            <w:pPr>
              <w:jc w:val="center"/>
              <w:rPr>
                <w:color w:val="000000"/>
                <w:sz w:val="18"/>
                <w:szCs w:val="18"/>
              </w:rPr>
            </w:pPr>
            <w:r w:rsidRPr="001E6971">
              <w:rPr>
                <w:color w:val="000000"/>
                <w:sz w:val="18"/>
                <w:szCs w:val="18"/>
              </w:rPr>
              <w:t>MV</w:t>
            </w:r>
          </w:p>
        </w:tc>
        <w:tc>
          <w:tcPr>
            <w:tcW w:w="353" w:type="pct"/>
            <w:tcBorders>
              <w:top w:val="nil"/>
              <w:left w:val="nil"/>
              <w:bottom w:val="single" w:sz="8" w:space="0" w:color="1F497D"/>
              <w:right w:val="single" w:sz="8" w:space="0" w:color="1F497D"/>
            </w:tcBorders>
            <w:shd w:val="clear" w:color="auto" w:fill="auto"/>
            <w:noWrap/>
            <w:vAlign w:val="center"/>
            <w:hideMark/>
          </w:tcPr>
          <w:p w:rsidR="001E6971" w:rsidRPr="001E6971" w:rsidRDefault="001E6971" w:rsidP="001E6971">
            <w:pPr>
              <w:jc w:val="center"/>
              <w:rPr>
                <w:color w:val="000000"/>
                <w:sz w:val="18"/>
                <w:szCs w:val="18"/>
              </w:rPr>
            </w:pPr>
            <w:r w:rsidRPr="001E6971">
              <w:rPr>
                <w:color w:val="000000"/>
                <w:sz w:val="18"/>
                <w:szCs w:val="18"/>
              </w:rPr>
              <w:t> </w:t>
            </w:r>
          </w:p>
        </w:tc>
        <w:tc>
          <w:tcPr>
            <w:tcW w:w="616" w:type="pct"/>
            <w:tcBorders>
              <w:top w:val="nil"/>
              <w:left w:val="nil"/>
              <w:bottom w:val="single" w:sz="8" w:space="0" w:color="1F497D"/>
              <w:right w:val="single" w:sz="8" w:space="0" w:color="1F497D"/>
            </w:tcBorders>
            <w:shd w:val="clear" w:color="auto" w:fill="auto"/>
            <w:noWrap/>
            <w:vAlign w:val="center"/>
            <w:hideMark/>
          </w:tcPr>
          <w:p w:rsidR="001E6971" w:rsidRPr="001E6971" w:rsidRDefault="001E6971" w:rsidP="001E6971">
            <w:pPr>
              <w:jc w:val="center"/>
              <w:rPr>
                <w:color w:val="000000"/>
                <w:sz w:val="18"/>
                <w:szCs w:val="18"/>
              </w:rPr>
            </w:pPr>
            <w:r w:rsidRPr="001E6971">
              <w:rPr>
                <w:color w:val="000000"/>
                <w:sz w:val="18"/>
                <w:szCs w:val="18"/>
              </w:rPr>
              <w:t> </w:t>
            </w:r>
          </w:p>
        </w:tc>
        <w:tc>
          <w:tcPr>
            <w:tcW w:w="462" w:type="pct"/>
            <w:tcBorders>
              <w:top w:val="nil"/>
              <w:left w:val="nil"/>
              <w:bottom w:val="single" w:sz="8" w:space="0" w:color="1F497D"/>
              <w:right w:val="single" w:sz="8" w:space="0" w:color="1F497D"/>
            </w:tcBorders>
            <w:shd w:val="clear" w:color="auto" w:fill="auto"/>
            <w:noWrap/>
            <w:vAlign w:val="center"/>
            <w:hideMark/>
          </w:tcPr>
          <w:p w:rsidR="001E6971" w:rsidRPr="001E6971" w:rsidRDefault="001E6971" w:rsidP="001E6971">
            <w:pPr>
              <w:jc w:val="center"/>
              <w:rPr>
                <w:color w:val="000000"/>
                <w:sz w:val="18"/>
                <w:szCs w:val="18"/>
              </w:rPr>
            </w:pPr>
            <w:r w:rsidRPr="001E6971">
              <w:rPr>
                <w:color w:val="000000"/>
                <w:sz w:val="18"/>
                <w:szCs w:val="18"/>
              </w:rPr>
              <w:t>8</w:t>
            </w:r>
          </w:p>
        </w:tc>
        <w:tc>
          <w:tcPr>
            <w:tcW w:w="638" w:type="pct"/>
            <w:tcBorders>
              <w:top w:val="nil"/>
              <w:left w:val="nil"/>
              <w:bottom w:val="single" w:sz="8" w:space="0" w:color="1F497D"/>
              <w:right w:val="single" w:sz="8" w:space="0" w:color="1F497D"/>
            </w:tcBorders>
            <w:shd w:val="clear" w:color="auto" w:fill="auto"/>
            <w:noWrap/>
            <w:vAlign w:val="center"/>
            <w:hideMark/>
          </w:tcPr>
          <w:p w:rsidR="001E6971" w:rsidRPr="001E6971" w:rsidRDefault="001E6971" w:rsidP="001E6971">
            <w:pPr>
              <w:jc w:val="center"/>
              <w:rPr>
                <w:color w:val="000000"/>
                <w:sz w:val="18"/>
                <w:szCs w:val="18"/>
              </w:rPr>
            </w:pPr>
            <w:r w:rsidRPr="001E6971">
              <w:rPr>
                <w:color w:val="000000"/>
                <w:sz w:val="18"/>
                <w:szCs w:val="18"/>
              </w:rPr>
              <w:t>4 393 449 629</w:t>
            </w:r>
          </w:p>
        </w:tc>
        <w:tc>
          <w:tcPr>
            <w:tcW w:w="440" w:type="pct"/>
            <w:tcBorders>
              <w:top w:val="nil"/>
              <w:left w:val="nil"/>
              <w:bottom w:val="single" w:sz="8" w:space="0" w:color="1F497D"/>
              <w:right w:val="single" w:sz="8" w:space="0" w:color="1F497D"/>
            </w:tcBorders>
            <w:shd w:val="clear" w:color="000000" w:fill="FFFFFF"/>
            <w:vAlign w:val="center"/>
            <w:hideMark/>
          </w:tcPr>
          <w:p w:rsidR="001E6971" w:rsidRPr="001E6971" w:rsidRDefault="001E6971" w:rsidP="001E6971">
            <w:pPr>
              <w:jc w:val="center"/>
              <w:rPr>
                <w:color w:val="000000"/>
                <w:sz w:val="18"/>
                <w:szCs w:val="18"/>
              </w:rPr>
            </w:pPr>
            <w:r w:rsidRPr="001E6971">
              <w:rPr>
                <w:color w:val="000000"/>
                <w:sz w:val="18"/>
                <w:szCs w:val="18"/>
              </w:rPr>
              <w:t>5</w:t>
            </w:r>
          </w:p>
        </w:tc>
        <w:tc>
          <w:tcPr>
            <w:tcW w:w="708" w:type="pct"/>
            <w:tcBorders>
              <w:top w:val="nil"/>
              <w:left w:val="nil"/>
              <w:bottom w:val="single" w:sz="8" w:space="0" w:color="1F497D"/>
              <w:right w:val="single" w:sz="8" w:space="0" w:color="1F497D"/>
            </w:tcBorders>
            <w:shd w:val="clear" w:color="auto" w:fill="auto"/>
            <w:noWrap/>
            <w:vAlign w:val="center"/>
            <w:hideMark/>
          </w:tcPr>
          <w:p w:rsidR="001E6971" w:rsidRPr="001E6971" w:rsidRDefault="001E6971" w:rsidP="001E6971">
            <w:pPr>
              <w:jc w:val="center"/>
              <w:rPr>
                <w:color w:val="000000"/>
                <w:sz w:val="18"/>
                <w:szCs w:val="18"/>
              </w:rPr>
            </w:pPr>
            <w:r w:rsidRPr="001E6971">
              <w:rPr>
                <w:color w:val="000000"/>
                <w:sz w:val="18"/>
                <w:szCs w:val="18"/>
              </w:rPr>
              <w:t>956 805 203</w:t>
            </w:r>
          </w:p>
        </w:tc>
        <w:tc>
          <w:tcPr>
            <w:tcW w:w="461" w:type="pct"/>
            <w:tcBorders>
              <w:top w:val="nil"/>
              <w:left w:val="nil"/>
              <w:bottom w:val="single" w:sz="8" w:space="0" w:color="1F497D"/>
              <w:right w:val="single" w:sz="8" w:space="0" w:color="1F497D"/>
            </w:tcBorders>
            <w:shd w:val="clear" w:color="000000" w:fill="FFFFFF"/>
            <w:noWrap/>
            <w:vAlign w:val="center"/>
            <w:hideMark/>
          </w:tcPr>
          <w:p w:rsidR="001E6971" w:rsidRPr="001E6971" w:rsidRDefault="001E6971" w:rsidP="001E6971">
            <w:pPr>
              <w:jc w:val="center"/>
              <w:rPr>
                <w:color w:val="000000"/>
                <w:sz w:val="18"/>
                <w:szCs w:val="18"/>
              </w:rPr>
            </w:pPr>
            <w:r w:rsidRPr="001E6971">
              <w:rPr>
                <w:color w:val="000000"/>
                <w:sz w:val="18"/>
                <w:szCs w:val="18"/>
              </w:rPr>
              <w:t>13</w:t>
            </w:r>
          </w:p>
        </w:tc>
        <w:tc>
          <w:tcPr>
            <w:tcW w:w="638" w:type="pct"/>
            <w:tcBorders>
              <w:top w:val="single" w:sz="4" w:space="0" w:color="1F497D"/>
              <w:left w:val="nil"/>
              <w:bottom w:val="single" w:sz="8" w:space="0" w:color="1F497D"/>
              <w:right w:val="double" w:sz="6" w:space="0" w:color="1F497D"/>
            </w:tcBorders>
            <w:shd w:val="clear" w:color="000000" w:fill="FFFFFF"/>
            <w:noWrap/>
            <w:vAlign w:val="center"/>
            <w:hideMark/>
          </w:tcPr>
          <w:p w:rsidR="001E6971" w:rsidRPr="001E6971" w:rsidRDefault="001E6971" w:rsidP="001E6971">
            <w:pPr>
              <w:jc w:val="center"/>
              <w:rPr>
                <w:color w:val="000000"/>
                <w:sz w:val="18"/>
                <w:szCs w:val="18"/>
              </w:rPr>
            </w:pPr>
            <w:r w:rsidRPr="001E6971">
              <w:rPr>
                <w:color w:val="000000"/>
                <w:sz w:val="18"/>
                <w:szCs w:val="18"/>
              </w:rPr>
              <w:t>5 350 254 832</w:t>
            </w:r>
          </w:p>
        </w:tc>
      </w:tr>
      <w:tr w:rsidR="001E6971" w:rsidRPr="001E6971" w:rsidTr="009300DE">
        <w:trPr>
          <w:trHeight w:val="315"/>
        </w:trPr>
        <w:tc>
          <w:tcPr>
            <w:tcW w:w="685" w:type="pct"/>
            <w:tcBorders>
              <w:top w:val="nil"/>
              <w:left w:val="double" w:sz="6" w:space="0" w:color="1F497D"/>
              <w:bottom w:val="single" w:sz="8" w:space="0" w:color="1F497D"/>
              <w:right w:val="single" w:sz="8" w:space="0" w:color="1F497D"/>
            </w:tcBorders>
            <w:shd w:val="clear" w:color="000000" w:fill="FFFFFF"/>
            <w:noWrap/>
            <w:vAlign w:val="center"/>
            <w:hideMark/>
          </w:tcPr>
          <w:p w:rsidR="001E6971" w:rsidRPr="001E6971" w:rsidRDefault="001E6971" w:rsidP="001E6971">
            <w:pPr>
              <w:jc w:val="center"/>
              <w:rPr>
                <w:color w:val="000000"/>
                <w:sz w:val="18"/>
                <w:szCs w:val="18"/>
              </w:rPr>
            </w:pPr>
            <w:r w:rsidRPr="001E6971">
              <w:rPr>
                <w:color w:val="000000"/>
                <w:sz w:val="18"/>
                <w:szCs w:val="18"/>
              </w:rPr>
              <w:t>MMR</w:t>
            </w:r>
          </w:p>
        </w:tc>
        <w:tc>
          <w:tcPr>
            <w:tcW w:w="353" w:type="pct"/>
            <w:tcBorders>
              <w:top w:val="nil"/>
              <w:left w:val="nil"/>
              <w:bottom w:val="single" w:sz="8" w:space="0" w:color="1F497D"/>
              <w:right w:val="single" w:sz="8" w:space="0" w:color="1F497D"/>
            </w:tcBorders>
            <w:shd w:val="clear" w:color="auto" w:fill="auto"/>
            <w:noWrap/>
            <w:vAlign w:val="center"/>
            <w:hideMark/>
          </w:tcPr>
          <w:p w:rsidR="001E6971" w:rsidRPr="001E6971" w:rsidRDefault="001E6971" w:rsidP="001E6971">
            <w:pPr>
              <w:jc w:val="center"/>
              <w:rPr>
                <w:color w:val="000000"/>
                <w:sz w:val="18"/>
                <w:szCs w:val="18"/>
              </w:rPr>
            </w:pPr>
            <w:r w:rsidRPr="001E6971">
              <w:rPr>
                <w:color w:val="000000"/>
                <w:sz w:val="18"/>
                <w:szCs w:val="18"/>
              </w:rPr>
              <w:t> </w:t>
            </w:r>
          </w:p>
        </w:tc>
        <w:tc>
          <w:tcPr>
            <w:tcW w:w="616" w:type="pct"/>
            <w:tcBorders>
              <w:top w:val="nil"/>
              <w:left w:val="nil"/>
              <w:bottom w:val="single" w:sz="8" w:space="0" w:color="1F497D"/>
              <w:right w:val="single" w:sz="8" w:space="0" w:color="1F497D"/>
            </w:tcBorders>
            <w:shd w:val="clear" w:color="auto" w:fill="auto"/>
            <w:noWrap/>
            <w:vAlign w:val="center"/>
            <w:hideMark/>
          </w:tcPr>
          <w:p w:rsidR="001E6971" w:rsidRPr="001E6971" w:rsidRDefault="001E6971" w:rsidP="001E6971">
            <w:pPr>
              <w:jc w:val="center"/>
              <w:rPr>
                <w:color w:val="000000"/>
                <w:sz w:val="18"/>
                <w:szCs w:val="18"/>
              </w:rPr>
            </w:pPr>
            <w:r w:rsidRPr="001E6971">
              <w:rPr>
                <w:color w:val="000000"/>
                <w:sz w:val="18"/>
                <w:szCs w:val="18"/>
              </w:rPr>
              <w:t> </w:t>
            </w:r>
          </w:p>
        </w:tc>
        <w:tc>
          <w:tcPr>
            <w:tcW w:w="462" w:type="pct"/>
            <w:tcBorders>
              <w:top w:val="nil"/>
              <w:left w:val="nil"/>
              <w:bottom w:val="single" w:sz="8" w:space="0" w:color="1F497D"/>
              <w:right w:val="single" w:sz="8" w:space="0" w:color="1F497D"/>
            </w:tcBorders>
            <w:shd w:val="clear" w:color="auto" w:fill="auto"/>
            <w:noWrap/>
            <w:vAlign w:val="center"/>
            <w:hideMark/>
          </w:tcPr>
          <w:p w:rsidR="001E6971" w:rsidRPr="001E6971" w:rsidRDefault="001E6971" w:rsidP="001E6971">
            <w:pPr>
              <w:jc w:val="center"/>
              <w:rPr>
                <w:color w:val="000000"/>
                <w:sz w:val="18"/>
                <w:szCs w:val="18"/>
              </w:rPr>
            </w:pPr>
            <w:r w:rsidRPr="001E6971">
              <w:rPr>
                <w:color w:val="000000"/>
                <w:sz w:val="18"/>
                <w:szCs w:val="18"/>
              </w:rPr>
              <w:t>1</w:t>
            </w:r>
          </w:p>
        </w:tc>
        <w:tc>
          <w:tcPr>
            <w:tcW w:w="638" w:type="pct"/>
            <w:tcBorders>
              <w:top w:val="nil"/>
              <w:left w:val="nil"/>
              <w:bottom w:val="single" w:sz="8" w:space="0" w:color="1F497D"/>
              <w:right w:val="single" w:sz="8" w:space="0" w:color="1F497D"/>
            </w:tcBorders>
            <w:shd w:val="clear" w:color="auto" w:fill="auto"/>
            <w:noWrap/>
            <w:vAlign w:val="center"/>
            <w:hideMark/>
          </w:tcPr>
          <w:p w:rsidR="001E6971" w:rsidRPr="001E6971" w:rsidRDefault="001E6971" w:rsidP="001E6971">
            <w:pPr>
              <w:jc w:val="center"/>
              <w:rPr>
                <w:color w:val="000000"/>
                <w:sz w:val="18"/>
                <w:szCs w:val="18"/>
              </w:rPr>
            </w:pPr>
            <w:r w:rsidRPr="001E6971">
              <w:rPr>
                <w:color w:val="000000"/>
                <w:sz w:val="18"/>
                <w:szCs w:val="18"/>
              </w:rPr>
              <w:t>78 973 332</w:t>
            </w:r>
          </w:p>
        </w:tc>
        <w:tc>
          <w:tcPr>
            <w:tcW w:w="440" w:type="pct"/>
            <w:tcBorders>
              <w:top w:val="nil"/>
              <w:left w:val="nil"/>
              <w:bottom w:val="single" w:sz="8" w:space="0" w:color="1F497D"/>
              <w:right w:val="single" w:sz="8" w:space="0" w:color="1F497D"/>
            </w:tcBorders>
            <w:shd w:val="clear" w:color="000000" w:fill="FFFFFF"/>
            <w:vAlign w:val="center"/>
            <w:hideMark/>
          </w:tcPr>
          <w:p w:rsidR="001E6971" w:rsidRPr="001E6971" w:rsidRDefault="001E6971" w:rsidP="001E6971">
            <w:pPr>
              <w:jc w:val="center"/>
              <w:rPr>
                <w:color w:val="000000"/>
                <w:sz w:val="18"/>
                <w:szCs w:val="18"/>
              </w:rPr>
            </w:pPr>
            <w:r w:rsidRPr="001E6971">
              <w:rPr>
                <w:color w:val="000000"/>
                <w:sz w:val="18"/>
                <w:szCs w:val="18"/>
              </w:rPr>
              <w:t>3</w:t>
            </w:r>
          </w:p>
        </w:tc>
        <w:tc>
          <w:tcPr>
            <w:tcW w:w="708" w:type="pct"/>
            <w:tcBorders>
              <w:top w:val="nil"/>
              <w:left w:val="nil"/>
              <w:bottom w:val="single" w:sz="8" w:space="0" w:color="1F497D"/>
              <w:right w:val="single" w:sz="8" w:space="0" w:color="1F497D"/>
            </w:tcBorders>
            <w:shd w:val="clear" w:color="auto" w:fill="auto"/>
            <w:noWrap/>
            <w:vAlign w:val="center"/>
            <w:hideMark/>
          </w:tcPr>
          <w:p w:rsidR="001E6971" w:rsidRPr="001E6971" w:rsidRDefault="001E6971" w:rsidP="001E6971">
            <w:pPr>
              <w:jc w:val="center"/>
              <w:rPr>
                <w:color w:val="000000"/>
                <w:sz w:val="18"/>
                <w:szCs w:val="18"/>
              </w:rPr>
            </w:pPr>
            <w:r w:rsidRPr="001E6971">
              <w:rPr>
                <w:color w:val="000000"/>
                <w:sz w:val="18"/>
                <w:szCs w:val="18"/>
              </w:rPr>
              <w:t>238 003 279</w:t>
            </w:r>
          </w:p>
        </w:tc>
        <w:tc>
          <w:tcPr>
            <w:tcW w:w="461" w:type="pct"/>
            <w:tcBorders>
              <w:top w:val="nil"/>
              <w:left w:val="nil"/>
              <w:bottom w:val="single" w:sz="8" w:space="0" w:color="1F497D"/>
              <w:right w:val="single" w:sz="8" w:space="0" w:color="1F497D"/>
            </w:tcBorders>
            <w:shd w:val="clear" w:color="000000" w:fill="FFFFFF"/>
            <w:noWrap/>
            <w:vAlign w:val="center"/>
            <w:hideMark/>
          </w:tcPr>
          <w:p w:rsidR="001E6971" w:rsidRPr="001E6971" w:rsidRDefault="001E6971" w:rsidP="001E6971">
            <w:pPr>
              <w:jc w:val="center"/>
              <w:rPr>
                <w:color w:val="000000"/>
                <w:sz w:val="18"/>
                <w:szCs w:val="18"/>
              </w:rPr>
            </w:pPr>
            <w:r w:rsidRPr="001E6971">
              <w:rPr>
                <w:color w:val="000000"/>
                <w:sz w:val="18"/>
                <w:szCs w:val="18"/>
              </w:rPr>
              <w:t>4</w:t>
            </w:r>
          </w:p>
        </w:tc>
        <w:tc>
          <w:tcPr>
            <w:tcW w:w="638" w:type="pct"/>
            <w:tcBorders>
              <w:top w:val="nil"/>
              <w:left w:val="nil"/>
              <w:bottom w:val="single" w:sz="8" w:space="0" w:color="1F497D"/>
              <w:right w:val="double" w:sz="6" w:space="0" w:color="1F497D"/>
            </w:tcBorders>
            <w:shd w:val="clear" w:color="000000" w:fill="FFFFFF"/>
            <w:noWrap/>
            <w:vAlign w:val="center"/>
            <w:hideMark/>
          </w:tcPr>
          <w:p w:rsidR="001E6971" w:rsidRPr="001E6971" w:rsidRDefault="001E6971" w:rsidP="001E6971">
            <w:pPr>
              <w:jc w:val="center"/>
              <w:rPr>
                <w:color w:val="000000"/>
                <w:sz w:val="18"/>
                <w:szCs w:val="18"/>
              </w:rPr>
            </w:pPr>
            <w:r w:rsidRPr="001E6971">
              <w:rPr>
                <w:color w:val="000000"/>
                <w:sz w:val="18"/>
                <w:szCs w:val="18"/>
              </w:rPr>
              <w:t>316 976 611</w:t>
            </w:r>
          </w:p>
        </w:tc>
      </w:tr>
      <w:tr w:rsidR="001E6971" w:rsidRPr="001E6971" w:rsidTr="009300DE">
        <w:trPr>
          <w:trHeight w:val="315"/>
        </w:trPr>
        <w:tc>
          <w:tcPr>
            <w:tcW w:w="685" w:type="pct"/>
            <w:tcBorders>
              <w:top w:val="nil"/>
              <w:left w:val="double" w:sz="6" w:space="0" w:color="1F497D"/>
              <w:bottom w:val="single" w:sz="8" w:space="0" w:color="1F497D"/>
              <w:right w:val="single" w:sz="8" w:space="0" w:color="1F497D"/>
            </w:tcBorders>
            <w:shd w:val="clear" w:color="000000" w:fill="FFFFFF"/>
            <w:noWrap/>
            <w:vAlign w:val="center"/>
            <w:hideMark/>
          </w:tcPr>
          <w:p w:rsidR="001E6971" w:rsidRPr="001E6971" w:rsidRDefault="001E6971" w:rsidP="001E6971">
            <w:pPr>
              <w:jc w:val="center"/>
              <w:rPr>
                <w:color w:val="000000"/>
                <w:sz w:val="18"/>
                <w:szCs w:val="18"/>
              </w:rPr>
            </w:pPr>
            <w:proofErr w:type="spellStart"/>
            <w:r w:rsidRPr="001E6971">
              <w:rPr>
                <w:color w:val="000000"/>
                <w:sz w:val="18"/>
                <w:szCs w:val="18"/>
              </w:rPr>
              <w:t>MZd</w:t>
            </w:r>
            <w:proofErr w:type="spellEnd"/>
          </w:p>
        </w:tc>
        <w:tc>
          <w:tcPr>
            <w:tcW w:w="353" w:type="pct"/>
            <w:tcBorders>
              <w:top w:val="nil"/>
              <w:left w:val="nil"/>
              <w:bottom w:val="single" w:sz="8" w:space="0" w:color="1F497D"/>
              <w:right w:val="single" w:sz="8" w:space="0" w:color="1F497D"/>
            </w:tcBorders>
            <w:shd w:val="clear" w:color="auto" w:fill="auto"/>
            <w:noWrap/>
            <w:vAlign w:val="center"/>
            <w:hideMark/>
          </w:tcPr>
          <w:p w:rsidR="001E6971" w:rsidRPr="001E6971" w:rsidRDefault="001E6971" w:rsidP="001E6971">
            <w:pPr>
              <w:jc w:val="center"/>
              <w:rPr>
                <w:color w:val="000000"/>
                <w:sz w:val="18"/>
                <w:szCs w:val="18"/>
              </w:rPr>
            </w:pPr>
            <w:r w:rsidRPr="001E6971">
              <w:rPr>
                <w:color w:val="000000"/>
                <w:sz w:val="18"/>
                <w:szCs w:val="18"/>
              </w:rPr>
              <w:t> </w:t>
            </w:r>
          </w:p>
        </w:tc>
        <w:tc>
          <w:tcPr>
            <w:tcW w:w="616" w:type="pct"/>
            <w:tcBorders>
              <w:top w:val="nil"/>
              <w:left w:val="nil"/>
              <w:bottom w:val="single" w:sz="8" w:space="0" w:color="1F497D"/>
              <w:right w:val="single" w:sz="8" w:space="0" w:color="1F497D"/>
            </w:tcBorders>
            <w:shd w:val="clear" w:color="auto" w:fill="auto"/>
            <w:noWrap/>
            <w:vAlign w:val="center"/>
            <w:hideMark/>
          </w:tcPr>
          <w:p w:rsidR="001E6971" w:rsidRPr="001E6971" w:rsidRDefault="001E6971" w:rsidP="001E6971">
            <w:pPr>
              <w:jc w:val="center"/>
              <w:rPr>
                <w:color w:val="000000"/>
                <w:sz w:val="18"/>
                <w:szCs w:val="18"/>
              </w:rPr>
            </w:pPr>
            <w:r w:rsidRPr="001E6971">
              <w:rPr>
                <w:color w:val="000000"/>
                <w:sz w:val="18"/>
                <w:szCs w:val="18"/>
              </w:rPr>
              <w:t> </w:t>
            </w:r>
          </w:p>
        </w:tc>
        <w:tc>
          <w:tcPr>
            <w:tcW w:w="462" w:type="pct"/>
            <w:tcBorders>
              <w:top w:val="nil"/>
              <w:left w:val="nil"/>
              <w:bottom w:val="single" w:sz="8" w:space="0" w:color="1F497D"/>
              <w:right w:val="single" w:sz="8" w:space="0" w:color="1F497D"/>
            </w:tcBorders>
            <w:shd w:val="clear" w:color="auto" w:fill="auto"/>
            <w:noWrap/>
            <w:vAlign w:val="center"/>
            <w:hideMark/>
          </w:tcPr>
          <w:p w:rsidR="001E6971" w:rsidRPr="001E6971" w:rsidRDefault="001E6971" w:rsidP="001E6971">
            <w:pPr>
              <w:jc w:val="center"/>
              <w:rPr>
                <w:color w:val="000000"/>
                <w:sz w:val="18"/>
                <w:szCs w:val="18"/>
              </w:rPr>
            </w:pPr>
            <w:r w:rsidRPr="001E6971">
              <w:rPr>
                <w:color w:val="000000"/>
                <w:sz w:val="18"/>
                <w:szCs w:val="18"/>
              </w:rPr>
              <w:t>2</w:t>
            </w:r>
          </w:p>
        </w:tc>
        <w:tc>
          <w:tcPr>
            <w:tcW w:w="638" w:type="pct"/>
            <w:tcBorders>
              <w:top w:val="nil"/>
              <w:left w:val="nil"/>
              <w:bottom w:val="single" w:sz="8" w:space="0" w:color="1F497D"/>
              <w:right w:val="single" w:sz="8" w:space="0" w:color="1F497D"/>
            </w:tcBorders>
            <w:shd w:val="clear" w:color="auto" w:fill="auto"/>
            <w:noWrap/>
            <w:vAlign w:val="center"/>
            <w:hideMark/>
          </w:tcPr>
          <w:p w:rsidR="001E6971" w:rsidRPr="001E6971" w:rsidRDefault="001E6971" w:rsidP="001E6971">
            <w:pPr>
              <w:jc w:val="center"/>
              <w:rPr>
                <w:color w:val="000000"/>
                <w:sz w:val="18"/>
                <w:szCs w:val="18"/>
              </w:rPr>
            </w:pPr>
            <w:r w:rsidRPr="001E6971">
              <w:rPr>
                <w:color w:val="000000"/>
                <w:sz w:val="18"/>
                <w:szCs w:val="18"/>
              </w:rPr>
              <w:t>139 572 290</w:t>
            </w:r>
          </w:p>
        </w:tc>
        <w:tc>
          <w:tcPr>
            <w:tcW w:w="440" w:type="pct"/>
            <w:tcBorders>
              <w:top w:val="nil"/>
              <w:left w:val="nil"/>
              <w:bottom w:val="single" w:sz="8" w:space="0" w:color="1F497D"/>
              <w:right w:val="single" w:sz="8" w:space="0" w:color="1F497D"/>
            </w:tcBorders>
            <w:shd w:val="clear" w:color="000000" w:fill="FFFFFF"/>
            <w:vAlign w:val="center"/>
            <w:hideMark/>
          </w:tcPr>
          <w:p w:rsidR="001E6971" w:rsidRPr="001E6971" w:rsidRDefault="001E6971" w:rsidP="001E6971">
            <w:pPr>
              <w:jc w:val="center"/>
              <w:rPr>
                <w:color w:val="000000"/>
                <w:sz w:val="18"/>
                <w:szCs w:val="18"/>
              </w:rPr>
            </w:pPr>
            <w:r w:rsidRPr="001E6971">
              <w:rPr>
                <w:color w:val="000000"/>
                <w:sz w:val="18"/>
                <w:szCs w:val="18"/>
              </w:rPr>
              <w:t> </w:t>
            </w:r>
          </w:p>
        </w:tc>
        <w:tc>
          <w:tcPr>
            <w:tcW w:w="708" w:type="pct"/>
            <w:tcBorders>
              <w:top w:val="nil"/>
              <w:left w:val="nil"/>
              <w:bottom w:val="single" w:sz="8" w:space="0" w:color="1F497D"/>
              <w:right w:val="single" w:sz="8" w:space="0" w:color="1F497D"/>
            </w:tcBorders>
            <w:shd w:val="clear" w:color="auto" w:fill="auto"/>
            <w:noWrap/>
            <w:vAlign w:val="center"/>
            <w:hideMark/>
          </w:tcPr>
          <w:p w:rsidR="001E6971" w:rsidRPr="001E6971" w:rsidRDefault="001E6971" w:rsidP="001E6971">
            <w:pPr>
              <w:jc w:val="center"/>
              <w:rPr>
                <w:color w:val="000000"/>
                <w:sz w:val="18"/>
                <w:szCs w:val="18"/>
              </w:rPr>
            </w:pPr>
            <w:r w:rsidRPr="001E6971">
              <w:rPr>
                <w:color w:val="000000"/>
                <w:sz w:val="18"/>
                <w:szCs w:val="18"/>
              </w:rPr>
              <w:t> </w:t>
            </w:r>
          </w:p>
        </w:tc>
        <w:tc>
          <w:tcPr>
            <w:tcW w:w="461" w:type="pct"/>
            <w:tcBorders>
              <w:top w:val="nil"/>
              <w:left w:val="nil"/>
              <w:bottom w:val="single" w:sz="8" w:space="0" w:color="1F497D"/>
              <w:right w:val="single" w:sz="8" w:space="0" w:color="1F497D"/>
            </w:tcBorders>
            <w:shd w:val="clear" w:color="000000" w:fill="FFFFFF"/>
            <w:noWrap/>
            <w:vAlign w:val="center"/>
            <w:hideMark/>
          </w:tcPr>
          <w:p w:rsidR="001E6971" w:rsidRPr="001E6971" w:rsidRDefault="001E6971" w:rsidP="001E6971">
            <w:pPr>
              <w:jc w:val="center"/>
              <w:rPr>
                <w:color w:val="000000"/>
                <w:sz w:val="18"/>
                <w:szCs w:val="18"/>
              </w:rPr>
            </w:pPr>
            <w:r w:rsidRPr="001E6971">
              <w:rPr>
                <w:color w:val="000000"/>
                <w:sz w:val="18"/>
                <w:szCs w:val="18"/>
              </w:rPr>
              <w:t>2</w:t>
            </w:r>
          </w:p>
        </w:tc>
        <w:tc>
          <w:tcPr>
            <w:tcW w:w="638" w:type="pct"/>
            <w:tcBorders>
              <w:top w:val="nil"/>
              <w:left w:val="nil"/>
              <w:bottom w:val="single" w:sz="8" w:space="0" w:color="1F497D"/>
              <w:right w:val="double" w:sz="6" w:space="0" w:color="1F497D"/>
            </w:tcBorders>
            <w:shd w:val="clear" w:color="000000" w:fill="FFFFFF"/>
            <w:noWrap/>
            <w:vAlign w:val="center"/>
            <w:hideMark/>
          </w:tcPr>
          <w:p w:rsidR="001E6971" w:rsidRPr="001E6971" w:rsidRDefault="001E6971" w:rsidP="001E6971">
            <w:pPr>
              <w:jc w:val="center"/>
              <w:rPr>
                <w:color w:val="000000"/>
                <w:sz w:val="18"/>
                <w:szCs w:val="18"/>
              </w:rPr>
            </w:pPr>
            <w:r w:rsidRPr="001E6971">
              <w:rPr>
                <w:color w:val="000000"/>
                <w:sz w:val="18"/>
                <w:szCs w:val="18"/>
              </w:rPr>
              <w:t>139 572 290</w:t>
            </w:r>
          </w:p>
        </w:tc>
      </w:tr>
      <w:tr w:rsidR="001E6971" w:rsidRPr="001E6971" w:rsidTr="009300DE">
        <w:trPr>
          <w:trHeight w:val="315"/>
        </w:trPr>
        <w:tc>
          <w:tcPr>
            <w:tcW w:w="685" w:type="pct"/>
            <w:tcBorders>
              <w:top w:val="nil"/>
              <w:left w:val="double" w:sz="6" w:space="0" w:color="1F497D"/>
              <w:bottom w:val="single" w:sz="8" w:space="0" w:color="1F497D"/>
              <w:right w:val="single" w:sz="8" w:space="0" w:color="1F497D"/>
            </w:tcBorders>
            <w:shd w:val="clear" w:color="000000" w:fill="FFFFFF"/>
            <w:noWrap/>
            <w:vAlign w:val="center"/>
            <w:hideMark/>
          </w:tcPr>
          <w:p w:rsidR="001E6971" w:rsidRPr="001E6971" w:rsidRDefault="001E6971" w:rsidP="001E6971">
            <w:pPr>
              <w:jc w:val="center"/>
              <w:rPr>
                <w:color w:val="000000"/>
                <w:sz w:val="18"/>
                <w:szCs w:val="18"/>
              </w:rPr>
            </w:pPr>
            <w:proofErr w:type="spellStart"/>
            <w:r w:rsidRPr="001E6971">
              <w:rPr>
                <w:color w:val="000000"/>
                <w:sz w:val="18"/>
                <w:szCs w:val="18"/>
              </w:rPr>
              <w:t>MZe</w:t>
            </w:r>
            <w:proofErr w:type="spellEnd"/>
          </w:p>
        </w:tc>
        <w:tc>
          <w:tcPr>
            <w:tcW w:w="353" w:type="pct"/>
            <w:tcBorders>
              <w:top w:val="nil"/>
              <w:left w:val="nil"/>
              <w:bottom w:val="single" w:sz="8" w:space="0" w:color="1F497D"/>
              <w:right w:val="single" w:sz="8" w:space="0" w:color="1F497D"/>
            </w:tcBorders>
            <w:shd w:val="clear" w:color="auto" w:fill="auto"/>
            <w:noWrap/>
            <w:vAlign w:val="center"/>
            <w:hideMark/>
          </w:tcPr>
          <w:p w:rsidR="001E6971" w:rsidRPr="001E6971" w:rsidRDefault="001E6971" w:rsidP="001E6971">
            <w:pPr>
              <w:jc w:val="center"/>
              <w:rPr>
                <w:color w:val="000000"/>
                <w:sz w:val="18"/>
                <w:szCs w:val="18"/>
              </w:rPr>
            </w:pPr>
            <w:r w:rsidRPr="001E6971">
              <w:rPr>
                <w:color w:val="000000"/>
                <w:sz w:val="18"/>
                <w:szCs w:val="18"/>
              </w:rPr>
              <w:t> </w:t>
            </w:r>
          </w:p>
        </w:tc>
        <w:tc>
          <w:tcPr>
            <w:tcW w:w="616" w:type="pct"/>
            <w:tcBorders>
              <w:top w:val="nil"/>
              <w:left w:val="nil"/>
              <w:bottom w:val="single" w:sz="8" w:space="0" w:color="1F497D"/>
              <w:right w:val="single" w:sz="8" w:space="0" w:color="1F497D"/>
            </w:tcBorders>
            <w:shd w:val="clear" w:color="auto" w:fill="auto"/>
            <w:noWrap/>
            <w:vAlign w:val="center"/>
            <w:hideMark/>
          </w:tcPr>
          <w:p w:rsidR="001E6971" w:rsidRPr="001E6971" w:rsidRDefault="001E6971" w:rsidP="001E6971">
            <w:pPr>
              <w:jc w:val="center"/>
              <w:rPr>
                <w:color w:val="000000"/>
                <w:sz w:val="18"/>
                <w:szCs w:val="18"/>
              </w:rPr>
            </w:pPr>
            <w:r w:rsidRPr="001E6971">
              <w:rPr>
                <w:color w:val="000000"/>
                <w:sz w:val="18"/>
                <w:szCs w:val="18"/>
              </w:rPr>
              <w:t> </w:t>
            </w:r>
          </w:p>
        </w:tc>
        <w:tc>
          <w:tcPr>
            <w:tcW w:w="462" w:type="pct"/>
            <w:tcBorders>
              <w:top w:val="nil"/>
              <w:left w:val="nil"/>
              <w:bottom w:val="single" w:sz="8" w:space="0" w:color="1F497D"/>
              <w:right w:val="single" w:sz="8" w:space="0" w:color="1F497D"/>
            </w:tcBorders>
            <w:shd w:val="clear" w:color="auto" w:fill="auto"/>
            <w:noWrap/>
            <w:vAlign w:val="center"/>
            <w:hideMark/>
          </w:tcPr>
          <w:p w:rsidR="001E6971" w:rsidRPr="001E6971" w:rsidRDefault="001E6971" w:rsidP="001E6971">
            <w:pPr>
              <w:jc w:val="center"/>
              <w:rPr>
                <w:color w:val="000000"/>
                <w:sz w:val="18"/>
                <w:szCs w:val="18"/>
              </w:rPr>
            </w:pPr>
            <w:r w:rsidRPr="001E6971">
              <w:rPr>
                <w:color w:val="000000"/>
                <w:sz w:val="18"/>
                <w:szCs w:val="18"/>
              </w:rPr>
              <w:t>1</w:t>
            </w:r>
          </w:p>
        </w:tc>
        <w:tc>
          <w:tcPr>
            <w:tcW w:w="638" w:type="pct"/>
            <w:tcBorders>
              <w:top w:val="nil"/>
              <w:left w:val="nil"/>
              <w:bottom w:val="single" w:sz="8" w:space="0" w:color="1F497D"/>
              <w:right w:val="single" w:sz="8" w:space="0" w:color="1F497D"/>
            </w:tcBorders>
            <w:shd w:val="clear" w:color="auto" w:fill="auto"/>
            <w:noWrap/>
            <w:vAlign w:val="center"/>
            <w:hideMark/>
          </w:tcPr>
          <w:p w:rsidR="001E6971" w:rsidRPr="001E6971" w:rsidRDefault="001E6971" w:rsidP="001E6971">
            <w:pPr>
              <w:jc w:val="center"/>
              <w:rPr>
                <w:color w:val="000000"/>
                <w:sz w:val="18"/>
                <w:szCs w:val="18"/>
              </w:rPr>
            </w:pPr>
            <w:r w:rsidRPr="001E6971">
              <w:rPr>
                <w:color w:val="000000"/>
                <w:sz w:val="18"/>
                <w:szCs w:val="18"/>
              </w:rPr>
              <w:t>299 491 700</w:t>
            </w:r>
          </w:p>
        </w:tc>
        <w:tc>
          <w:tcPr>
            <w:tcW w:w="440" w:type="pct"/>
            <w:tcBorders>
              <w:top w:val="nil"/>
              <w:left w:val="nil"/>
              <w:bottom w:val="single" w:sz="8" w:space="0" w:color="1F497D"/>
              <w:right w:val="single" w:sz="8" w:space="0" w:color="1F497D"/>
            </w:tcBorders>
            <w:shd w:val="clear" w:color="000000" w:fill="FFFFFF"/>
            <w:vAlign w:val="center"/>
            <w:hideMark/>
          </w:tcPr>
          <w:p w:rsidR="001E6971" w:rsidRPr="001E6971" w:rsidRDefault="001E6971" w:rsidP="001E6971">
            <w:pPr>
              <w:jc w:val="center"/>
              <w:rPr>
                <w:color w:val="000000"/>
                <w:sz w:val="18"/>
                <w:szCs w:val="18"/>
              </w:rPr>
            </w:pPr>
            <w:r w:rsidRPr="001E6971">
              <w:rPr>
                <w:color w:val="000000"/>
                <w:sz w:val="18"/>
                <w:szCs w:val="18"/>
              </w:rPr>
              <w:t>1</w:t>
            </w:r>
          </w:p>
        </w:tc>
        <w:tc>
          <w:tcPr>
            <w:tcW w:w="708" w:type="pct"/>
            <w:tcBorders>
              <w:top w:val="nil"/>
              <w:left w:val="nil"/>
              <w:bottom w:val="single" w:sz="8" w:space="0" w:color="1F497D"/>
              <w:right w:val="single" w:sz="8" w:space="0" w:color="1F497D"/>
            </w:tcBorders>
            <w:shd w:val="clear" w:color="auto" w:fill="auto"/>
            <w:noWrap/>
            <w:vAlign w:val="center"/>
            <w:hideMark/>
          </w:tcPr>
          <w:p w:rsidR="001E6971" w:rsidRPr="001E6971" w:rsidRDefault="001E6971" w:rsidP="001E6971">
            <w:pPr>
              <w:jc w:val="center"/>
              <w:rPr>
                <w:color w:val="000000"/>
                <w:sz w:val="18"/>
                <w:szCs w:val="18"/>
              </w:rPr>
            </w:pPr>
            <w:r w:rsidRPr="001E6971">
              <w:rPr>
                <w:color w:val="000000"/>
                <w:sz w:val="18"/>
                <w:szCs w:val="18"/>
              </w:rPr>
              <w:t>28 895 650</w:t>
            </w:r>
          </w:p>
        </w:tc>
        <w:tc>
          <w:tcPr>
            <w:tcW w:w="461" w:type="pct"/>
            <w:tcBorders>
              <w:top w:val="nil"/>
              <w:left w:val="nil"/>
              <w:bottom w:val="single" w:sz="8" w:space="0" w:color="1F497D"/>
              <w:right w:val="single" w:sz="8" w:space="0" w:color="1F497D"/>
            </w:tcBorders>
            <w:shd w:val="clear" w:color="000000" w:fill="FFFFFF"/>
            <w:noWrap/>
            <w:vAlign w:val="center"/>
            <w:hideMark/>
          </w:tcPr>
          <w:p w:rsidR="001E6971" w:rsidRPr="001E6971" w:rsidRDefault="001E6971" w:rsidP="001E6971">
            <w:pPr>
              <w:jc w:val="center"/>
              <w:rPr>
                <w:color w:val="000000"/>
                <w:sz w:val="18"/>
                <w:szCs w:val="18"/>
              </w:rPr>
            </w:pPr>
            <w:r w:rsidRPr="001E6971">
              <w:rPr>
                <w:color w:val="000000"/>
                <w:sz w:val="18"/>
                <w:szCs w:val="18"/>
              </w:rPr>
              <w:t>2</w:t>
            </w:r>
          </w:p>
        </w:tc>
        <w:tc>
          <w:tcPr>
            <w:tcW w:w="638" w:type="pct"/>
            <w:tcBorders>
              <w:top w:val="nil"/>
              <w:left w:val="nil"/>
              <w:bottom w:val="single" w:sz="8" w:space="0" w:color="1F497D"/>
              <w:right w:val="double" w:sz="6" w:space="0" w:color="1F497D"/>
            </w:tcBorders>
            <w:shd w:val="clear" w:color="000000" w:fill="FFFFFF"/>
            <w:noWrap/>
            <w:vAlign w:val="center"/>
            <w:hideMark/>
          </w:tcPr>
          <w:p w:rsidR="001E6971" w:rsidRPr="001E6971" w:rsidRDefault="001E6971" w:rsidP="001E6971">
            <w:pPr>
              <w:jc w:val="center"/>
              <w:rPr>
                <w:color w:val="000000"/>
                <w:sz w:val="18"/>
                <w:szCs w:val="18"/>
              </w:rPr>
            </w:pPr>
            <w:r w:rsidRPr="001E6971">
              <w:rPr>
                <w:color w:val="000000"/>
                <w:sz w:val="18"/>
                <w:szCs w:val="18"/>
              </w:rPr>
              <w:t>328 387 350</w:t>
            </w:r>
          </w:p>
        </w:tc>
      </w:tr>
      <w:tr w:rsidR="001E6971" w:rsidRPr="001E6971" w:rsidTr="009300DE">
        <w:trPr>
          <w:trHeight w:val="315"/>
        </w:trPr>
        <w:tc>
          <w:tcPr>
            <w:tcW w:w="685" w:type="pct"/>
            <w:tcBorders>
              <w:top w:val="nil"/>
              <w:left w:val="double" w:sz="6" w:space="0" w:color="1F497D"/>
              <w:bottom w:val="single" w:sz="8" w:space="0" w:color="1F497D"/>
              <w:right w:val="single" w:sz="8" w:space="0" w:color="1F497D"/>
            </w:tcBorders>
            <w:shd w:val="clear" w:color="000000" w:fill="FFFFFF"/>
            <w:noWrap/>
            <w:vAlign w:val="center"/>
            <w:hideMark/>
          </w:tcPr>
          <w:p w:rsidR="001E6971" w:rsidRPr="001E6971" w:rsidRDefault="001E6971" w:rsidP="001E6971">
            <w:pPr>
              <w:jc w:val="center"/>
              <w:rPr>
                <w:color w:val="000000"/>
                <w:sz w:val="18"/>
                <w:szCs w:val="18"/>
              </w:rPr>
            </w:pPr>
            <w:r w:rsidRPr="001E6971">
              <w:rPr>
                <w:color w:val="000000"/>
                <w:sz w:val="18"/>
                <w:szCs w:val="18"/>
              </w:rPr>
              <w:t>MK</w:t>
            </w:r>
          </w:p>
        </w:tc>
        <w:tc>
          <w:tcPr>
            <w:tcW w:w="353" w:type="pct"/>
            <w:tcBorders>
              <w:top w:val="nil"/>
              <w:left w:val="nil"/>
              <w:bottom w:val="single" w:sz="8" w:space="0" w:color="1F497D"/>
              <w:right w:val="single" w:sz="8" w:space="0" w:color="1F497D"/>
            </w:tcBorders>
            <w:shd w:val="clear" w:color="auto" w:fill="auto"/>
            <w:noWrap/>
            <w:vAlign w:val="center"/>
            <w:hideMark/>
          </w:tcPr>
          <w:p w:rsidR="001E6971" w:rsidRPr="001E6971" w:rsidRDefault="001E6971" w:rsidP="001E6971">
            <w:pPr>
              <w:jc w:val="center"/>
              <w:rPr>
                <w:color w:val="000000"/>
                <w:sz w:val="18"/>
                <w:szCs w:val="18"/>
              </w:rPr>
            </w:pPr>
            <w:r w:rsidRPr="001E6971">
              <w:rPr>
                <w:color w:val="000000"/>
                <w:sz w:val="18"/>
                <w:szCs w:val="18"/>
              </w:rPr>
              <w:t> </w:t>
            </w:r>
          </w:p>
        </w:tc>
        <w:tc>
          <w:tcPr>
            <w:tcW w:w="616" w:type="pct"/>
            <w:tcBorders>
              <w:top w:val="nil"/>
              <w:left w:val="nil"/>
              <w:bottom w:val="single" w:sz="8" w:space="0" w:color="1F497D"/>
              <w:right w:val="single" w:sz="8" w:space="0" w:color="1F497D"/>
            </w:tcBorders>
            <w:shd w:val="clear" w:color="auto" w:fill="auto"/>
            <w:noWrap/>
            <w:vAlign w:val="center"/>
            <w:hideMark/>
          </w:tcPr>
          <w:p w:rsidR="001E6971" w:rsidRPr="001E6971" w:rsidRDefault="001E6971" w:rsidP="001E6971">
            <w:pPr>
              <w:jc w:val="center"/>
              <w:rPr>
                <w:color w:val="000000"/>
                <w:sz w:val="18"/>
                <w:szCs w:val="18"/>
              </w:rPr>
            </w:pPr>
            <w:r w:rsidRPr="001E6971">
              <w:rPr>
                <w:color w:val="000000"/>
                <w:sz w:val="18"/>
                <w:szCs w:val="18"/>
              </w:rPr>
              <w:t> </w:t>
            </w:r>
          </w:p>
        </w:tc>
        <w:tc>
          <w:tcPr>
            <w:tcW w:w="462" w:type="pct"/>
            <w:tcBorders>
              <w:top w:val="nil"/>
              <w:left w:val="nil"/>
              <w:bottom w:val="single" w:sz="8" w:space="0" w:color="1F497D"/>
              <w:right w:val="single" w:sz="8" w:space="0" w:color="1F497D"/>
            </w:tcBorders>
            <w:shd w:val="clear" w:color="auto" w:fill="auto"/>
            <w:noWrap/>
            <w:vAlign w:val="center"/>
            <w:hideMark/>
          </w:tcPr>
          <w:p w:rsidR="001E6971" w:rsidRPr="001E6971" w:rsidRDefault="001E6971" w:rsidP="001E6971">
            <w:pPr>
              <w:jc w:val="center"/>
              <w:rPr>
                <w:color w:val="000000"/>
                <w:sz w:val="18"/>
                <w:szCs w:val="18"/>
              </w:rPr>
            </w:pPr>
            <w:r w:rsidRPr="001E6971">
              <w:rPr>
                <w:color w:val="000000"/>
                <w:sz w:val="18"/>
                <w:szCs w:val="18"/>
              </w:rPr>
              <w:t>1</w:t>
            </w:r>
          </w:p>
        </w:tc>
        <w:tc>
          <w:tcPr>
            <w:tcW w:w="638" w:type="pct"/>
            <w:tcBorders>
              <w:top w:val="nil"/>
              <w:left w:val="nil"/>
              <w:bottom w:val="single" w:sz="8" w:space="0" w:color="1F497D"/>
              <w:right w:val="single" w:sz="8" w:space="0" w:color="1F497D"/>
            </w:tcBorders>
            <w:shd w:val="clear" w:color="auto" w:fill="auto"/>
            <w:noWrap/>
            <w:vAlign w:val="center"/>
            <w:hideMark/>
          </w:tcPr>
          <w:p w:rsidR="001E6971" w:rsidRPr="001E6971" w:rsidRDefault="001E6971" w:rsidP="001E6971">
            <w:pPr>
              <w:jc w:val="center"/>
              <w:rPr>
                <w:color w:val="000000"/>
                <w:sz w:val="18"/>
                <w:szCs w:val="18"/>
              </w:rPr>
            </w:pPr>
            <w:r w:rsidRPr="001E6971">
              <w:rPr>
                <w:color w:val="000000"/>
                <w:sz w:val="18"/>
                <w:szCs w:val="18"/>
              </w:rPr>
              <w:t>23 150 404</w:t>
            </w:r>
          </w:p>
        </w:tc>
        <w:tc>
          <w:tcPr>
            <w:tcW w:w="440" w:type="pct"/>
            <w:tcBorders>
              <w:top w:val="nil"/>
              <w:left w:val="nil"/>
              <w:bottom w:val="single" w:sz="8" w:space="0" w:color="1F497D"/>
              <w:right w:val="single" w:sz="8" w:space="0" w:color="1F497D"/>
            </w:tcBorders>
            <w:shd w:val="clear" w:color="000000" w:fill="FFFFFF"/>
            <w:vAlign w:val="center"/>
            <w:hideMark/>
          </w:tcPr>
          <w:p w:rsidR="001E6971" w:rsidRPr="001E6971" w:rsidRDefault="001E6971" w:rsidP="001E6971">
            <w:pPr>
              <w:jc w:val="center"/>
              <w:rPr>
                <w:color w:val="000000"/>
                <w:sz w:val="18"/>
                <w:szCs w:val="18"/>
              </w:rPr>
            </w:pPr>
            <w:r w:rsidRPr="001E6971">
              <w:rPr>
                <w:color w:val="000000"/>
                <w:sz w:val="18"/>
                <w:szCs w:val="18"/>
              </w:rPr>
              <w:t>2</w:t>
            </w:r>
          </w:p>
        </w:tc>
        <w:tc>
          <w:tcPr>
            <w:tcW w:w="708" w:type="pct"/>
            <w:tcBorders>
              <w:top w:val="nil"/>
              <w:left w:val="nil"/>
              <w:bottom w:val="single" w:sz="8" w:space="0" w:color="1F497D"/>
              <w:right w:val="single" w:sz="8" w:space="0" w:color="1F497D"/>
            </w:tcBorders>
            <w:shd w:val="clear" w:color="auto" w:fill="auto"/>
            <w:noWrap/>
            <w:vAlign w:val="center"/>
            <w:hideMark/>
          </w:tcPr>
          <w:p w:rsidR="001E6971" w:rsidRPr="001E6971" w:rsidRDefault="001E6971" w:rsidP="001E6971">
            <w:pPr>
              <w:jc w:val="center"/>
              <w:rPr>
                <w:color w:val="000000"/>
                <w:sz w:val="18"/>
                <w:szCs w:val="18"/>
              </w:rPr>
            </w:pPr>
            <w:r w:rsidRPr="001E6971">
              <w:rPr>
                <w:color w:val="000000"/>
                <w:sz w:val="18"/>
                <w:szCs w:val="18"/>
              </w:rPr>
              <w:t>341 841 958</w:t>
            </w:r>
          </w:p>
        </w:tc>
        <w:tc>
          <w:tcPr>
            <w:tcW w:w="461" w:type="pct"/>
            <w:tcBorders>
              <w:top w:val="nil"/>
              <w:left w:val="nil"/>
              <w:bottom w:val="single" w:sz="8" w:space="0" w:color="1F497D"/>
              <w:right w:val="single" w:sz="8" w:space="0" w:color="1F497D"/>
            </w:tcBorders>
            <w:shd w:val="clear" w:color="000000" w:fill="FFFFFF"/>
            <w:noWrap/>
            <w:vAlign w:val="center"/>
            <w:hideMark/>
          </w:tcPr>
          <w:p w:rsidR="001E6971" w:rsidRPr="001E6971" w:rsidRDefault="001E6971" w:rsidP="001E6971">
            <w:pPr>
              <w:jc w:val="center"/>
              <w:rPr>
                <w:color w:val="000000"/>
                <w:sz w:val="18"/>
                <w:szCs w:val="18"/>
              </w:rPr>
            </w:pPr>
            <w:r w:rsidRPr="001E6971">
              <w:rPr>
                <w:color w:val="000000"/>
                <w:sz w:val="18"/>
                <w:szCs w:val="18"/>
              </w:rPr>
              <w:t>3</w:t>
            </w:r>
          </w:p>
        </w:tc>
        <w:tc>
          <w:tcPr>
            <w:tcW w:w="638" w:type="pct"/>
            <w:tcBorders>
              <w:top w:val="nil"/>
              <w:left w:val="nil"/>
              <w:bottom w:val="single" w:sz="8" w:space="0" w:color="1F497D"/>
              <w:right w:val="double" w:sz="6" w:space="0" w:color="1F497D"/>
            </w:tcBorders>
            <w:shd w:val="clear" w:color="000000" w:fill="FFFFFF"/>
            <w:noWrap/>
            <w:vAlign w:val="center"/>
            <w:hideMark/>
          </w:tcPr>
          <w:p w:rsidR="001E6971" w:rsidRPr="001E6971" w:rsidRDefault="001E6971" w:rsidP="001E6971">
            <w:pPr>
              <w:jc w:val="center"/>
              <w:rPr>
                <w:color w:val="000000"/>
                <w:sz w:val="18"/>
                <w:szCs w:val="18"/>
              </w:rPr>
            </w:pPr>
            <w:r w:rsidRPr="001E6971">
              <w:rPr>
                <w:color w:val="000000"/>
                <w:sz w:val="18"/>
                <w:szCs w:val="18"/>
              </w:rPr>
              <w:t>364 992 362</w:t>
            </w:r>
          </w:p>
        </w:tc>
      </w:tr>
      <w:tr w:rsidR="001E6971" w:rsidRPr="001E6971" w:rsidTr="009300DE">
        <w:trPr>
          <w:trHeight w:val="315"/>
        </w:trPr>
        <w:tc>
          <w:tcPr>
            <w:tcW w:w="685" w:type="pct"/>
            <w:tcBorders>
              <w:top w:val="nil"/>
              <w:left w:val="double" w:sz="6" w:space="0" w:color="1F497D"/>
              <w:bottom w:val="single" w:sz="8" w:space="0" w:color="1F497D"/>
              <w:right w:val="single" w:sz="8" w:space="0" w:color="1F497D"/>
            </w:tcBorders>
            <w:shd w:val="clear" w:color="000000" w:fill="FFFFFF"/>
            <w:noWrap/>
            <w:vAlign w:val="center"/>
            <w:hideMark/>
          </w:tcPr>
          <w:p w:rsidR="001E6971" w:rsidRPr="001E6971" w:rsidRDefault="001E6971" w:rsidP="001E6971">
            <w:pPr>
              <w:jc w:val="center"/>
              <w:rPr>
                <w:color w:val="000000"/>
                <w:sz w:val="18"/>
                <w:szCs w:val="18"/>
              </w:rPr>
            </w:pPr>
            <w:r w:rsidRPr="001E6971">
              <w:rPr>
                <w:color w:val="000000"/>
                <w:sz w:val="18"/>
                <w:szCs w:val="18"/>
              </w:rPr>
              <w:t>MSP</w:t>
            </w:r>
          </w:p>
        </w:tc>
        <w:tc>
          <w:tcPr>
            <w:tcW w:w="353" w:type="pct"/>
            <w:tcBorders>
              <w:top w:val="nil"/>
              <w:left w:val="nil"/>
              <w:bottom w:val="single" w:sz="8" w:space="0" w:color="1F497D"/>
              <w:right w:val="single" w:sz="8" w:space="0" w:color="1F497D"/>
            </w:tcBorders>
            <w:shd w:val="clear" w:color="auto" w:fill="auto"/>
            <w:noWrap/>
            <w:vAlign w:val="center"/>
            <w:hideMark/>
          </w:tcPr>
          <w:p w:rsidR="001E6971" w:rsidRPr="001E6971" w:rsidRDefault="001E6971" w:rsidP="001E6971">
            <w:pPr>
              <w:jc w:val="center"/>
              <w:rPr>
                <w:color w:val="000000"/>
                <w:sz w:val="18"/>
                <w:szCs w:val="18"/>
              </w:rPr>
            </w:pPr>
            <w:r w:rsidRPr="001E6971">
              <w:rPr>
                <w:color w:val="000000"/>
                <w:sz w:val="18"/>
                <w:szCs w:val="18"/>
              </w:rPr>
              <w:t> </w:t>
            </w:r>
          </w:p>
        </w:tc>
        <w:tc>
          <w:tcPr>
            <w:tcW w:w="616" w:type="pct"/>
            <w:tcBorders>
              <w:top w:val="nil"/>
              <w:left w:val="nil"/>
              <w:bottom w:val="single" w:sz="8" w:space="0" w:color="1F497D"/>
              <w:right w:val="single" w:sz="8" w:space="0" w:color="1F497D"/>
            </w:tcBorders>
            <w:shd w:val="clear" w:color="auto" w:fill="auto"/>
            <w:noWrap/>
            <w:vAlign w:val="center"/>
            <w:hideMark/>
          </w:tcPr>
          <w:p w:rsidR="001E6971" w:rsidRPr="001E6971" w:rsidRDefault="001E6971" w:rsidP="001E6971">
            <w:pPr>
              <w:jc w:val="center"/>
              <w:rPr>
                <w:color w:val="000000"/>
                <w:sz w:val="18"/>
                <w:szCs w:val="18"/>
              </w:rPr>
            </w:pPr>
            <w:r w:rsidRPr="001E6971">
              <w:rPr>
                <w:color w:val="000000"/>
                <w:sz w:val="18"/>
                <w:szCs w:val="18"/>
              </w:rPr>
              <w:t> </w:t>
            </w:r>
          </w:p>
        </w:tc>
        <w:tc>
          <w:tcPr>
            <w:tcW w:w="462" w:type="pct"/>
            <w:tcBorders>
              <w:top w:val="nil"/>
              <w:left w:val="nil"/>
              <w:bottom w:val="single" w:sz="8" w:space="0" w:color="1F497D"/>
              <w:right w:val="single" w:sz="8" w:space="0" w:color="1F497D"/>
            </w:tcBorders>
            <w:shd w:val="clear" w:color="auto" w:fill="auto"/>
            <w:noWrap/>
            <w:vAlign w:val="center"/>
            <w:hideMark/>
          </w:tcPr>
          <w:p w:rsidR="001E6971" w:rsidRPr="001E6971" w:rsidRDefault="001E6971" w:rsidP="001E6971">
            <w:pPr>
              <w:jc w:val="center"/>
              <w:rPr>
                <w:color w:val="000000"/>
                <w:sz w:val="18"/>
                <w:szCs w:val="18"/>
              </w:rPr>
            </w:pPr>
            <w:r w:rsidRPr="001E6971">
              <w:rPr>
                <w:color w:val="000000"/>
                <w:sz w:val="18"/>
                <w:szCs w:val="18"/>
              </w:rPr>
              <w:t>1</w:t>
            </w:r>
          </w:p>
        </w:tc>
        <w:tc>
          <w:tcPr>
            <w:tcW w:w="638" w:type="pct"/>
            <w:tcBorders>
              <w:top w:val="nil"/>
              <w:left w:val="nil"/>
              <w:bottom w:val="single" w:sz="8" w:space="0" w:color="1F497D"/>
              <w:right w:val="single" w:sz="8" w:space="0" w:color="1F497D"/>
            </w:tcBorders>
            <w:shd w:val="clear" w:color="auto" w:fill="auto"/>
            <w:noWrap/>
            <w:vAlign w:val="center"/>
            <w:hideMark/>
          </w:tcPr>
          <w:p w:rsidR="001E6971" w:rsidRPr="001E6971" w:rsidRDefault="001E6971" w:rsidP="001E6971">
            <w:pPr>
              <w:jc w:val="center"/>
              <w:rPr>
                <w:color w:val="000000"/>
                <w:sz w:val="18"/>
                <w:szCs w:val="18"/>
              </w:rPr>
            </w:pPr>
            <w:r w:rsidRPr="001E6971">
              <w:rPr>
                <w:color w:val="000000"/>
                <w:sz w:val="18"/>
                <w:szCs w:val="18"/>
              </w:rPr>
              <w:t>19 200 000</w:t>
            </w:r>
          </w:p>
        </w:tc>
        <w:tc>
          <w:tcPr>
            <w:tcW w:w="440" w:type="pct"/>
            <w:tcBorders>
              <w:top w:val="nil"/>
              <w:left w:val="nil"/>
              <w:bottom w:val="single" w:sz="8" w:space="0" w:color="1F497D"/>
              <w:right w:val="single" w:sz="8" w:space="0" w:color="1F497D"/>
            </w:tcBorders>
            <w:shd w:val="clear" w:color="000000" w:fill="FFFFFF"/>
            <w:vAlign w:val="center"/>
            <w:hideMark/>
          </w:tcPr>
          <w:p w:rsidR="001E6971" w:rsidRPr="001E6971" w:rsidRDefault="001E6971" w:rsidP="001E6971">
            <w:pPr>
              <w:jc w:val="center"/>
              <w:rPr>
                <w:color w:val="000000"/>
                <w:sz w:val="18"/>
                <w:szCs w:val="18"/>
              </w:rPr>
            </w:pPr>
            <w:r w:rsidRPr="001E6971">
              <w:rPr>
                <w:color w:val="000000"/>
                <w:sz w:val="18"/>
                <w:szCs w:val="18"/>
              </w:rPr>
              <w:t> </w:t>
            </w:r>
          </w:p>
        </w:tc>
        <w:tc>
          <w:tcPr>
            <w:tcW w:w="708" w:type="pct"/>
            <w:tcBorders>
              <w:top w:val="nil"/>
              <w:left w:val="nil"/>
              <w:bottom w:val="single" w:sz="8" w:space="0" w:color="1F497D"/>
              <w:right w:val="single" w:sz="8" w:space="0" w:color="1F497D"/>
            </w:tcBorders>
            <w:shd w:val="clear" w:color="auto" w:fill="auto"/>
            <w:noWrap/>
            <w:vAlign w:val="center"/>
            <w:hideMark/>
          </w:tcPr>
          <w:p w:rsidR="001E6971" w:rsidRPr="001E6971" w:rsidRDefault="001E6971" w:rsidP="001E6971">
            <w:pPr>
              <w:jc w:val="center"/>
              <w:rPr>
                <w:color w:val="000000"/>
                <w:sz w:val="18"/>
                <w:szCs w:val="18"/>
              </w:rPr>
            </w:pPr>
            <w:r w:rsidRPr="001E6971">
              <w:rPr>
                <w:color w:val="000000"/>
                <w:sz w:val="18"/>
                <w:szCs w:val="18"/>
              </w:rPr>
              <w:t> </w:t>
            </w:r>
          </w:p>
        </w:tc>
        <w:tc>
          <w:tcPr>
            <w:tcW w:w="461" w:type="pct"/>
            <w:tcBorders>
              <w:top w:val="nil"/>
              <w:left w:val="nil"/>
              <w:bottom w:val="single" w:sz="8" w:space="0" w:color="1F497D"/>
              <w:right w:val="single" w:sz="8" w:space="0" w:color="1F497D"/>
            </w:tcBorders>
            <w:shd w:val="clear" w:color="000000" w:fill="FFFFFF"/>
            <w:noWrap/>
            <w:vAlign w:val="center"/>
            <w:hideMark/>
          </w:tcPr>
          <w:p w:rsidR="001E6971" w:rsidRPr="001E6971" w:rsidRDefault="001E6971" w:rsidP="001E6971">
            <w:pPr>
              <w:jc w:val="center"/>
              <w:rPr>
                <w:color w:val="000000"/>
                <w:sz w:val="18"/>
                <w:szCs w:val="18"/>
              </w:rPr>
            </w:pPr>
            <w:r w:rsidRPr="001E6971">
              <w:rPr>
                <w:color w:val="000000"/>
                <w:sz w:val="18"/>
                <w:szCs w:val="18"/>
              </w:rPr>
              <w:t>1</w:t>
            </w:r>
          </w:p>
        </w:tc>
        <w:tc>
          <w:tcPr>
            <w:tcW w:w="638" w:type="pct"/>
            <w:tcBorders>
              <w:top w:val="nil"/>
              <w:left w:val="nil"/>
              <w:bottom w:val="single" w:sz="8" w:space="0" w:color="1F497D"/>
              <w:right w:val="double" w:sz="6" w:space="0" w:color="1F497D"/>
            </w:tcBorders>
            <w:shd w:val="clear" w:color="000000" w:fill="FFFFFF"/>
            <w:noWrap/>
            <w:vAlign w:val="center"/>
            <w:hideMark/>
          </w:tcPr>
          <w:p w:rsidR="001E6971" w:rsidRPr="001E6971" w:rsidRDefault="001E6971" w:rsidP="001E6971">
            <w:pPr>
              <w:jc w:val="center"/>
              <w:rPr>
                <w:color w:val="000000"/>
                <w:sz w:val="18"/>
                <w:szCs w:val="18"/>
              </w:rPr>
            </w:pPr>
            <w:r w:rsidRPr="001E6971">
              <w:rPr>
                <w:color w:val="000000"/>
                <w:sz w:val="18"/>
                <w:szCs w:val="18"/>
              </w:rPr>
              <w:t>19 200 000</w:t>
            </w:r>
          </w:p>
        </w:tc>
      </w:tr>
      <w:tr w:rsidR="001E6971" w:rsidRPr="001E6971" w:rsidTr="009300DE">
        <w:trPr>
          <w:trHeight w:val="315"/>
        </w:trPr>
        <w:tc>
          <w:tcPr>
            <w:tcW w:w="685" w:type="pct"/>
            <w:tcBorders>
              <w:top w:val="nil"/>
              <w:left w:val="double" w:sz="6" w:space="0" w:color="1F497D"/>
              <w:bottom w:val="single" w:sz="8" w:space="0" w:color="1F497D"/>
              <w:right w:val="single" w:sz="8" w:space="0" w:color="1F497D"/>
            </w:tcBorders>
            <w:shd w:val="clear" w:color="000000" w:fill="FFFFFF"/>
            <w:noWrap/>
            <w:vAlign w:val="center"/>
            <w:hideMark/>
          </w:tcPr>
          <w:p w:rsidR="001E6971" w:rsidRPr="001E6971" w:rsidRDefault="001E6971" w:rsidP="001E6971">
            <w:pPr>
              <w:jc w:val="center"/>
              <w:rPr>
                <w:color w:val="000000"/>
                <w:sz w:val="18"/>
                <w:szCs w:val="18"/>
              </w:rPr>
            </w:pPr>
            <w:r w:rsidRPr="001E6971">
              <w:rPr>
                <w:color w:val="000000"/>
                <w:sz w:val="18"/>
                <w:szCs w:val="18"/>
              </w:rPr>
              <w:t>MPO</w:t>
            </w:r>
          </w:p>
        </w:tc>
        <w:tc>
          <w:tcPr>
            <w:tcW w:w="353" w:type="pct"/>
            <w:tcBorders>
              <w:top w:val="nil"/>
              <w:left w:val="nil"/>
              <w:bottom w:val="single" w:sz="8" w:space="0" w:color="1F497D"/>
              <w:right w:val="single" w:sz="8" w:space="0" w:color="1F497D"/>
            </w:tcBorders>
            <w:shd w:val="clear" w:color="auto" w:fill="auto"/>
            <w:noWrap/>
            <w:vAlign w:val="center"/>
            <w:hideMark/>
          </w:tcPr>
          <w:p w:rsidR="001E6971" w:rsidRPr="001E6971" w:rsidRDefault="001E6971" w:rsidP="001E6971">
            <w:pPr>
              <w:jc w:val="center"/>
              <w:rPr>
                <w:color w:val="000000"/>
                <w:sz w:val="18"/>
                <w:szCs w:val="18"/>
              </w:rPr>
            </w:pPr>
            <w:r w:rsidRPr="001E6971">
              <w:rPr>
                <w:color w:val="000000"/>
                <w:sz w:val="18"/>
                <w:szCs w:val="18"/>
              </w:rPr>
              <w:t> </w:t>
            </w:r>
          </w:p>
        </w:tc>
        <w:tc>
          <w:tcPr>
            <w:tcW w:w="616" w:type="pct"/>
            <w:tcBorders>
              <w:top w:val="nil"/>
              <w:left w:val="nil"/>
              <w:bottom w:val="single" w:sz="8" w:space="0" w:color="1F497D"/>
              <w:right w:val="single" w:sz="8" w:space="0" w:color="1F497D"/>
            </w:tcBorders>
            <w:shd w:val="clear" w:color="auto" w:fill="auto"/>
            <w:noWrap/>
            <w:vAlign w:val="center"/>
            <w:hideMark/>
          </w:tcPr>
          <w:p w:rsidR="001E6971" w:rsidRPr="001E6971" w:rsidRDefault="001E6971" w:rsidP="001E6971">
            <w:pPr>
              <w:jc w:val="center"/>
              <w:rPr>
                <w:color w:val="000000"/>
                <w:sz w:val="18"/>
                <w:szCs w:val="18"/>
              </w:rPr>
            </w:pPr>
            <w:r w:rsidRPr="001E6971">
              <w:rPr>
                <w:color w:val="000000"/>
                <w:sz w:val="18"/>
                <w:szCs w:val="18"/>
              </w:rPr>
              <w:t> </w:t>
            </w:r>
          </w:p>
        </w:tc>
        <w:tc>
          <w:tcPr>
            <w:tcW w:w="462" w:type="pct"/>
            <w:tcBorders>
              <w:top w:val="nil"/>
              <w:left w:val="nil"/>
              <w:bottom w:val="single" w:sz="8" w:space="0" w:color="1F497D"/>
              <w:right w:val="single" w:sz="8" w:space="0" w:color="1F497D"/>
            </w:tcBorders>
            <w:shd w:val="clear" w:color="auto" w:fill="auto"/>
            <w:noWrap/>
            <w:vAlign w:val="center"/>
            <w:hideMark/>
          </w:tcPr>
          <w:p w:rsidR="001E6971" w:rsidRPr="001E6971" w:rsidRDefault="001E6971" w:rsidP="001E6971">
            <w:pPr>
              <w:jc w:val="center"/>
              <w:rPr>
                <w:color w:val="000000"/>
                <w:sz w:val="18"/>
                <w:szCs w:val="18"/>
              </w:rPr>
            </w:pPr>
            <w:r w:rsidRPr="001E6971">
              <w:rPr>
                <w:color w:val="000000"/>
                <w:sz w:val="18"/>
                <w:szCs w:val="18"/>
              </w:rPr>
              <w:t> </w:t>
            </w:r>
          </w:p>
        </w:tc>
        <w:tc>
          <w:tcPr>
            <w:tcW w:w="638" w:type="pct"/>
            <w:tcBorders>
              <w:top w:val="nil"/>
              <w:left w:val="nil"/>
              <w:bottom w:val="single" w:sz="8" w:space="0" w:color="1F497D"/>
              <w:right w:val="single" w:sz="8" w:space="0" w:color="1F497D"/>
            </w:tcBorders>
            <w:shd w:val="clear" w:color="auto" w:fill="auto"/>
            <w:noWrap/>
            <w:vAlign w:val="center"/>
            <w:hideMark/>
          </w:tcPr>
          <w:p w:rsidR="001E6971" w:rsidRPr="001E6971" w:rsidRDefault="001E6971" w:rsidP="001E6971">
            <w:pPr>
              <w:jc w:val="center"/>
              <w:rPr>
                <w:color w:val="000000"/>
                <w:sz w:val="18"/>
                <w:szCs w:val="18"/>
              </w:rPr>
            </w:pPr>
            <w:r w:rsidRPr="001E6971">
              <w:rPr>
                <w:color w:val="000000"/>
                <w:sz w:val="18"/>
                <w:szCs w:val="18"/>
              </w:rPr>
              <w:t> </w:t>
            </w:r>
          </w:p>
        </w:tc>
        <w:tc>
          <w:tcPr>
            <w:tcW w:w="440" w:type="pct"/>
            <w:tcBorders>
              <w:top w:val="nil"/>
              <w:left w:val="nil"/>
              <w:bottom w:val="single" w:sz="8" w:space="0" w:color="1F497D"/>
              <w:right w:val="single" w:sz="8" w:space="0" w:color="1F497D"/>
            </w:tcBorders>
            <w:shd w:val="clear" w:color="000000" w:fill="FFFFFF"/>
            <w:vAlign w:val="center"/>
            <w:hideMark/>
          </w:tcPr>
          <w:p w:rsidR="001E6971" w:rsidRPr="001E6971" w:rsidRDefault="001E6971" w:rsidP="001E6971">
            <w:pPr>
              <w:jc w:val="center"/>
              <w:rPr>
                <w:color w:val="000000"/>
                <w:sz w:val="18"/>
                <w:szCs w:val="18"/>
              </w:rPr>
            </w:pPr>
            <w:r w:rsidRPr="001E6971">
              <w:rPr>
                <w:color w:val="000000"/>
                <w:sz w:val="18"/>
                <w:szCs w:val="18"/>
              </w:rPr>
              <w:t>1</w:t>
            </w:r>
          </w:p>
        </w:tc>
        <w:tc>
          <w:tcPr>
            <w:tcW w:w="708" w:type="pct"/>
            <w:tcBorders>
              <w:top w:val="nil"/>
              <w:left w:val="nil"/>
              <w:bottom w:val="single" w:sz="8" w:space="0" w:color="1F497D"/>
              <w:right w:val="single" w:sz="8" w:space="0" w:color="1F497D"/>
            </w:tcBorders>
            <w:shd w:val="clear" w:color="auto" w:fill="auto"/>
            <w:noWrap/>
            <w:vAlign w:val="center"/>
            <w:hideMark/>
          </w:tcPr>
          <w:p w:rsidR="001E6971" w:rsidRPr="001E6971" w:rsidRDefault="001E6971" w:rsidP="001E6971">
            <w:pPr>
              <w:jc w:val="center"/>
              <w:rPr>
                <w:color w:val="000000"/>
                <w:sz w:val="18"/>
                <w:szCs w:val="18"/>
              </w:rPr>
            </w:pPr>
            <w:r w:rsidRPr="001E6971">
              <w:rPr>
                <w:color w:val="000000"/>
                <w:sz w:val="18"/>
                <w:szCs w:val="18"/>
              </w:rPr>
              <w:t>33 946 550</w:t>
            </w:r>
          </w:p>
        </w:tc>
        <w:tc>
          <w:tcPr>
            <w:tcW w:w="461" w:type="pct"/>
            <w:tcBorders>
              <w:top w:val="nil"/>
              <w:left w:val="nil"/>
              <w:bottom w:val="single" w:sz="8" w:space="0" w:color="1F497D"/>
              <w:right w:val="single" w:sz="8" w:space="0" w:color="1F497D"/>
            </w:tcBorders>
            <w:shd w:val="clear" w:color="000000" w:fill="FFFFFF"/>
            <w:noWrap/>
            <w:vAlign w:val="center"/>
            <w:hideMark/>
          </w:tcPr>
          <w:p w:rsidR="001E6971" w:rsidRPr="001E6971" w:rsidRDefault="001E6971" w:rsidP="001E6971">
            <w:pPr>
              <w:jc w:val="center"/>
              <w:rPr>
                <w:color w:val="000000"/>
                <w:sz w:val="18"/>
                <w:szCs w:val="18"/>
              </w:rPr>
            </w:pPr>
            <w:r w:rsidRPr="001E6971">
              <w:rPr>
                <w:color w:val="000000"/>
                <w:sz w:val="18"/>
                <w:szCs w:val="18"/>
              </w:rPr>
              <w:t>1</w:t>
            </w:r>
          </w:p>
        </w:tc>
        <w:tc>
          <w:tcPr>
            <w:tcW w:w="638" w:type="pct"/>
            <w:tcBorders>
              <w:top w:val="nil"/>
              <w:left w:val="nil"/>
              <w:bottom w:val="single" w:sz="8" w:space="0" w:color="1F497D"/>
              <w:right w:val="double" w:sz="6" w:space="0" w:color="1F497D"/>
            </w:tcBorders>
            <w:shd w:val="clear" w:color="000000" w:fill="FFFFFF"/>
            <w:noWrap/>
            <w:vAlign w:val="center"/>
            <w:hideMark/>
          </w:tcPr>
          <w:p w:rsidR="001E6971" w:rsidRPr="001E6971" w:rsidRDefault="001E6971" w:rsidP="001E6971">
            <w:pPr>
              <w:jc w:val="center"/>
              <w:rPr>
                <w:color w:val="000000"/>
                <w:sz w:val="18"/>
                <w:szCs w:val="18"/>
              </w:rPr>
            </w:pPr>
            <w:r w:rsidRPr="001E6971">
              <w:rPr>
                <w:color w:val="000000"/>
                <w:sz w:val="18"/>
                <w:szCs w:val="18"/>
              </w:rPr>
              <w:t>33 946 550</w:t>
            </w:r>
          </w:p>
        </w:tc>
      </w:tr>
      <w:tr w:rsidR="001E6971" w:rsidRPr="001E6971" w:rsidTr="009300DE">
        <w:trPr>
          <w:trHeight w:val="315"/>
        </w:trPr>
        <w:tc>
          <w:tcPr>
            <w:tcW w:w="685" w:type="pct"/>
            <w:tcBorders>
              <w:top w:val="nil"/>
              <w:left w:val="double" w:sz="6" w:space="0" w:color="1F497D"/>
              <w:bottom w:val="single" w:sz="8" w:space="0" w:color="1F497D"/>
              <w:right w:val="single" w:sz="8" w:space="0" w:color="1F497D"/>
            </w:tcBorders>
            <w:shd w:val="clear" w:color="000000" w:fill="FFFFFF"/>
            <w:noWrap/>
            <w:vAlign w:val="center"/>
            <w:hideMark/>
          </w:tcPr>
          <w:p w:rsidR="001E6971" w:rsidRPr="001E6971" w:rsidRDefault="001E6971" w:rsidP="001E6971">
            <w:pPr>
              <w:jc w:val="center"/>
              <w:rPr>
                <w:color w:val="000000"/>
                <w:sz w:val="18"/>
                <w:szCs w:val="18"/>
              </w:rPr>
            </w:pPr>
            <w:r w:rsidRPr="001E6971">
              <w:rPr>
                <w:color w:val="000000"/>
                <w:sz w:val="18"/>
                <w:szCs w:val="18"/>
              </w:rPr>
              <w:t>MPSV</w:t>
            </w:r>
          </w:p>
        </w:tc>
        <w:tc>
          <w:tcPr>
            <w:tcW w:w="353" w:type="pct"/>
            <w:tcBorders>
              <w:top w:val="nil"/>
              <w:left w:val="nil"/>
              <w:bottom w:val="single" w:sz="8" w:space="0" w:color="1F497D"/>
              <w:right w:val="single" w:sz="8" w:space="0" w:color="1F497D"/>
            </w:tcBorders>
            <w:shd w:val="clear" w:color="auto" w:fill="auto"/>
            <w:noWrap/>
            <w:vAlign w:val="center"/>
            <w:hideMark/>
          </w:tcPr>
          <w:p w:rsidR="001E6971" w:rsidRPr="001E6971" w:rsidRDefault="001E6971" w:rsidP="001E6971">
            <w:pPr>
              <w:jc w:val="center"/>
              <w:rPr>
                <w:color w:val="000000"/>
                <w:sz w:val="18"/>
                <w:szCs w:val="18"/>
              </w:rPr>
            </w:pPr>
            <w:r w:rsidRPr="001E6971">
              <w:rPr>
                <w:color w:val="000000"/>
                <w:sz w:val="18"/>
                <w:szCs w:val="18"/>
              </w:rPr>
              <w:t> </w:t>
            </w:r>
          </w:p>
        </w:tc>
        <w:tc>
          <w:tcPr>
            <w:tcW w:w="616" w:type="pct"/>
            <w:tcBorders>
              <w:top w:val="nil"/>
              <w:left w:val="nil"/>
              <w:bottom w:val="single" w:sz="8" w:space="0" w:color="1F497D"/>
              <w:right w:val="single" w:sz="8" w:space="0" w:color="1F497D"/>
            </w:tcBorders>
            <w:shd w:val="clear" w:color="auto" w:fill="auto"/>
            <w:noWrap/>
            <w:vAlign w:val="center"/>
            <w:hideMark/>
          </w:tcPr>
          <w:p w:rsidR="001E6971" w:rsidRPr="001E6971" w:rsidRDefault="001E6971" w:rsidP="001E6971">
            <w:pPr>
              <w:jc w:val="center"/>
              <w:rPr>
                <w:color w:val="000000"/>
                <w:sz w:val="18"/>
                <w:szCs w:val="18"/>
              </w:rPr>
            </w:pPr>
            <w:r w:rsidRPr="001E6971">
              <w:rPr>
                <w:color w:val="000000"/>
                <w:sz w:val="18"/>
                <w:szCs w:val="18"/>
              </w:rPr>
              <w:t> </w:t>
            </w:r>
          </w:p>
        </w:tc>
        <w:tc>
          <w:tcPr>
            <w:tcW w:w="462" w:type="pct"/>
            <w:tcBorders>
              <w:top w:val="nil"/>
              <w:left w:val="nil"/>
              <w:bottom w:val="single" w:sz="8" w:space="0" w:color="1F497D"/>
              <w:right w:val="single" w:sz="8" w:space="0" w:color="1F497D"/>
            </w:tcBorders>
            <w:shd w:val="clear" w:color="auto" w:fill="auto"/>
            <w:noWrap/>
            <w:vAlign w:val="center"/>
            <w:hideMark/>
          </w:tcPr>
          <w:p w:rsidR="001E6971" w:rsidRPr="001E6971" w:rsidRDefault="001E6971" w:rsidP="001E6971">
            <w:pPr>
              <w:jc w:val="center"/>
              <w:rPr>
                <w:color w:val="000000"/>
                <w:sz w:val="18"/>
                <w:szCs w:val="18"/>
              </w:rPr>
            </w:pPr>
            <w:r w:rsidRPr="001E6971">
              <w:rPr>
                <w:color w:val="000000"/>
                <w:sz w:val="18"/>
                <w:szCs w:val="18"/>
              </w:rPr>
              <w:t>1</w:t>
            </w:r>
          </w:p>
        </w:tc>
        <w:tc>
          <w:tcPr>
            <w:tcW w:w="638" w:type="pct"/>
            <w:tcBorders>
              <w:top w:val="nil"/>
              <w:left w:val="nil"/>
              <w:bottom w:val="single" w:sz="8" w:space="0" w:color="1F497D"/>
              <w:right w:val="single" w:sz="8" w:space="0" w:color="1F497D"/>
            </w:tcBorders>
            <w:shd w:val="clear" w:color="auto" w:fill="auto"/>
            <w:noWrap/>
            <w:vAlign w:val="center"/>
            <w:hideMark/>
          </w:tcPr>
          <w:p w:rsidR="001E6971" w:rsidRPr="001E6971" w:rsidRDefault="001E6971" w:rsidP="001E6971">
            <w:pPr>
              <w:jc w:val="center"/>
              <w:rPr>
                <w:color w:val="000000"/>
                <w:sz w:val="18"/>
                <w:szCs w:val="18"/>
              </w:rPr>
            </w:pPr>
            <w:r w:rsidRPr="001E6971">
              <w:rPr>
                <w:color w:val="000000"/>
                <w:sz w:val="18"/>
                <w:szCs w:val="18"/>
              </w:rPr>
              <w:t>240148780</w:t>
            </w:r>
          </w:p>
        </w:tc>
        <w:tc>
          <w:tcPr>
            <w:tcW w:w="440" w:type="pct"/>
            <w:tcBorders>
              <w:top w:val="nil"/>
              <w:left w:val="nil"/>
              <w:bottom w:val="single" w:sz="8" w:space="0" w:color="1F497D"/>
              <w:right w:val="single" w:sz="8" w:space="0" w:color="1F497D"/>
            </w:tcBorders>
            <w:shd w:val="clear" w:color="000000" w:fill="FFFFFF"/>
            <w:vAlign w:val="center"/>
            <w:hideMark/>
          </w:tcPr>
          <w:p w:rsidR="001E6971" w:rsidRPr="001E6971" w:rsidRDefault="001E6971" w:rsidP="001E6971">
            <w:pPr>
              <w:jc w:val="center"/>
              <w:rPr>
                <w:color w:val="000000"/>
                <w:sz w:val="18"/>
                <w:szCs w:val="18"/>
              </w:rPr>
            </w:pPr>
            <w:r w:rsidRPr="001E6971">
              <w:rPr>
                <w:color w:val="000000"/>
                <w:sz w:val="18"/>
                <w:szCs w:val="18"/>
              </w:rPr>
              <w:t> </w:t>
            </w:r>
          </w:p>
        </w:tc>
        <w:tc>
          <w:tcPr>
            <w:tcW w:w="708" w:type="pct"/>
            <w:tcBorders>
              <w:top w:val="nil"/>
              <w:left w:val="nil"/>
              <w:bottom w:val="single" w:sz="8" w:space="0" w:color="1F497D"/>
              <w:right w:val="single" w:sz="8" w:space="0" w:color="1F497D"/>
            </w:tcBorders>
            <w:shd w:val="clear" w:color="auto" w:fill="auto"/>
            <w:noWrap/>
            <w:vAlign w:val="center"/>
            <w:hideMark/>
          </w:tcPr>
          <w:p w:rsidR="001E6971" w:rsidRPr="001E6971" w:rsidRDefault="001E6971" w:rsidP="001E6971">
            <w:pPr>
              <w:jc w:val="center"/>
              <w:rPr>
                <w:color w:val="000000"/>
                <w:sz w:val="18"/>
                <w:szCs w:val="18"/>
              </w:rPr>
            </w:pPr>
            <w:r w:rsidRPr="001E6971">
              <w:rPr>
                <w:color w:val="000000"/>
                <w:sz w:val="18"/>
                <w:szCs w:val="18"/>
              </w:rPr>
              <w:t> </w:t>
            </w:r>
          </w:p>
        </w:tc>
        <w:tc>
          <w:tcPr>
            <w:tcW w:w="461" w:type="pct"/>
            <w:tcBorders>
              <w:top w:val="nil"/>
              <w:left w:val="nil"/>
              <w:bottom w:val="single" w:sz="8" w:space="0" w:color="1F497D"/>
              <w:right w:val="single" w:sz="8" w:space="0" w:color="1F497D"/>
            </w:tcBorders>
            <w:shd w:val="clear" w:color="000000" w:fill="FFFFFF"/>
            <w:noWrap/>
            <w:vAlign w:val="center"/>
            <w:hideMark/>
          </w:tcPr>
          <w:p w:rsidR="001E6971" w:rsidRPr="001E6971" w:rsidRDefault="001E6971" w:rsidP="001E6971">
            <w:pPr>
              <w:jc w:val="center"/>
              <w:rPr>
                <w:color w:val="000000"/>
                <w:sz w:val="18"/>
                <w:szCs w:val="18"/>
              </w:rPr>
            </w:pPr>
            <w:r w:rsidRPr="001E6971">
              <w:rPr>
                <w:color w:val="000000"/>
                <w:sz w:val="18"/>
                <w:szCs w:val="18"/>
              </w:rPr>
              <w:t>1</w:t>
            </w:r>
          </w:p>
        </w:tc>
        <w:tc>
          <w:tcPr>
            <w:tcW w:w="638" w:type="pct"/>
            <w:tcBorders>
              <w:top w:val="nil"/>
              <w:left w:val="nil"/>
              <w:bottom w:val="single" w:sz="8" w:space="0" w:color="1F497D"/>
              <w:right w:val="double" w:sz="6" w:space="0" w:color="1F497D"/>
            </w:tcBorders>
            <w:shd w:val="clear" w:color="000000" w:fill="FFFFFF"/>
            <w:noWrap/>
            <w:vAlign w:val="center"/>
            <w:hideMark/>
          </w:tcPr>
          <w:p w:rsidR="001E6971" w:rsidRPr="001E6971" w:rsidRDefault="001E6971" w:rsidP="001E6971">
            <w:pPr>
              <w:jc w:val="center"/>
              <w:rPr>
                <w:color w:val="000000"/>
                <w:sz w:val="18"/>
                <w:szCs w:val="18"/>
              </w:rPr>
            </w:pPr>
            <w:r w:rsidRPr="001E6971">
              <w:rPr>
                <w:color w:val="000000"/>
                <w:sz w:val="18"/>
                <w:szCs w:val="18"/>
              </w:rPr>
              <w:t>240 148 780</w:t>
            </w:r>
          </w:p>
        </w:tc>
      </w:tr>
      <w:tr w:rsidR="001E6971" w:rsidRPr="001E6971" w:rsidTr="009300DE">
        <w:trPr>
          <w:trHeight w:val="495"/>
        </w:trPr>
        <w:tc>
          <w:tcPr>
            <w:tcW w:w="685" w:type="pct"/>
            <w:tcBorders>
              <w:top w:val="nil"/>
              <w:left w:val="double" w:sz="6" w:space="0" w:color="1F497D"/>
              <w:bottom w:val="single" w:sz="8" w:space="0" w:color="1F497D"/>
              <w:right w:val="single" w:sz="8" w:space="0" w:color="1F497D"/>
            </w:tcBorders>
            <w:shd w:val="clear" w:color="000000" w:fill="FFFFFF"/>
            <w:vAlign w:val="center"/>
            <w:hideMark/>
          </w:tcPr>
          <w:p w:rsidR="001E6971" w:rsidRPr="001E6971" w:rsidRDefault="001E6971" w:rsidP="001E6971">
            <w:pPr>
              <w:jc w:val="center"/>
              <w:rPr>
                <w:color w:val="000000"/>
                <w:sz w:val="18"/>
                <w:szCs w:val="18"/>
              </w:rPr>
            </w:pPr>
            <w:r w:rsidRPr="001E6971">
              <w:rPr>
                <w:color w:val="000000"/>
                <w:sz w:val="18"/>
                <w:szCs w:val="18"/>
              </w:rPr>
              <w:t>Zdravotnická zařízení</w:t>
            </w:r>
          </w:p>
        </w:tc>
        <w:tc>
          <w:tcPr>
            <w:tcW w:w="353" w:type="pct"/>
            <w:tcBorders>
              <w:top w:val="nil"/>
              <w:left w:val="nil"/>
              <w:bottom w:val="single" w:sz="8" w:space="0" w:color="1F497D"/>
              <w:right w:val="single" w:sz="8" w:space="0" w:color="1F497D"/>
            </w:tcBorders>
            <w:shd w:val="clear" w:color="auto" w:fill="auto"/>
            <w:noWrap/>
            <w:vAlign w:val="center"/>
            <w:hideMark/>
          </w:tcPr>
          <w:p w:rsidR="001E6971" w:rsidRPr="001E6971" w:rsidRDefault="001E6971" w:rsidP="001E6971">
            <w:pPr>
              <w:jc w:val="center"/>
              <w:rPr>
                <w:color w:val="000000"/>
                <w:sz w:val="18"/>
                <w:szCs w:val="18"/>
              </w:rPr>
            </w:pPr>
            <w:r w:rsidRPr="001E6971">
              <w:rPr>
                <w:color w:val="000000"/>
                <w:sz w:val="18"/>
                <w:szCs w:val="18"/>
              </w:rPr>
              <w:t> </w:t>
            </w:r>
          </w:p>
        </w:tc>
        <w:tc>
          <w:tcPr>
            <w:tcW w:w="616" w:type="pct"/>
            <w:tcBorders>
              <w:top w:val="nil"/>
              <w:left w:val="nil"/>
              <w:bottom w:val="single" w:sz="8" w:space="0" w:color="1F497D"/>
              <w:right w:val="single" w:sz="8" w:space="0" w:color="1F497D"/>
            </w:tcBorders>
            <w:shd w:val="clear" w:color="auto" w:fill="auto"/>
            <w:noWrap/>
            <w:vAlign w:val="center"/>
            <w:hideMark/>
          </w:tcPr>
          <w:p w:rsidR="001E6971" w:rsidRPr="001E6971" w:rsidRDefault="001E6971" w:rsidP="001E6971">
            <w:pPr>
              <w:jc w:val="center"/>
              <w:rPr>
                <w:color w:val="000000"/>
                <w:sz w:val="18"/>
                <w:szCs w:val="18"/>
              </w:rPr>
            </w:pPr>
            <w:r w:rsidRPr="001E6971">
              <w:rPr>
                <w:color w:val="000000"/>
                <w:sz w:val="18"/>
                <w:szCs w:val="18"/>
              </w:rPr>
              <w:t> </w:t>
            </w:r>
          </w:p>
        </w:tc>
        <w:tc>
          <w:tcPr>
            <w:tcW w:w="462" w:type="pct"/>
            <w:tcBorders>
              <w:top w:val="nil"/>
              <w:left w:val="nil"/>
              <w:bottom w:val="single" w:sz="8" w:space="0" w:color="1F497D"/>
              <w:right w:val="single" w:sz="8" w:space="0" w:color="1F497D"/>
            </w:tcBorders>
            <w:shd w:val="clear" w:color="auto" w:fill="auto"/>
            <w:noWrap/>
            <w:vAlign w:val="center"/>
            <w:hideMark/>
          </w:tcPr>
          <w:p w:rsidR="001E6971" w:rsidRPr="001E6971" w:rsidRDefault="001E6971" w:rsidP="001E6971">
            <w:pPr>
              <w:jc w:val="center"/>
              <w:rPr>
                <w:color w:val="000000"/>
                <w:sz w:val="18"/>
                <w:szCs w:val="18"/>
              </w:rPr>
            </w:pPr>
            <w:r w:rsidRPr="001E6971">
              <w:rPr>
                <w:color w:val="000000"/>
                <w:sz w:val="18"/>
                <w:szCs w:val="18"/>
              </w:rPr>
              <w:t>1</w:t>
            </w:r>
          </w:p>
        </w:tc>
        <w:tc>
          <w:tcPr>
            <w:tcW w:w="638" w:type="pct"/>
            <w:tcBorders>
              <w:top w:val="nil"/>
              <w:left w:val="nil"/>
              <w:bottom w:val="single" w:sz="8" w:space="0" w:color="1F497D"/>
              <w:right w:val="single" w:sz="8" w:space="0" w:color="1F497D"/>
            </w:tcBorders>
            <w:shd w:val="clear" w:color="auto" w:fill="auto"/>
            <w:noWrap/>
            <w:vAlign w:val="center"/>
            <w:hideMark/>
          </w:tcPr>
          <w:p w:rsidR="001E6971" w:rsidRPr="001E6971" w:rsidRDefault="001E6971" w:rsidP="001E6971">
            <w:pPr>
              <w:jc w:val="center"/>
              <w:rPr>
                <w:color w:val="000000"/>
                <w:sz w:val="18"/>
                <w:szCs w:val="18"/>
              </w:rPr>
            </w:pPr>
            <w:r w:rsidRPr="001E6971">
              <w:rPr>
                <w:color w:val="000000"/>
                <w:sz w:val="18"/>
                <w:szCs w:val="18"/>
              </w:rPr>
              <w:t>29 750 000</w:t>
            </w:r>
          </w:p>
        </w:tc>
        <w:tc>
          <w:tcPr>
            <w:tcW w:w="440" w:type="pct"/>
            <w:tcBorders>
              <w:top w:val="nil"/>
              <w:left w:val="nil"/>
              <w:bottom w:val="single" w:sz="8" w:space="0" w:color="1F497D"/>
              <w:right w:val="single" w:sz="8" w:space="0" w:color="1F497D"/>
            </w:tcBorders>
            <w:shd w:val="clear" w:color="000000" w:fill="FFFFFF"/>
            <w:vAlign w:val="center"/>
            <w:hideMark/>
          </w:tcPr>
          <w:p w:rsidR="001E6971" w:rsidRPr="001E6971" w:rsidRDefault="001E6971" w:rsidP="001E6971">
            <w:pPr>
              <w:jc w:val="center"/>
              <w:rPr>
                <w:color w:val="000000"/>
                <w:sz w:val="18"/>
                <w:szCs w:val="18"/>
              </w:rPr>
            </w:pPr>
            <w:r w:rsidRPr="001E6971">
              <w:rPr>
                <w:color w:val="000000"/>
                <w:sz w:val="18"/>
                <w:szCs w:val="18"/>
              </w:rPr>
              <w:t>2</w:t>
            </w:r>
          </w:p>
        </w:tc>
        <w:tc>
          <w:tcPr>
            <w:tcW w:w="708" w:type="pct"/>
            <w:tcBorders>
              <w:top w:val="nil"/>
              <w:left w:val="nil"/>
              <w:bottom w:val="single" w:sz="8" w:space="0" w:color="1F497D"/>
              <w:right w:val="single" w:sz="8" w:space="0" w:color="1F497D"/>
            </w:tcBorders>
            <w:shd w:val="clear" w:color="auto" w:fill="auto"/>
            <w:noWrap/>
            <w:vAlign w:val="center"/>
            <w:hideMark/>
          </w:tcPr>
          <w:p w:rsidR="001E6971" w:rsidRPr="001E6971" w:rsidRDefault="001E6971" w:rsidP="001E6971">
            <w:pPr>
              <w:jc w:val="center"/>
              <w:rPr>
                <w:color w:val="000000"/>
                <w:sz w:val="18"/>
                <w:szCs w:val="18"/>
              </w:rPr>
            </w:pPr>
            <w:r w:rsidRPr="001E6971">
              <w:rPr>
                <w:color w:val="000000"/>
                <w:sz w:val="18"/>
                <w:szCs w:val="18"/>
              </w:rPr>
              <w:t>43 922 995</w:t>
            </w:r>
          </w:p>
        </w:tc>
        <w:tc>
          <w:tcPr>
            <w:tcW w:w="461" w:type="pct"/>
            <w:tcBorders>
              <w:top w:val="nil"/>
              <w:left w:val="nil"/>
              <w:bottom w:val="single" w:sz="8" w:space="0" w:color="1F497D"/>
              <w:right w:val="single" w:sz="8" w:space="0" w:color="1F497D"/>
            </w:tcBorders>
            <w:shd w:val="clear" w:color="000000" w:fill="FFFFFF"/>
            <w:noWrap/>
            <w:vAlign w:val="center"/>
            <w:hideMark/>
          </w:tcPr>
          <w:p w:rsidR="001E6971" w:rsidRPr="001E6971" w:rsidRDefault="001E6971" w:rsidP="001E6971">
            <w:pPr>
              <w:jc w:val="center"/>
              <w:rPr>
                <w:color w:val="000000"/>
                <w:sz w:val="18"/>
                <w:szCs w:val="18"/>
              </w:rPr>
            </w:pPr>
            <w:r w:rsidRPr="001E6971">
              <w:rPr>
                <w:color w:val="000000"/>
                <w:sz w:val="18"/>
                <w:szCs w:val="18"/>
              </w:rPr>
              <w:t>3</w:t>
            </w:r>
          </w:p>
        </w:tc>
        <w:tc>
          <w:tcPr>
            <w:tcW w:w="638" w:type="pct"/>
            <w:tcBorders>
              <w:top w:val="nil"/>
              <w:left w:val="nil"/>
              <w:bottom w:val="single" w:sz="8" w:space="0" w:color="1F497D"/>
              <w:right w:val="double" w:sz="6" w:space="0" w:color="1F497D"/>
            </w:tcBorders>
            <w:shd w:val="clear" w:color="000000" w:fill="FFFFFF"/>
            <w:noWrap/>
            <w:vAlign w:val="center"/>
            <w:hideMark/>
          </w:tcPr>
          <w:p w:rsidR="001E6971" w:rsidRPr="001E6971" w:rsidRDefault="001E6971" w:rsidP="001E6971">
            <w:pPr>
              <w:jc w:val="center"/>
              <w:rPr>
                <w:color w:val="000000"/>
                <w:sz w:val="18"/>
                <w:szCs w:val="18"/>
              </w:rPr>
            </w:pPr>
            <w:r w:rsidRPr="001E6971">
              <w:rPr>
                <w:color w:val="000000"/>
                <w:sz w:val="18"/>
                <w:szCs w:val="18"/>
              </w:rPr>
              <w:t>73 672 995</w:t>
            </w:r>
          </w:p>
        </w:tc>
      </w:tr>
      <w:tr w:rsidR="001E6971" w:rsidRPr="001E6971" w:rsidTr="009300DE">
        <w:trPr>
          <w:trHeight w:val="315"/>
        </w:trPr>
        <w:tc>
          <w:tcPr>
            <w:tcW w:w="685" w:type="pct"/>
            <w:tcBorders>
              <w:top w:val="nil"/>
              <w:left w:val="double" w:sz="6" w:space="0" w:color="1F497D"/>
              <w:bottom w:val="single" w:sz="8" w:space="0" w:color="1F497D"/>
              <w:right w:val="single" w:sz="8" w:space="0" w:color="1F497D"/>
            </w:tcBorders>
            <w:shd w:val="clear" w:color="000000" w:fill="FFFFFF"/>
            <w:noWrap/>
            <w:vAlign w:val="center"/>
            <w:hideMark/>
          </w:tcPr>
          <w:p w:rsidR="001E6971" w:rsidRPr="001E6971" w:rsidRDefault="001E6971" w:rsidP="001E6971">
            <w:pPr>
              <w:jc w:val="center"/>
              <w:rPr>
                <w:color w:val="000000"/>
                <w:sz w:val="18"/>
                <w:szCs w:val="18"/>
              </w:rPr>
            </w:pPr>
            <w:r w:rsidRPr="001E6971">
              <w:rPr>
                <w:color w:val="000000"/>
                <w:sz w:val="18"/>
                <w:szCs w:val="18"/>
              </w:rPr>
              <w:t>Kraje, obce</w:t>
            </w:r>
          </w:p>
        </w:tc>
        <w:tc>
          <w:tcPr>
            <w:tcW w:w="353" w:type="pct"/>
            <w:tcBorders>
              <w:top w:val="nil"/>
              <w:left w:val="nil"/>
              <w:bottom w:val="single" w:sz="8" w:space="0" w:color="1F497D"/>
              <w:right w:val="single" w:sz="8" w:space="0" w:color="1F497D"/>
            </w:tcBorders>
            <w:shd w:val="clear" w:color="auto" w:fill="auto"/>
            <w:noWrap/>
            <w:vAlign w:val="center"/>
            <w:hideMark/>
          </w:tcPr>
          <w:p w:rsidR="001E6971" w:rsidRPr="001E6971" w:rsidRDefault="001E6971" w:rsidP="001E6971">
            <w:pPr>
              <w:jc w:val="center"/>
              <w:rPr>
                <w:color w:val="000000"/>
                <w:sz w:val="18"/>
                <w:szCs w:val="18"/>
              </w:rPr>
            </w:pPr>
            <w:r w:rsidRPr="001E6971">
              <w:rPr>
                <w:color w:val="000000"/>
                <w:sz w:val="18"/>
                <w:szCs w:val="18"/>
              </w:rPr>
              <w:t> </w:t>
            </w:r>
          </w:p>
        </w:tc>
        <w:tc>
          <w:tcPr>
            <w:tcW w:w="616" w:type="pct"/>
            <w:tcBorders>
              <w:top w:val="nil"/>
              <w:left w:val="nil"/>
              <w:bottom w:val="single" w:sz="8" w:space="0" w:color="1F497D"/>
              <w:right w:val="single" w:sz="8" w:space="0" w:color="1F497D"/>
            </w:tcBorders>
            <w:shd w:val="clear" w:color="auto" w:fill="auto"/>
            <w:noWrap/>
            <w:vAlign w:val="center"/>
            <w:hideMark/>
          </w:tcPr>
          <w:p w:rsidR="001E6971" w:rsidRPr="001E6971" w:rsidRDefault="001E6971" w:rsidP="001E6971">
            <w:pPr>
              <w:jc w:val="center"/>
              <w:rPr>
                <w:color w:val="000000"/>
                <w:sz w:val="18"/>
                <w:szCs w:val="18"/>
              </w:rPr>
            </w:pPr>
            <w:r w:rsidRPr="001E6971">
              <w:rPr>
                <w:color w:val="000000"/>
                <w:sz w:val="18"/>
                <w:szCs w:val="18"/>
              </w:rPr>
              <w:t> </w:t>
            </w:r>
          </w:p>
        </w:tc>
        <w:tc>
          <w:tcPr>
            <w:tcW w:w="462" w:type="pct"/>
            <w:tcBorders>
              <w:top w:val="nil"/>
              <w:left w:val="nil"/>
              <w:bottom w:val="single" w:sz="8" w:space="0" w:color="1F497D"/>
              <w:right w:val="single" w:sz="8" w:space="0" w:color="1F497D"/>
            </w:tcBorders>
            <w:shd w:val="clear" w:color="auto" w:fill="auto"/>
            <w:noWrap/>
            <w:vAlign w:val="center"/>
            <w:hideMark/>
          </w:tcPr>
          <w:p w:rsidR="001E6971" w:rsidRPr="001E6971" w:rsidRDefault="001E6971" w:rsidP="001E6971">
            <w:pPr>
              <w:jc w:val="center"/>
              <w:rPr>
                <w:color w:val="000000"/>
                <w:sz w:val="18"/>
                <w:szCs w:val="18"/>
              </w:rPr>
            </w:pPr>
            <w:r w:rsidRPr="001E6971">
              <w:rPr>
                <w:color w:val="000000"/>
                <w:sz w:val="18"/>
                <w:szCs w:val="18"/>
              </w:rPr>
              <w:t>31</w:t>
            </w:r>
          </w:p>
        </w:tc>
        <w:tc>
          <w:tcPr>
            <w:tcW w:w="638" w:type="pct"/>
            <w:tcBorders>
              <w:top w:val="nil"/>
              <w:left w:val="nil"/>
              <w:bottom w:val="single" w:sz="8" w:space="0" w:color="1F497D"/>
              <w:right w:val="single" w:sz="8" w:space="0" w:color="1F497D"/>
            </w:tcBorders>
            <w:shd w:val="clear" w:color="auto" w:fill="auto"/>
            <w:noWrap/>
            <w:vAlign w:val="center"/>
            <w:hideMark/>
          </w:tcPr>
          <w:p w:rsidR="001E6971" w:rsidRPr="001E6971" w:rsidRDefault="001E6971" w:rsidP="001E6971">
            <w:pPr>
              <w:jc w:val="center"/>
              <w:rPr>
                <w:color w:val="000000"/>
                <w:sz w:val="18"/>
                <w:szCs w:val="18"/>
              </w:rPr>
            </w:pPr>
            <w:r w:rsidRPr="001E6971">
              <w:rPr>
                <w:color w:val="000000"/>
                <w:sz w:val="18"/>
                <w:szCs w:val="18"/>
              </w:rPr>
              <w:t>829 273 814</w:t>
            </w:r>
          </w:p>
        </w:tc>
        <w:tc>
          <w:tcPr>
            <w:tcW w:w="440" w:type="pct"/>
            <w:tcBorders>
              <w:top w:val="nil"/>
              <w:left w:val="nil"/>
              <w:bottom w:val="single" w:sz="8" w:space="0" w:color="1F497D"/>
              <w:right w:val="single" w:sz="8" w:space="0" w:color="1F497D"/>
            </w:tcBorders>
            <w:shd w:val="clear" w:color="000000" w:fill="FFFFFF"/>
            <w:vAlign w:val="center"/>
            <w:hideMark/>
          </w:tcPr>
          <w:p w:rsidR="001E6971" w:rsidRPr="001E6971" w:rsidRDefault="001E6971" w:rsidP="001E6971">
            <w:pPr>
              <w:jc w:val="center"/>
              <w:rPr>
                <w:color w:val="000000"/>
                <w:sz w:val="18"/>
                <w:szCs w:val="18"/>
              </w:rPr>
            </w:pPr>
            <w:r w:rsidRPr="001E6971">
              <w:rPr>
                <w:color w:val="000000"/>
                <w:sz w:val="18"/>
                <w:szCs w:val="18"/>
              </w:rPr>
              <w:t>71</w:t>
            </w:r>
          </w:p>
        </w:tc>
        <w:tc>
          <w:tcPr>
            <w:tcW w:w="708" w:type="pct"/>
            <w:tcBorders>
              <w:top w:val="nil"/>
              <w:left w:val="nil"/>
              <w:bottom w:val="single" w:sz="8" w:space="0" w:color="1F497D"/>
              <w:right w:val="single" w:sz="8" w:space="0" w:color="1F497D"/>
            </w:tcBorders>
            <w:shd w:val="clear" w:color="auto" w:fill="auto"/>
            <w:noWrap/>
            <w:vAlign w:val="center"/>
            <w:hideMark/>
          </w:tcPr>
          <w:p w:rsidR="001E6971" w:rsidRPr="001E6971" w:rsidRDefault="001E6971" w:rsidP="001E6971">
            <w:pPr>
              <w:jc w:val="center"/>
              <w:rPr>
                <w:color w:val="000000"/>
                <w:sz w:val="18"/>
                <w:szCs w:val="18"/>
              </w:rPr>
            </w:pPr>
            <w:r w:rsidRPr="001E6971">
              <w:rPr>
                <w:color w:val="000000"/>
                <w:sz w:val="18"/>
                <w:szCs w:val="18"/>
              </w:rPr>
              <w:t>834 509 817</w:t>
            </w:r>
          </w:p>
        </w:tc>
        <w:tc>
          <w:tcPr>
            <w:tcW w:w="461" w:type="pct"/>
            <w:tcBorders>
              <w:top w:val="nil"/>
              <w:left w:val="nil"/>
              <w:bottom w:val="single" w:sz="8" w:space="0" w:color="1F497D"/>
              <w:right w:val="single" w:sz="8" w:space="0" w:color="1F497D"/>
            </w:tcBorders>
            <w:shd w:val="clear" w:color="000000" w:fill="FFFFFF"/>
            <w:noWrap/>
            <w:vAlign w:val="center"/>
            <w:hideMark/>
          </w:tcPr>
          <w:p w:rsidR="001E6971" w:rsidRPr="001E6971" w:rsidRDefault="001E6971" w:rsidP="001E6971">
            <w:pPr>
              <w:jc w:val="center"/>
              <w:rPr>
                <w:color w:val="000000"/>
                <w:sz w:val="18"/>
                <w:szCs w:val="18"/>
              </w:rPr>
            </w:pPr>
            <w:r w:rsidRPr="001E6971">
              <w:rPr>
                <w:color w:val="000000"/>
                <w:sz w:val="18"/>
                <w:szCs w:val="18"/>
              </w:rPr>
              <w:t>102</w:t>
            </w:r>
          </w:p>
        </w:tc>
        <w:tc>
          <w:tcPr>
            <w:tcW w:w="638" w:type="pct"/>
            <w:tcBorders>
              <w:top w:val="nil"/>
              <w:left w:val="nil"/>
              <w:bottom w:val="single" w:sz="8" w:space="0" w:color="1F497D"/>
              <w:right w:val="double" w:sz="6" w:space="0" w:color="1F497D"/>
            </w:tcBorders>
            <w:shd w:val="clear" w:color="000000" w:fill="FFFFFF"/>
            <w:noWrap/>
            <w:vAlign w:val="center"/>
            <w:hideMark/>
          </w:tcPr>
          <w:p w:rsidR="001E6971" w:rsidRPr="001E6971" w:rsidRDefault="001E6971" w:rsidP="001E6971">
            <w:pPr>
              <w:jc w:val="center"/>
              <w:rPr>
                <w:color w:val="000000"/>
                <w:sz w:val="18"/>
                <w:szCs w:val="18"/>
              </w:rPr>
            </w:pPr>
            <w:r w:rsidRPr="001E6971">
              <w:rPr>
                <w:color w:val="000000"/>
                <w:sz w:val="18"/>
                <w:szCs w:val="18"/>
              </w:rPr>
              <w:t>1 663 783 631</w:t>
            </w:r>
          </w:p>
        </w:tc>
      </w:tr>
      <w:tr w:rsidR="001E6971" w:rsidRPr="001E6971" w:rsidTr="009300DE">
        <w:trPr>
          <w:trHeight w:val="315"/>
        </w:trPr>
        <w:tc>
          <w:tcPr>
            <w:tcW w:w="685" w:type="pct"/>
            <w:tcBorders>
              <w:top w:val="nil"/>
              <w:left w:val="double" w:sz="6" w:space="0" w:color="1F497D"/>
              <w:bottom w:val="single" w:sz="8" w:space="0" w:color="1F497D"/>
              <w:right w:val="single" w:sz="8" w:space="0" w:color="1F497D"/>
            </w:tcBorders>
            <w:shd w:val="clear" w:color="000000" w:fill="FFFFFF"/>
            <w:noWrap/>
            <w:vAlign w:val="center"/>
            <w:hideMark/>
          </w:tcPr>
          <w:p w:rsidR="001E6971" w:rsidRPr="001E6971" w:rsidRDefault="001E6971" w:rsidP="001E6971">
            <w:pPr>
              <w:jc w:val="center"/>
              <w:rPr>
                <w:color w:val="000000"/>
                <w:sz w:val="18"/>
                <w:szCs w:val="18"/>
              </w:rPr>
            </w:pPr>
            <w:r w:rsidRPr="001E6971">
              <w:rPr>
                <w:color w:val="000000"/>
                <w:sz w:val="18"/>
                <w:szCs w:val="18"/>
              </w:rPr>
              <w:t>GŘC</w:t>
            </w:r>
          </w:p>
        </w:tc>
        <w:tc>
          <w:tcPr>
            <w:tcW w:w="353" w:type="pct"/>
            <w:tcBorders>
              <w:top w:val="nil"/>
              <w:left w:val="nil"/>
              <w:bottom w:val="single" w:sz="8" w:space="0" w:color="1F497D"/>
              <w:right w:val="single" w:sz="8" w:space="0" w:color="1F497D"/>
            </w:tcBorders>
            <w:shd w:val="clear" w:color="auto" w:fill="auto"/>
            <w:noWrap/>
            <w:vAlign w:val="center"/>
            <w:hideMark/>
          </w:tcPr>
          <w:p w:rsidR="001E6971" w:rsidRPr="001E6971" w:rsidRDefault="001E6971" w:rsidP="001E6971">
            <w:pPr>
              <w:jc w:val="center"/>
              <w:rPr>
                <w:color w:val="000000"/>
                <w:sz w:val="18"/>
                <w:szCs w:val="18"/>
              </w:rPr>
            </w:pPr>
            <w:r w:rsidRPr="001E6971">
              <w:rPr>
                <w:color w:val="000000"/>
                <w:sz w:val="18"/>
                <w:szCs w:val="18"/>
              </w:rPr>
              <w:t> </w:t>
            </w:r>
          </w:p>
        </w:tc>
        <w:tc>
          <w:tcPr>
            <w:tcW w:w="616" w:type="pct"/>
            <w:tcBorders>
              <w:top w:val="nil"/>
              <w:left w:val="nil"/>
              <w:bottom w:val="single" w:sz="8" w:space="0" w:color="1F497D"/>
              <w:right w:val="single" w:sz="8" w:space="0" w:color="1F497D"/>
            </w:tcBorders>
            <w:shd w:val="clear" w:color="auto" w:fill="auto"/>
            <w:noWrap/>
            <w:vAlign w:val="center"/>
            <w:hideMark/>
          </w:tcPr>
          <w:p w:rsidR="001E6971" w:rsidRPr="001E6971" w:rsidRDefault="001E6971" w:rsidP="001E6971">
            <w:pPr>
              <w:jc w:val="center"/>
              <w:rPr>
                <w:color w:val="000000"/>
                <w:sz w:val="18"/>
                <w:szCs w:val="18"/>
              </w:rPr>
            </w:pPr>
            <w:r w:rsidRPr="001E6971">
              <w:rPr>
                <w:color w:val="000000"/>
                <w:sz w:val="18"/>
                <w:szCs w:val="18"/>
              </w:rPr>
              <w:t> </w:t>
            </w:r>
          </w:p>
        </w:tc>
        <w:tc>
          <w:tcPr>
            <w:tcW w:w="462" w:type="pct"/>
            <w:tcBorders>
              <w:top w:val="nil"/>
              <w:left w:val="nil"/>
              <w:bottom w:val="single" w:sz="8" w:space="0" w:color="1F497D"/>
              <w:right w:val="single" w:sz="8" w:space="0" w:color="1F497D"/>
            </w:tcBorders>
            <w:shd w:val="clear" w:color="auto" w:fill="auto"/>
            <w:noWrap/>
            <w:vAlign w:val="center"/>
            <w:hideMark/>
          </w:tcPr>
          <w:p w:rsidR="001E6971" w:rsidRPr="001E6971" w:rsidRDefault="001E6971" w:rsidP="001E6971">
            <w:pPr>
              <w:jc w:val="center"/>
              <w:rPr>
                <w:color w:val="000000"/>
                <w:sz w:val="18"/>
                <w:szCs w:val="18"/>
              </w:rPr>
            </w:pPr>
            <w:r w:rsidRPr="001E6971">
              <w:rPr>
                <w:color w:val="000000"/>
                <w:sz w:val="18"/>
                <w:szCs w:val="18"/>
              </w:rPr>
              <w:t> </w:t>
            </w:r>
          </w:p>
        </w:tc>
        <w:tc>
          <w:tcPr>
            <w:tcW w:w="638" w:type="pct"/>
            <w:tcBorders>
              <w:top w:val="nil"/>
              <w:left w:val="nil"/>
              <w:bottom w:val="single" w:sz="8" w:space="0" w:color="1F497D"/>
              <w:right w:val="single" w:sz="8" w:space="0" w:color="1F497D"/>
            </w:tcBorders>
            <w:shd w:val="clear" w:color="auto" w:fill="auto"/>
            <w:noWrap/>
            <w:vAlign w:val="center"/>
            <w:hideMark/>
          </w:tcPr>
          <w:p w:rsidR="001E6971" w:rsidRPr="001E6971" w:rsidRDefault="001E6971" w:rsidP="001E6971">
            <w:pPr>
              <w:jc w:val="center"/>
              <w:rPr>
                <w:color w:val="000000"/>
                <w:sz w:val="18"/>
                <w:szCs w:val="18"/>
              </w:rPr>
            </w:pPr>
            <w:r w:rsidRPr="001E6971">
              <w:rPr>
                <w:color w:val="000000"/>
                <w:sz w:val="18"/>
                <w:szCs w:val="18"/>
              </w:rPr>
              <w:t> </w:t>
            </w:r>
          </w:p>
        </w:tc>
        <w:tc>
          <w:tcPr>
            <w:tcW w:w="440" w:type="pct"/>
            <w:tcBorders>
              <w:top w:val="nil"/>
              <w:left w:val="nil"/>
              <w:bottom w:val="single" w:sz="8" w:space="0" w:color="1F497D"/>
              <w:right w:val="single" w:sz="8" w:space="0" w:color="1F497D"/>
            </w:tcBorders>
            <w:shd w:val="clear" w:color="000000" w:fill="FFFFFF"/>
            <w:vAlign w:val="center"/>
            <w:hideMark/>
          </w:tcPr>
          <w:p w:rsidR="001E6971" w:rsidRPr="001E6971" w:rsidRDefault="001E6971" w:rsidP="001E6971">
            <w:pPr>
              <w:jc w:val="center"/>
              <w:rPr>
                <w:color w:val="000000"/>
                <w:sz w:val="18"/>
                <w:szCs w:val="18"/>
              </w:rPr>
            </w:pPr>
            <w:r w:rsidRPr="001E6971">
              <w:rPr>
                <w:color w:val="000000"/>
                <w:sz w:val="18"/>
                <w:szCs w:val="18"/>
              </w:rPr>
              <w:t>1</w:t>
            </w:r>
          </w:p>
        </w:tc>
        <w:tc>
          <w:tcPr>
            <w:tcW w:w="708" w:type="pct"/>
            <w:tcBorders>
              <w:top w:val="nil"/>
              <w:left w:val="nil"/>
              <w:bottom w:val="single" w:sz="8" w:space="0" w:color="1F497D"/>
              <w:right w:val="single" w:sz="8" w:space="0" w:color="1F497D"/>
            </w:tcBorders>
            <w:shd w:val="clear" w:color="auto" w:fill="auto"/>
            <w:noWrap/>
            <w:vAlign w:val="center"/>
            <w:hideMark/>
          </w:tcPr>
          <w:p w:rsidR="001E6971" w:rsidRPr="001E6971" w:rsidRDefault="001E6971" w:rsidP="001E6971">
            <w:pPr>
              <w:jc w:val="center"/>
              <w:rPr>
                <w:color w:val="000000"/>
                <w:sz w:val="18"/>
                <w:szCs w:val="18"/>
              </w:rPr>
            </w:pPr>
            <w:r w:rsidRPr="001E6971">
              <w:rPr>
                <w:color w:val="000000"/>
                <w:sz w:val="18"/>
                <w:szCs w:val="18"/>
              </w:rPr>
              <w:t>93 020 764</w:t>
            </w:r>
          </w:p>
        </w:tc>
        <w:tc>
          <w:tcPr>
            <w:tcW w:w="461" w:type="pct"/>
            <w:tcBorders>
              <w:top w:val="nil"/>
              <w:left w:val="nil"/>
              <w:bottom w:val="single" w:sz="8" w:space="0" w:color="1F497D"/>
              <w:right w:val="single" w:sz="8" w:space="0" w:color="1F497D"/>
            </w:tcBorders>
            <w:shd w:val="clear" w:color="000000" w:fill="FFFFFF"/>
            <w:noWrap/>
            <w:vAlign w:val="center"/>
            <w:hideMark/>
          </w:tcPr>
          <w:p w:rsidR="001E6971" w:rsidRPr="001E6971" w:rsidRDefault="001E6971" w:rsidP="001E6971">
            <w:pPr>
              <w:jc w:val="center"/>
              <w:rPr>
                <w:color w:val="000000"/>
                <w:sz w:val="18"/>
                <w:szCs w:val="18"/>
              </w:rPr>
            </w:pPr>
            <w:r w:rsidRPr="001E6971">
              <w:rPr>
                <w:color w:val="000000"/>
                <w:sz w:val="18"/>
                <w:szCs w:val="18"/>
              </w:rPr>
              <w:t>1</w:t>
            </w:r>
          </w:p>
        </w:tc>
        <w:tc>
          <w:tcPr>
            <w:tcW w:w="638" w:type="pct"/>
            <w:tcBorders>
              <w:top w:val="nil"/>
              <w:left w:val="nil"/>
              <w:bottom w:val="single" w:sz="8" w:space="0" w:color="1F497D"/>
              <w:right w:val="double" w:sz="6" w:space="0" w:color="1F497D"/>
            </w:tcBorders>
            <w:shd w:val="clear" w:color="000000" w:fill="FFFFFF"/>
            <w:noWrap/>
            <w:vAlign w:val="center"/>
            <w:hideMark/>
          </w:tcPr>
          <w:p w:rsidR="001E6971" w:rsidRPr="001E6971" w:rsidRDefault="001E6971" w:rsidP="001E6971">
            <w:pPr>
              <w:jc w:val="center"/>
              <w:rPr>
                <w:color w:val="000000"/>
                <w:sz w:val="18"/>
                <w:szCs w:val="18"/>
              </w:rPr>
            </w:pPr>
            <w:r w:rsidRPr="001E6971">
              <w:rPr>
                <w:color w:val="000000"/>
                <w:sz w:val="18"/>
                <w:szCs w:val="18"/>
              </w:rPr>
              <w:t>93 020 764</w:t>
            </w:r>
          </w:p>
        </w:tc>
      </w:tr>
      <w:tr w:rsidR="001E6971" w:rsidRPr="001E6971" w:rsidTr="009300DE">
        <w:trPr>
          <w:trHeight w:val="315"/>
        </w:trPr>
        <w:tc>
          <w:tcPr>
            <w:tcW w:w="685" w:type="pct"/>
            <w:tcBorders>
              <w:top w:val="nil"/>
              <w:left w:val="double" w:sz="6" w:space="0" w:color="1F497D"/>
              <w:bottom w:val="single" w:sz="8" w:space="0" w:color="1F497D"/>
              <w:right w:val="single" w:sz="8" w:space="0" w:color="1F497D"/>
            </w:tcBorders>
            <w:shd w:val="clear" w:color="000000" w:fill="FFFFFF"/>
            <w:noWrap/>
            <w:vAlign w:val="center"/>
            <w:hideMark/>
          </w:tcPr>
          <w:p w:rsidR="001E6971" w:rsidRPr="001E6971" w:rsidRDefault="001E6971" w:rsidP="001E6971">
            <w:pPr>
              <w:jc w:val="center"/>
              <w:rPr>
                <w:color w:val="000000"/>
                <w:sz w:val="18"/>
                <w:szCs w:val="18"/>
              </w:rPr>
            </w:pPr>
            <w:r w:rsidRPr="001E6971">
              <w:rPr>
                <w:color w:val="000000"/>
                <w:sz w:val="18"/>
                <w:szCs w:val="18"/>
              </w:rPr>
              <w:t>Ostatní</w:t>
            </w:r>
          </w:p>
        </w:tc>
        <w:tc>
          <w:tcPr>
            <w:tcW w:w="353" w:type="pct"/>
            <w:tcBorders>
              <w:top w:val="nil"/>
              <w:left w:val="nil"/>
              <w:bottom w:val="single" w:sz="8" w:space="0" w:color="1F497D"/>
              <w:right w:val="single" w:sz="8" w:space="0" w:color="1F497D"/>
            </w:tcBorders>
            <w:shd w:val="clear" w:color="auto" w:fill="auto"/>
            <w:noWrap/>
            <w:vAlign w:val="center"/>
            <w:hideMark/>
          </w:tcPr>
          <w:p w:rsidR="001E6971" w:rsidRPr="001E6971" w:rsidRDefault="001E6971" w:rsidP="001E6971">
            <w:pPr>
              <w:jc w:val="center"/>
              <w:rPr>
                <w:color w:val="000000"/>
                <w:sz w:val="18"/>
                <w:szCs w:val="18"/>
              </w:rPr>
            </w:pPr>
            <w:r w:rsidRPr="001E6971">
              <w:rPr>
                <w:color w:val="000000"/>
                <w:sz w:val="18"/>
                <w:szCs w:val="18"/>
              </w:rPr>
              <w:t> </w:t>
            </w:r>
          </w:p>
        </w:tc>
        <w:tc>
          <w:tcPr>
            <w:tcW w:w="616" w:type="pct"/>
            <w:tcBorders>
              <w:top w:val="nil"/>
              <w:left w:val="nil"/>
              <w:bottom w:val="single" w:sz="8" w:space="0" w:color="1F497D"/>
              <w:right w:val="single" w:sz="8" w:space="0" w:color="1F497D"/>
            </w:tcBorders>
            <w:shd w:val="clear" w:color="auto" w:fill="auto"/>
            <w:noWrap/>
            <w:vAlign w:val="center"/>
            <w:hideMark/>
          </w:tcPr>
          <w:p w:rsidR="001E6971" w:rsidRPr="001E6971" w:rsidRDefault="001E6971" w:rsidP="001E6971">
            <w:pPr>
              <w:jc w:val="center"/>
              <w:rPr>
                <w:color w:val="000000"/>
                <w:sz w:val="18"/>
                <w:szCs w:val="18"/>
              </w:rPr>
            </w:pPr>
            <w:r w:rsidRPr="001E6971">
              <w:rPr>
                <w:color w:val="000000"/>
                <w:sz w:val="18"/>
                <w:szCs w:val="18"/>
              </w:rPr>
              <w:t> </w:t>
            </w:r>
          </w:p>
        </w:tc>
        <w:tc>
          <w:tcPr>
            <w:tcW w:w="462" w:type="pct"/>
            <w:tcBorders>
              <w:top w:val="nil"/>
              <w:left w:val="nil"/>
              <w:bottom w:val="single" w:sz="8" w:space="0" w:color="1F497D"/>
              <w:right w:val="single" w:sz="8" w:space="0" w:color="1F497D"/>
            </w:tcBorders>
            <w:shd w:val="clear" w:color="auto" w:fill="auto"/>
            <w:noWrap/>
            <w:vAlign w:val="center"/>
            <w:hideMark/>
          </w:tcPr>
          <w:p w:rsidR="001E6971" w:rsidRPr="001E6971" w:rsidRDefault="001E6971" w:rsidP="001E6971">
            <w:pPr>
              <w:jc w:val="center"/>
              <w:rPr>
                <w:color w:val="000000"/>
                <w:sz w:val="18"/>
                <w:szCs w:val="18"/>
              </w:rPr>
            </w:pPr>
            <w:r w:rsidRPr="001E6971">
              <w:rPr>
                <w:color w:val="000000"/>
                <w:sz w:val="18"/>
                <w:szCs w:val="18"/>
              </w:rPr>
              <w:t> </w:t>
            </w:r>
          </w:p>
        </w:tc>
        <w:tc>
          <w:tcPr>
            <w:tcW w:w="638" w:type="pct"/>
            <w:tcBorders>
              <w:top w:val="nil"/>
              <w:left w:val="nil"/>
              <w:bottom w:val="single" w:sz="8" w:space="0" w:color="1F497D"/>
              <w:right w:val="single" w:sz="8" w:space="0" w:color="1F497D"/>
            </w:tcBorders>
            <w:shd w:val="clear" w:color="auto" w:fill="auto"/>
            <w:noWrap/>
            <w:vAlign w:val="center"/>
            <w:hideMark/>
          </w:tcPr>
          <w:p w:rsidR="001E6971" w:rsidRPr="001E6971" w:rsidRDefault="001E6971" w:rsidP="001E6971">
            <w:pPr>
              <w:jc w:val="center"/>
              <w:rPr>
                <w:color w:val="000000"/>
                <w:sz w:val="18"/>
                <w:szCs w:val="18"/>
              </w:rPr>
            </w:pPr>
            <w:r w:rsidRPr="001E6971">
              <w:rPr>
                <w:color w:val="000000"/>
                <w:sz w:val="18"/>
                <w:szCs w:val="18"/>
              </w:rPr>
              <w:t> </w:t>
            </w:r>
          </w:p>
        </w:tc>
        <w:tc>
          <w:tcPr>
            <w:tcW w:w="440" w:type="pct"/>
            <w:tcBorders>
              <w:top w:val="nil"/>
              <w:left w:val="nil"/>
              <w:bottom w:val="single" w:sz="8" w:space="0" w:color="1F497D"/>
              <w:right w:val="single" w:sz="8" w:space="0" w:color="1F497D"/>
            </w:tcBorders>
            <w:shd w:val="clear" w:color="000000" w:fill="FFFFFF"/>
            <w:vAlign w:val="center"/>
            <w:hideMark/>
          </w:tcPr>
          <w:p w:rsidR="001E6971" w:rsidRPr="001E6971" w:rsidRDefault="001E6971" w:rsidP="001E6971">
            <w:pPr>
              <w:jc w:val="center"/>
              <w:rPr>
                <w:color w:val="000000"/>
                <w:sz w:val="18"/>
                <w:szCs w:val="18"/>
              </w:rPr>
            </w:pPr>
            <w:r w:rsidRPr="001E6971">
              <w:rPr>
                <w:color w:val="000000"/>
                <w:sz w:val="18"/>
                <w:szCs w:val="18"/>
              </w:rPr>
              <w:t>1</w:t>
            </w:r>
          </w:p>
        </w:tc>
        <w:tc>
          <w:tcPr>
            <w:tcW w:w="708" w:type="pct"/>
            <w:tcBorders>
              <w:top w:val="nil"/>
              <w:left w:val="nil"/>
              <w:bottom w:val="single" w:sz="8" w:space="0" w:color="1F497D"/>
              <w:right w:val="single" w:sz="8" w:space="0" w:color="1F497D"/>
            </w:tcBorders>
            <w:shd w:val="clear" w:color="auto" w:fill="auto"/>
            <w:noWrap/>
            <w:vAlign w:val="center"/>
            <w:hideMark/>
          </w:tcPr>
          <w:p w:rsidR="001E6971" w:rsidRPr="001E6971" w:rsidRDefault="001E6971" w:rsidP="001E6971">
            <w:pPr>
              <w:jc w:val="center"/>
              <w:rPr>
                <w:color w:val="000000"/>
                <w:sz w:val="18"/>
                <w:szCs w:val="18"/>
              </w:rPr>
            </w:pPr>
            <w:r w:rsidRPr="001E6971">
              <w:rPr>
                <w:color w:val="000000"/>
                <w:sz w:val="18"/>
                <w:szCs w:val="18"/>
              </w:rPr>
              <w:t>22 589 213</w:t>
            </w:r>
          </w:p>
        </w:tc>
        <w:tc>
          <w:tcPr>
            <w:tcW w:w="461" w:type="pct"/>
            <w:tcBorders>
              <w:top w:val="nil"/>
              <w:left w:val="nil"/>
              <w:bottom w:val="single" w:sz="8" w:space="0" w:color="1F497D"/>
              <w:right w:val="single" w:sz="8" w:space="0" w:color="1F497D"/>
            </w:tcBorders>
            <w:shd w:val="clear" w:color="000000" w:fill="FFFFFF"/>
            <w:noWrap/>
            <w:vAlign w:val="center"/>
            <w:hideMark/>
          </w:tcPr>
          <w:p w:rsidR="001E6971" w:rsidRPr="001E6971" w:rsidRDefault="001E6971" w:rsidP="001E6971">
            <w:pPr>
              <w:jc w:val="center"/>
              <w:rPr>
                <w:color w:val="000000"/>
                <w:sz w:val="18"/>
                <w:szCs w:val="18"/>
              </w:rPr>
            </w:pPr>
            <w:r w:rsidRPr="001E6971">
              <w:rPr>
                <w:color w:val="000000"/>
                <w:sz w:val="18"/>
                <w:szCs w:val="18"/>
              </w:rPr>
              <w:t>1</w:t>
            </w:r>
          </w:p>
        </w:tc>
        <w:tc>
          <w:tcPr>
            <w:tcW w:w="638" w:type="pct"/>
            <w:tcBorders>
              <w:top w:val="nil"/>
              <w:left w:val="nil"/>
              <w:bottom w:val="single" w:sz="8" w:space="0" w:color="1F497D"/>
              <w:right w:val="double" w:sz="6" w:space="0" w:color="1F497D"/>
            </w:tcBorders>
            <w:shd w:val="clear" w:color="000000" w:fill="FFFFFF"/>
            <w:noWrap/>
            <w:vAlign w:val="center"/>
            <w:hideMark/>
          </w:tcPr>
          <w:p w:rsidR="001E6971" w:rsidRPr="001E6971" w:rsidRDefault="001E6971" w:rsidP="001E6971">
            <w:pPr>
              <w:jc w:val="center"/>
              <w:rPr>
                <w:color w:val="000000"/>
                <w:sz w:val="18"/>
                <w:szCs w:val="18"/>
              </w:rPr>
            </w:pPr>
            <w:r w:rsidRPr="001E6971">
              <w:rPr>
                <w:color w:val="000000"/>
                <w:sz w:val="18"/>
                <w:szCs w:val="18"/>
              </w:rPr>
              <w:t>22 589 213</w:t>
            </w:r>
          </w:p>
        </w:tc>
      </w:tr>
      <w:tr w:rsidR="001E6971" w:rsidRPr="001E6971" w:rsidTr="009300DE">
        <w:trPr>
          <w:trHeight w:val="315"/>
        </w:trPr>
        <w:tc>
          <w:tcPr>
            <w:tcW w:w="685" w:type="pct"/>
            <w:tcBorders>
              <w:top w:val="nil"/>
              <w:left w:val="double" w:sz="6" w:space="0" w:color="1F497D"/>
              <w:bottom w:val="single" w:sz="8" w:space="0" w:color="1F497D"/>
              <w:right w:val="single" w:sz="8" w:space="0" w:color="1F497D"/>
            </w:tcBorders>
            <w:shd w:val="clear" w:color="000000" w:fill="FFFFFF"/>
            <w:noWrap/>
            <w:vAlign w:val="center"/>
            <w:hideMark/>
          </w:tcPr>
          <w:p w:rsidR="001E6971" w:rsidRPr="001E6971" w:rsidRDefault="001E6971" w:rsidP="001E6971">
            <w:pPr>
              <w:jc w:val="center"/>
              <w:rPr>
                <w:color w:val="000000"/>
                <w:sz w:val="18"/>
                <w:szCs w:val="18"/>
              </w:rPr>
            </w:pPr>
            <w:r w:rsidRPr="001E6971">
              <w:rPr>
                <w:color w:val="000000"/>
                <w:sz w:val="18"/>
                <w:szCs w:val="18"/>
              </w:rPr>
              <w:t>Ostatní - církev</w:t>
            </w:r>
          </w:p>
        </w:tc>
        <w:tc>
          <w:tcPr>
            <w:tcW w:w="353" w:type="pct"/>
            <w:tcBorders>
              <w:top w:val="nil"/>
              <w:left w:val="nil"/>
              <w:bottom w:val="single" w:sz="8" w:space="0" w:color="1F497D"/>
              <w:right w:val="single" w:sz="8" w:space="0" w:color="1F497D"/>
            </w:tcBorders>
            <w:shd w:val="clear" w:color="auto" w:fill="auto"/>
            <w:noWrap/>
            <w:vAlign w:val="center"/>
            <w:hideMark/>
          </w:tcPr>
          <w:p w:rsidR="001E6971" w:rsidRPr="001E6971" w:rsidRDefault="001E6971" w:rsidP="001E6971">
            <w:pPr>
              <w:jc w:val="center"/>
              <w:rPr>
                <w:color w:val="000000"/>
                <w:sz w:val="18"/>
                <w:szCs w:val="18"/>
              </w:rPr>
            </w:pPr>
            <w:r w:rsidRPr="001E6971">
              <w:rPr>
                <w:color w:val="000000"/>
                <w:sz w:val="18"/>
                <w:szCs w:val="18"/>
              </w:rPr>
              <w:t> </w:t>
            </w:r>
          </w:p>
        </w:tc>
        <w:tc>
          <w:tcPr>
            <w:tcW w:w="616" w:type="pct"/>
            <w:tcBorders>
              <w:top w:val="nil"/>
              <w:left w:val="nil"/>
              <w:bottom w:val="single" w:sz="8" w:space="0" w:color="1F497D"/>
              <w:right w:val="single" w:sz="8" w:space="0" w:color="1F497D"/>
            </w:tcBorders>
            <w:shd w:val="clear" w:color="auto" w:fill="auto"/>
            <w:noWrap/>
            <w:vAlign w:val="center"/>
            <w:hideMark/>
          </w:tcPr>
          <w:p w:rsidR="001E6971" w:rsidRPr="001E6971" w:rsidRDefault="001E6971" w:rsidP="001E6971">
            <w:pPr>
              <w:jc w:val="center"/>
              <w:rPr>
                <w:color w:val="000000"/>
                <w:sz w:val="18"/>
                <w:szCs w:val="18"/>
              </w:rPr>
            </w:pPr>
            <w:r w:rsidRPr="001E6971">
              <w:rPr>
                <w:color w:val="000000"/>
                <w:sz w:val="18"/>
                <w:szCs w:val="18"/>
              </w:rPr>
              <w:t> </w:t>
            </w:r>
          </w:p>
        </w:tc>
        <w:tc>
          <w:tcPr>
            <w:tcW w:w="462" w:type="pct"/>
            <w:tcBorders>
              <w:top w:val="nil"/>
              <w:left w:val="nil"/>
              <w:bottom w:val="single" w:sz="8" w:space="0" w:color="1F497D"/>
              <w:right w:val="single" w:sz="8" w:space="0" w:color="1F497D"/>
            </w:tcBorders>
            <w:shd w:val="clear" w:color="auto" w:fill="auto"/>
            <w:noWrap/>
            <w:vAlign w:val="center"/>
            <w:hideMark/>
          </w:tcPr>
          <w:p w:rsidR="001E6971" w:rsidRPr="001E6971" w:rsidRDefault="001E6971" w:rsidP="001E6971">
            <w:pPr>
              <w:jc w:val="center"/>
              <w:rPr>
                <w:color w:val="000000"/>
                <w:sz w:val="18"/>
                <w:szCs w:val="18"/>
              </w:rPr>
            </w:pPr>
            <w:r w:rsidRPr="001E6971">
              <w:rPr>
                <w:color w:val="000000"/>
                <w:sz w:val="18"/>
                <w:szCs w:val="18"/>
              </w:rPr>
              <w:t> </w:t>
            </w:r>
          </w:p>
        </w:tc>
        <w:tc>
          <w:tcPr>
            <w:tcW w:w="638" w:type="pct"/>
            <w:tcBorders>
              <w:top w:val="nil"/>
              <w:left w:val="nil"/>
              <w:bottom w:val="single" w:sz="8" w:space="0" w:color="1F497D"/>
              <w:right w:val="single" w:sz="8" w:space="0" w:color="1F497D"/>
            </w:tcBorders>
            <w:shd w:val="clear" w:color="auto" w:fill="auto"/>
            <w:noWrap/>
            <w:vAlign w:val="center"/>
            <w:hideMark/>
          </w:tcPr>
          <w:p w:rsidR="001E6971" w:rsidRPr="001E6971" w:rsidRDefault="001E6971" w:rsidP="001E6971">
            <w:pPr>
              <w:jc w:val="center"/>
              <w:rPr>
                <w:color w:val="000000"/>
                <w:sz w:val="18"/>
                <w:szCs w:val="18"/>
              </w:rPr>
            </w:pPr>
            <w:r w:rsidRPr="001E6971">
              <w:rPr>
                <w:color w:val="000000"/>
                <w:sz w:val="18"/>
                <w:szCs w:val="18"/>
              </w:rPr>
              <w:t> </w:t>
            </w:r>
          </w:p>
        </w:tc>
        <w:tc>
          <w:tcPr>
            <w:tcW w:w="440" w:type="pct"/>
            <w:tcBorders>
              <w:top w:val="nil"/>
              <w:left w:val="nil"/>
              <w:bottom w:val="single" w:sz="8" w:space="0" w:color="1F497D"/>
              <w:right w:val="single" w:sz="8" w:space="0" w:color="1F497D"/>
            </w:tcBorders>
            <w:shd w:val="clear" w:color="000000" w:fill="FFFFFF"/>
            <w:vAlign w:val="center"/>
            <w:hideMark/>
          </w:tcPr>
          <w:p w:rsidR="001E6971" w:rsidRPr="001E6971" w:rsidRDefault="001E6971" w:rsidP="001E6971">
            <w:pPr>
              <w:jc w:val="center"/>
              <w:rPr>
                <w:color w:val="000000"/>
                <w:sz w:val="18"/>
                <w:szCs w:val="18"/>
              </w:rPr>
            </w:pPr>
            <w:r w:rsidRPr="001E6971">
              <w:rPr>
                <w:color w:val="000000"/>
                <w:sz w:val="18"/>
                <w:szCs w:val="18"/>
              </w:rPr>
              <w:t>2</w:t>
            </w:r>
          </w:p>
        </w:tc>
        <w:tc>
          <w:tcPr>
            <w:tcW w:w="708" w:type="pct"/>
            <w:tcBorders>
              <w:top w:val="nil"/>
              <w:left w:val="nil"/>
              <w:bottom w:val="single" w:sz="8" w:space="0" w:color="1F497D"/>
              <w:right w:val="single" w:sz="8" w:space="0" w:color="1F497D"/>
            </w:tcBorders>
            <w:shd w:val="clear" w:color="auto" w:fill="auto"/>
            <w:noWrap/>
            <w:vAlign w:val="center"/>
            <w:hideMark/>
          </w:tcPr>
          <w:p w:rsidR="001E6971" w:rsidRPr="001E6971" w:rsidRDefault="001E6971" w:rsidP="001E6971">
            <w:pPr>
              <w:jc w:val="center"/>
              <w:rPr>
                <w:color w:val="000000"/>
                <w:sz w:val="18"/>
                <w:szCs w:val="18"/>
              </w:rPr>
            </w:pPr>
            <w:r w:rsidRPr="001E6971">
              <w:rPr>
                <w:color w:val="000000"/>
                <w:sz w:val="18"/>
                <w:szCs w:val="18"/>
              </w:rPr>
              <w:t>266 298 324</w:t>
            </w:r>
          </w:p>
        </w:tc>
        <w:tc>
          <w:tcPr>
            <w:tcW w:w="461" w:type="pct"/>
            <w:tcBorders>
              <w:top w:val="nil"/>
              <w:left w:val="nil"/>
              <w:bottom w:val="single" w:sz="8" w:space="0" w:color="1F497D"/>
              <w:right w:val="single" w:sz="8" w:space="0" w:color="1F497D"/>
            </w:tcBorders>
            <w:shd w:val="clear" w:color="000000" w:fill="FFFFFF"/>
            <w:noWrap/>
            <w:vAlign w:val="center"/>
            <w:hideMark/>
          </w:tcPr>
          <w:p w:rsidR="001E6971" w:rsidRPr="001E6971" w:rsidRDefault="001E6971" w:rsidP="001E6971">
            <w:pPr>
              <w:jc w:val="center"/>
              <w:rPr>
                <w:color w:val="000000"/>
                <w:sz w:val="18"/>
                <w:szCs w:val="18"/>
              </w:rPr>
            </w:pPr>
            <w:r w:rsidRPr="001E6971">
              <w:rPr>
                <w:color w:val="000000"/>
                <w:sz w:val="18"/>
                <w:szCs w:val="18"/>
              </w:rPr>
              <w:t>2</w:t>
            </w:r>
          </w:p>
        </w:tc>
        <w:tc>
          <w:tcPr>
            <w:tcW w:w="638" w:type="pct"/>
            <w:tcBorders>
              <w:top w:val="nil"/>
              <w:left w:val="nil"/>
              <w:bottom w:val="single" w:sz="8" w:space="0" w:color="1F497D"/>
              <w:right w:val="double" w:sz="6" w:space="0" w:color="1F497D"/>
            </w:tcBorders>
            <w:shd w:val="clear" w:color="000000" w:fill="FFFFFF"/>
            <w:noWrap/>
            <w:vAlign w:val="center"/>
            <w:hideMark/>
          </w:tcPr>
          <w:p w:rsidR="001E6971" w:rsidRPr="001E6971" w:rsidRDefault="001E6971" w:rsidP="001E6971">
            <w:pPr>
              <w:jc w:val="center"/>
              <w:rPr>
                <w:color w:val="000000"/>
                <w:sz w:val="18"/>
                <w:szCs w:val="18"/>
              </w:rPr>
            </w:pPr>
            <w:r w:rsidRPr="001E6971">
              <w:rPr>
                <w:color w:val="000000"/>
                <w:sz w:val="18"/>
                <w:szCs w:val="18"/>
              </w:rPr>
              <w:t>266 298 324</w:t>
            </w:r>
          </w:p>
        </w:tc>
      </w:tr>
      <w:tr w:rsidR="001E6971" w:rsidRPr="001E6971" w:rsidTr="009300DE">
        <w:trPr>
          <w:trHeight w:val="315"/>
        </w:trPr>
        <w:tc>
          <w:tcPr>
            <w:tcW w:w="685" w:type="pct"/>
            <w:tcBorders>
              <w:top w:val="nil"/>
              <w:left w:val="double" w:sz="6" w:space="0" w:color="1F497D"/>
              <w:bottom w:val="double" w:sz="6" w:space="0" w:color="1F497D"/>
              <w:right w:val="single" w:sz="8" w:space="0" w:color="1F497D"/>
            </w:tcBorders>
            <w:shd w:val="clear" w:color="000000" w:fill="B8CCE4"/>
            <w:noWrap/>
            <w:vAlign w:val="center"/>
            <w:hideMark/>
          </w:tcPr>
          <w:p w:rsidR="001E6971" w:rsidRPr="001E6971" w:rsidRDefault="001E6971" w:rsidP="001E6971">
            <w:pPr>
              <w:jc w:val="center"/>
              <w:rPr>
                <w:b/>
                <w:bCs/>
                <w:color w:val="000000"/>
                <w:sz w:val="18"/>
                <w:szCs w:val="18"/>
              </w:rPr>
            </w:pPr>
            <w:r w:rsidRPr="001E6971">
              <w:rPr>
                <w:b/>
                <w:bCs/>
                <w:color w:val="000000"/>
                <w:sz w:val="18"/>
                <w:szCs w:val="18"/>
              </w:rPr>
              <w:t>Celkem</w:t>
            </w:r>
          </w:p>
        </w:tc>
        <w:tc>
          <w:tcPr>
            <w:tcW w:w="353" w:type="pct"/>
            <w:tcBorders>
              <w:top w:val="nil"/>
              <w:left w:val="nil"/>
              <w:bottom w:val="double" w:sz="6" w:space="0" w:color="1F497D"/>
              <w:right w:val="single" w:sz="8" w:space="0" w:color="1F497D"/>
            </w:tcBorders>
            <w:shd w:val="clear" w:color="000000" w:fill="B8CCE4"/>
            <w:vAlign w:val="center"/>
            <w:hideMark/>
          </w:tcPr>
          <w:p w:rsidR="001E6971" w:rsidRPr="001E6971" w:rsidRDefault="001E6971" w:rsidP="001E6971">
            <w:pPr>
              <w:jc w:val="center"/>
              <w:rPr>
                <w:b/>
                <w:bCs/>
                <w:color w:val="000000"/>
                <w:sz w:val="18"/>
                <w:szCs w:val="18"/>
              </w:rPr>
            </w:pPr>
            <w:r w:rsidRPr="001E6971">
              <w:rPr>
                <w:b/>
                <w:bCs/>
                <w:color w:val="000000"/>
                <w:sz w:val="18"/>
                <w:szCs w:val="18"/>
              </w:rPr>
              <w:t>0</w:t>
            </w:r>
          </w:p>
        </w:tc>
        <w:tc>
          <w:tcPr>
            <w:tcW w:w="616" w:type="pct"/>
            <w:tcBorders>
              <w:top w:val="nil"/>
              <w:left w:val="nil"/>
              <w:bottom w:val="double" w:sz="6" w:space="0" w:color="1F497D"/>
              <w:right w:val="single" w:sz="8" w:space="0" w:color="1F497D"/>
            </w:tcBorders>
            <w:shd w:val="clear" w:color="000000" w:fill="B8CCE4"/>
            <w:vAlign w:val="center"/>
            <w:hideMark/>
          </w:tcPr>
          <w:p w:rsidR="001E6971" w:rsidRPr="001E6971" w:rsidRDefault="001E6971" w:rsidP="001E6971">
            <w:pPr>
              <w:jc w:val="center"/>
              <w:rPr>
                <w:b/>
                <w:bCs/>
                <w:color w:val="000000"/>
                <w:sz w:val="18"/>
                <w:szCs w:val="18"/>
              </w:rPr>
            </w:pPr>
            <w:r w:rsidRPr="001E6971">
              <w:rPr>
                <w:b/>
                <w:bCs/>
                <w:color w:val="000000"/>
                <w:sz w:val="18"/>
                <w:szCs w:val="18"/>
              </w:rPr>
              <w:t>0</w:t>
            </w:r>
          </w:p>
        </w:tc>
        <w:tc>
          <w:tcPr>
            <w:tcW w:w="462" w:type="pct"/>
            <w:tcBorders>
              <w:top w:val="nil"/>
              <w:left w:val="nil"/>
              <w:bottom w:val="double" w:sz="6" w:space="0" w:color="1F497D"/>
              <w:right w:val="single" w:sz="8" w:space="0" w:color="1F497D"/>
            </w:tcBorders>
            <w:shd w:val="clear" w:color="000000" w:fill="B8CCE4"/>
            <w:vAlign w:val="center"/>
            <w:hideMark/>
          </w:tcPr>
          <w:p w:rsidR="001E6971" w:rsidRPr="001E6971" w:rsidRDefault="001E6971" w:rsidP="001E6971">
            <w:pPr>
              <w:jc w:val="center"/>
              <w:rPr>
                <w:b/>
                <w:bCs/>
                <w:color w:val="000000"/>
                <w:sz w:val="18"/>
                <w:szCs w:val="18"/>
              </w:rPr>
            </w:pPr>
            <w:r w:rsidRPr="001E6971">
              <w:rPr>
                <w:b/>
                <w:bCs/>
                <w:color w:val="000000"/>
                <w:sz w:val="18"/>
                <w:szCs w:val="18"/>
              </w:rPr>
              <w:t>47</w:t>
            </w:r>
          </w:p>
        </w:tc>
        <w:tc>
          <w:tcPr>
            <w:tcW w:w="638" w:type="pct"/>
            <w:tcBorders>
              <w:top w:val="nil"/>
              <w:left w:val="nil"/>
              <w:bottom w:val="double" w:sz="6" w:space="0" w:color="1F497D"/>
              <w:right w:val="single" w:sz="8" w:space="0" w:color="1F497D"/>
            </w:tcBorders>
            <w:shd w:val="clear" w:color="000000" w:fill="B8CCE4"/>
            <w:vAlign w:val="center"/>
            <w:hideMark/>
          </w:tcPr>
          <w:p w:rsidR="001E6971" w:rsidRPr="001E6971" w:rsidRDefault="001E6971" w:rsidP="001E6971">
            <w:pPr>
              <w:jc w:val="center"/>
              <w:rPr>
                <w:b/>
                <w:bCs/>
                <w:color w:val="000000"/>
                <w:sz w:val="18"/>
                <w:szCs w:val="18"/>
              </w:rPr>
            </w:pPr>
            <w:r w:rsidRPr="001E6971">
              <w:rPr>
                <w:b/>
                <w:bCs/>
                <w:color w:val="000000"/>
                <w:sz w:val="18"/>
                <w:szCs w:val="18"/>
              </w:rPr>
              <w:t>6 053 009 949</w:t>
            </w:r>
          </w:p>
        </w:tc>
        <w:tc>
          <w:tcPr>
            <w:tcW w:w="440" w:type="pct"/>
            <w:tcBorders>
              <w:top w:val="nil"/>
              <w:left w:val="nil"/>
              <w:bottom w:val="double" w:sz="6" w:space="0" w:color="1F497D"/>
              <w:right w:val="single" w:sz="8" w:space="0" w:color="1F497D"/>
            </w:tcBorders>
            <w:shd w:val="clear" w:color="000000" w:fill="B8CCE4"/>
            <w:vAlign w:val="center"/>
            <w:hideMark/>
          </w:tcPr>
          <w:p w:rsidR="001E6971" w:rsidRPr="001E6971" w:rsidRDefault="001E6971" w:rsidP="001E6971">
            <w:pPr>
              <w:jc w:val="center"/>
              <w:rPr>
                <w:b/>
                <w:bCs/>
                <w:color w:val="000000"/>
                <w:sz w:val="18"/>
                <w:szCs w:val="18"/>
              </w:rPr>
            </w:pPr>
            <w:r w:rsidRPr="001E6971">
              <w:rPr>
                <w:b/>
                <w:bCs/>
                <w:color w:val="000000"/>
                <w:sz w:val="18"/>
                <w:szCs w:val="18"/>
              </w:rPr>
              <w:t>89</w:t>
            </w:r>
          </w:p>
        </w:tc>
        <w:tc>
          <w:tcPr>
            <w:tcW w:w="708" w:type="pct"/>
            <w:tcBorders>
              <w:top w:val="nil"/>
              <w:left w:val="nil"/>
              <w:bottom w:val="double" w:sz="6" w:space="0" w:color="1F497D"/>
              <w:right w:val="single" w:sz="8" w:space="0" w:color="1F497D"/>
            </w:tcBorders>
            <w:shd w:val="clear" w:color="000000" w:fill="B8CCE4"/>
            <w:vAlign w:val="center"/>
            <w:hideMark/>
          </w:tcPr>
          <w:p w:rsidR="001E6971" w:rsidRPr="001E6971" w:rsidRDefault="001E6971" w:rsidP="001E6971">
            <w:pPr>
              <w:jc w:val="center"/>
              <w:rPr>
                <w:b/>
                <w:bCs/>
                <w:color w:val="000000"/>
                <w:sz w:val="18"/>
                <w:szCs w:val="18"/>
              </w:rPr>
            </w:pPr>
            <w:r w:rsidRPr="001E6971">
              <w:rPr>
                <w:b/>
                <w:bCs/>
                <w:color w:val="000000"/>
                <w:sz w:val="18"/>
                <w:szCs w:val="18"/>
              </w:rPr>
              <w:t>2 859 833 752</w:t>
            </w:r>
          </w:p>
        </w:tc>
        <w:tc>
          <w:tcPr>
            <w:tcW w:w="461" w:type="pct"/>
            <w:tcBorders>
              <w:top w:val="nil"/>
              <w:left w:val="nil"/>
              <w:bottom w:val="double" w:sz="6" w:space="0" w:color="1F497D"/>
              <w:right w:val="single" w:sz="8" w:space="0" w:color="1F497D"/>
            </w:tcBorders>
            <w:shd w:val="clear" w:color="000000" w:fill="B8CCE4"/>
            <w:vAlign w:val="center"/>
            <w:hideMark/>
          </w:tcPr>
          <w:p w:rsidR="001E6971" w:rsidRPr="001E6971" w:rsidRDefault="001E6971" w:rsidP="001E6971">
            <w:pPr>
              <w:jc w:val="center"/>
              <w:rPr>
                <w:b/>
                <w:bCs/>
                <w:color w:val="000000"/>
                <w:sz w:val="18"/>
                <w:szCs w:val="18"/>
              </w:rPr>
            </w:pPr>
            <w:r w:rsidRPr="001E6971">
              <w:rPr>
                <w:b/>
                <w:bCs/>
                <w:color w:val="000000"/>
                <w:sz w:val="18"/>
                <w:szCs w:val="18"/>
              </w:rPr>
              <w:t>136</w:t>
            </w:r>
          </w:p>
        </w:tc>
        <w:tc>
          <w:tcPr>
            <w:tcW w:w="638" w:type="pct"/>
            <w:tcBorders>
              <w:top w:val="nil"/>
              <w:left w:val="nil"/>
              <w:bottom w:val="double" w:sz="6" w:space="0" w:color="1F497D"/>
              <w:right w:val="double" w:sz="6" w:space="0" w:color="1F497D"/>
            </w:tcBorders>
            <w:shd w:val="clear" w:color="000000" w:fill="B8CCE4"/>
            <w:vAlign w:val="center"/>
            <w:hideMark/>
          </w:tcPr>
          <w:p w:rsidR="001E6971" w:rsidRPr="001E6971" w:rsidRDefault="001E6971" w:rsidP="001E6971">
            <w:pPr>
              <w:jc w:val="center"/>
              <w:rPr>
                <w:b/>
                <w:bCs/>
                <w:color w:val="000000"/>
                <w:sz w:val="18"/>
                <w:szCs w:val="18"/>
              </w:rPr>
            </w:pPr>
            <w:r w:rsidRPr="001E6971">
              <w:rPr>
                <w:b/>
                <w:bCs/>
                <w:color w:val="000000"/>
                <w:sz w:val="18"/>
                <w:szCs w:val="18"/>
              </w:rPr>
              <w:t>8 912 843 701</w:t>
            </w:r>
          </w:p>
        </w:tc>
      </w:tr>
    </w:tbl>
    <w:p w:rsidR="004B1F8B" w:rsidRDefault="001E6971" w:rsidP="004B1F8B">
      <w:pPr>
        <w:jc w:val="both"/>
        <w:rPr>
          <w:i/>
          <w:iCs/>
        </w:rPr>
      </w:pPr>
      <w:r w:rsidRPr="00965CEA">
        <w:rPr>
          <w:i/>
          <w:iCs/>
        </w:rPr>
        <w:t xml:space="preserve">Zdroj: Řídicí orgán Integrovaného operačního programu, </w:t>
      </w:r>
      <w:r>
        <w:rPr>
          <w:i/>
          <w:iCs/>
        </w:rPr>
        <w:t>1. 7. 2015</w:t>
      </w:r>
    </w:p>
    <w:p w:rsidR="001E6971" w:rsidRDefault="001E6971" w:rsidP="004B1F8B">
      <w:pPr>
        <w:jc w:val="both"/>
        <w:rPr>
          <w:i/>
          <w:sz w:val="18"/>
          <w:szCs w:val="18"/>
        </w:rPr>
      </w:pPr>
    </w:p>
    <w:p w:rsidR="001E6971" w:rsidRDefault="001E6971" w:rsidP="001E6971">
      <w:pPr>
        <w:jc w:val="both"/>
        <w:rPr>
          <w:sz w:val="22"/>
          <w:szCs w:val="22"/>
        </w:rPr>
      </w:pPr>
      <w:r w:rsidRPr="001E6971">
        <w:rPr>
          <w:sz w:val="22"/>
          <w:szCs w:val="22"/>
        </w:rPr>
        <w:t xml:space="preserve">Organizační složky státu a jejich příspěvkové organizace realizují 15 vysoce rizikových </w:t>
      </w:r>
      <w:r w:rsidR="00D37257">
        <w:rPr>
          <w:sz w:val="22"/>
          <w:szCs w:val="22"/>
        </w:rPr>
        <w:br/>
      </w:r>
      <w:r w:rsidRPr="001E6971">
        <w:rPr>
          <w:sz w:val="22"/>
          <w:szCs w:val="22"/>
        </w:rPr>
        <w:t>a 12 rizikových projektů</w:t>
      </w:r>
      <w:r w:rsidR="002C05DE" w:rsidRPr="002C05DE">
        <w:rPr>
          <w:sz w:val="22"/>
          <w:szCs w:val="22"/>
        </w:rPr>
        <w:t xml:space="preserve"> </w:t>
      </w:r>
      <w:r w:rsidR="002C05DE" w:rsidRPr="001E6971">
        <w:rPr>
          <w:sz w:val="22"/>
          <w:szCs w:val="22"/>
        </w:rPr>
        <w:t>v hodnotě cca 6,336 mld. Kč</w:t>
      </w:r>
      <w:r w:rsidR="002C05DE">
        <w:rPr>
          <w:sz w:val="22"/>
          <w:szCs w:val="22"/>
        </w:rPr>
        <w:t>,</w:t>
      </w:r>
      <w:r w:rsidRPr="001E6971">
        <w:rPr>
          <w:sz w:val="22"/>
          <w:szCs w:val="22"/>
        </w:rPr>
        <w:t xml:space="preserve"> </w:t>
      </w:r>
      <w:r w:rsidR="002C05DE">
        <w:rPr>
          <w:sz w:val="22"/>
          <w:szCs w:val="22"/>
        </w:rPr>
        <w:t>které</w:t>
      </w:r>
      <w:r w:rsidRPr="001E6971">
        <w:rPr>
          <w:sz w:val="22"/>
          <w:szCs w:val="22"/>
        </w:rPr>
        <w:t xml:space="preserve"> představují hlavní riziko pro čerpání </w:t>
      </w:r>
      <w:r w:rsidR="007D66D0">
        <w:rPr>
          <w:sz w:val="22"/>
          <w:szCs w:val="22"/>
        </w:rPr>
        <w:br/>
      </w:r>
      <w:r w:rsidRPr="001E6971">
        <w:rPr>
          <w:sz w:val="22"/>
          <w:szCs w:val="22"/>
        </w:rPr>
        <w:t xml:space="preserve">v roce 2015. Do konce roku 2015 je u vysoce rizikových projektů plánované předložení žádostí </w:t>
      </w:r>
      <w:r w:rsidR="007D66D0">
        <w:rPr>
          <w:sz w:val="22"/>
          <w:szCs w:val="22"/>
        </w:rPr>
        <w:br/>
      </w:r>
      <w:r w:rsidRPr="001E6971">
        <w:rPr>
          <w:sz w:val="22"/>
          <w:szCs w:val="22"/>
        </w:rPr>
        <w:t>o platbu v objemu cca 4,362 mld. Kč. U rizikových projektů jsou očekávány žádosti o platbu v hodnotě cca 2,383 mld. Kč.</w:t>
      </w:r>
    </w:p>
    <w:p w:rsidR="00EF4D94" w:rsidRPr="001E6971" w:rsidRDefault="00EF4D94" w:rsidP="001E6971">
      <w:pPr>
        <w:jc w:val="both"/>
        <w:rPr>
          <w:sz w:val="22"/>
          <w:szCs w:val="22"/>
        </w:rPr>
      </w:pPr>
    </w:p>
    <w:p w:rsidR="00C45190" w:rsidRPr="006E7C29" w:rsidRDefault="001E6971" w:rsidP="00746F8C">
      <w:pPr>
        <w:jc w:val="both"/>
        <w:rPr>
          <w:sz w:val="22"/>
          <w:szCs w:val="22"/>
        </w:rPr>
      </w:pPr>
      <w:r w:rsidRPr="001E6971">
        <w:rPr>
          <w:sz w:val="22"/>
          <w:szCs w:val="22"/>
        </w:rPr>
        <w:t xml:space="preserve">Z dlouhodobého hlediska </w:t>
      </w:r>
      <w:r w:rsidR="002C05DE">
        <w:rPr>
          <w:sz w:val="22"/>
          <w:szCs w:val="22"/>
        </w:rPr>
        <w:t>se</w:t>
      </w:r>
      <w:r w:rsidRPr="001E6971">
        <w:rPr>
          <w:sz w:val="22"/>
          <w:szCs w:val="22"/>
        </w:rPr>
        <w:t xml:space="preserve"> od července 2012, kdy ŘO IOP přijímá opatření </w:t>
      </w:r>
      <w:r w:rsidR="002C05DE">
        <w:rPr>
          <w:sz w:val="22"/>
          <w:szCs w:val="22"/>
        </w:rPr>
        <w:t>pro</w:t>
      </w:r>
      <w:r w:rsidRPr="001E6971">
        <w:rPr>
          <w:sz w:val="22"/>
          <w:szCs w:val="22"/>
        </w:rPr>
        <w:t xml:space="preserve"> spící a vysoce rizikov</w:t>
      </w:r>
      <w:r w:rsidR="002C05DE">
        <w:rPr>
          <w:sz w:val="22"/>
          <w:szCs w:val="22"/>
        </w:rPr>
        <w:t>é</w:t>
      </w:r>
      <w:r w:rsidRPr="001E6971">
        <w:rPr>
          <w:sz w:val="22"/>
          <w:szCs w:val="22"/>
        </w:rPr>
        <w:t xml:space="preserve"> projekt</w:t>
      </w:r>
      <w:r w:rsidR="002C05DE">
        <w:rPr>
          <w:sz w:val="22"/>
          <w:szCs w:val="22"/>
        </w:rPr>
        <w:t>y</w:t>
      </w:r>
      <w:r w:rsidRPr="001E6971">
        <w:rPr>
          <w:sz w:val="22"/>
          <w:szCs w:val="22"/>
        </w:rPr>
        <w:t xml:space="preserve">, </w:t>
      </w:r>
      <w:r w:rsidR="002C05DE">
        <w:rPr>
          <w:sz w:val="22"/>
          <w:szCs w:val="22"/>
        </w:rPr>
        <w:t>částečně</w:t>
      </w:r>
      <w:r w:rsidRPr="001E6971">
        <w:rPr>
          <w:sz w:val="22"/>
          <w:szCs w:val="22"/>
        </w:rPr>
        <w:t xml:space="preserve"> zlepš</w:t>
      </w:r>
      <w:r w:rsidR="002C05DE">
        <w:rPr>
          <w:sz w:val="22"/>
          <w:szCs w:val="22"/>
        </w:rPr>
        <w:t>ila</w:t>
      </w:r>
      <w:r w:rsidRPr="001E6971">
        <w:rPr>
          <w:sz w:val="22"/>
          <w:szCs w:val="22"/>
        </w:rPr>
        <w:t xml:space="preserve"> realizac</w:t>
      </w:r>
      <w:r w:rsidR="002C05DE">
        <w:rPr>
          <w:sz w:val="22"/>
          <w:szCs w:val="22"/>
        </w:rPr>
        <w:t>e</w:t>
      </w:r>
      <w:r w:rsidRPr="001E6971">
        <w:rPr>
          <w:sz w:val="22"/>
          <w:szCs w:val="22"/>
        </w:rPr>
        <w:t xml:space="preserve"> některých projektů organizačních složek státu. Nejrizikovější projekty jsou nadále</w:t>
      </w:r>
      <w:r w:rsidR="00746F8C">
        <w:rPr>
          <w:sz w:val="22"/>
          <w:szCs w:val="22"/>
        </w:rPr>
        <w:t xml:space="preserve"> </w:t>
      </w:r>
      <w:r w:rsidRPr="001E6971">
        <w:rPr>
          <w:sz w:val="22"/>
          <w:szCs w:val="22"/>
        </w:rPr>
        <w:t>v gesci Ministerstva vnitra ČR a Hasičského záchranného sboru (HZS), navázané na generálního dodavatele Českou poštu, Odštěpný závod ICT služby.</w:t>
      </w:r>
    </w:p>
    <w:p w:rsidR="00FB18CB" w:rsidRDefault="00716250" w:rsidP="00255BB7">
      <w:pPr>
        <w:pStyle w:val="Nadpis3"/>
        <w:rPr>
          <w:rFonts w:ascii="Times New Roman" w:hAnsi="Times New Roman"/>
          <w:sz w:val="24"/>
          <w:szCs w:val="24"/>
        </w:rPr>
      </w:pPr>
      <w:bookmarkStart w:id="30" w:name="_Toc433873470"/>
      <w:r w:rsidRPr="00FA4E14">
        <w:rPr>
          <w:rFonts w:ascii="Times New Roman" w:hAnsi="Times New Roman"/>
          <w:sz w:val="24"/>
          <w:szCs w:val="24"/>
        </w:rPr>
        <w:t>2.4.</w:t>
      </w:r>
      <w:r w:rsidR="008967E2">
        <w:rPr>
          <w:rFonts w:ascii="Times New Roman" w:hAnsi="Times New Roman"/>
          <w:sz w:val="24"/>
          <w:szCs w:val="24"/>
        </w:rPr>
        <w:t>4</w:t>
      </w:r>
      <w:r w:rsidRPr="00FA4E14">
        <w:rPr>
          <w:rFonts w:ascii="Times New Roman" w:hAnsi="Times New Roman"/>
          <w:sz w:val="24"/>
          <w:szCs w:val="24"/>
        </w:rPr>
        <w:t xml:space="preserve"> </w:t>
      </w:r>
      <w:r w:rsidRPr="00716250">
        <w:rPr>
          <w:rFonts w:ascii="Times New Roman" w:hAnsi="Times New Roman"/>
          <w:sz w:val="24"/>
          <w:szCs w:val="24"/>
        </w:rPr>
        <w:t>Česká pošta</w:t>
      </w:r>
      <w:bookmarkEnd w:id="30"/>
      <w:r w:rsidRPr="00716250">
        <w:rPr>
          <w:rFonts w:ascii="Times New Roman" w:hAnsi="Times New Roman"/>
          <w:sz w:val="24"/>
          <w:szCs w:val="24"/>
        </w:rPr>
        <w:t xml:space="preserve"> </w:t>
      </w:r>
    </w:p>
    <w:p w:rsidR="00E63D3F" w:rsidRDefault="00E63D3F" w:rsidP="00E63D3F">
      <w:pPr>
        <w:jc w:val="both"/>
        <w:rPr>
          <w:sz w:val="22"/>
          <w:szCs w:val="22"/>
        </w:rPr>
      </w:pPr>
      <w:r w:rsidRPr="00E63D3F">
        <w:rPr>
          <w:sz w:val="22"/>
          <w:szCs w:val="22"/>
        </w:rPr>
        <w:t>Česká pošta</w:t>
      </w:r>
      <w:r w:rsidR="00746F8C">
        <w:rPr>
          <w:sz w:val="22"/>
          <w:szCs w:val="22"/>
        </w:rPr>
        <w:t>,</w:t>
      </w:r>
      <w:r w:rsidRPr="00E63D3F">
        <w:rPr>
          <w:sz w:val="22"/>
          <w:szCs w:val="22"/>
        </w:rPr>
        <w:t xml:space="preserve"> </w:t>
      </w:r>
      <w:r w:rsidR="00746F8C">
        <w:rPr>
          <w:sz w:val="22"/>
          <w:szCs w:val="22"/>
        </w:rPr>
        <w:t>O</w:t>
      </w:r>
      <w:r w:rsidRPr="00E63D3F">
        <w:rPr>
          <w:sz w:val="22"/>
          <w:szCs w:val="22"/>
        </w:rPr>
        <w:t xml:space="preserve">dštěpný závod ICT (dále jen „ČP OZ ICT“) je ve sledovaném období zapojena jako dodavatel do realizace dvou projektů v oblasti intervence 1.1 v celkové hodnotě přibližně 1 mld. Kč, </w:t>
      </w:r>
      <w:r>
        <w:rPr>
          <w:sz w:val="22"/>
          <w:szCs w:val="22"/>
        </w:rPr>
        <w:br/>
      </w:r>
      <w:r w:rsidRPr="00E63D3F">
        <w:rPr>
          <w:sz w:val="22"/>
          <w:szCs w:val="22"/>
        </w:rPr>
        <w:t xml:space="preserve">a čtrnácti projektů v oblasti intervence 3.4 v hodnotě 1 mld. Kč, na které navazují další projekty </w:t>
      </w:r>
      <w:r>
        <w:rPr>
          <w:sz w:val="22"/>
          <w:szCs w:val="22"/>
        </w:rPr>
        <w:br/>
      </w:r>
      <w:r w:rsidRPr="00E63D3F">
        <w:rPr>
          <w:sz w:val="22"/>
          <w:szCs w:val="22"/>
        </w:rPr>
        <w:t>v oblasti intervence 3.4 v hodnotě 1 mld. Kč. Jedná se o projekty ministerstva vnitra, Generálního ředitelství Hasičského záchranného sboru a krajských ředitelství Hasičského záchranného sboru. Žádný z těchto projektů nebyl ve sledovaném období dokončen a jejich realizace bu</w:t>
      </w:r>
      <w:r>
        <w:rPr>
          <w:sz w:val="22"/>
          <w:szCs w:val="22"/>
        </w:rPr>
        <w:t>de pokračovat po 30. 9. 2015.</w:t>
      </w:r>
    </w:p>
    <w:p w:rsidR="00177836" w:rsidRPr="00E63D3F" w:rsidRDefault="00177836" w:rsidP="00E63D3F">
      <w:pPr>
        <w:jc w:val="both"/>
        <w:rPr>
          <w:sz w:val="22"/>
          <w:szCs w:val="22"/>
        </w:rPr>
      </w:pPr>
    </w:p>
    <w:p w:rsidR="007D66D0" w:rsidRDefault="00E63D3F" w:rsidP="00746F8C">
      <w:pPr>
        <w:jc w:val="both"/>
        <w:rPr>
          <w:sz w:val="22"/>
          <w:szCs w:val="22"/>
        </w:rPr>
      </w:pPr>
      <w:r w:rsidRPr="00E63D3F">
        <w:rPr>
          <w:sz w:val="22"/>
          <w:szCs w:val="22"/>
        </w:rPr>
        <w:t>ČP OZ ICT stále selhává v roli veřejného zadavatele a neúměrně prodlužuje realizaci veřejných zakázek. Pokračují jednání ŘO IOP, ZS MV a CRR s příjemc</w:t>
      </w:r>
      <w:r w:rsidR="00746F8C">
        <w:rPr>
          <w:sz w:val="22"/>
          <w:szCs w:val="22"/>
        </w:rPr>
        <w:t>i</w:t>
      </w:r>
      <w:r w:rsidRPr="00E63D3F">
        <w:rPr>
          <w:sz w:val="22"/>
          <w:szCs w:val="22"/>
        </w:rPr>
        <w:t xml:space="preserve">, zprostředkující subjekty IOP (CRR </w:t>
      </w:r>
      <w:r w:rsidR="00C17494">
        <w:rPr>
          <w:sz w:val="22"/>
          <w:szCs w:val="22"/>
        </w:rPr>
        <w:br/>
      </w:r>
      <w:r w:rsidRPr="00E63D3F">
        <w:rPr>
          <w:sz w:val="22"/>
          <w:szCs w:val="22"/>
        </w:rPr>
        <w:t xml:space="preserve">a OSF MV ČR) konzultují připravované veřejné zakázky a posouvají termíny pro předložení žádosti </w:t>
      </w:r>
      <w:r w:rsidR="00C17494">
        <w:rPr>
          <w:sz w:val="22"/>
          <w:szCs w:val="22"/>
        </w:rPr>
        <w:br/>
      </w:r>
      <w:r w:rsidRPr="00E63D3F">
        <w:rPr>
          <w:sz w:val="22"/>
          <w:szCs w:val="22"/>
        </w:rPr>
        <w:t>o platbu na maximální termíny.</w:t>
      </w:r>
      <w:r w:rsidR="00746F8C">
        <w:rPr>
          <w:sz w:val="22"/>
          <w:szCs w:val="22"/>
        </w:rPr>
        <w:t xml:space="preserve"> </w:t>
      </w:r>
      <w:r w:rsidRPr="00E63D3F">
        <w:rPr>
          <w:sz w:val="22"/>
          <w:szCs w:val="22"/>
        </w:rPr>
        <w:t>Ve sledovaném období byl upraven projekt NIS IZS</w:t>
      </w:r>
      <w:r w:rsidR="00746F8C">
        <w:rPr>
          <w:sz w:val="22"/>
          <w:szCs w:val="22"/>
        </w:rPr>
        <w:t>,</w:t>
      </w:r>
      <w:r w:rsidRPr="00E63D3F">
        <w:rPr>
          <w:sz w:val="22"/>
          <w:szCs w:val="22"/>
        </w:rPr>
        <w:t xml:space="preserve"> ve kterém je generálním dodavatelem ČP OZ ICT</w:t>
      </w:r>
      <w:r w:rsidR="00746F8C">
        <w:rPr>
          <w:sz w:val="22"/>
          <w:szCs w:val="22"/>
        </w:rPr>
        <w:t>,</w:t>
      </w:r>
      <w:r w:rsidRPr="00E63D3F">
        <w:rPr>
          <w:sz w:val="22"/>
          <w:szCs w:val="22"/>
        </w:rPr>
        <w:t xml:space="preserve"> na hybridní variantu, kterou ŘO IOP schválil dne 21. července 2015. Schválení zvýšilo šance na dokončení realizace termínu do 30. 11. 2015. </w:t>
      </w:r>
    </w:p>
    <w:p w:rsidR="00E63D3F" w:rsidRPr="00E63D3F" w:rsidRDefault="00E63D3F" w:rsidP="00746F8C">
      <w:pPr>
        <w:jc w:val="both"/>
        <w:rPr>
          <w:sz w:val="22"/>
          <w:szCs w:val="22"/>
        </w:rPr>
      </w:pPr>
      <w:r w:rsidRPr="00E63D3F">
        <w:rPr>
          <w:sz w:val="22"/>
          <w:szCs w:val="22"/>
        </w:rPr>
        <w:lastRenderedPageBreak/>
        <w:t xml:space="preserve">Nedokončení tohoto projektu může ohrozit realizaci všech projektů 11. výzvy v oblasti intervence 3.4 ve výši 2 mld. Kč celkových způsobilých výdajů.  </w:t>
      </w:r>
    </w:p>
    <w:p w:rsidR="00E63D3F" w:rsidRPr="00E63D3F" w:rsidRDefault="00E63D3F" w:rsidP="00E63D3F">
      <w:pPr>
        <w:jc w:val="both"/>
        <w:rPr>
          <w:sz w:val="22"/>
          <w:szCs w:val="22"/>
        </w:rPr>
      </w:pPr>
    </w:p>
    <w:p w:rsidR="00E63D3F" w:rsidRPr="00E63D3F" w:rsidRDefault="00E63D3F" w:rsidP="00746F8C">
      <w:pPr>
        <w:jc w:val="both"/>
        <w:rPr>
          <w:sz w:val="22"/>
          <w:szCs w:val="22"/>
        </w:rPr>
      </w:pPr>
      <w:r w:rsidRPr="00E63D3F">
        <w:rPr>
          <w:sz w:val="22"/>
          <w:szCs w:val="22"/>
        </w:rPr>
        <w:t>Ministerstvo vnitra vede se zástupci ČP OZ ICT intenzivní jednání</w:t>
      </w:r>
      <w:r w:rsidR="00746F8C">
        <w:rPr>
          <w:sz w:val="22"/>
          <w:szCs w:val="22"/>
        </w:rPr>
        <w:t xml:space="preserve"> s</w:t>
      </w:r>
      <w:r w:rsidRPr="00E63D3F">
        <w:rPr>
          <w:sz w:val="22"/>
          <w:szCs w:val="22"/>
        </w:rPr>
        <w:t xml:space="preserve"> cílem dokonč</w:t>
      </w:r>
      <w:r w:rsidR="00746F8C">
        <w:rPr>
          <w:sz w:val="22"/>
          <w:szCs w:val="22"/>
        </w:rPr>
        <w:t>it realizaci</w:t>
      </w:r>
      <w:r w:rsidRPr="00E63D3F">
        <w:rPr>
          <w:sz w:val="22"/>
          <w:szCs w:val="22"/>
        </w:rPr>
        <w:t xml:space="preserve"> projektů</w:t>
      </w:r>
      <w:r w:rsidR="00746F8C">
        <w:rPr>
          <w:sz w:val="22"/>
          <w:szCs w:val="22"/>
        </w:rPr>
        <w:t>, ve</w:t>
      </w:r>
      <w:r w:rsidRPr="00E63D3F">
        <w:rPr>
          <w:sz w:val="22"/>
          <w:szCs w:val="22"/>
        </w:rPr>
        <w:t xml:space="preserve"> kterých je MV ČR příjemcem</w:t>
      </w:r>
      <w:r w:rsidR="00746F8C">
        <w:rPr>
          <w:sz w:val="22"/>
          <w:szCs w:val="22"/>
        </w:rPr>
        <w:t xml:space="preserve"> </w:t>
      </w:r>
      <w:r w:rsidRPr="00E63D3F">
        <w:rPr>
          <w:sz w:val="22"/>
          <w:szCs w:val="22"/>
        </w:rPr>
        <w:t>a generálním dodavatelem je ČP OZ ICT. V září 2015 se vyskytlo riziko nedostatečného zabezpečení personálních kapacit generálního dodavatele, protože příslušným pracovníkům většinou končí pracovní smlouvy k nejzazšímu termínu dokončení u většiny projektů (30. 11. 2015). Příjemci se povedlo zaručit prodloužení smluv všech klíčových zaměstnanců dodavatele do konce roku 2015.</w:t>
      </w:r>
    </w:p>
    <w:p w:rsidR="00E63D3F" w:rsidRPr="00E63D3F" w:rsidRDefault="00E63D3F" w:rsidP="00E63D3F">
      <w:pPr>
        <w:jc w:val="both"/>
        <w:rPr>
          <w:sz w:val="22"/>
          <w:szCs w:val="22"/>
        </w:rPr>
      </w:pPr>
    </w:p>
    <w:p w:rsidR="004B4F53" w:rsidRDefault="00E63D3F" w:rsidP="00E63D3F">
      <w:pPr>
        <w:jc w:val="both"/>
        <w:rPr>
          <w:sz w:val="22"/>
          <w:szCs w:val="22"/>
        </w:rPr>
      </w:pPr>
      <w:r w:rsidRPr="00E63D3F">
        <w:rPr>
          <w:sz w:val="22"/>
          <w:szCs w:val="22"/>
        </w:rPr>
        <w:t>ZS MV OSF sleduje postup dokončování projektů</w:t>
      </w:r>
      <w:r w:rsidR="00746F8C">
        <w:rPr>
          <w:sz w:val="22"/>
          <w:szCs w:val="22"/>
        </w:rPr>
        <w:t xml:space="preserve"> a jejich rizika</w:t>
      </w:r>
      <w:r w:rsidRPr="00E63D3F">
        <w:rPr>
          <w:sz w:val="22"/>
          <w:szCs w:val="22"/>
        </w:rPr>
        <w:t>, opatření report</w:t>
      </w:r>
      <w:r w:rsidR="00746F8C">
        <w:rPr>
          <w:sz w:val="22"/>
          <w:szCs w:val="22"/>
        </w:rPr>
        <w:t>uje</w:t>
      </w:r>
      <w:r w:rsidRPr="00E63D3F">
        <w:rPr>
          <w:sz w:val="22"/>
          <w:szCs w:val="22"/>
        </w:rPr>
        <w:t xml:space="preserve"> ŘO IOP </w:t>
      </w:r>
      <w:r>
        <w:rPr>
          <w:sz w:val="22"/>
          <w:szCs w:val="22"/>
        </w:rPr>
        <w:br/>
      </w:r>
      <w:r w:rsidRPr="00E63D3F">
        <w:rPr>
          <w:sz w:val="22"/>
          <w:szCs w:val="22"/>
        </w:rPr>
        <w:t>a informace předkládá každý měsíc vládě ČR.</w:t>
      </w:r>
    </w:p>
    <w:p w:rsidR="00716250" w:rsidRDefault="00716250" w:rsidP="00716250">
      <w:pPr>
        <w:pStyle w:val="Nadpis3"/>
        <w:rPr>
          <w:rFonts w:ascii="Times New Roman" w:hAnsi="Times New Roman"/>
          <w:sz w:val="24"/>
          <w:szCs w:val="24"/>
        </w:rPr>
      </w:pPr>
      <w:bookmarkStart w:id="31" w:name="_Toc433873471"/>
      <w:r w:rsidRPr="00716250">
        <w:rPr>
          <w:rFonts w:ascii="Times New Roman" w:hAnsi="Times New Roman"/>
          <w:sz w:val="24"/>
          <w:szCs w:val="24"/>
        </w:rPr>
        <w:t>2.4.</w:t>
      </w:r>
      <w:r w:rsidR="008967E2">
        <w:rPr>
          <w:rFonts w:ascii="Times New Roman" w:hAnsi="Times New Roman"/>
          <w:sz w:val="24"/>
          <w:szCs w:val="24"/>
        </w:rPr>
        <w:t>5</w:t>
      </w:r>
      <w:r w:rsidRPr="00716250">
        <w:rPr>
          <w:rFonts w:ascii="Times New Roman" w:hAnsi="Times New Roman"/>
          <w:sz w:val="24"/>
          <w:szCs w:val="24"/>
        </w:rPr>
        <w:t xml:space="preserve"> Administrativní kapacity pro ukončení programu</w:t>
      </w:r>
      <w:bookmarkEnd w:id="31"/>
    </w:p>
    <w:p w:rsidR="00846EC6" w:rsidRPr="00846EC6" w:rsidRDefault="00846EC6" w:rsidP="00846EC6">
      <w:pPr>
        <w:pStyle w:val="Textkomente"/>
        <w:jc w:val="both"/>
        <w:rPr>
          <w:sz w:val="22"/>
          <w:szCs w:val="22"/>
        </w:rPr>
      </w:pPr>
      <w:r w:rsidRPr="00846EC6">
        <w:rPr>
          <w:sz w:val="22"/>
          <w:szCs w:val="22"/>
        </w:rPr>
        <w:t>K 30. 11. 2015, resp. 31. 12. 2015</w:t>
      </w:r>
      <w:r w:rsidR="00746F8C">
        <w:rPr>
          <w:sz w:val="22"/>
          <w:szCs w:val="22"/>
        </w:rPr>
        <w:t>,</w:t>
      </w:r>
      <w:r w:rsidRPr="00846EC6">
        <w:rPr>
          <w:sz w:val="22"/>
          <w:szCs w:val="22"/>
        </w:rPr>
        <w:t xml:space="preserve"> končí způsobilost výdajů z  technické pomoci IOP, a  jelikož MPSV, MV a </w:t>
      </w:r>
      <w:proofErr w:type="spellStart"/>
      <w:r w:rsidRPr="00846EC6">
        <w:rPr>
          <w:sz w:val="22"/>
          <w:szCs w:val="22"/>
        </w:rPr>
        <w:t>MZd</w:t>
      </w:r>
      <w:proofErr w:type="spellEnd"/>
      <w:r w:rsidRPr="00846EC6">
        <w:rPr>
          <w:sz w:val="22"/>
          <w:szCs w:val="22"/>
        </w:rPr>
        <w:t xml:space="preserve"> nebudou zprostředkujícími subjekty v IROP pro programové období 2014 – 2020, nebudou mít nárok na financování administrativních kapacit z technické pomoci IROP. </w:t>
      </w:r>
      <w:r w:rsidR="00744A86">
        <w:rPr>
          <w:sz w:val="22"/>
          <w:szCs w:val="22"/>
        </w:rPr>
        <w:t>V</w:t>
      </w:r>
      <w:r w:rsidRPr="00846EC6">
        <w:rPr>
          <w:sz w:val="22"/>
          <w:szCs w:val="22"/>
        </w:rPr>
        <w:t> období od  ledna 2016 do července 2016 budou vykonávat činnosti spojené s ukončováním IOP</w:t>
      </w:r>
      <w:r w:rsidR="00744A86">
        <w:rPr>
          <w:sz w:val="22"/>
          <w:szCs w:val="22"/>
        </w:rPr>
        <w:t>,</w:t>
      </w:r>
      <w:r w:rsidRPr="00846EC6">
        <w:rPr>
          <w:sz w:val="22"/>
          <w:szCs w:val="22"/>
        </w:rPr>
        <w:t xml:space="preserve"> vyplývající z Dohod o  delegování úkolů Řídicího orgánu IOP na MPSV, MV a </w:t>
      </w:r>
      <w:proofErr w:type="spellStart"/>
      <w:r w:rsidRPr="00846EC6">
        <w:rPr>
          <w:sz w:val="22"/>
          <w:szCs w:val="22"/>
        </w:rPr>
        <w:t>MZd</w:t>
      </w:r>
      <w:proofErr w:type="spellEnd"/>
      <w:r w:rsidRPr="00846EC6">
        <w:rPr>
          <w:sz w:val="22"/>
          <w:szCs w:val="22"/>
        </w:rPr>
        <w:t xml:space="preserve"> jako zprostředkující subjekty v rámci implementace IOP pro  období 2007 až 2013. </w:t>
      </w:r>
    </w:p>
    <w:p w:rsidR="00846EC6" w:rsidRPr="00846EC6" w:rsidRDefault="00846EC6" w:rsidP="00846EC6">
      <w:pPr>
        <w:pStyle w:val="Textkomente"/>
        <w:jc w:val="both"/>
        <w:rPr>
          <w:sz w:val="22"/>
          <w:szCs w:val="22"/>
        </w:rPr>
      </w:pPr>
    </w:p>
    <w:p w:rsidR="00846EC6" w:rsidRPr="00846EC6" w:rsidRDefault="00846EC6" w:rsidP="00846EC6">
      <w:pPr>
        <w:pStyle w:val="Textkomente"/>
        <w:jc w:val="both"/>
        <w:rPr>
          <w:sz w:val="22"/>
          <w:szCs w:val="22"/>
        </w:rPr>
      </w:pPr>
      <w:r w:rsidRPr="00846EC6">
        <w:rPr>
          <w:sz w:val="22"/>
          <w:szCs w:val="22"/>
        </w:rPr>
        <w:t>Na základě Analýzy administrativní kapaci</w:t>
      </w:r>
      <w:r w:rsidR="006E7C29">
        <w:rPr>
          <w:sz w:val="22"/>
          <w:szCs w:val="22"/>
        </w:rPr>
        <w:t>ty na konci programového období</w:t>
      </w:r>
      <w:r w:rsidR="00744A86">
        <w:rPr>
          <w:sz w:val="22"/>
          <w:szCs w:val="22"/>
        </w:rPr>
        <w:t xml:space="preserve"> </w:t>
      </w:r>
      <w:r w:rsidRPr="00846EC6">
        <w:rPr>
          <w:sz w:val="22"/>
          <w:szCs w:val="22"/>
        </w:rPr>
        <w:t xml:space="preserve">připravilo </w:t>
      </w:r>
      <w:r w:rsidR="00744A86">
        <w:rPr>
          <w:sz w:val="22"/>
          <w:szCs w:val="22"/>
        </w:rPr>
        <w:t>m</w:t>
      </w:r>
      <w:r w:rsidRPr="00846EC6">
        <w:rPr>
          <w:sz w:val="22"/>
          <w:szCs w:val="22"/>
        </w:rPr>
        <w:t>inisterstvo pro místní rozvoj jako Řídicí orgán IOP materiál pro schůzi vlády „Informace o  nezbytných podmínkách pro řádné dokončení Integrovaného operačního programu 2007- 2013“, s </w:t>
      </w:r>
      <w:r w:rsidR="00744A86">
        <w:rPr>
          <w:sz w:val="22"/>
          <w:szCs w:val="22"/>
        </w:rPr>
        <w:t>návrhem</w:t>
      </w:r>
      <w:r w:rsidRPr="00846EC6">
        <w:rPr>
          <w:sz w:val="22"/>
          <w:szCs w:val="22"/>
        </w:rPr>
        <w:t xml:space="preserve">, aby od ledna 2016 do července 2016 byla funkční místa na zprostředkujících subjektech financována </w:t>
      </w:r>
      <w:r w:rsidR="007D66D0">
        <w:rPr>
          <w:sz w:val="22"/>
          <w:szCs w:val="22"/>
        </w:rPr>
        <w:br/>
      </w:r>
      <w:r w:rsidRPr="00846EC6">
        <w:rPr>
          <w:sz w:val="22"/>
          <w:szCs w:val="22"/>
        </w:rPr>
        <w:t>z jednotlivých kapitol státního rozpočtu. Vláda ČR materiál schválila na svém zasedání dne 29. 8. 2015.</w:t>
      </w:r>
    </w:p>
    <w:p w:rsidR="00846EC6" w:rsidRPr="00C360CD" w:rsidRDefault="00846EC6" w:rsidP="00C360CD"/>
    <w:p w:rsidR="001701D7" w:rsidRDefault="00716250" w:rsidP="001701D7">
      <w:pPr>
        <w:pStyle w:val="Nadpis3"/>
        <w:rPr>
          <w:rFonts w:ascii="Times New Roman" w:hAnsi="Times New Roman"/>
          <w:sz w:val="24"/>
          <w:szCs w:val="24"/>
        </w:rPr>
      </w:pPr>
      <w:bookmarkStart w:id="32" w:name="_Toc433873472"/>
      <w:r w:rsidRPr="00716250">
        <w:rPr>
          <w:rFonts w:ascii="Times New Roman" w:hAnsi="Times New Roman"/>
          <w:sz w:val="24"/>
          <w:szCs w:val="24"/>
        </w:rPr>
        <w:t>2</w:t>
      </w:r>
      <w:r w:rsidR="00D104E7">
        <w:rPr>
          <w:rFonts w:ascii="Times New Roman" w:hAnsi="Times New Roman"/>
          <w:sz w:val="24"/>
          <w:szCs w:val="24"/>
        </w:rPr>
        <w:t>.4.</w:t>
      </w:r>
      <w:r w:rsidR="008967E2">
        <w:rPr>
          <w:rFonts w:ascii="Times New Roman" w:hAnsi="Times New Roman"/>
          <w:sz w:val="24"/>
          <w:szCs w:val="24"/>
        </w:rPr>
        <w:t>6</w:t>
      </w:r>
      <w:r w:rsidRPr="001701D7">
        <w:rPr>
          <w:rFonts w:ascii="Times New Roman" w:hAnsi="Times New Roman"/>
          <w:sz w:val="24"/>
          <w:szCs w:val="24"/>
        </w:rPr>
        <w:t xml:space="preserve"> Krizové řízení a plnění usnesení </w:t>
      </w:r>
      <w:r w:rsidR="00675BC4" w:rsidRPr="001701D7">
        <w:rPr>
          <w:rFonts w:ascii="Times New Roman" w:hAnsi="Times New Roman"/>
          <w:sz w:val="24"/>
          <w:szCs w:val="24"/>
        </w:rPr>
        <w:t xml:space="preserve"> vlády </w:t>
      </w:r>
      <w:r w:rsidR="00A76813">
        <w:rPr>
          <w:rFonts w:ascii="Times New Roman" w:hAnsi="Times New Roman"/>
          <w:sz w:val="24"/>
          <w:szCs w:val="24"/>
        </w:rPr>
        <w:t>č. 124/2015</w:t>
      </w:r>
      <w:bookmarkEnd w:id="32"/>
    </w:p>
    <w:p w:rsidR="00BB5797" w:rsidRPr="00BB5797" w:rsidRDefault="00BB5797" w:rsidP="00BB5797">
      <w:pPr>
        <w:jc w:val="both"/>
        <w:rPr>
          <w:sz w:val="22"/>
          <w:szCs w:val="22"/>
        </w:rPr>
      </w:pPr>
      <w:r w:rsidRPr="00BB5797">
        <w:rPr>
          <w:sz w:val="22"/>
          <w:szCs w:val="22"/>
        </w:rPr>
        <w:t>V </w:t>
      </w:r>
      <w:r w:rsidR="00744A86" w:rsidRPr="00BB5797">
        <w:rPr>
          <w:sz w:val="22"/>
          <w:szCs w:val="22"/>
        </w:rPr>
        <w:t xml:space="preserve">roce 2015 </w:t>
      </w:r>
      <w:r w:rsidRPr="00BB5797">
        <w:rPr>
          <w:sz w:val="22"/>
          <w:szCs w:val="22"/>
        </w:rPr>
        <w:t>pokračuje krizové řízení programu, realizov</w:t>
      </w:r>
      <w:r w:rsidR="00744A86">
        <w:rPr>
          <w:sz w:val="22"/>
          <w:szCs w:val="22"/>
        </w:rPr>
        <w:t>a</w:t>
      </w:r>
      <w:r w:rsidRPr="00BB5797">
        <w:rPr>
          <w:sz w:val="22"/>
          <w:szCs w:val="22"/>
        </w:rPr>
        <w:t>n</w:t>
      </w:r>
      <w:r w:rsidR="00744A86">
        <w:rPr>
          <w:sz w:val="22"/>
          <w:szCs w:val="22"/>
        </w:rPr>
        <w:t>é</w:t>
      </w:r>
      <w:r w:rsidRPr="00BB5797">
        <w:rPr>
          <w:sz w:val="22"/>
          <w:szCs w:val="22"/>
        </w:rPr>
        <w:t xml:space="preserve"> mimo jiné prostřednictvím krizového plánu, schváleného na základě UV 124/2015. Krizový plán uvádí 6 průřezových rizik</w:t>
      </w:r>
      <w:r w:rsidR="00997B90">
        <w:rPr>
          <w:sz w:val="22"/>
          <w:szCs w:val="22"/>
        </w:rPr>
        <w:t xml:space="preserve"> a</w:t>
      </w:r>
      <w:r w:rsidRPr="00BB5797">
        <w:rPr>
          <w:sz w:val="22"/>
          <w:szCs w:val="22"/>
        </w:rPr>
        <w:t xml:space="preserve"> 3 specifická rizika relevantní pro IOP a opatření, jejichž realizace má přispět k eliminaci uvedených rizik.       </w:t>
      </w:r>
    </w:p>
    <w:p w:rsidR="00BB5797" w:rsidRPr="00BB5797" w:rsidRDefault="00BB5797" w:rsidP="00BB5797">
      <w:pPr>
        <w:jc w:val="both"/>
        <w:rPr>
          <w:sz w:val="22"/>
          <w:szCs w:val="22"/>
        </w:rPr>
      </w:pPr>
      <w:r w:rsidRPr="00BB5797">
        <w:rPr>
          <w:sz w:val="22"/>
          <w:szCs w:val="22"/>
        </w:rPr>
        <w:t xml:space="preserve">Pro rok 2015 </w:t>
      </w:r>
      <w:r w:rsidR="006E7C29" w:rsidRPr="00BB5797">
        <w:rPr>
          <w:sz w:val="22"/>
          <w:szCs w:val="22"/>
        </w:rPr>
        <w:t xml:space="preserve">byla </w:t>
      </w:r>
      <w:r w:rsidRPr="00BB5797">
        <w:rPr>
          <w:sz w:val="22"/>
          <w:szCs w:val="22"/>
        </w:rPr>
        <w:t>kromě průřezových identifikována následující rizika:</w:t>
      </w:r>
    </w:p>
    <w:p w:rsidR="00BB5797" w:rsidRPr="00BB5797" w:rsidRDefault="00744A86" w:rsidP="00BB5797">
      <w:pPr>
        <w:pStyle w:val="Odstavecseseznamem"/>
        <w:numPr>
          <w:ilvl w:val="0"/>
          <w:numId w:val="39"/>
        </w:numPr>
        <w:jc w:val="both"/>
        <w:rPr>
          <w:rFonts w:ascii="Times New Roman" w:hAnsi="Times New Roman"/>
        </w:rPr>
      </w:pPr>
      <w:r>
        <w:rPr>
          <w:rFonts w:ascii="Times New Roman" w:eastAsia="Times New Roman" w:hAnsi="Times New Roman"/>
          <w:color w:val="000000"/>
        </w:rPr>
        <w:t>n</w:t>
      </w:r>
      <w:r w:rsidR="00BB5797" w:rsidRPr="00BB5797">
        <w:rPr>
          <w:rFonts w:ascii="Times New Roman" w:eastAsia="Times New Roman" w:hAnsi="Times New Roman"/>
          <w:color w:val="000000"/>
        </w:rPr>
        <w:t>epokrytí disponibilní alokace</w:t>
      </w:r>
      <w:r>
        <w:rPr>
          <w:rFonts w:ascii="Times New Roman" w:eastAsia="Times New Roman" w:hAnsi="Times New Roman"/>
          <w:color w:val="000000"/>
        </w:rPr>
        <w:t>,</w:t>
      </w:r>
    </w:p>
    <w:p w:rsidR="00BB5797" w:rsidRPr="00BB5797" w:rsidRDefault="00BB5797" w:rsidP="00BB5797">
      <w:pPr>
        <w:pStyle w:val="Odstavecseseznamem"/>
        <w:numPr>
          <w:ilvl w:val="0"/>
          <w:numId w:val="39"/>
        </w:numPr>
        <w:jc w:val="both"/>
        <w:rPr>
          <w:rFonts w:ascii="Times New Roman" w:hAnsi="Times New Roman"/>
        </w:rPr>
      </w:pPr>
      <w:r w:rsidRPr="00BB5797">
        <w:rPr>
          <w:rFonts w:ascii="Times New Roman" w:hAnsi="Times New Roman"/>
        </w:rPr>
        <w:t xml:space="preserve">nedokončení </w:t>
      </w:r>
      <w:r w:rsidR="00744A86">
        <w:rPr>
          <w:rFonts w:ascii="Times New Roman" w:hAnsi="Times New Roman"/>
        </w:rPr>
        <w:t xml:space="preserve">realizace </w:t>
      </w:r>
      <w:r w:rsidRPr="00BB5797">
        <w:rPr>
          <w:rFonts w:ascii="Times New Roman" w:hAnsi="Times New Roman"/>
        </w:rPr>
        <w:t>projektů</w:t>
      </w:r>
      <w:r w:rsidR="00744A86">
        <w:rPr>
          <w:rFonts w:ascii="Times New Roman" w:hAnsi="Times New Roman"/>
        </w:rPr>
        <w:t>,</w:t>
      </w:r>
    </w:p>
    <w:p w:rsidR="00BB5797" w:rsidRDefault="00744A86" w:rsidP="00BB5797">
      <w:pPr>
        <w:pStyle w:val="Odstavecseseznamem"/>
        <w:numPr>
          <w:ilvl w:val="0"/>
          <w:numId w:val="39"/>
        </w:numPr>
        <w:jc w:val="both"/>
        <w:rPr>
          <w:rFonts w:ascii="Times New Roman" w:hAnsi="Times New Roman"/>
        </w:rPr>
      </w:pPr>
      <w:r>
        <w:rPr>
          <w:rFonts w:ascii="Times New Roman" w:hAnsi="Times New Roman"/>
        </w:rPr>
        <w:t>n</w:t>
      </w:r>
      <w:r w:rsidR="00BB5797" w:rsidRPr="00BB5797">
        <w:rPr>
          <w:rFonts w:ascii="Times New Roman" w:hAnsi="Times New Roman"/>
        </w:rPr>
        <w:t xml:space="preserve">edodržení smluv o delegování </w:t>
      </w:r>
      <w:r w:rsidR="00D66439">
        <w:rPr>
          <w:rFonts w:ascii="Times New Roman" w:hAnsi="Times New Roman"/>
        </w:rPr>
        <w:t>činností</w:t>
      </w:r>
      <w:r w:rsidR="00BB5797" w:rsidRPr="00BB5797">
        <w:rPr>
          <w:rFonts w:ascii="Times New Roman" w:hAnsi="Times New Roman"/>
        </w:rPr>
        <w:t xml:space="preserve"> </w:t>
      </w:r>
      <w:r>
        <w:rPr>
          <w:rFonts w:ascii="Times New Roman" w:hAnsi="Times New Roman"/>
        </w:rPr>
        <w:t>Ř</w:t>
      </w:r>
      <w:r w:rsidR="00BB5797" w:rsidRPr="00BB5797">
        <w:rPr>
          <w:rFonts w:ascii="Times New Roman" w:hAnsi="Times New Roman"/>
        </w:rPr>
        <w:t>ídícího orgánu IOP na zprostředkující subjekty</w:t>
      </w:r>
      <w:r>
        <w:rPr>
          <w:rFonts w:ascii="Times New Roman" w:hAnsi="Times New Roman"/>
        </w:rPr>
        <w:t>.</w:t>
      </w:r>
    </w:p>
    <w:p w:rsidR="00BB5797" w:rsidRPr="00BB5797" w:rsidRDefault="00BB5797" w:rsidP="00BB5797">
      <w:pPr>
        <w:jc w:val="both"/>
        <w:rPr>
          <w:sz w:val="22"/>
          <w:szCs w:val="22"/>
        </w:rPr>
      </w:pPr>
      <w:r w:rsidRPr="00BB5797">
        <w:rPr>
          <w:sz w:val="22"/>
          <w:szCs w:val="22"/>
        </w:rPr>
        <w:t xml:space="preserve">V průběhu srpna 2015 </w:t>
      </w:r>
      <w:r w:rsidR="00D66439">
        <w:rPr>
          <w:sz w:val="22"/>
          <w:szCs w:val="22"/>
        </w:rPr>
        <w:t xml:space="preserve">byl </w:t>
      </w:r>
      <w:r w:rsidRPr="00BB5797">
        <w:rPr>
          <w:sz w:val="22"/>
          <w:szCs w:val="22"/>
        </w:rPr>
        <w:t>krizov</w:t>
      </w:r>
      <w:r w:rsidR="00D66439">
        <w:rPr>
          <w:sz w:val="22"/>
          <w:szCs w:val="22"/>
        </w:rPr>
        <w:t>ý</w:t>
      </w:r>
      <w:r w:rsidRPr="00BB5797">
        <w:rPr>
          <w:sz w:val="22"/>
          <w:szCs w:val="22"/>
        </w:rPr>
        <w:t xml:space="preserve"> plán doplněn o další 2 rizika</w:t>
      </w:r>
    </w:p>
    <w:p w:rsidR="00BB5797" w:rsidRPr="00BB5797" w:rsidRDefault="009656BD" w:rsidP="00BB5797">
      <w:pPr>
        <w:pStyle w:val="Odstavecseseznamem"/>
        <w:numPr>
          <w:ilvl w:val="0"/>
          <w:numId w:val="39"/>
        </w:numPr>
        <w:jc w:val="both"/>
        <w:rPr>
          <w:rFonts w:ascii="Times New Roman" w:hAnsi="Times New Roman"/>
        </w:rPr>
      </w:pPr>
      <w:r>
        <w:rPr>
          <w:rFonts w:ascii="Times New Roman" w:hAnsi="Times New Roman"/>
        </w:rPr>
        <w:t>n</w:t>
      </w:r>
      <w:r w:rsidR="00BB5797" w:rsidRPr="00BB5797">
        <w:rPr>
          <w:rFonts w:ascii="Times New Roman" w:hAnsi="Times New Roman"/>
        </w:rPr>
        <w:t>edokončení projektů včas</w:t>
      </w:r>
      <w:r>
        <w:rPr>
          <w:rFonts w:ascii="Times New Roman" w:hAnsi="Times New Roman"/>
        </w:rPr>
        <w:t>,</w:t>
      </w:r>
      <w:r w:rsidR="00BB5797" w:rsidRPr="00BB5797">
        <w:rPr>
          <w:rFonts w:ascii="Times New Roman" w:hAnsi="Times New Roman"/>
        </w:rPr>
        <w:t xml:space="preserve"> </w:t>
      </w:r>
    </w:p>
    <w:p w:rsidR="00BB5797" w:rsidRPr="00BB5797" w:rsidRDefault="009656BD" w:rsidP="00BB5797">
      <w:pPr>
        <w:pStyle w:val="Odstavecseseznamem"/>
        <w:numPr>
          <w:ilvl w:val="0"/>
          <w:numId w:val="39"/>
        </w:numPr>
        <w:jc w:val="both"/>
        <w:rPr>
          <w:rFonts w:ascii="Times New Roman" w:hAnsi="Times New Roman"/>
        </w:rPr>
      </w:pPr>
      <w:r>
        <w:rPr>
          <w:rFonts w:ascii="Times New Roman" w:hAnsi="Times New Roman"/>
        </w:rPr>
        <w:t>n</w:t>
      </w:r>
      <w:r w:rsidR="00BB5797" w:rsidRPr="00BB5797">
        <w:rPr>
          <w:rFonts w:ascii="Times New Roman" w:hAnsi="Times New Roman"/>
        </w:rPr>
        <w:t>euzavřené audity Evropské komise</w:t>
      </w:r>
      <w:r>
        <w:rPr>
          <w:rFonts w:ascii="Times New Roman" w:hAnsi="Times New Roman"/>
        </w:rPr>
        <w:t>.</w:t>
      </w:r>
    </w:p>
    <w:p w:rsidR="00BB5797" w:rsidRPr="00BB5797" w:rsidRDefault="00BB5797" w:rsidP="00BB5797">
      <w:pPr>
        <w:jc w:val="both"/>
        <w:rPr>
          <w:sz w:val="22"/>
          <w:szCs w:val="22"/>
        </w:rPr>
      </w:pPr>
      <w:r w:rsidRPr="00BB5797">
        <w:rPr>
          <w:sz w:val="22"/>
          <w:szCs w:val="22"/>
        </w:rPr>
        <w:t>Plnění krizového plánu, resp. opatření k eliminaci identifikovaných rizik</w:t>
      </w:r>
      <w:r w:rsidR="009656BD">
        <w:rPr>
          <w:sz w:val="22"/>
          <w:szCs w:val="22"/>
        </w:rPr>
        <w:t>,</w:t>
      </w:r>
      <w:r w:rsidRPr="00BB5797">
        <w:rPr>
          <w:sz w:val="22"/>
          <w:szCs w:val="22"/>
        </w:rPr>
        <w:t xml:space="preserve"> </w:t>
      </w:r>
      <w:r w:rsidR="009656BD" w:rsidRPr="00BB5797">
        <w:rPr>
          <w:sz w:val="22"/>
          <w:szCs w:val="22"/>
        </w:rPr>
        <w:t xml:space="preserve">ŘO IOP </w:t>
      </w:r>
      <w:r w:rsidRPr="00BB5797">
        <w:rPr>
          <w:sz w:val="22"/>
          <w:szCs w:val="22"/>
        </w:rPr>
        <w:t xml:space="preserve">vykazuje NOK stejně jako v roce 2014 prostřednictvím měsíčních reportů.   </w:t>
      </w:r>
    </w:p>
    <w:p w:rsidR="00BB5797" w:rsidRPr="00BB5797" w:rsidRDefault="00BB5797" w:rsidP="00BB5797">
      <w:pPr>
        <w:jc w:val="both"/>
        <w:rPr>
          <w:sz w:val="22"/>
          <w:szCs w:val="22"/>
        </w:rPr>
      </w:pPr>
      <w:r w:rsidRPr="00BB5797">
        <w:rPr>
          <w:sz w:val="22"/>
          <w:szCs w:val="22"/>
        </w:rPr>
        <w:t>Seznam opatření, stanovených </w:t>
      </w:r>
      <w:r w:rsidR="009656BD">
        <w:rPr>
          <w:sz w:val="22"/>
          <w:szCs w:val="22"/>
        </w:rPr>
        <w:t xml:space="preserve">v </w:t>
      </w:r>
      <w:r w:rsidRPr="00BB5797">
        <w:rPr>
          <w:sz w:val="22"/>
          <w:szCs w:val="22"/>
        </w:rPr>
        <w:t xml:space="preserve">UV 124/2015, je uvedený v příloze </w:t>
      </w:r>
      <w:r w:rsidRPr="00177836">
        <w:rPr>
          <w:sz w:val="22"/>
          <w:szCs w:val="22"/>
        </w:rPr>
        <w:t>č</w:t>
      </w:r>
      <w:r w:rsidR="00620855" w:rsidRPr="00177836">
        <w:rPr>
          <w:sz w:val="22"/>
          <w:szCs w:val="22"/>
        </w:rPr>
        <w:t>. 2</w:t>
      </w:r>
      <w:r w:rsidR="00997B90">
        <w:rPr>
          <w:sz w:val="22"/>
          <w:szCs w:val="22"/>
        </w:rPr>
        <w:t>.</w:t>
      </w:r>
    </w:p>
    <w:p w:rsidR="0047784B" w:rsidRPr="0047784B" w:rsidRDefault="0047784B" w:rsidP="0047784B"/>
    <w:p w:rsidR="00B23AFC" w:rsidRDefault="00D104E7" w:rsidP="00B23AFC">
      <w:pPr>
        <w:pStyle w:val="Nadpis3"/>
        <w:rPr>
          <w:rFonts w:ascii="Times New Roman" w:hAnsi="Times New Roman"/>
          <w:sz w:val="24"/>
          <w:szCs w:val="24"/>
        </w:rPr>
      </w:pPr>
      <w:bookmarkStart w:id="33" w:name="_Toc433873473"/>
      <w:r>
        <w:rPr>
          <w:rFonts w:ascii="Times New Roman" w:hAnsi="Times New Roman"/>
          <w:sz w:val="24"/>
          <w:szCs w:val="24"/>
        </w:rPr>
        <w:t>2.4.</w:t>
      </w:r>
      <w:r w:rsidR="008967E2">
        <w:rPr>
          <w:rFonts w:ascii="Times New Roman" w:hAnsi="Times New Roman"/>
          <w:sz w:val="24"/>
          <w:szCs w:val="24"/>
        </w:rPr>
        <w:t>7</w:t>
      </w:r>
      <w:r w:rsidR="00B23AFC" w:rsidRPr="00B23AFC">
        <w:rPr>
          <w:rFonts w:ascii="Times New Roman" w:hAnsi="Times New Roman"/>
          <w:sz w:val="24"/>
          <w:szCs w:val="24"/>
        </w:rPr>
        <w:t xml:space="preserve"> Metodika finančních toků v souvislosti s výkonem auditu AO</w:t>
      </w:r>
      <w:bookmarkEnd w:id="33"/>
    </w:p>
    <w:p w:rsidR="00F92900" w:rsidRDefault="00F92900" w:rsidP="00F92900">
      <w:pPr>
        <w:jc w:val="both"/>
        <w:rPr>
          <w:sz w:val="22"/>
          <w:szCs w:val="22"/>
        </w:rPr>
      </w:pPr>
      <w:r w:rsidRPr="00AB457A">
        <w:rPr>
          <w:sz w:val="22"/>
          <w:szCs w:val="22"/>
        </w:rPr>
        <w:t xml:space="preserve">ŘO IOP </w:t>
      </w:r>
      <w:r>
        <w:rPr>
          <w:sz w:val="22"/>
          <w:szCs w:val="22"/>
        </w:rPr>
        <w:t xml:space="preserve">a ZS IOP </w:t>
      </w:r>
      <w:r w:rsidRPr="00AB457A">
        <w:rPr>
          <w:sz w:val="22"/>
          <w:szCs w:val="22"/>
        </w:rPr>
        <w:t>dlouhodobě poukazuj</w:t>
      </w:r>
      <w:r>
        <w:rPr>
          <w:sz w:val="22"/>
          <w:szCs w:val="22"/>
        </w:rPr>
        <w:t>í</w:t>
      </w:r>
      <w:r w:rsidRPr="00AB457A">
        <w:rPr>
          <w:sz w:val="22"/>
          <w:szCs w:val="22"/>
        </w:rPr>
        <w:t xml:space="preserve"> na některá nevhodně nastavená ustanovení Metodiky finančních toků a kontroly programů spolufinancovaných ze strukturálních fondů, Fondu soudržnosti </w:t>
      </w:r>
      <w:r>
        <w:rPr>
          <w:sz w:val="22"/>
          <w:szCs w:val="22"/>
        </w:rPr>
        <w:br/>
      </w:r>
      <w:r w:rsidRPr="00AB457A">
        <w:rPr>
          <w:sz w:val="22"/>
          <w:szCs w:val="22"/>
        </w:rPr>
        <w:t>a Evropského rybářského fondu na programovací období 2007 - 2013 (dále jen „Metodika“). Jedná se zejména o nesrovnalosti, kter</w:t>
      </w:r>
      <w:r>
        <w:rPr>
          <w:sz w:val="22"/>
          <w:szCs w:val="22"/>
        </w:rPr>
        <w:t>é</w:t>
      </w:r>
      <w:r w:rsidRPr="00AB457A">
        <w:rPr>
          <w:sz w:val="22"/>
          <w:szCs w:val="22"/>
        </w:rPr>
        <w:t xml:space="preserve"> vyplýv</w:t>
      </w:r>
      <w:r>
        <w:rPr>
          <w:sz w:val="22"/>
          <w:szCs w:val="22"/>
        </w:rPr>
        <w:t>ají</w:t>
      </w:r>
      <w:r w:rsidRPr="00AB457A">
        <w:rPr>
          <w:sz w:val="22"/>
          <w:szCs w:val="22"/>
        </w:rPr>
        <w:t xml:space="preserve"> z finální auditní zprávy AO (EK, EÚD, kontroly PCO) </w:t>
      </w:r>
      <w:r>
        <w:rPr>
          <w:sz w:val="22"/>
          <w:szCs w:val="22"/>
        </w:rPr>
        <w:t xml:space="preserve">a </w:t>
      </w:r>
      <w:r w:rsidRPr="00AB457A">
        <w:rPr>
          <w:sz w:val="22"/>
          <w:szCs w:val="22"/>
        </w:rPr>
        <w:t xml:space="preserve">vždy </w:t>
      </w:r>
      <w:r>
        <w:rPr>
          <w:sz w:val="22"/>
          <w:szCs w:val="22"/>
        </w:rPr>
        <w:t>znamenají</w:t>
      </w:r>
      <w:r w:rsidRPr="00AB457A">
        <w:rPr>
          <w:sz w:val="22"/>
          <w:szCs w:val="22"/>
        </w:rPr>
        <w:t xml:space="preserve"> potvrzenou nesrovnalost</w:t>
      </w:r>
      <w:r>
        <w:rPr>
          <w:sz w:val="22"/>
          <w:szCs w:val="22"/>
        </w:rPr>
        <w:t>. Potvrzená nesrovnalost je předána OFS jako podezření na porušení rozpočtové kázně.</w:t>
      </w:r>
      <w:r w:rsidRPr="00AB457A">
        <w:rPr>
          <w:sz w:val="22"/>
          <w:szCs w:val="22"/>
        </w:rPr>
        <w:t xml:space="preserve"> </w:t>
      </w:r>
    </w:p>
    <w:p w:rsidR="00F92900" w:rsidRDefault="00F92900" w:rsidP="00F92900">
      <w:pPr>
        <w:jc w:val="both"/>
        <w:rPr>
          <w:sz w:val="22"/>
          <w:szCs w:val="22"/>
        </w:rPr>
      </w:pPr>
    </w:p>
    <w:p w:rsidR="00F92900" w:rsidRDefault="00F92900" w:rsidP="00F92900">
      <w:pPr>
        <w:jc w:val="both"/>
        <w:rPr>
          <w:sz w:val="22"/>
          <w:szCs w:val="22"/>
        </w:rPr>
      </w:pPr>
      <w:r w:rsidRPr="00AB457A">
        <w:rPr>
          <w:sz w:val="22"/>
          <w:szCs w:val="22"/>
        </w:rPr>
        <w:t xml:space="preserve">V případě, že </w:t>
      </w:r>
      <w:r>
        <w:rPr>
          <w:sz w:val="22"/>
          <w:szCs w:val="22"/>
        </w:rPr>
        <w:t xml:space="preserve">OFS </w:t>
      </w:r>
      <w:r w:rsidRPr="00AB457A">
        <w:rPr>
          <w:sz w:val="22"/>
          <w:szCs w:val="22"/>
        </w:rPr>
        <w:t xml:space="preserve">nezjistí porušení rozpočtové kázně </w:t>
      </w:r>
      <w:r>
        <w:rPr>
          <w:sz w:val="22"/>
          <w:szCs w:val="22"/>
        </w:rPr>
        <w:t>a</w:t>
      </w:r>
      <w:r w:rsidRPr="00AB457A">
        <w:rPr>
          <w:sz w:val="22"/>
          <w:szCs w:val="22"/>
        </w:rPr>
        <w:t xml:space="preserve"> nestanoví odvod či zjistí porušení rozpočtové kázně a </w:t>
      </w:r>
      <w:r>
        <w:rPr>
          <w:sz w:val="22"/>
          <w:szCs w:val="22"/>
        </w:rPr>
        <w:t>stanoví</w:t>
      </w:r>
      <w:r w:rsidRPr="00AB457A">
        <w:rPr>
          <w:sz w:val="22"/>
          <w:szCs w:val="22"/>
        </w:rPr>
        <w:t xml:space="preserve"> odvod</w:t>
      </w:r>
      <w:r>
        <w:rPr>
          <w:sz w:val="22"/>
          <w:szCs w:val="22"/>
        </w:rPr>
        <w:t xml:space="preserve"> n</w:t>
      </w:r>
      <w:r w:rsidRPr="00AB457A">
        <w:rPr>
          <w:sz w:val="22"/>
          <w:szCs w:val="22"/>
        </w:rPr>
        <w:t>ižší</w:t>
      </w:r>
      <w:r>
        <w:rPr>
          <w:sz w:val="22"/>
          <w:szCs w:val="22"/>
        </w:rPr>
        <w:t>,</w:t>
      </w:r>
      <w:r w:rsidRPr="00AB457A">
        <w:rPr>
          <w:sz w:val="22"/>
          <w:szCs w:val="22"/>
        </w:rPr>
        <w:t xml:space="preserve"> než stanovuje auditní/kontrolní zpráva, měl by ŘO/ZS od příjemce finanční prostředky dotčené nesrovnalostí vymoci. ŘO/ZS však pro vymáhání finančních prostředků nemá oporu v zákoně č. 218/2000 Sb., o rozpočtových pravidlech</w:t>
      </w:r>
      <w:r>
        <w:rPr>
          <w:sz w:val="22"/>
          <w:szCs w:val="22"/>
        </w:rPr>
        <w:t>,</w:t>
      </w:r>
      <w:r w:rsidRPr="00AB457A">
        <w:rPr>
          <w:sz w:val="22"/>
          <w:szCs w:val="22"/>
        </w:rPr>
        <w:t xml:space="preserve"> ani v jiném zákoně. </w:t>
      </w:r>
      <w:r>
        <w:rPr>
          <w:sz w:val="22"/>
          <w:szCs w:val="22"/>
        </w:rPr>
        <w:t>Metodika další postup v obdobných případech také neřeší. P</w:t>
      </w:r>
      <w:r w:rsidRPr="00AB457A">
        <w:rPr>
          <w:sz w:val="22"/>
          <w:szCs w:val="22"/>
        </w:rPr>
        <w:t>okud finanční úřady nepotvrdí zjištění z auditních/kontrolních zpráv či je potvrdí v nižší výši, prostředky dotčené nesrovnalostí nejsou</w:t>
      </w:r>
      <w:r>
        <w:rPr>
          <w:sz w:val="22"/>
          <w:szCs w:val="22"/>
        </w:rPr>
        <w:t xml:space="preserve"> </w:t>
      </w:r>
      <w:r w:rsidRPr="00AB457A">
        <w:rPr>
          <w:sz w:val="22"/>
          <w:szCs w:val="22"/>
        </w:rPr>
        <w:t>vymahatelné po příjemcích dotace a jdou na vrub státní</w:t>
      </w:r>
      <w:r w:rsidR="009656BD">
        <w:rPr>
          <w:sz w:val="22"/>
          <w:szCs w:val="22"/>
        </w:rPr>
        <w:t>ho</w:t>
      </w:r>
      <w:r w:rsidRPr="00AB457A">
        <w:rPr>
          <w:sz w:val="22"/>
          <w:szCs w:val="22"/>
        </w:rPr>
        <w:t xml:space="preserve"> rozpočtu, což zbytečně zatěžuje veřejné finance.</w:t>
      </w:r>
    </w:p>
    <w:p w:rsidR="00F92900" w:rsidRDefault="00F92900" w:rsidP="00F92900">
      <w:pPr>
        <w:jc w:val="both"/>
        <w:rPr>
          <w:sz w:val="22"/>
          <w:szCs w:val="22"/>
        </w:rPr>
      </w:pPr>
    </w:p>
    <w:p w:rsidR="00F92900" w:rsidRDefault="00F92900" w:rsidP="00F92900">
      <w:pPr>
        <w:jc w:val="both"/>
        <w:rPr>
          <w:sz w:val="22"/>
          <w:szCs w:val="22"/>
        </w:rPr>
      </w:pPr>
      <w:r>
        <w:rPr>
          <w:sz w:val="22"/>
          <w:szCs w:val="22"/>
        </w:rPr>
        <w:t xml:space="preserve">Řešení uvedených situací má negativní vliv na realizaci programu, zatěžuje příjemce a administrativní kapacity programu a vede ke kumulaci požadavků </w:t>
      </w:r>
      <w:r w:rsidR="009656BD">
        <w:rPr>
          <w:sz w:val="22"/>
          <w:szCs w:val="22"/>
        </w:rPr>
        <w:t>na</w:t>
      </w:r>
      <w:r>
        <w:rPr>
          <w:sz w:val="22"/>
          <w:szCs w:val="22"/>
        </w:rPr>
        <w:t xml:space="preserve"> státní rozpoč</w:t>
      </w:r>
      <w:r w:rsidR="009656BD">
        <w:rPr>
          <w:sz w:val="22"/>
          <w:szCs w:val="22"/>
        </w:rPr>
        <w:t>e</w:t>
      </w:r>
      <w:r>
        <w:rPr>
          <w:sz w:val="22"/>
          <w:szCs w:val="22"/>
        </w:rPr>
        <w:t>t</w:t>
      </w:r>
    </w:p>
    <w:p w:rsidR="00F92900" w:rsidRPr="00F06450" w:rsidRDefault="00F92900" w:rsidP="00F06450"/>
    <w:p w:rsidR="00B55CE5" w:rsidRDefault="00C22F68" w:rsidP="00AC6B9B">
      <w:pPr>
        <w:pStyle w:val="Nadpis3"/>
        <w:rPr>
          <w:rFonts w:ascii="Times New Roman" w:hAnsi="Times New Roman"/>
          <w:sz w:val="24"/>
          <w:szCs w:val="24"/>
        </w:rPr>
      </w:pPr>
      <w:bookmarkStart w:id="34" w:name="_Toc433873474"/>
      <w:r>
        <w:rPr>
          <w:rFonts w:ascii="Times New Roman" w:hAnsi="Times New Roman"/>
          <w:sz w:val="24"/>
          <w:szCs w:val="24"/>
        </w:rPr>
        <w:t xml:space="preserve">2. 4. </w:t>
      </w:r>
      <w:r w:rsidR="008967E2">
        <w:rPr>
          <w:rFonts w:ascii="Times New Roman" w:hAnsi="Times New Roman"/>
          <w:sz w:val="24"/>
          <w:szCs w:val="24"/>
        </w:rPr>
        <w:t>8</w:t>
      </w:r>
      <w:r w:rsidR="00B55CE5" w:rsidRPr="005D785B">
        <w:rPr>
          <w:rFonts w:ascii="Times New Roman" w:hAnsi="Times New Roman"/>
          <w:sz w:val="24"/>
          <w:szCs w:val="24"/>
        </w:rPr>
        <w:t xml:space="preserve"> Varovný dopis</w:t>
      </w:r>
      <w:r w:rsidR="00997B90">
        <w:rPr>
          <w:rFonts w:ascii="Times New Roman" w:hAnsi="Times New Roman"/>
          <w:sz w:val="24"/>
          <w:szCs w:val="24"/>
        </w:rPr>
        <w:t xml:space="preserve"> EK</w:t>
      </w:r>
      <w:r w:rsidR="00B55CE5" w:rsidRPr="005D785B">
        <w:rPr>
          <w:rFonts w:ascii="Times New Roman" w:hAnsi="Times New Roman"/>
          <w:sz w:val="24"/>
          <w:szCs w:val="24"/>
        </w:rPr>
        <w:t xml:space="preserve"> k 10 </w:t>
      </w:r>
      <w:r w:rsidR="005D785B" w:rsidRPr="005D785B">
        <w:rPr>
          <w:rFonts w:ascii="Times New Roman" w:hAnsi="Times New Roman"/>
          <w:sz w:val="24"/>
          <w:szCs w:val="24"/>
        </w:rPr>
        <w:t>projektům</w:t>
      </w:r>
      <w:r w:rsidR="005D785B">
        <w:rPr>
          <w:rFonts w:ascii="Times New Roman" w:hAnsi="Times New Roman"/>
          <w:sz w:val="24"/>
          <w:szCs w:val="24"/>
        </w:rPr>
        <w:t xml:space="preserve"> v</w:t>
      </w:r>
      <w:r w:rsidR="005D785B" w:rsidRPr="005D785B">
        <w:rPr>
          <w:rFonts w:ascii="Times New Roman" w:hAnsi="Times New Roman"/>
          <w:sz w:val="24"/>
          <w:szCs w:val="24"/>
        </w:rPr>
        <w:t xml:space="preserve"> </w:t>
      </w:r>
      <w:r w:rsidR="00B55CE5" w:rsidRPr="005D785B">
        <w:rPr>
          <w:rFonts w:ascii="Times New Roman" w:hAnsi="Times New Roman"/>
          <w:sz w:val="24"/>
          <w:szCs w:val="24"/>
        </w:rPr>
        <w:t>oblasti intervence 2.1</w:t>
      </w:r>
      <w:bookmarkEnd w:id="34"/>
    </w:p>
    <w:p w:rsidR="001F0B13" w:rsidRDefault="004C6797" w:rsidP="00F06450">
      <w:pPr>
        <w:jc w:val="both"/>
        <w:rPr>
          <w:sz w:val="22"/>
          <w:szCs w:val="22"/>
        </w:rPr>
      </w:pPr>
      <w:r w:rsidRPr="00311546">
        <w:rPr>
          <w:sz w:val="22"/>
          <w:szCs w:val="22"/>
        </w:rPr>
        <w:t xml:space="preserve">EK </w:t>
      </w:r>
      <w:r>
        <w:rPr>
          <w:sz w:val="22"/>
          <w:szCs w:val="22"/>
        </w:rPr>
        <w:t>zaslala</w:t>
      </w:r>
      <w:r w:rsidRPr="00311546">
        <w:rPr>
          <w:sz w:val="22"/>
          <w:szCs w:val="22"/>
        </w:rPr>
        <w:t xml:space="preserve"> na ŘO IOP varovný dopis </w:t>
      </w:r>
      <w:r>
        <w:rPr>
          <w:sz w:val="22"/>
          <w:szCs w:val="22"/>
        </w:rPr>
        <w:t xml:space="preserve">k deseti projektům IT z oblasti 2.1, </w:t>
      </w:r>
      <w:r>
        <w:rPr>
          <w:sz w:val="22"/>
          <w:szCs w:val="22"/>
        </w:rPr>
        <w:br/>
        <w:t xml:space="preserve">č. j. </w:t>
      </w:r>
      <w:proofErr w:type="spellStart"/>
      <w:r w:rsidRPr="00311546">
        <w:rPr>
          <w:sz w:val="22"/>
          <w:szCs w:val="22"/>
        </w:rPr>
        <w:t>Ref</w:t>
      </w:r>
      <w:proofErr w:type="spellEnd"/>
      <w:r w:rsidRPr="00311546">
        <w:rPr>
          <w:sz w:val="22"/>
          <w:szCs w:val="22"/>
        </w:rPr>
        <w:t xml:space="preserve">. Ares(2014)3831088 - 18/11/2014, ve kterém </w:t>
      </w:r>
      <w:r w:rsidR="009656BD">
        <w:rPr>
          <w:sz w:val="22"/>
          <w:szCs w:val="22"/>
        </w:rPr>
        <w:t>oznamovala</w:t>
      </w:r>
      <w:r w:rsidRPr="00311546">
        <w:rPr>
          <w:sz w:val="22"/>
          <w:szCs w:val="22"/>
        </w:rPr>
        <w:t xml:space="preserve"> přerušení plateb podle článku 91(1) nařízení (</w:t>
      </w:r>
      <w:proofErr w:type="spellStart"/>
      <w:r w:rsidRPr="00311546">
        <w:rPr>
          <w:sz w:val="22"/>
          <w:szCs w:val="22"/>
        </w:rPr>
        <w:t>E</w:t>
      </w:r>
      <w:r w:rsidR="00997B90">
        <w:rPr>
          <w:sz w:val="22"/>
          <w:szCs w:val="22"/>
        </w:rPr>
        <w:t>k</w:t>
      </w:r>
      <w:proofErr w:type="spellEnd"/>
      <w:r w:rsidRPr="00311546">
        <w:rPr>
          <w:sz w:val="22"/>
          <w:szCs w:val="22"/>
        </w:rPr>
        <w:t>) 1083/2006 z důvodu policejního vyšetřování 10 projektů v</w:t>
      </w:r>
      <w:r w:rsidR="009656BD">
        <w:rPr>
          <w:sz w:val="22"/>
          <w:szCs w:val="22"/>
        </w:rPr>
        <w:t xml:space="preserve"> 6., 8. a 9. </w:t>
      </w:r>
      <w:r>
        <w:rPr>
          <w:sz w:val="22"/>
          <w:szCs w:val="22"/>
        </w:rPr>
        <w:t>výzv</w:t>
      </w:r>
      <w:r w:rsidR="009656BD">
        <w:rPr>
          <w:sz w:val="22"/>
          <w:szCs w:val="22"/>
        </w:rPr>
        <w:t>ě</w:t>
      </w:r>
      <w:r w:rsidR="00F06450">
        <w:rPr>
          <w:sz w:val="22"/>
          <w:szCs w:val="22"/>
        </w:rPr>
        <w:t>. EK</w:t>
      </w:r>
      <w:r w:rsidRPr="00311546">
        <w:rPr>
          <w:sz w:val="22"/>
          <w:szCs w:val="22"/>
        </w:rPr>
        <w:t xml:space="preserve"> informovala, že nebudou zpracovány žádné žádosti o platbu dotčených projektů do </w:t>
      </w:r>
      <w:r w:rsidR="009656BD">
        <w:rPr>
          <w:sz w:val="22"/>
          <w:szCs w:val="22"/>
        </w:rPr>
        <w:t>ukončení</w:t>
      </w:r>
      <w:r w:rsidR="00CF4B3E">
        <w:rPr>
          <w:sz w:val="22"/>
          <w:szCs w:val="22"/>
        </w:rPr>
        <w:t xml:space="preserve"> vyšetřování</w:t>
      </w:r>
      <w:r>
        <w:rPr>
          <w:sz w:val="22"/>
          <w:szCs w:val="22"/>
        </w:rPr>
        <w:t>.</w:t>
      </w:r>
      <w:r w:rsidR="00CF4B3E">
        <w:rPr>
          <w:sz w:val="22"/>
          <w:szCs w:val="22"/>
        </w:rPr>
        <w:t xml:space="preserve"> </w:t>
      </w:r>
      <w:r w:rsidR="00063A98">
        <w:rPr>
          <w:sz w:val="22"/>
          <w:szCs w:val="22"/>
        </w:rPr>
        <w:t xml:space="preserve">Následně obdržel ŘO informaci o dalším projektu, který je předmětem policejního šetření. Tuto informaci předal NOK dne 29. 5. 2015 EK. </w:t>
      </w:r>
    </w:p>
    <w:p w:rsidR="001F0B13" w:rsidRDefault="001F0B13" w:rsidP="00F06450">
      <w:pPr>
        <w:jc w:val="both"/>
        <w:rPr>
          <w:sz w:val="22"/>
          <w:szCs w:val="22"/>
        </w:rPr>
      </w:pPr>
    </w:p>
    <w:p w:rsidR="004C6797" w:rsidRPr="00F06450" w:rsidRDefault="00063A98" w:rsidP="00F06450">
      <w:pPr>
        <w:jc w:val="both"/>
      </w:pPr>
      <w:r>
        <w:rPr>
          <w:sz w:val="22"/>
          <w:szCs w:val="22"/>
        </w:rPr>
        <w:t xml:space="preserve">V současné chvíli je </w:t>
      </w:r>
      <w:r w:rsidR="000529B0">
        <w:rPr>
          <w:sz w:val="22"/>
          <w:szCs w:val="22"/>
        </w:rPr>
        <w:t xml:space="preserve">pozastavena certifikace </w:t>
      </w:r>
      <w:r w:rsidR="009656BD">
        <w:rPr>
          <w:sz w:val="22"/>
          <w:szCs w:val="22"/>
        </w:rPr>
        <w:t>výdajů pro</w:t>
      </w:r>
      <w:r w:rsidR="000529B0">
        <w:rPr>
          <w:sz w:val="22"/>
          <w:szCs w:val="22"/>
        </w:rPr>
        <w:t xml:space="preserve"> 11 p</w:t>
      </w:r>
      <w:r w:rsidR="00136784">
        <w:rPr>
          <w:sz w:val="22"/>
          <w:szCs w:val="22"/>
        </w:rPr>
        <w:t xml:space="preserve">rojektů z oblasti intervence </w:t>
      </w:r>
      <w:proofErr w:type="gramStart"/>
      <w:r w:rsidR="00404C3D">
        <w:rPr>
          <w:sz w:val="22"/>
          <w:szCs w:val="22"/>
        </w:rPr>
        <w:t>2.1</w:t>
      </w:r>
      <w:r w:rsidR="00B55AAC">
        <w:rPr>
          <w:sz w:val="22"/>
          <w:szCs w:val="22"/>
        </w:rPr>
        <w:t xml:space="preserve">. </w:t>
      </w:r>
      <w:r w:rsidR="001F0B13">
        <w:rPr>
          <w:sz w:val="22"/>
          <w:szCs w:val="22"/>
        </w:rPr>
        <w:t>ŘO</w:t>
      </w:r>
      <w:proofErr w:type="gramEnd"/>
      <w:r w:rsidR="001F0B13">
        <w:rPr>
          <w:sz w:val="22"/>
          <w:szCs w:val="22"/>
        </w:rPr>
        <w:t xml:space="preserve"> IOP ve spolupráci s PCO řeší další postup </w:t>
      </w:r>
      <w:r w:rsidR="004C151D">
        <w:rPr>
          <w:sz w:val="22"/>
          <w:szCs w:val="22"/>
        </w:rPr>
        <w:t xml:space="preserve">s cílem předejít ztrátě finančních prostředků v případě, že </w:t>
      </w:r>
      <w:r w:rsidR="006A2E19">
        <w:rPr>
          <w:sz w:val="22"/>
          <w:szCs w:val="22"/>
        </w:rPr>
        <w:t>podezření na spáchání trestného činu nebude potvrzeno</w:t>
      </w:r>
      <w:r w:rsidR="006D27BE">
        <w:rPr>
          <w:sz w:val="22"/>
          <w:szCs w:val="22"/>
        </w:rPr>
        <w:t>.</w:t>
      </w:r>
      <w:r w:rsidR="00922FE8">
        <w:rPr>
          <w:sz w:val="22"/>
          <w:szCs w:val="22"/>
        </w:rPr>
        <w:t xml:space="preserve"> </w:t>
      </w:r>
    </w:p>
    <w:p w:rsidR="00737E86" w:rsidRDefault="00C96C87" w:rsidP="005D785B">
      <w:pPr>
        <w:pStyle w:val="Nadpis3"/>
        <w:rPr>
          <w:rFonts w:ascii="Times New Roman" w:hAnsi="Times New Roman"/>
          <w:sz w:val="24"/>
          <w:szCs w:val="24"/>
        </w:rPr>
      </w:pPr>
      <w:bookmarkStart w:id="35" w:name="_Toc433873475"/>
      <w:r w:rsidRPr="005D785B">
        <w:rPr>
          <w:rFonts w:ascii="Times New Roman" w:hAnsi="Times New Roman"/>
          <w:sz w:val="24"/>
          <w:szCs w:val="24"/>
        </w:rPr>
        <w:t>2.</w:t>
      </w:r>
      <w:r>
        <w:rPr>
          <w:rFonts w:ascii="Times New Roman" w:hAnsi="Times New Roman"/>
          <w:sz w:val="24"/>
          <w:szCs w:val="24"/>
        </w:rPr>
        <w:t xml:space="preserve"> 4. </w:t>
      </w:r>
      <w:r w:rsidR="008967E2">
        <w:rPr>
          <w:rFonts w:ascii="Times New Roman" w:hAnsi="Times New Roman"/>
          <w:sz w:val="24"/>
          <w:szCs w:val="24"/>
        </w:rPr>
        <w:t xml:space="preserve">9 </w:t>
      </w:r>
      <w:r w:rsidR="004E2AF5" w:rsidRPr="005D785B">
        <w:rPr>
          <w:rFonts w:ascii="Times New Roman" w:hAnsi="Times New Roman"/>
          <w:sz w:val="24"/>
          <w:szCs w:val="24"/>
        </w:rPr>
        <w:t xml:space="preserve">Přerušení </w:t>
      </w:r>
      <w:r w:rsidR="00B55CE5" w:rsidRPr="005D785B">
        <w:rPr>
          <w:rFonts w:ascii="Times New Roman" w:hAnsi="Times New Roman"/>
          <w:sz w:val="24"/>
          <w:szCs w:val="24"/>
        </w:rPr>
        <w:t>plateb</w:t>
      </w:r>
      <w:r w:rsidR="004E2AF5" w:rsidRPr="005D785B">
        <w:rPr>
          <w:rFonts w:ascii="Times New Roman" w:hAnsi="Times New Roman"/>
          <w:sz w:val="24"/>
          <w:szCs w:val="24"/>
        </w:rPr>
        <w:t xml:space="preserve"> pro oblast</w:t>
      </w:r>
      <w:r w:rsidR="00737E86" w:rsidRPr="005D785B">
        <w:rPr>
          <w:rFonts w:ascii="Times New Roman" w:hAnsi="Times New Roman"/>
          <w:sz w:val="24"/>
          <w:szCs w:val="24"/>
        </w:rPr>
        <w:t xml:space="preserve"> intervence 5.1</w:t>
      </w:r>
      <w:bookmarkEnd w:id="35"/>
    </w:p>
    <w:p w:rsidR="002E53A6" w:rsidRDefault="002E53A6" w:rsidP="00823ABC">
      <w:pPr>
        <w:jc w:val="both"/>
        <w:rPr>
          <w:sz w:val="22"/>
          <w:szCs w:val="22"/>
        </w:rPr>
      </w:pPr>
      <w:r w:rsidRPr="005D785B">
        <w:rPr>
          <w:sz w:val="22"/>
          <w:szCs w:val="22"/>
        </w:rPr>
        <w:t>Dopisem ze dne</w:t>
      </w:r>
      <w:r>
        <w:rPr>
          <w:sz w:val="22"/>
          <w:szCs w:val="22"/>
        </w:rPr>
        <w:t xml:space="preserve"> 26. 3. 2015, č. j. </w:t>
      </w:r>
      <w:r w:rsidRPr="005D785B">
        <w:rPr>
          <w:sz w:val="22"/>
          <w:szCs w:val="22"/>
        </w:rPr>
        <w:t>Ares(2015)1337985</w:t>
      </w:r>
      <w:r w:rsidRPr="0072438B">
        <w:rPr>
          <w:sz w:val="22"/>
          <w:szCs w:val="22"/>
        </w:rPr>
        <w:t xml:space="preserve">, informovala EK </w:t>
      </w:r>
      <w:r w:rsidRPr="005D785B">
        <w:rPr>
          <w:sz w:val="22"/>
          <w:szCs w:val="22"/>
        </w:rPr>
        <w:t xml:space="preserve">o přerušení platební lhůty </w:t>
      </w:r>
      <w:r>
        <w:rPr>
          <w:sz w:val="22"/>
          <w:szCs w:val="22"/>
        </w:rPr>
        <w:br/>
      </w:r>
      <w:r w:rsidRPr="005D785B">
        <w:rPr>
          <w:sz w:val="22"/>
          <w:szCs w:val="22"/>
        </w:rPr>
        <w:t xml:space="preserve">v oblasti podpory 5.1. Důvodem </w:t>
      </w:r>
      <w:r>
        <w:rPr>
          <w:sz w:val="22"/>
          <w:szCs w:val="22"/>
        </w:rPr>
        <w:t>byly</w:t>
      </w:r>
      <w:r w:rsidRPr="005D785B">
        <w:rPr>
          <w:sz w:val="22"/>
          <w:szCs w:val="22"/>
        </w:rPr>
        <w:t xml:space="preserve"> nedostatky systémového charakteru</w:t>
      </w:r>
      <w:r>
        <w:rPr>
          <w:sz w:val="22"/>
          <w:szCs w:val="22"/>
        </w:rPr>
        <w:t>,</w:t>
      </w:r>
      <w:r w:rsidRPr="005D785B">
        <w:rPr>
          <w:sz w:val="22"/>
          <w:szCs w:val="22"/>
        </w:rPr>
        <w:t xml:space="preserve"> identifikované auditem systému 2013, který na Zprostředkujícím subjektu Ministerstvo kultury vykonal Auditní orgán Ministerstva financí.</w:t>
      </w:r>
      <w:r>
        <w:rPr>
          <w:sz w:val="22"/>
          <w:szCs w:val="22"/>
        </w:rPr>
        <w:t xml:space="preserve"> </w:t>
      </w:r>
    </w:p>
    <w:p w:rsidR="002E53A6" w:rsidRDefault="002E53A6">
      <w:pPr>
        <w:jc w:val="both"/>
        <w:rPr>
          <w:sz w:val="22"/>
          <w:szCs w:val="22"/>
        </w:rPr>
      </w:pPr>
    </w:p>
    <w:p w:rsidR="002E53A6" w:rsidRPr="00F06450" w:rsidRDefault="002E53A6" w:rsidP="00A90A2B">
      <w:pPr>
        <w:jc w:val="both"/>
        <w:rPr>
          <w:sz w:val="22"/>
          <w:szCs w:val="22"/>
        </w:rPr>
      </w:pPr>
      <w:r>
        <w:rPr>
          <w:sz w:val="22"/>
          <w:szCs w:val="22"/>
        </w:rPr>
        <w:t>CRR</w:t>
      </w:r>
      <w:r w:rsidRPr="005D785B">
        <w:rPr>
          <w:sz w:val="22"/>
          <w:szCs w:val="22"/>
        </w:rPr>
        <w:t xml:space="preserve"> </w:t>
      </w:r>
      <w:r w:rsidR="00A934B8">
        <w:rPr>
          <w:sz w:val="22"/>
          <w:szCs w:val="22"/>
        </w:rPr>
        <w:t>vložilo do IS Monit7+ kontrolní listy z kontrol veřejných zakázek</w:t>
      </w:r>
      <w:r w:rsidR="009656BD">
        <w:rPr>
          <w:sz w:val="22"/>
          <w:szCs w:val="22"/>
        </w:rPr>
        <w:t>, které</w:t>
      </w:r>
      <w:r w:rsidR="00A934B8">
        <w:rPr>
          <w:sz w:val="22"/>
          <w:szCs w:val="22"/>
        </w:rPr>
        <w:t xml:space="preserve"> proved</w:t>
      </w:r>
      <w:r w:rsidR="009656BD">
        <w:rPr>
          <w:sz w:val="22"/>
          <w:szCs w:val="22"/>
        </w:rPr>
        <w:t>l</w:t>
      </w:r>
      <w:r w:rsidR="00A934B8">
        <w:rPr>
          <w:sz w:val="22"/>
          <w:szCs w:val="22"/>
        </w:rPr>
        <w:t xml:space="preserve"> ZS MK</w:t>
      </w:r>
      <w:r w:rsidR="009656BD">
        <w:rPr>
          <w:sz w:val="22"/>
          <w:szCs w:val="22"/>
        </w:rPr>
        <w:t xml:space="preserve"> </w:t>
      </w:r>
      <w:r w:rsidR="007D66D0">
        <w:rPr>
          <w:sz w:val="22"/>
          <w:szCs w:val="22"/>
        </w:rPr>
        <w:br/>
      </w:r>
      <w:r w:rsidR="00A934B8">
        <w:rPr>
          <w:sz w:val="22"/>
          <w:szCs w:val="22"/>
        </w:rPr>
        <w:t xml:space="preserve">a </w:t>
      </w:r>
      <w:r>
        <w:rPr>
          <w:sz w:val="22"/>
          <w:szCs w:val="22"/>
        </w:rPr>
        <w:t xml:space="preserve">provedlo </w:t>
      </w:r>
      <w:r w:rsidR="009656BD">
        <w:rPr>
          <w:sz w:val="22"/>
          <w:szCs w:val="22"/>
        </w:rPr>
        <w:t xml:space="preserve">opakovanou </w:t>
      </w:r>
      <w:r>
        <w:rPr>
          <w:sz w:val="22"/>
          <w:szCs w:val="22"/>
        </w:rPr>
        <w:t>kontrolu veřejných zakázek, ke kterým se kontrolní list</w:t>
      </w:r>
      <w:r w:rsidR="00A934B8">
        <w:rPr>
          <w:sz w:val="22"/>
          <w:szCs w:val="22"/>
        </w:rPr>
        <w:t>y</w:t>
      </w:r>
      <w:r>
        <w:rPr>
          <w:sz w:val="22"/>
          <w:szCs w:val="22"/>
        </w:rPr>
        <w:t xml:space="preserve"> z kontroly ZS MK</w:t>
      </w:r>
      <w:r w:rsidR="00A934B8">
        <w:rPr>
          <w:sz w:val="22"/>
          <w:szCs w:val="22"/>
        </w:rPr>
        <w:t xml:space="preserve"> nedochovaly.</w:t>
      </w:r>
      <w:r>
        <w:rPr>
          <w:sz w:val="22"/>
          <w:szCs w:val="22"/>
        </w:rPr>
        <w:t xml:space="preserve"> Ostatní nápravná opatření, která požadovala EK, ŘO IOP a CRR splnily na základě auditu systému IOP 2013. ŘO IOP</w:t>
      </w:r>
      <w:r w:rsidR="00A934B8">
        <w:rPr>
          <w:sz w:val="22"/>
          <w:szCs w:val="22"/>
        </w:rPr>
        <w:t xml:space="preserve"> předal </w:t>
      </w:r>
      <w:r w:rsidR="009656BD">
        <w:rPr>
          <w:sz w:val="22"/>
          <w:szCs w:val="22"/>
        </w:rPr>
        <w:t xml:space="preserve">AO </w:t>
      </w:r>
      <w:r w:rsidR="00A934B8">
        <w:rPr>
          <w:sz w:val="22"/>
          <w:szCs w:val="22"/>
        </w:rPr>
        <w:t xml:space="preserve">dne 22. 6. 2015 </w:t>
      </w:r>
      <w:r>
        <w:rPr>
          <w:sz w:val="22"/>
          <w:szCs w:val="22"/>
        </w:rPr>
        <w:t>souhrnné informace o splnění nápravných opatření</w:t>
      </w:r>
      <w:r w:rsidR="00A934B8">
        <w:rPr>
          <w:sz w:val="22"/>
          <w:szCs w:val="22"/>
        </w:rPr>
        <w:t>.</w:t>
      </w:r>
      <w:r w:rsidR="009C5385">
        <w:rPr>
          <w:sz w:val="22"/>
          <w:szCs w:val="22"/>
        </w:rPr>
        <w:t xml:space="preserve"> </w:t>
      </w:r>
      <w:r w:rsidR="007E09FB">
        <w:rPr>
          <w:sz w:val="22"/>
          <w:szCs w:val="22"/>
        </w:rPr>
        <w:t>Ten</w:t>
      </w:r>
      <w:r w:rsidR="00A934B8">
        <w:rPr>
          <w:sz w:val="22"/>
          <w:szCs w:val="22"/>
        </w:rPr>
        <w:t xml:space="preserve"> </w:t>
      </w:r>
      <w:r w:rsidR="00A90A2B">
        <w:rPr>
          <w:sz w:val="22"/>
          <w:szCs w:val="22"/>
        </w:rPr>
        <w:t>je prověřil</w:t>
      </w:r>
      <w:r w:rsidR="00823ABC">
        <w:rPr>
          <w:sz w:val="22"/>
          <w:szCs w:val="22"/>
        </w:rPr>
        <w:t xml:space="preserve"> a potvrdil jejich adekvátnost.</w:t>
      </w:r>
      <w:r w:rsidR="00A953EE">
        <w:rPr>
          <w:sz w:val="22"/>
          <w:szCs w:val="22"/>
        </w:rPr>
        <w:t xml:space="preserve"> </w:t>
      </w:r>
      <w:r w:rsidR="00A90A2B">
        <w:rPr>
          <w:sz w:val="22"/>
          <w:szCs w:val="22"/>
        </w:rPr>
        <w:t xml:space="preserve">Opakovanými </w:t>
      </w:r>
      <w:r w:rsidR="00A953EE">
        <w:rPr>
          <w:sz w:val="22"/>
          <w:szCs w:val="22"/>
        </w:rPr>
        <w:t>kontrolami veřejných zakázek byl</w:t>
      </w:r>
      <w:r w:rsidR="00934CE9">
        <w:rPr>
          <w:sz w:val="22"/>
          <w:szCs w:val="22"/>
        </w:rPr>
        <w:t>a zjištěna pochybení příjemců v</w:t>
      </w:r>
      <w:r w:rsidR="00A90A2B">
        <w:rPr>
          <w:sz w:val="22"/>
          <w:szCs w:val="22"/>
        </w:rPr>
        <w:t>e</w:t>
      </w:r>
      <w:r w:rsidR="00934CE9">
        <w:rPr>
          <w:sz w:val="22"/>
          <w:szCs w:val="22"/>
        </w:rPr>
        <w:t> výši 41 401 896,</w:t>
      </w:r>
      <w:r w:rsidR="00931E4A">
        <w:rPr>
          <w:sz w:val="22"/>
          <w:szCs w:val="22"/>
        </w:rPr>
        <w:t>15 Kč. Případné korekce budou uloženy při probíhajících auditech operací</w:t>
      </w:r>
      <w:r w:rsidR="00A90A2B">
        <w:rPr>
          <w:sz w:val="22"/>
          <w:szCs w:val="22"/>
        </w:rPr>
        <w:t xml:space="preserve"> nebo</w:t>
      </w:r>
      <w:r w:rsidR="00931E4A">
        <w:rPr>
          <w:sz w:val="22"/>
          <w:szCs w:val="22"/>
        </w:rPr>
        <w:t xml:space="preserve"> při veřejnosprávních kontrolách ŘO IOP.</w:t>
      </w:r>
      <w:r w:rsidR="00E24C66">
        <w:rPr>
          <w:sz w:val="22"/>
          <w:szCs w:val="22"/>
        </w:rPr>
        <w:t xml:space="preserve"> Dne 31. 7. 2015 byla odeslána reakce ČR</w:t>
      </w:r>
      <w:r w:rsidR="00581456">
        <w:rPr>
          <w:sz w:val="22"/>
          <w:szCs w:val="22"/>
        </w:rPr>
        <w:t xml:space="preserve"> s</w:t>
      </w:r>
      <w:r w:rsidR="00A90A2B">
        <w:rPr>
          <w:sz w:val="22"/>
          <w:szCs w:val="22"/>
        </w:rPr>
        <w:t> </w:t>
      </w:r>
      <w:r w:rsidR="00581456">
        <w:rPr>
          <w:sz w:val="22"/>
          <w:szCs w:val="22"/>
        </w:rPr>
        <w:t>informací</w:t>
      </w:r>
      <w:r w:rsidR="00A90A2B">
        <w:rPr>
          <w:sz w:val="22"/>
          <w:szCs w:val="22"/>
        </w:rPr>
        <w:t xml:space="preserve"> </w:t>
      </w:r>
      <w:r w:rsidR="00581456">
        <w:rPr>
          <w:sz w:val="22"/>
          <w:szCs w:val="22"/>
        </w:rPr>
        <w:t xml:space="preserve">o přijatých nápravných opatřeních, na základě které EK dopisem ze dne 10. 9. 2015, </w:t>
      </w:r>
      <w:proofErr w:type="gramStart"/>
      <w:r w:rsidR="00581456">
        <w:rPr>
          <w:sz w:val="22"/>
          <w:szCs w:val="22"/>
        </w:rPr>
        <w:t>č.j.</w:t>
      </w:r>
      <w:proofErr w:type="gramEnd"/>
      <w:r w:rsidR="00581456">
        <w:rPr>
          <w:sz w:val="22"/>
          <w:szCs w:val="22"/>
        </w:rPr>
        <w:t xml:space="preserve"> </w:t>
      </w:r>
      <w:r w:rsidR="00581456" w:rsidRPr="00F06450">
        <w:rPr>
          <w:sz w:val="22"/>
          <w:szCs w:val="22"/>
        </w:rPr>
        <w:t>Ares(2015)3740120</w:t>
      </w:r>
      <w:r w:rsidR="00581456">
        <w:rPr>
          <w:sz w:val="22"/>
          <w:szCs w:val="22"/>
        </w:rPr>
        <w:t xml:space="preserve">, platební lhůtu pro oblast podpory </w:t>
      </w:r>
      <w:r w:rsidR="00C17494">
        <w:rPr>
          <w:sz w:val="22"/>
          <w:szCs w:val="22"/>
        </w:rPr>
        <w:br/>
      </w:r>
      <w:r w:rsidR="00581456">
        <w:rPr>
          <w:sz w:val="22"/>
          <w:szCs w:val="22"/>
        </w:rPr>
        <w:t>5.1 obnovila</w:t>
      </w:r>
      <w:r w:rsidR="00823ABC">
        <w:rPr>
          <w:sz w:val="22"/>
          <w:szCs w:val="22"/>
        </w:rPr>
        <w:t>.</w:t>
      </w:r>
    </w:p>
    <w:p w:rsidR="00E13080" w:rsidRPr="00F06450" w:rsidRDefault="00E13080" w:rsidP="008967E2">
      <w:pPr>
        <w:jc w:val="both"/>
      </w:pPr>
    </w:p>
    <w:p w:rsidR="00442BB8" w:rsidRPr="000C7A5C" w:rsidRDefault="00520FB1" w:rsidP="000C7A5C">
      <w:pPr>
        <w:pStyle w:val="Nadpis3"/>
        <w:rPr>
          <w:rFonts w:ascii="Times New Roman" w:hAnsi="Times New Roman"/>
          <w:sz w:val="24"/>
          <w:szCs w:val="24"/>
        </w:rPr>
      </w:pPr>
      <w:bookmarkStart w:id="36" w:name="_Ref430935563"/>
      <w:bookmarkStart w:id="37" w:name="_Toc433873476"/>
      <w:r w:rsidRPr="00F06450">
        <w:rPr>
          <w:rFonts w:ascii="Times New Roman" w:hAnsi="Times New Roman"/>
          <w:sz w:val="24"/>
          <w:szCs w:val="24"/>
        </w:rPr>
        <w:t>2. 4. 1</w:t>
      </w:r>
      <w:r w:rsidR="008967E2">
        <w:rPr>
          <w:rFonts w:ascii="Times New Roman" w:hAnsi="Times New Roman"/>
          <w:sz w:val="24"/>
          <w:szCs w:val="24"/>
        </w:rPr>
        <w:t>0</w:t>
      </w:r>
      <w:r w:rsidRPr="00F06450">
        <w:rPr>
          <w:rFonts w:ascii="Times New Roman" w:hAnsi="Times New Roman"/>
          <w:sz w:val="24"/>
          <w:szCs w:val="24"/>
        </w:rPr>
        <w:t xml:space="preserve"> Horizontální audit ICT projektů</w:t>
      </w:r>
      <w:bookmarkEnd w:id="36"/>
      <w:bookmarkEnd w:id="37"/>
    </w:p>
    <w:p w:rsidR="00520FB1" w:rsidRPr="0067695E" w:rsidRDefault="00442BB8" w:rsidP="0067695E">
      <w:pPr>
        <w:jc w:val="both"/>
        <w:rPr>
          <w:sz w:val="22"/>
          <w:szCs w:val="22"/>
        </w:rPr>
      </w:pPr>
      <w:r w:rsidRPr="00F06450">
        <w:rPr>
          <w:sz w:val="22"/>
          <w:szCs w:val="22"/>
        </w:rPr>
        <w:t xml:space="preserve">AO </w:t>
      </w:r>
      <w:r w:rsidR="004800CE">
        <w:rPr>
          <w:sz w:val="22"/>
          <w:szCs w:val="22"/>
        </w:rPr>
        <w:t xml:space="preserve">zahájil dne 3. 2. 2015 u ŘO IOP mimořádný </w:t>
      </w:r>
      <w:r w:rsidR="005777A7">
        <w:rPr>
          <w:sz w:val="22"/>
          <w:szCs w:val="22"/>
        </w:rPr>
        <w:t>audit systému s názvem „</w:t>
      </w:r>
      <w:r w:rsidR="004800CE">
        <w:rPr>
          <w:sz w:val="22"/>
          <w:szCs w:val="22"/>
        </w:rPr>
        <w:t>Audit oblasti IT projektů prioritní osy 1 Integrovaného operačního programu</w:t>
      </w:r>
      <w:r w:rsidR="005777A7">
        <w:rPr>
          <w:sz w:val="22"/>
          <w:szCs w:val="22"/>
        </w:rPr>
        <w:t xml:space="preserve">“, který je zaměřen na ověření existence </w:t>
      </w:r>
      <w:r w:rsidR="00177836">
        <w:rPr>
          <w:sz w:val="22"/>
          <w:szCs w:val="22"/>
        </w:rPr>
        <w:br/>
      </w:r>
      <w:r w:rsidR="005777A7">
        <w:rPr>
          <w:sz w:val="22"/>
          <w:szCs w:val="22"/>
        </w:rPr>
        <w:t xml:space="preserve">a správného zaměření strategie investic do IT projektů prioritní </w:t>
      </w:r>
      <w:r w:rsidR="00136784">
        <w:rPr>
          <w:sz w:val="22"/>
          <w:szCs w:val="22"/>
        </w:rPr>
        <w:t>osy 1, způsobilosti</w:t>
      </w:r>
      <w:r w:rsidR="005777A7">
        <w:rPr>
          <w:sz w:val="22"/>
          <w:szCs w:val="22"/>
        </w:rPr>
        <w:t xml:space="preserve"> vynaložených výdajů, dodržení pravidel 3E (účelné, hospodárné a efektivní vynakládání veřejných prostředků) </w:t>
      </w:r>
      <w:r w:rsidR="00177836">
        <w:rPr>
          <w:sz w:val="22"/>
          <w:szCs w:val="22"/>
        </w:rPr>
        <w:br/>
      </w:r>
      <w:r w:rsidR="005777A7">
        <w:rPr>
          <w:sz w:val="22"/>
          <w:szCs w:val="22"/>
        </w:rPr>
        <w:t xml:space="preserve">a dodržení pravidel při zadávání veřejných zakázek. </w:t>
      </w:r>
      <w:r w:rsidR="00040EC0">
        <w:rPr>
          <w:sz w:val="22"/>
          <w:szCs w:val="22"/>
        </w:rPr>
        <w:t xml:space="preserve">Audit byl zahájen v reakci na zjištění z auditní mise EK </w:t>
      </w:r>
      <w:r w:rsidR="00040EC0" w:rsidRPr="00535442">
        <w:rPr>
          <w:sz w:val="22"/>
          <w:szCs w:val="22"/>
        </w:rPr>
        <w:t>č. 2013/CZ/REGIO/C4/1332/1</w:t>
      </w:r>
      <w:r w:rsidR="009030C8">
        <w:rPr>
          <w:sz w:val="22"/>
          <w:szCs w:val="22"/>
        </w:rPr>
        <w:t>.</w:t>
      </w:r>
      <w:r w:rsidR="00040EC0">
        <w:rPr>
          <w:sz w:val="22"/>
          <w:szCs w:val="22"/>
        </w:rPr>
        <w:t xml:space="preserve"> </w:t>
      </w:r>
      <w:r w:rsidR="00751F9F">
        <w:rPr>
          <w:sz w:val="22"/>
          <w:szCs w:val="22"/>
        </w:rPr>
        <w:t xml:space="preserve">K prověření předmětných oblastí dojde na vzorku </w:t>
      </w:r>
      <w:r w:rsidR="00177836">
        <w:rPr>
          <w:sz w:val="22"/>
          <w:szCs w:val="22"/>
        </w:rPr>
        <w:br/>
      </w:r>
      <w:r w:rsidR="00751F9F">
        <w:rPr>
          <w:sz w:val="22"/>
          <w:szCs w:val="22"/>
        </w:rPr>
        <w:t>16 projektů, u nichž auditoři AO zahájili mimořádné audity operací.</w:t>
      </w:r>
      <w:r w:rsidR="005C5D48">
        <w:rPr>
          <w:sz w:val="22"/>
          <w:szCs w:val="22"/>
        </w:rPr>
        <w:t xml:space="preserve"> </w:t>
      </w:r>
      <w:r w:rsidR="00040EC0">
        <w:rPr>
          <w:sz w:val="22"/>
          <w:szCs w:val="22"/>
        </w:rPr>
        <w:t xml:space="preserve">V době zpracování </w:t>
      </w:r>
      <w:r w:rsidR="00F754DE">
        <w:rPr>
          <w:sz w:val="22"/>
          <w:szCs w:val="22"/>
        </w:rPr>
        <w:t xml:space="preserve">zprávy </w:t>
      </w:r>
      <w:r w:rsidR="00177836">
        <w:rPr>
          <w:sz w:val="22"/>
          <w:szCs w:val="22"/>
        </w:rPr>
        <w:br/>
      </w:r>
      <w:r w:rsidR="00F754DE">
        <w:rPr>
          <w:sz w:val="22"/>
          <w:szCs w:val="22"/>
        </w:rPr>
        <w:t xml:space="preserve">o realizaci bylo ukončeno </w:t>
      </w:r>
      <w:r w:rsidR="00EF5CE6">
        <w:rPr>
          <w:sz w:val="22"/>
          <w:szCs w:val="22"/>
        </w:rPr>
        <w:t xml:space="preserve">11 </w:t>
      </w:r>
      <w:r w:rsidR="00F754DE">
        <w:rPr>
          <w:sz w:val="22"/>
          <w:szCs w:val="22"/>
        </w:rPr>
        <w:t>auditů operací</w:t>
      </w:r>
      <w:r w:rsidR="00BB7D43">
        <w:rPr>
          <w:sz w:val="22"/>
          <w:szCs w:val="22"/>
        </w:rPr>
        <w:t xml:space="preserve">, přičemž nejzávažnější zjištění auditoři identifikovali </w:t>
      </w:r>
      <w:r w:rsidR="00177836">
        <w:rPr>
          <w:sz w:val="22"/>
          <w:szCs w:val="22"/>
        </w:rPr>
        <w:br/>
      </w:r>
      <w:r w:rsidR="00BB7D43">
        <w:rPr>
          <w:sz w:val="22"/>
          <w:szCs w:val="22"/>
        </w:rPr>
        <w:t>u projektu „</w:t>
      </w:r>
      <w:r w:rsidR="00BB7D43" w:rsidRPr="00BB7D43">
        <w:rPr>
          <w:sz w:val="22"/>
          <w:szCs w:val="22"/>
        </w:rPr>
        <w:t xml:space="preserve">Úprava informačního systému majetku státu jako zvláštní grafické datové vrstvy nad </w:t>
      </w:r>
      <w:r w:rsidR="00BB7D43" w:rsidRPr="00BB7D43">
        <w:rPr>
          <w:sz w:val="22"/>
          <w:szCs w:val="22"/>
        </w:rPr>
        <w:lastRenderedPageBreak/>
        <w:t>RUIAN</w:t>
      </w:r>
      <w:r w:rsidR="00BB7D43">
        <w:rPr>
          <w:sz w:val="22"/>
          <w:szCs w:val="22"/>
        </w:rPr>
        <w:t>“, kde dospěli k závěru, že některé veřejné zakázky byly neoprávněně zadány v jednacím řízení bez uveřejnění</w:t>
      </w:r>
      <w:r w:rsidR="00A90A2B">
        <w:rPr>
          <w:sz w:val="22"/>
          <w:szCs w:val="22"/>
        </w:rPr>
        <w:t xml:space="preserve"> </w:t>
      </w:r>
      <w:r w:rsidR="00BB7D43">
        <w:rPr>
          <w:sz w:val="22"/>
          <w:szCs w:val="22"/>
        </w:rPr>
        <w:t xml:space="preserve">a uložili korekci ve výši </w:t>
      </w:r>
      <w:r w:rsidR="0055140D">
        <w:rPr>
          <w:sz w:val="22"/>
          <w:szCs w:val="22"/>
        </w:rPr>
        <w:t>181 mil. Kč.</w:t>
      </w:r>
      <w:r w:rsidR="00BB7D43">
        <w:rPr>
          <w:sz w:val="22"/>
          <w:szCs w:val="22"/>
        </w:rPr>
        <w:t xml:space="preserve"> </w:t>
      </w:r>
    </w:p>
    <w:p w:rsidR="00AC6B9B" w:rsidRPr="00F06450" w:rsidRDefault="00E13080" w:rsidP="00F06450">
      <w:pPr>
        <w:pStyle w:val="Nadpis3"/>
        <w:rPr>
          <w:rFonts w:ascii="Times New Roman" w:hAnsi="Times New Roman"/>
          <w:sz w:val="24"/>
          <w:szCs w:val="24"/>
        </w:rPr>
      </w:pPr>
      <w:bookmarkStart w:id="38" w:name="_Toc433873477"/>
      <w:r w:rsidRPr="00F06450">
        <w:rPr>
          <w:rFonts w:ascii="Times New Roman" w:hAnsi="Times New Roman"/>
          <w:sz w:val="24"/>
          <w:szCs w:val="24"/>
        </w:rPr>
        <w:t>2. 4. 1</w:t>
      </w:r>
      <w:r w:rsidR="008967E2">
        <w:rPr>
          <w:rFonts w:ascii="Times New Roman" w:hAnsi="Times New Roman"/>
          <w:sz w:val="24"/>
          <w:szCs w:val="24"/>
        </w:rPr>
        <w:t>1</w:t>
      </w:r>
      <w:r w:rsidRPr="00F06450">
        <w:rPr>
          <w:rFonts w:ascii="Times New Roman" w:hAnsi="Times New Roman"/>
          <w:sz w:val="24"/>
          <w:szCs w:val="24"/>
        </w:rPr>
        <w:t xml:space="preserve"> Vysoké množství externích kontrol u</w:t>
      </w:r>
      <w:r w:rsidR="009D2B31">
        <w:rPr>
          <w:rFonts w:ascii="Times New Roman" w:hAnsi="Times New Roman"/>
          <w:sz w:val="24"/>
          <w:szCs w:val="24"/>
        </w:rPr>
        <w:t xml:space="preserve"> ŘO IOP a u </w:t>
      </w:r>
      <w:r w:rsidR="00ED4DE9" w:rsidRPr="00F06450">
        <w:rPr>
          <w:rFonts w:ascii="Times New Roman" w:hAnsi="Times New Roman"/>
          <w:sz w:val="24"/>
          <w:szCs w:val="24"/>
        </w:rPr>
        <w:t xml:space="preserve">některých </w:t>
      </w:r>
      <w:r w:rsidRPr="00F06450">
        <w:rPr>
          <w:rFonts w:ascii="Times New Roman" w:hAnsi="Times New Roman"/>
          <w:sz w:val="24"/>
          <w:szCs w:val="24"/>
        </w:rPr>
        <w:t>příjemců</w:t>
      </w:r>
      <w:bookmarkEnd w:id="38"/>
      <w:r w:rsidRPr="00F06450">
        <w:rPr>
          <w:rFonts w:ascii="Times New Roman" w:hAnsi="Times New Roman"/>
          <w:sz w:val="24"/>
          <w:szCs w:val="24"/>
        </w:rPr>
        <w:t xml:space="preserve"> </w:t>
      </w:r>
    </w:p>
    <w:p w:rsidR="00A90A2B" w:rsidRDefault="00ED4DE9" w:rsidP="0067695E">
      <w:pPr>
        <w:jc w:val="both"/>
        <w:rPr>
          <w:sz w:val="22"/>
          <w:szCs w:val="22"/>
        </w:rPr>
      </w:pPr>
      <w:r>
        <w:rPr>
          <w:sz w:val="22"/>
          <w:szCs w:val="22"/>
        </w:rPr>
        <w:t xml:space="preserve">S blížícím se koncem programového období jsou projekty pod </w:t>
      </w:r>
      <w:r w:rsidR="00063348">
        <w:rPr>
          <w:sz w:val="22"/>
          <w:szCs w:val="22"/>
        </w:rPr>
        <w:t xml:space="preserve">zvýšeným dohledem externích kontrolních a auditních orgánů. Například NKÚ zahájil v prvním pololetí roku 2015 minimálně </w:t>
      </w:r>
      <w:r w:rsidR="004A56BD">
        <w:rPr>
          <w:sz w:val="22"/>
          <w:szCs w:val="22"/>
        </w:rPr>
        <w:br/>
      </w:r>
      <w:r w:rsidR="00063348">
        <w:rPr>
          <w:sz w:val="22"/>
          <w:szCs w:val="22"/>
        </w:rPr>
        <w:t>6 kontrolních akcí</w:t>
      </w:r>
      <w:r w:rsidR="00A90A2B">
        <w:rPr>
          <w:sz w:val="22"/>
          <w:szCs w:val="22"/>
        </w:rPr>
        <w:t>, zaměřených</w:t>
      </w:r>
      <w:r w:rsidR="00063348">
        <w:rPr>
          <w:sz w:val="22"/>
          <w:szCs w:val="22"/>
        </w:rPr>
        <w:t xml:space="preserve"> </w:t>
      </w:r>
      <w:r w:rsidR="00A90A2B">
        <w:rPr>
          <w:sz w:val="22"/>
          <w:szCs w:val="22"/>
        </w:rPr>
        <w:t xml:space="preserve">na </w:t>
      </w:r>
      <w:r w:rsidR="00063348">
        <w:rPr>
          <w:sz w:val="22"/>
          <w:szCs w:val="22"/>
        </w:rPr>
        <w:t>konkrétní projekt</w:t>
      </w:r>
      <w:r w:rsidR="00A90A2B">
        <w:rPr>
          <w:sz w:val="22"/>
          <w:szCs w:val="22"/>
        </w:rPr>
        <w:t>y nebo na</w:t>
      </w:r>
      <w:r w:rsidR="00063348">
        <w:rPr>
          <w:sz w:val="22"/>
          <w:szCs w:val="22"/>
        </w:rPr>
        <w:t xml:space="preserve"> </w:t>
      </w:r>
      <w:r w:rsidR="002834A1">
        <w:rPr>
          <w:sz w:val="22"/>
          <w:szCs w:val="22"/>
        </w:rPr>
        <w:t>postupy ŘO a ZS IOP (např. kontrolní akce č. 15/02, 15/03, 15/06). Auditní orgán provádí u 16 vybraných projektů z oblasti intervence 1.1 mimořádné audity operací</w:t>
      </w:r>
      <w:r w:rsidR="00520FB1">
        <w:rPr>
          <w:sz w:val="22"/>
          <w:szCs w:val="22"/>
        </w:rPr>
        <w:t xml:space="preserve"> a </w:t>
      </w:r>
      <w:r w:rsidR="00A90A2B">
        <w:rPr>
          <w:sz w:val="22"/>
          <w:szCs w:val="22"/>
        </w:rPr>
        <w:t>na</w:t>
      </w:r>
      <w:r w:rsidR="00520FB1">
        <w:rPr>
          <w:sz w:val="22"/>
          <w:szCs w:val="22"/>
        </w:rPr>
        <w:t xml:space="preserve"> ŘO mimořádný audit systému. </w:t>
      </w:r>
      <w:r w:rsidR="009D2B31">
        <w:rPr>
          <w:sz w:val="22"/>
          <w:szCs w:val="22"/>
        </w:rPr>
        <w:t xml:space="preserve">Audit systému 2014 byl </w:t>
      </w:r>
      <w:r w:rsidR="00B56C0D">
        <w:rPr>
          <w:sz w:val="22"/>
          <w:szCs w:val="22"/>
        </w:rPr>
        <w:t xml:space="preserve">zahájen </w:t>
      </w:r>
      <w:r w:rsidR="00A90A2B">
        <w:rPr>
          <w:sz w:val="22"/>
          <w:szCs w:val="22"/>
        </w:rPr>
        <w:t>na</w:t>
      </w:r>
      <w:r w:rsidR="00B56C0D">
        <w:rPr>
          <w:sz w:val="22"/>
          <w:szCs w:val="22"/>
        </w:rPr>
        <w:t xml:space="preserve"> ŘO IOP</w:t>
      </w:r>
      <w:r w:rsidR="00751CE2">
        <w:rPr>
          <w:sz w:val="22"/>
          <w:szCs w:val="22"/>
        </w:rPr>
        <w:t xml:space="preserve"> dne 6. 11. 2014.</w:t>
      </w:r>
      <w:r w:rsidR="00B56C0D">
        <w:rPr>
          <w:sz w:val="22"/>
          <w:szCs w:val="22"/>
        </w:rPr>
        <w:t xml:space="preserve"> </w:t>
      </w:r>
      <w:r w:rsidR="00751CE2">
        <w:rPr>
          <w:sz w:val="22"/>
          <w:szCs w:val="22"/>
        </w:rPr>
        <w:t>J</w:t>
      </w:r>
      <w:r w:rsidR="00B56C0D">
        <w:rPr>
          <w:sz w:val="22"/>
          <w:szCs w:val="22"/>
        </w:rPr>
        <w:t>eho předmětem byl</w:t>
      </w:r>
      <w:r w:rsidR="00751CE2">
        <w:rPr>
          <w:sz w:val="22"/>
          <w:szCs w:val="22"/>
        </w:rPr>
        <w:t>o ověřit účinné fungování</w:t>
      </w:r>
      <w:r w:rsidR="00B56C0D">
        <w:rPr>
          <w:sz w:val="22"/>
          <w:szCs w:val="22"/>
        </w:rPr>
        <w:t xml:space="preserve"> řídící</w:t>
      </w:r>
      <w:r w:rsidR="00751CE2">
        <w:rPr>
          <w:sz w:val="22"/>
          <w:szCs w:val="22"/>
        </w:rPr>
        <w:t>ho</w:t>
      </w:r>
      <w:r w:rsidR="00B56C0D">
        <w:rPr>
          <w:sz w:val="22"/>
          <w:szCs w:val="22"/>
        </w:rPr>
        <w:t xml:space="preserve"> a kontrolní</w:t>
      </w:r>
      <w:r w:rsidR="00751CE2">
        <w:rPr>
          <w:sz w:val="22"/>
          <w:szCs w:val="22"/>
        </w:rPr>
        <w:t>ho</w:t>
      </w:r>
      <w:r w:rsidR="00B56C0D">
        <w:rPr>
          <w:sz w:val="22"/>
          <w:szCs w:val="22"/>
        </w:rPr>
        <w:t xml:space="preserve"> systém</w:t>
      </w:r>
      <w:r w:rsidR="00751CE2">
        <w:rPr>
          <w:sz w:val="22"/>
          <w:szCs w:val="22"/>
        </w:rPr>
        <w:t>u</w:t>
      </w:r>
      <w:r w:rsidR="00B56C0D">
        <w:rPr>
          <w:sz w:val="22"/>
          <w:szCs w:val="22"/>
        </w:rPr>
        <w:t xml:space="preserve"> </w:t>
      </w:r>
      <w:r w:rsidR="003C55BC" w:rsidRPr="003C55BC">
        <w:rPr>
          <w:sz w:val="22"/>
          <w:szCs w:val="22"/>
        </w:rPr>
        <w:t>ŘO IOP</w:t>
      </w:r>
      <w:r w:rsidR="00B56C0D">
        <w:rPr>
          <w:sz w:val="22"/>
          <w:szCs w:val="22"/>
        </w:rPr>
        <w:t>. Audit systému IOP 2014 byl ukončen</w:t>
      </w:r>
      <w:r w:rsidR="00751CE2">
        <w:rPr>
          <w:sz w:val="22"/>
          <w:szCs w:val="22"/>
        </w:rPr>
        <w:t xml:space="preserve"> </w:t>
      </w:r>
      <w:r w:rsidR="00B56C0D">
        <w:rPr>
          <w:sz w:val="22"/>
          <w:szCs w:val="22"/>
        </w:rPr>
        <w:t xml:space="preserve">dne 20. 8. 2015. </w:t>
      </w:r>
    </w:p>
    <w:p w:rsidR="00A90A2B" w:rsidRDefault="00A90A2B" w:rsidP="0067695E">
      <w:pPr>
        <w:jc w:val="both"/>
        <w:rPr>
          <w:sz w:val="22"/>
          <w:szCs w:val="22"/>
        </w:rPr>
      </w:pPr>
    </w:p>
    <w:p w:rsidR="00ED4DE9" w:rsidRDefault="002834A1" w:rsidP="0067695E">
      <w:pPr>
        <w:jc w:val="both"/>
        <w:rPr>
          <w:sz w:val="22"/>
          <w:szCs w:val="22"/>
        </w:rPr>
      </w:pPr>
      <w:r>
        <w:rPr>
          <w:sz w:val="22"/>
          <w:szCs w:val="22"/>
        </w:rPr>
        <w:t>Externí kontroly a audity jsou</w:t>
      </w:r>
      <w:r w:rsidR="005B63DA">
        <w:rPr>
          <w:sz w:val="22"/>
          <w:szCs w:val="22"/>
        </w:rPr>
        <w:t xml:space="preserve"> pro příjemce </w:t>
      </w:r>
      <w:r w:rsidR="00180158">
        <w:rPr>
          <w:sz w:val="22"/>
          <w:szCs w:val="22"/>
        </w:rPr>
        <w:t xml:space="preserve">vždy </w:t>
      </w:r>
      <w:r w:rsidR="005B63DA">
        <w:rPr>
          <w:sz w:val="22"/>
          <w:szCs w:val="22"/>
        </w:rPr>
        <w:t>významn</w:t>
      </w:r>
      <w:r w:rsidR="0054346E">
        <w:rPr>
          <w:sz w:val="22"/>
          <w:szCs w:val="22"/>
        </w:rPr>
        <w:t>ou</w:t>
      </w:r>
      <w:r w:rsidR="00180158">
        <w:rPr>
          <w:sz w:val="22"/>
          <w:szCs w:val="22"/>
        </w:rPr>
        <w:t>, avšak předvídatelnou zátěží, nicméně</w:t>
      </w:r>
      <w:r w:rsidR="005B63DA">
        <w:rPr>
          <w:sz w:val="22"/>
          <w:szCs w:val="22"/>
        </w:rPr>
        <w:t xml:space="preserve"> v případě souběhu více kontrol a auditů u jednoho projektu dochází k situacím, kdy </w:t>
      </w:r>
      <w:r w:rsidR="00712519">
        <w:rPr>
          <w:sz w:val="22"/>
          <w:szCs w:val="22"/>
        </w:rPr>
        <w:t>realizační tým projektu směřuje většinu své činnosti na vypořádávání dotazů a požadavků kontrolní skupiny</w:t>
      </w:r>
      <w:r w:rsidR="0095471E">
        <w:rPr>
          <w:sz w:val="22"/>
          <w:szCs w:val="22"/>
        </w:rPr>
        <w:t xml:space="preserve">, </w:t>
      </w:r>
      <w:r w:rsidR="009B28D7">
        <w:rPr>
          <w:sz w:val="22"/>
          <w:szCs w:val="22"/>
        </w:rPr>
        <w:t>což vede k</w:t>
      </w:r>
      <w:r w:rsidR="00BA3039">
        <w:rPr>
          <w:sz w:val="22"/>
          <w:szCs w:val="22"/>
        </w:rPr>
        <w:t xml:space="preserve"> dalšímu</w:t>
      </w:r>
      <w:r w:rsidR="009B28D7">
        <w:rPr>
          <w:sz w:val="22"/>
          <w:szCs w:val="22"/>
        </w:rPr>
        <w:t xml:space="preserve"> zpoždění v realizaci projektu</w:t>
      </w:r>
      <w:r w:rsidR="00712519">
        <w:rPr>
          <w:sz w:val="22"/>
          <w:szCs w:val="22"/>
        </w:rPr>
        <w:t>.</w:t>
      </w:r>
      <w:r w:rsidR="002F7863">
        <w:rPr>
          <w:sz w:val="22"/>
          <w:szCs w:val="22"/>
        </w:rPr>
        <w:t xml:space="preserve"> </w:t>
      </w:r>
    </w:p>
    <w:p w:rsidR="0067695E" w:rsidRPr="0067695E" w:rsidRDefault="0067695E" w:rsidP="0067695E">
      <w:pPr>
        <w:jc w:val="both"/>
        <w:rPr>
          <w:sz w:val="22"/>
          <w:szCs w:val="22"/>
        </w:rPr>
      </w:pPr>
    </w:p>
    <w:p w:rsidR="00A30F50" w:rsidRPr="00333FB0" w:rsidRDefault="00333FB0" w:rsidP="00E716BE">
      <w:pPr>
        <w:pStyle w:val="Nadpis2"/>
        <w:jc w:val="both"/>
        <w:rPr>
          <w:rFonts w:ascii="Times New Roman" w:hAnsi="Times New Roman"/>
          <w:i w:val="0"/>
        </w:rPr>
      </w:pPr>
      <w:bookmarkStart w:id="39" w:name="_Toc433873478"/>
      <w:r w:rsidRPr="00333FB0">
        <w:rPr>
          <w:rFonts w:ascii="Times New Roman" w:hAnsi="Times New Roman"/>
          <w:i w:val="0"/>
        </w:rPr>
        <w:t xml:space="preserve">2.5 </w:t>
      </w:r>
      <w:r w:rsidR="00B37395" w:rsidRPr="00333FB0">
        <w:rPr>
          <w:rFonts w:ascii="Times New Roman" w:hAnsi="Times New Roman"/>
          <w:i w:val="0"/>
        </w:rPr>
        <w:t>Velké projekty IOP</w:t>
      </w:r>
      <w:bookmarkEnd w:id="39"/>
    </w:p>
    <w:p w:rsidR="008C75BF" w:rsidRPr="008C75BF" w:rsidRDefault="008C75BF" w:rsidP="008C75BF">
      <w:pPr>
        <w:jc w:val="both"/>
        <w:rPr>
          <w:sz w:val="22"/>
          <w:szCs w:val="22"/>
        </w:rPr>
      </w:pPr>
      <w:r w:rsidRPr="008C75BF">
        <w:rPr>
          <w:sz w:val="22"/>
          <w:szCs w:val="22"/>
        </w:rPr>
        <w:t xml:space="preserve">ŘO IOP ve dnech  31.10 a 1. 11. 2013 předložil EK žádosti o schválení projektů „Připravenost Hasičského záchranného sboru České republiky k řešení povodní“ CCI 2013CZ161PR007 a „Zvýšení akceschopnosti Policie ČR k záchraně lidských životů a ochraně majetku při povodních“ CCI 2013CZ161PR006. </w:t>
      </w:r>
    </w:p>
    <w:p w:rsidR="003E795A" w:rsidRPr="003E795A" w:rsidRDefault="008C75BF" w:rsidP="003E795A">
      <w:pPr>
        <w:jc w:val="both"/>
        <w:rPr>
          <w:sz w:val="22"/>
          <w:szCs w:val="22"/>
        </w:rPr>
      </w:pPr>
      <w:r w:rsidRPr="008C75BF">
        <w:rPr>
          <w:sz w:val="22"/>
          <w:szCs w:val="22"/>
        </w:rPr>
        <w:t>Projekt „Zvýšení akceschopnosti Policie ČR k záchraně lidských životů a ochraně majetku při povodních“ - CCI 2013CZ161PR006 má celkové způsobilé výdaje 1,35 mld. Kč, předmětem projektu je posílení efektivity zásahu Policie ČR při živelních pohromách, zejména rozsáhlých povodních. Protože projekt nebyl do 25. 2. 2015 schválen</w:t>
      </w:r>
      <w:r w:rsidR="00B10E88">
        <w:rPr>
          <w:sz w:val="22"/>
          <w:szCs w:val="22"/>
        </w:rPr>
        <w:t>,</w:t>
      </w:r>
      <w:r w:rsidRPr="008C75BF">
        <w:rPr>
          <w:sz w:val="22"/>
          <w:szCs w:val="22"/>
        </w:rPr>
        <w:t xml:space="preserve"> předložil příjemce 26.2. Oznámení o ukončení projektu</w:t>
      </w:r>
      <w:r w:rsidR="00A90A2B">
        <w:rPr>
          <w:sz w:val="22"/>
          <w:szCs w:val="22"/>
        </w:rPr>
        <w:t xml:space="preserve"> a</w:t>
      </w:r>
      <w:r w:rsidRPr="008C75BF">
        <w:rPr>
          <w:sz w:val="22"/>
          <w:szCs w:val="22"/>
        </w:rPr>
        <w:t xml:space="preserve"> ŘO IOP stáhl žádost o podporu</w:t>
      </w:r>
      <w:r w:rsidR="003A38A4">
        <w:rPr>
          <w:sz w:val="22"/>
          <w:szCs w:val="22"/>
        </w:rPr>
        <w:t>.</w:t>
      </w:r>
    </w:p>
    <w:p w:rsidR="00FA791B" w:rsidRDefault="003E795A" w:rsidP="003E795A">
      <w:pPr>
        <w:jc w:val="both"/>
        <w:rPr>
          <w:sz w:val="22"/>
          <w:szCs w:val="22"/>
        </w:rPr>
      </w:pPr>
      <w:r w:rsidRPr="003E795A">
        <w:rPr>
          <w:sz w:val="22"/>
          <w:szCs w:val="22"/>
        </w:rPr>
        <w:t xml:space="preserve">Projekt „Připravenost Hasičského záchranného sboru České republiky k řešení povodní“ - CCI 2013CZ161PR007 má celkové způsobilé výdaje 1,45 mld. Kč, předmětem projektu je posílení efektivity zásahu Hasičského záchranného sboru ČR při živelních pohromách, zejména rozsáhlých povodních. </w:t>
      </w:r>
    </w:p>
    <w:p w:rsidR="003E795A" w:rsidRPr="003E795A" w:rsidRDefault="003E795A" w:rsidP="003E795A">
      <w:pPr>
        <w:jc w:val="both"/>
        <w:rPr>
          <w:sz w:val="22"/>
          <w:szCs w:val="22"/>
        </w:rPr>
      </w:pPr>
      <w:r w:rsidRPr="003E795A">
        <w:rPr>
          <w:sz w:val="22"/>
          <w:szCs w:val="22"/>
        </w:rPr>
        <w:t xml:space="preserve">Na základě požadavků EK předložil  ŘO IOP dne 30. 5. 2014 upravenou žádost, kde zpřesnil účel pořizované techniky a rozšířil analýzu potřeb projektu. Evropská komise projekt </w:t>
      </w:r>
      <w:r>
        <w:rPr>
          <w:sz w:val="22"/>
          <w:szCs w:val="22"/>
        </w:rPr>
        <w:br/>
      </w:r>
      <w:r w:rsidRPr="003E795A">
        <w:rPr>
          <w:sz w:val="22"/>
          <w:szCs w:val="22"/>
        </w:rPr>
        <w:t xml:space="preserve">dne 14. 8. 2014 schválila.   </w:t>
      </w:r>
    </w:p>
    <w:p w:rsidR="003E795A" w:rsidRPr="003E795A" w:rsidRDefault="003E795A" w:rsidP="003E795A">
      <w:pPr>
        <w:jc w:val="both"/>
        <w:rPr>
          <w:sz w:val="22"/>
          <w:szCs w:val="22"/>
        </w:rPr>
      </w:pPr>
      <w:r w:rsidRPr="003E795A">
        <w:rPr>
          <w:sz w:val="22"/>
          <w:szCs w:val="22"/>
        </w:rPr>
        <w:t>Projekt se potýká s procesními komplikacemi v</w:t>
      </w:r>
      <w:r w:rsidR="00A90A2B">
        <w:rPr>
          <w:sz w:val="22"/>
          <w:szCs w:val="22"/>
        </w:rPr>
        <w:t>yvolan</w:t>
      </w:r>
      <w:r w:rsidRPr="003E795A">
        <w:rPr>
          <w:sz w:val="22"/>
          <w:szCs w:val="22"/>
        </w:rPr>
        <w:t xml:space="preserve">ými zpožďováním realizace veřejných zakázek pro nutnost jejich opakování z důvodu jedné nebo žádné nabídky k hodnocení. Původní počet 27 zakázek byl </w:t>
      </w:r>
      <w:r w:rsidR="00A90A2B">
        <w:rPr>
          <w:sz w:val="22"/>
          <w:szCs w:val="22"/>
        </w:rPr>
        <w:t>z</w:t>
      </w:r>
      <w:r w:rsidRPr="003E795A">
        <w:rPr>
          <w:sz w:val="22"/>
          <w:szCs w:val="22"/>
        </w:rPr>
        <w:t>výšen na 44. Projekt je ohrožován rizikem neukončení v</w:t>
      </w:r>
      <w:r w:rsidR="00A90A2B">
        <w:rPr>
          <w:sz w:val="22"/>
          <w:szCs w:val="22"/>
        </w:rPr>
        <w:t xml:space="preserve"> plánovaném </w:t>
      </w:r>
      <w:r w:rsidRPr="003E795A">
        <w:rPr>
          <w:sz w:val="22"/>
          <w:szCs w:val="22"/>
        </w:rPr>
        <w:t>termínu.</w:t>
      </w:r>
    </w:p>
    <w:p w:rsidR="003E795A" w:rsidRDefault="003E795A" w:rsidP="003E795A">
      <w:pPr>
        <w:jc w:val="both"/>
        <w:rPr>
          <w:sz w:val="22"/>
          <w:szCs w:val="22"/>
        </w:rPr>
      </w:pPr>
      <w:r w:rsidRPr="003E795A">
        <w:rPr>
          <w:sz w:val="22"/>
          <w:szCs w:val="22"/>
        </w:rPr>
        <w:t xml:space="preserve">Na základě opatření Krizového plánu dočerpání IOP, který byl schválen usnesením vlády č. 124/2015, se konají </w:t>
      </w:r>
      <w:r w:rsidR="007E09FB">
        <w:rPr>
          <w:sz w:val="22"/>
          <w:szCs w:val="22"/>
        </w:rPr>
        <w:t>jednou</w:t>
      </w:r>
      <w:r w:rsidR="007E09FB" w:rsidRPr="003E795A">
        <w:rPr>
          <w:sz w:val="22"/>
          <w:szCs w:val="22"/>
        </w:rPr>
        <w:t xml:space="preserve"> </w:t>
      </w:r>
      <w:r w:rsidRPr="003E795A">
        <w:rPr>
          <w:sz w:val="22"/>
          <w:szCs w:val="22"/>
        </w:rPr>
        <w:t>za dva měsíce jednání zástupců ŘO IOP  se zástupci příjemce MV – GŘ HZS ČR</w:t>
      </w:r>
      <w:r w:rsidR="00A90A2B">
        <w:rPr>
          <w:sz w:val="22"/>
          <w:szCs w:val="22"/>
        </w:rPr>
        <w:t>.</w:t>
      </w:r>
      <w:r w:rsidRPr="003E795A">
        <w:rPr>
          <w:sz w:val="22"/>
          <w:szCs w:val="22"/>
        </w:rPr>
        <w:t xml:space="preserve"> </w:t>
      </w:r>
      <w:r w:rsidR="00A90A2B">
        <w:rPr>
          <w:sz w:val="22"/>
          <w:szCs w:val="22"/>
        </w:rPr>
        <w:t>Ú</w:t>
      </w:r>
      <w:r w:rsidRPr="003E795A">
        <w:rPr>
          <w:sz w:val="22"/>
          <w:szCs w:val="22"/>
        </w:rPr>
        <w:t>čelem je především detailní sledování plnění harmonogramu projektu a řešení problémů</w:t>
      </w:r>
      <w:r w:rsidR="00A90A2B">
        <w:rPr>
          <w:sz w:val="22"/>
          <w:szCs w:val="22"/>
        </w:rPr>
        <w:t xml:space="preserve"> v realizaci</w:t>
      </w:r>
      <w:r w:rsidRPr="003E795A">
        <w:rPr>
          <w:sz w:val="22"/>
          <w:szCs w:val="22"/>
        </w:rPr>
        <w:t>. Pro snížení rizika neukončení projektu ŘO IOP prodloužil maximální termín ukončení realizace projektu do 31. 12. 2015.</w:t>
      </w:r>
    </w:p>
    <w:p w:rsidR="00620855" w:rsidRPr="003E795A" w:rsidRDefault="00620855" w:rsidP="003E795A">
      <w:pPr>
        <w:jc w:val="both"/>
        <w:rPr>
          <w:sz w:val="22"/>
          <w:szCs w:val="22"/>
        </w:rPr>
      </w:pPr>
    </w:p>
    <w:p w:rsidR="003E795A" w:rsidRDefault="00A90A2B" w:rsidP="003E795A">
      <w:pPr>
        <w:jc w:val="both"/>
        <w:rPr>
          <w:sz w:val="22"/>
          <w:szCs w:val="22"/>
        </w:rPr>
      </w:pPr>
      <w:r>
        <w:rPr>
          <w:sz w:val="22"/>
          <w:szCs w:val="22"/>
        </w:rPr>
        <w:t xml:space="preserve">ŘO IOP předložil </w:t>
      </w:r>
      <w:r w:rsidR="003E795A" w:rsidRPr="003E795A">
        <w:rPr>
          <w:sz w:val="22"/>
          <w:szCs w:val="22"/>
        </w:rPr>
        <w:t>EK souvislosti s prodloužením termínu realizace projektu aktualizované podklady pro vydání rozhodnutí o schválení změn v dostatečném předstihu, aby bylo možné dopln</w:t>
      </w:r>
      <w:r>
        <w:rPr>
          <w:sz w:val="22"/>
          <w:szCs w:val="22"/>
        </w:rPr>
        <w:t>it</w:t>
      </w:r>
      <w:r w:rsidR="003E795A" w:rsidRPr="003E795A">
        <w:rPr>
          <w:sz w:val="22"/>
          <w:szCs w:val="22"/>
        </w:rPr>
        <w:t xml:space="preserve"> podklad</w:t>
      </w:r>
      <w:r>
        <w:rPr>
          <w:sz w:val="22"/>
          <w:szCs w:val="22"/>
        </w:rPr>
        <w:t>y</w:t>
      </w:r>
      <w:r w:rsidR="003E795A" w:rsidRPr="003E795A">
        <w:rPr>
          <w:sz w:val="22"/>
          <w:szCs w:val="22"/>
        </w:rPr>
        <w:t xml:space="preserve"> </w:t>
      </w:r>
      <w:r>
        <w:rPr>
          <w:sz w:val="22"/>
          <w:szCs w:val="22"/>
        </w:rPr>
        <w:t>nebo</w:t>
      </w:r>
      <w:r w:rsidR="003E795A" w:rsidRPr="003E795A">
        <w:rPr>
          <w:sz w:val="22"/>
          <w:szCs w:val="22"/>
        </w:rPr>
        <w:t xml:space="preserve"> vypořád</w:t>
      </w:r>
      <w:r>
        <w:rPr>
          <w:sz w:val="22"/>
          <w:szCs w:val="22"/>
        </w:rPr>
        <w:t>at</w:t>
      </w:r>
      <w:r w:rsidR="003E795A" w:rsidRPr="003E795A">
        <w:rPr>
          <w:sz w:val="22"/>
          <w:szCs w:val="22"/>
        </w:rPr>
        <w:t xml:space="preserve"> připomínk</w:t>
      </w:r>
      <w:r>
        <w:rPr>
          <w:sz w:val="22"/>
          <w:szCs w:val="22"/>
        </w:rPr>
        <w:t>y</w:t>
      </w:r>
      <w:r w:rsidR="003E795A" w:rsidRPr="003E795A">
        <w:rPr>
          <w:sz w:val="22"/>
          <w:szCs w:val="22"/>
        </w:rPr>
        <w:t>.</w:t>
      </w:r>
      <w:r w:rsidR="003E795A" w:rsidRPr="003E795A">
        <w:rPr>
          <w:sz w:val="22"/>
          <w:szCs w:val="22"/>
        </w:rPr>
        <w:tab/>
      </w:r>
    </w:p>
    <w:p w:rsidR="00620855" w:rsidRPr="003E795A" w:rsidRDefault="00620855" w:rsidP="003E795A">
      <w:pPr>
        <w:jc w:val="both"/>
        <w:rPr>
          <w:sz w:val="22"/>
          <w:szCs w:val="22"/>
        </w:rPr>
      </w:pPr>
    </w:p>
    <w:p w:rsidR="00BB5C26" w:rsidRDefault="003E795A" w:rsidP="003E795A">
      <w:pPr>
        <w:jc w:val="both"/>
        <w:rPr>
          <w:sz w:val="22"/>
          <w:szCs w:val="22"/>
        </w:rPr>
      </w:pPr>
      <w:r w:rsidRPr="003E795A">
        <w:rPr>
          <w:sz w:val="22"/>
          <w:szCs w:val="22"/>
        </w:rPr>
        <w:t>Dne 17. 9. 2015 obdržel ŘO IOP odpověď Evropské komise k prodloužení termínu realizace projektu</w:t>
      </w:r>
      <w:r w:rsidR="002413CD">
        <w:rPr>
          <w:sz w:val="22"/>
          <w:szCs w:val="22"/>
        </w:rPr>
        <w:t>, že</w:t>
      </w:r>
      <w:r w:rsidRPr="003E795A">
        <w:rPr>
          <w:sz w:val="22"/>
          <w:szCs w:val="22"/>
        </w:rPr>
        <w:t xml:space="preserve"> EK nebude vydá</w:t>
      </w:r>
      <w:r w:rsidR="00A90A2B">
        <w:rPr>
          <w:sz w:val="22"/>
          <w:szCs w:val="22"/>
        </w:rPr>
        <w:t>vat</w:t>
      </w:r>
      <w:r w:rsidRPr="003E795A">
        <w:rPr>
          <w:sz w:val="22"/>
          <w:szCs w:val="22"/>
        </w:rPr>
        <w:t xml:space="preserve"> nové rozhodnutí. </w:t>
      </w:r>
      <w:r w:rsidR="00CC38E0">
        <w:rPr>
          <w:sz w:val="22"/>
          <w:szCs w:val="22"/>
        </w:rPr>
        <w:t>ŘO IOP sch</w:t>
      </w:r>
      <w:r w:rsidRPr="003E795A">
        <w:rPr>
          <w:sz w:val="22"/>
          <w:szCs w:val="22"/>
        </w:rPr>
        <w:t>vál</w:t>
      </w:r>
      <w:r w:rsidR="00CC38E0">
        <w:rPr>
          <w:sz w:val="22"/>
          <w:szCs w:val="22"/>
        </w:rPr>
        <w:t>il</w:t>
      </w:r>
      <w:r w:rsidRPr="003E795A">
        <w:rPr>
          <w:sz w:val="22"/>
          <w:szCs w:val="22"/>
        </w:rPr>
        <w:t xml:space="preserve"> </w:t>
      </w:r>
      <w:r w:rsidR="00CC38E0">
        <w:rPr>
          <w:sz w:val="22"/>
          <w:szCs w:val="22"/>
        </w:rPr>
        <w:t>dne 21. 9. 2015</w:t>
      </w:r>
      <w:r w:rsidR="002413CD">
        <w:rPr>
          <w:sz w:val="22"/>
          <w:szCs w:val="22"/>
        </w:rPr>
        <w:t xml:space="preserve"> </w:t>
      </w:r>
      <w:r w:rsidR="00CC38E0">
        <w:rPr>
          <w:sz w:val="22"/>
          <w:szCs w:val="22"/>
        </w:rPr>
        <w:t xml:space="preserve">prodloužení realizace </w:t>
      </w:r>
      <w:r w:rsidR="002413CD">
        <w:rPr>
          <w:sz w:val="22"/>
          <w:szCs w:val="22"/>
        </w:rPr>
        <w:t xml:space="preserve">projektu </w:t>
      </w:r>
      <w:r w:rsidR="00CC38E0">
        <w:rPr>
          <w:sz w:val="22"/>
          <w:szCs w:val="22"/>
        </w:rPr>
        <w:t xml:space="preserve">do </w:t>
      </w:r>
      <w:r w:rsidR="00BB5C26">
        <w:rPr>
          <w:sz w:val="22"/>
          <w:szCs w:val="22"/>
        </w:rPr>
        <w:t>31. 12. 2015</w:t>
      </w:r>
      <w:r w:rsidR="00CC38E0">
        <w:rPr>
          <w:sz w:val="22"/>
          <w:szCs w:val="22"/>
        </w:rPr>
        <w:t>.</w:t>
      </w:r>
    </w:p>
    <w:p w:rsidR="00EE18F4" w:rsidRDefault="00C81F6C" w:rsidP="00C14E75">
      <w:pPr>
        <w:jc w:val="both"/>
        <w:rPr>
          <w:sz w:val="22"/>
          <w:szCs w:val="22"/>
        </w:rPr>
      </w:pPr>
      <w:r>
        <w:rPr>
          <w:sz w:val="22"/>
          <w:szCs w:val="22"/>
        </w:rPr>
        <w:t xml:space="preserve">Pokrok v realizaci velkých projektů je uveden v Příloze č. 4. </w:t>
      </w:r>
    </w:p>
    <w:p w:rsidR="00C14E75" w:rsidRDefault="00C14E75" w:rsidP="00C14E75">
      <w:pPr>
        <w:jc w:val="both"/>
        <w:rPr>
          <w:sz w:val="22"/>
          <w:szCs w:val="22"/>
        </w:rPr>
      </w:pPr>
    </w:p>
    <w:p w:rsidR="00D644B0" w:rsidRPr="006266F5" w:rsidRDefault="00C81F6C" w:rsidP="0098069A">
      <w:pPr>
        <w:pStyle w:val="Nadpis2"/>
        <w:numPr>
          <w:ilvl w:val="1"/>
          <w:numId w:val="23"/>
        </w:numPr>
        <w:rPr>
          <w:b w:val="0"/>
        </w:rPr>
      </w:pPr>
      <w:r>
        <w:rPr>
          <w:rFonts w:ascii="Times New Roman" w:hAnsi="Times New Roman"/>
          <w:i w:val="0"/>
        </w:rPr>
        <w:lastRenderedPageBreak/>
        <w:t xml:space="preserve"> </w:t>
      </w:r>
      <w:bookmarkStart w:id="40" w:name="_Toc433873479"/>
      <w:r w:rsidR="00D644B0" w:rsidRPr="006266F5">
        <w:rPr>
          <w:rFonts w:ascii="Times New Roman" w:hAnsi="Times New Roman"/>
          <w:i w:val="0"/>
        </w:rPr>
        <w:t>Opatření přijatá k závěrům z minulého jednání monitorovacího výboru</w:t>
      </w:r>
      <w:bookmarkEnd w:id="40"/>
    </w:p>
    <w:p w:rsidR="00F11FA1" w:rsidRDefault="005E4108" w:rsidP="00F11FA1">
      <w:pPr>
        <w:pStyle w:val="Odstavecseseznamem"/>
        <w:spacing w:after="0" w:line="240" w:lineRule="auto"/>
        <w:ind w:left="0"/>
        <w:jc w:val="both"/>
        <w:rPr>
          <w:rFonts w:ascii="Times New Roman" w:hAnsi="Times New Roman"/>
          <w:bCs/>
        </w:rPr>
      </w:pPr>
      <w:r w:rsidRPr="005E4108">
        <w:rPr>
          <w:rFonts w:ascii="Times New Roman" w:hAnsi="Times New Roman"/>
          <w:bCs/>
        </w:rPr>
        <w:t xml:space="preserve">Předchozí 15. zasedání Monitorovacího výboru IOP se konalo dne 16. června 2015. Z jednání vyplynula řada závěrů a úkolů pro ŘO a jednotlivé ZS, které jsou přílohou </w:t>
      </w:r>
      <w:r w:rsidR="005B360C" w:rsidRPr="007B39E2">
        <w:rPr>
          <w:rFonts w:ascii="Times New Roman" w:hAnsi="Times New Roman"/>
          <w:bCs/>
        </w:rPr>
        <w:t>č. 3.</w:t>
      </w:r>
    </w:p>
    <w:p w:rsidR="00C14E75" w:rsidRPr="00F11FA1" w:rsidRDefault="00C14E75" w:rsidP="00F11FA1">
      <w:pPr>
        <w:pStyle w:val="Odstavecseseznamem"/>
        <w:spacing w:after="0" w:line="240" w:lineRule="auto"/>
        <w:ind w:left="0"/>
        <w:jc w:val="both"/>
        <w:rPr>
          <w:rFonts w:ascii="Times New Roman" w:hAnsi="Times New Roman"/>
          <w:bCs/>
        </w:rPr>
      </w:pPr>
    </w:p>
    <w:p w:rsidR="00D644B0" w:rsidRDefault="00D644B0" w:rsidP="003A47F9">
      <w:pPr>
        <w:pStyle w:val="Nadpis2"/>
        <w:numPr>
          <w:ilvl w:val="1"/>
          <w:numId w:val="23"/>
        </w:numPr>
        <w:spacing w:after="0"/>
        <w:rPr>
          <w:b w:val="0"/>
        </w:rPr>
      </w:pPr>
      <w:bookmarkStart w:id="41" w:name="_Toc433873480"/>
      <w:r w:rsidRPr="006266F5">
        <w:rPr>
          <w:rFonts w:ascii="Times New Roman" w:hAnsi="Times New Roman"/>
          <w:i w:val="0"/>
        </w:rPr>
        <w:t>Analýza rizik ve vztahu k</w:t>
      </w:r>
      <w:r w:rsidR="003715C2">
        <w:rPr>
          <w:rFonts w:ascii="Times New Roman" w:hAnsi="Times New Roman"/>
          <w:i w:val="0"/>
        </w:rPr>
        <w:t xml:space="preserve"> dočerpání programu </w:t>
      </w:r>
      <w:bookmarkEnd w:id="41"/>
    </w:p>
    <w:p w:rsidR="00EA549F" w:rsidRPr="00EA549F" w:rsidRDefault="00C94E0E" w:rsidP="00EA549F">
      <w:pPr>
        <w:jc w:val="both"/>
        <w:rPr>
          <w:bCs/>
          <w:color w:val="231F20"/>
          <w:sz w:val="22"/>
          <w:szCs w:val="22"/>
        </w:rPr>
      </w:pPr>
      <w:r w:rsidRPr="00C56458">
        <w:rPr>
          <w:sz w:val="22"/>
          <w:szCs w:val="22"/>
        </w:rPr>
        <w:t xml:space="preserve">ŘO IOP </w:t>
      </w:r>
      <w:r w:rsidRPr="00C56458">
        <w:rPr>
          <w:bCs/>
          <w:color w:val="231F20"/>
          <w:sz w:val="22"/>
          <w:szCs w:val="22"/>
        </w:rPr>
        <w:t xml:space="preserve">obdržel od EK  dne </w:t>
      </w:r>
      <w:r w:rsidR="00F11FA1" w:rsidRPr="00C56458">
        <w:rPr>
          <w:bCs/>
          <w:color w:val="231F20"/>
          <w:sz w:val="22"/>
          <w:szCs w:val="22"/>
        </w:rPr>
        <w:t>2</w:t>
      </w:r>
      <w:r w:rsidR="00C472E2" w:rsidRPr="00C56458">
        <w:rPr>
          <w:bCs/>
          <w:color w:val="231F20"/>
          <w:sz w:val="22"/>
          <w:szCs w:val="22"/>
        </w:rPr>
        <w:t>6</w:t>
      </w:r>
      <w:r w:rsidR="00F11FA1" w:rsidRPr="00C56458">
        <w:rPr>
          <w:bCs/>
          <w:color w:val="231F20"/>
          <w:sz w:val="22"/>
          <w:szCs w:val="22"/>
        </w:rPr>
        <w:t xml:space="preserve">. </w:t>
      </w:r>
      <w:r w:rsidR="00C472E2" w:rsidRPr="00C56458">
        <w:rPr>
          <w:bCs/>
          <w:color w:val="231F20"/>
          <w:sz w:val="22"/>
          <w:szCs w:val="22"/>
        </w:rPr>
        <w:t>2. 2015</w:t>
      </w:r>
      <w:r w:rsidRPr="00C56458">
        <w:rPr>
          <w:bCs/>
          <w:color w:val="231F20"/>
          <w:sz w:val="22"/>
          <w:szCs w:val="22"/>
        </w:rPr>
        <w:t xml:space="preserve"> dopis s vyčíslením</w:t>
      </w:r>
      <w:r w:rsidRPr="00C56458">
        <w:rPr>
          <w:sz w:val="22"/>
          <w:szCs w:val="22"/>
        </w:rPr>
        <w:t xml:space="preserve"> ztráty alokace z důvodu nenaplnění limitu podle pravidla n+2</w:t>
      </w:r>
      <w:r w:rsidR="00EA549F" w:rsidRPr="00C56458">
        <w:rPr>
          <w:bCs/>
          <w:color w:val="231F20"/>
          <w:sz w:val="22"/>
          <w:szCs w:val="22"/>
        </w:rPr>
        <w:t xml:space="preserve"> za rok 201</w:t>
      </w:r>
      <w:r w:rsidR="00C472E2" w:rsidRPr="00C56458">
        <w:rPr>
          <w:bCs/>
          <w:color w:val="231F20"/>
          <w:sz w:val="22"/>
          <w:szCs w:val="22"/>
        </w:rPr>
        <w:t>4</w:t>
      </w:r>
      <w:r w:rsidR="00EA549F" w:rsidRPr="00C56458">
        <w:rPr>
          <w:bCs/>
          <w:color w:val="231F20"/>
          <w:sz w:val="22"/>
          <w:szCs w:val="22"/>
        </w:rPr>
        <w:t xml:space="preserve"> a připravil revizi Programového dokumentu IOP. Reviz</w:t>
      </w:r>
      <w:r w:rsidR="009C702E" w:rsidRPr="00C56458">
        <w:rPr>
          <w:bCs/>
          <w:color w:val="231F20"/>
          <w:sz w:val="22"/>
          <w:szCs w:val="22"/>
        </w:rPr>
        <w:t>i</w:t>
      </w:r>
      <w:r w:rsidR="00EA549F" w:rsidRPr="00C56458">
        <w:rPr>
          <w:bCs/>
          <w:color w:val="231F20"/>
          <w:sz w:val="22"/>
          <w:szCs w:val="22"/>
        </w:rPr>
        <w:t xml:space="preserve"> </w:t>
      </w:r>
      <w:r w:rsidR="00EA549F" w:rsidRPr="00C56458">
        <w:rPr>
          <w:bCs/>
          <w:sz w:val="22"/>
          <w:szCs w:val="22"/>
        </w:rPr>
        <w:t>schvál</w:t>
      </w:r>
      <w:r w:rsidR="009C702E" w:rsidRPr="00C56458">
        <w:rPr>
          <w:bCs/>
          <w:sz w:val="22"/>
          <w:szCs w:val="22"/>
        </w:rPr>
        <w:t>il</w:t>
      </w:r>
      <w:r w:rsidR="00C472E2" w:rsidRPr="00C56458">
        <w:rPr>
          <w:bCs/>
          <w:sz w:val="22"/>
          <w:szCs w:val="22"/>
        </w:rPr>
        <w:t xml:space="preserve"> Monitorovací výbor IOP dne 16</w:t>
      </w:r>
      <w:r w:rsidR="00EA549F" w:rsidRPr="00C56458">
        <w:rPr>
          <w:bCs/>
          <w:sz w:val="22"/>
          <w:szCs w:val="22"/>
        </w:rPr>
        <w:t xml:space="preserve">. </w:t>
      </w:r>
      <w:r w:rsidR="00C472E2" w:rsidRPr="00C56458">
        <w:rPr>
          <w:bCs/>
          <w:sz w:val="22"/>
          <w:szCs w:val="22"/>
        </w:rPr>
        <w:t xml:space="preserve">června </w:t>
      </w:r>
      <w:r w:rsidR="00EA549F" w:rsidRPr="00C56458">
        <w:rPr>
          <w:bCs/>
          <w:sz w:val="22"/>
          <w:szCs w:val="22"/>
        </w:rPr>
        <w:t>201</w:t>
      </w:r>
      <w:r w:rsidR="00C472E2" w:rsidRPr="00C56458">
        <w:rPr>
          <w:bCs/>
          <w:sz w:val="22"/>
          <w:szCs w:val="22"/>
        </w:rPr>
        <w:t>5</w:t>
      </w:r>
      <w:r w:rsidR="00EA549F" w:rsidRPr="00C56458">
        <w:rPr>
          <w:bCs/>
          <w:sz w:val="22"/>
          <w:szCs w:val="22"/>
        </w:rPr>
        <w:t>. Byly provedeny změny finančních tabulek a celková alokace IOP tak činí 1 61</w:t>
      </w:r>
      <w:r w:rsidR="00C56458" w:rsidRPr="00C56458">
        <w:rPr>
          <w:bCs/>
          <w:sz w:val="22"/>
          <w:szCs w:val="22"/>
        </w:rPr>
        <w:t>5</w:t>
      </w:r>
      <w:r w:rsidR="00EA549F" w:rsidRPr="00C56458">
        <w:rPr>
          <w:bCs/>
          <w:sz w:val="22"/>
          <w:szCs w:val="22"/>
        </w:rPr>
        <w:t>,</w:t>
      </w:r>
      <w:r w:rsidR="00C56458" w:rsidRPr="00C56458">
        <w:rPr>
          <w:bCs/>
          <w:sz w:val="22"/>
          <w:szCs w:val="22"/>
        </w:rPr>
        <w:t>1</w:t>
      </w:r>
      <w:r w:rsidR="00EA549F" w:rsidRPr="00C56458">
        <w:rPr>
          <w:bCs/>
          <w:sz w:val="22"/>
          <w:szCs w:val="22"/>
        </w:rPr>
        <w:t xml:space="preserve">5 mil EUR, z toho pro cíl Konvergence je vyčleněna rozhodující část – 1 591,4 mil. EUR, pro cíl Regionální konkurenceschopnost a zaměstnanost částka </w:t>
      </w:r>
      <w:r w:rsidR="00C56458" w:rsidRPr="00C56458">
        <w:rPr>
          <w:bCs/>
          <w:sz w:val="22"/>
          <w:szCs w:val="22"/>
        </w:rPr>
        <w:t>23</w:t>
      </w:r>
      <w:r w:rsidR="00EA549F" w:rsidRPr="00C56458">
        <w:rPr>
          <w:bCs/>
          <w:sz w:val="22"/>
          <w:szCs w:val="22"/>
        </w:rPr>
        <w:t>,</w:t>
      </w:r>
      <w:r w:rsidR="00C56458" w:rsidRPr="00C56458">
        <w:rPr>
          <w:bCs/>
          <w:sz w:val="22"/>
          <w:szCs w:val="22"/>
        </w:rPr>
        <w:t>8</w:t>
      </w:r>
      <w:r w:rsidR="00EA549F" w:rsidRPr="00C56458">
        <w:rPr>
          <w:bCs/>
          <w:sz w:val="22"/>
          <w:szCs w:val="22"/>
        </w:rPr>
        <w:t xml:space="preserve"> mil. EUR.</w:t>
      </w:r>
      <w:r w:rsidR="00EA549F" w:rsidRPr="00EA549F">
        <w:rPr>
          <w:bCs/>
          <w:sz w:val="22"/>
          <w:szCs w:val="22"/>
        </w:rPr>
        <w:t xml:space="preserve"> </w:t>
      </w:r>
    </w:p>
    <w:p w:rsidR="003A47F9" w:rsidRPr="002B2381" w:rsidRDefault="003A47F9" w:rsidP="00F61C5C">
      <w:pPr>
        <w:jc w:val="both"/>
        <w:rPr>
          <w:sz w:val="22"/>
          <w:szCs w:val="22"/>
        </w:rPr>
      </w:pPr>
    </w:p>
    <w:p w:rsidR="003A47F9" w:rsidRPr="00004C56" w:rsidRDefault="003A47F9" w:rsidP="003A47F9">
      <w:pPr>
        <w:rPr>
          <w:b/>
          <w:sz w:val="22"/>
          <w:szCs w:val="22"/>
        </w:rPr>
      </w:pPr>
      <w:r w:rsidRPr="006266F5">
        <w:rPr>
          <w:b/>
          <w:sz w:val="22"/>
          <w:szCs w:val="22"/>
        </w:rPr>
        <w:t>Naplňování pravidla n+2</w:t>
      </w:r>
    </w:p>
    <w:p w:rsidR="0029613C" w:rsidRPr="00C56458" w:rsidRDefault="0029613C" w:rsidP="002413CD">
      <w:pPr>
        <w:jc w:val="both"/>
        <w:rPr>
          <w:sz w:val="22"/>
          <w:szCs w:val="22"/>
        </w:rPr>
      </w:pPr>
      <w:r w:rsidRPr="00C56458">
        <w:rPr>
          <w:sz w:val="22"/>
          <w:szCs w:val="22"/>
        </w:rPr>
        <w:t xml:space="preserve">ŘO IOP sleduje průběh čerpání prostředků ze SF po jednotlivých fázích administrace projektových žádostí a výši čerpání porovnává s limitem  daného roku. </w:t>
      </w:r>
      <w:r w:rsidR="002413CD">
        <w:rPr>
          <w:sz w:val="22"/>
          <w:szCs w:val="22"/>
        </w:rPr>
        <w:t>Čerpání alokace</w:t>
      </w:r>
      <w:r w:rsidRPr="00C56458">
        <w:rPr>
          <w:sz w:val="22"/>
          <w:szCs w:val="22"/>
        </w:rPr>
        <w:t xml:space="preserve"> je sledováno zvlášť pro cíl </w:t>
      </w:r>
      <w:proofErr w:type="gramStart"/>
      <w:r w:rsidRPr="00C56458">
        <w:rPr>
          <w:sz w:val="22"/>
          <w:szCs w:val="22"/>
        </w:rPr>
        <w:t>Konvergence a  pro</w:t>
      </w:r>
      <w:proofErr w:type="gramEnd"/>
      <w:r w:rsidRPr="00C56458">
        <w:rPr>
          <w:sz w:val="22"/>
          <w:szCs w:val="22"/>
        </w:rPr>
        <w:t xml:space="preserve"> cíl Regionální konkurenceschopnost</w:t>
      </w:r>
      <w:r w:rsidR="002413CD">
        <w:rPr>
          <w:sz w:val="22"/>
          <w:szCs w:val="22"/>
        </w:rPr>
        <w:t xml:space="preserve"> </w:t>
      </w:r>
      <w:r w:rsidRPr="00C56458">
        <w:rPr>
          <w:sz w:val="22"/>
          <w:szCs w:val="22"/>
        </w:rPr>
        <w:t xml:space="preserve">a zaměstnanost. </w:t>
      </w:r>
    </w:p>
    <w:p w:rsidR="003132DD" w:rsidRPr="00C14E75" w:rsidRDefault="003132DD" w:rsidP="003132DD">
      <w:pPr>
        <w:jc w:val="both"/>
        <w:rPr>
          <w:sz w:val="22"/>
        </w:rPr>
      </w:pPr>
    </w:p>
    <w:p w:rsidR="00EF7784" w:rsidRDefault="003132DD" w:rsidP="003132DD">
      <w:pPr>
        <w:spacing w:after="120"/>
        <w:jc w:val="both"/>
        <w:rPr>
          <w:sz w:val="22"/>
        </w:rPr>
      </w:pPr>
      <w:r w:rsidRPr="00C14E75">
        <w:rPr>
          <w:sz w:val="22"/>
        </w:rPr>
        <w:t xml:space="preserve">ŘO </w:t>
      </w:r>
      <w:r w:rsidR="00881596" w:rsidRPr="00C14E75">
        <w:rPr>
          <w:sz w:val="22"/>
        </w:rPr>
        <w:t>IOP na začátku roku 2015 odhadoval</w:t>
      </w:r>
      <w:r w:rsidRPr="00C14E75">
        <w:rPr>
          <w:sz w:val="22"/>
        </w:rPr>
        <w:t xml:space="preserve"> objem volných prostředků programu v celkové výši 1,22 mld. Kč. V této částce není zohledněna existence spících a rizikových projektů. Tyto projekty představují riziko dalších prostředků, které nebude možné absorbovat</w:t>
      </w:r>
      <w:r w:rsidR="00C14E75" w:rsidRPr="00C14E75">
        <w:rPr>
          <w:sz w:val="22"/>
        </w:rPr>
        <w:t>. Podrobnější analýza rizika nedočerpání alokace programu je uvedena v dalších kapitolách.</w:t>
      </w:r>
      <w:r w:rsidR="00C14E75">
        <w:rPr>
          <w:sz w:val="22"/>
        </w:rPr>
        <w:t xml:space="preserve"> </w:t>
      </w:r>
    </w:p>
    <w:p w:rsidR="00EF7784" w:rsidRDefault="00EF7784" w:rsidP="003132DD">
      <w:pPr>
        <w:spacing w:after="120"/>
        <w:jc w:val="both"/>
        <w:rPr>
          <w:sz w:val="22"/>
        </w:rPr>
        <w:sectPr w:rsidR="00EF7784" w:rsidSect="00403EE8">
          <w:pgSz w:w="11907" w:h="16839" w:code="9"/>
          <w:pgMar w:top="1418" w:right="1418" w:bottom="1418" w:left="1418" w:header="709" w:footer="709" w:gutter="0"/>
          <w:cols w:space="708"/>
          <w:docGrid w:linePitch="272"/>
        </w:sectPr>
      </w:pPr>
    </w:p>
    <w:p w:rsidR="00F11FA1" w:rsidRPr="00EF7784" w:rsidRDefault="00F11FA1" w:rsidP="00EF7784">
      <w:pPr>
        <w:spacing w:after="120"/>
        <w:jc w:val="both"/>
        <w:rPr>
          <w:sz w:val="22"/>
        </w:rPr>
      </w:pPr>
    </w:p>
    <w:p w:rsidR="00864685" w:rsidRPr="00864685" w:rsidRDefault="0029613C" w:rsidP="00864685">
      <w:pPr>
        <w:pStyle w:val="Tabulkanzev"/>
        <w:rPr>
          <w:b w:val="0"/>
          <w:bCs/>
        </w:rPr>
      </w:pPr>
      <w:bookmarkStart w:id="42" w:name="_Toc433873545"/>
      <w:r w:rsidRPr="003707FB">
        <w:rPr>
          <w:b w:val="0"/>
          <w:bCs/>
        </w:rPr>
        <w:t xml:space="preserve">Naplňování pravidla n+3/n+2 (v </w:t>
      </w:r>
      <w:proofErr w:type="gramStart"/>
      <w:r w:rsidRPr="003707FB">
        <w:rPr>
          <w:b w:val="0"/>
          <w:bCs/>
        </w:rPr>
        <w:t>EUR</w:t>
      </w:r>
      <w:proofErr w:type="gramEnd"/>
      <w:r w:rsidRPr="003707FB">
        <w:rPr>
          <w:b w:val="0"/>
          <w:bCs/>
        </w:rPr>
        <w:t>) v cíli Konvergence</w:t>
      </w:r>
      <w:bookmarkStart w:id="43" w:name="_Toc388355576"/>
      <w:bookmarkStart w:id="44" w:name="_Toc387061411"/>
      <w:bookmarkStart w:id="45" w:name="_Toc387061412"/>
      <w:bookmarkStart w:id="46" w:name="_Toc388355584"/>
      <w:bookmarkStart w:id="47" w:name="_Toc388355585"/>
      <w:bookmarkStart w:id="48" w:name="_Toc388355586"/>
      <w:bookmarkEnd w:id="43"/>
      <w:bookmarkEnd w:id="44"/>
      <w:bookmarkEnd w:id="45"/>
      <w:bookmarkEnd w:id="46"/>
      <w:bookmarkEnd w:id="47"/>
      <w:bookmarkEnd w:id="48"/>
      <w:bookmarkEnd w:id="42"/>
    </w:p>
    <w:tbl>
      <w:tblPr>
        <w:tblW w:w="5000" w:type="pct"/>
        <w:tblCellMar>
          <w:left w:w="70" w:type="dxa"/>
          <w:right w:w="70" w:type="dxa"/>
        </w:tblCellMar>
        <w:tblLook w:val="04A0" w:firstRow="1" w:lastRow="0" w:firstColumn="1" w:lastColumn="0" w:noHBand="0" w:noVBand="1"/>
      </w:tblPr>
      <w:tblGrid>
        <w:gridCol w:w="1102"/>
        <w:gridCol w:w="1663"/>
        <w:gridCol w:w="1471"/>
        <w:gridCol w:w="1216"/>
        <w:gridCol w:w="1471"/>
        <w:gridCol w:w="1601"/>
        <w:gridCol w:w="1457"/>
        <w:gridCol w:w="1361"/>
        <w:gridCol w:w="1409"/>
        <w:gridCol w:w="1392"/>
      </w:tblGrid>
      <w:tr w:rsidR="00864685" w:rsidRPr="00864685" w:rsidTr="00864685">
        <w:trPr>
          <w:trHeight w:val="660"/>
        </w:trPr>
        <w:tc>
          <w:tcPr>
            <w:tcW w:w="390" w:type="pct"/>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rsidR="00864685" w:rsidRPr="00864685" w:rsidRDefault="00864685" w:rsidP="00864685">
            <w:pPr>
              <w:jc w:val="center"/>
              <w:rPr>
                <w:b/>
                <w:bCs/>
                <w:color w:val="000000"/>
                <w:sz w:val="18"/>
                <w:szCs w:val="18"/>
              </w:rPr>
            </w:pPr>
            <w:r w:rsidRPr="00864685">
              <w:rPr>
                <w:b/>
                <w:bCs/>
                <w:color w:val="000000"/>
                <w:sz w:val="18"/>
                <w:szCs w:val="18"/>
              </w:rPr>
              <w:t>Finanční plán - rok</w:t>
            </w:r>
          </w:p>
        </w:tc>
        <w:tc>
          <w:tcPr>
            <w:tcW w:w="588" w:type="pct"/>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rsidR="00864685" w:rsidRPr="00864685" w:rsidRDefault="00864685" w:rsidP="00864685">
            <w:pPr>
              <w:jc w:val="center"/>
              <w:rPr>
                <w:b/>
                <w:bCs/>
                <w:color w:val="000000"/>
                <w:sz w:val="18"/>
                <w:szCs w:val="18"/>
              </w:rPr>
            </w:pPr>
            <w:r w:rsidRPr="00864685">
              <w:rPr>
                <w:b/>
                <w:bCs/>
                <w:color w:val="000000"/>
                <w:sz w:val="18"/>
                <w:szCs w:val="18"/>
              </w:rPr>
              <w:t>Celková alokace EU prostředků 2007 - 2013 - roční</w:t>
            </w:r>
          </w:p>
        </w:tc>
        <w:tc>
          <w:tcPr>
            <w:tcW w:w="520" w:type="pct"/>
            <w:tcBorders>
              <w:top w:val="single" w:sz="4" w:space="0" w:color="auto"/>
              <w:left w:val="nil"/>
              <w:bottom w:val="single" w:sz="4" w:space="0" w:color="auto"/>
              <w:right w:val="single" w:sz="4" w:space="0" w:color="auto"/>
            </w:tcBorders>
            <w:shd w:val="clear" w:color="000000" w:fill="B8CCE4"/>
            <w:vAlign w:val="center"/>
            <w:hideMark/>
          </w:tcPr>
          <w:p w:rsidR="00864685" w:rsidRPr="00864685" w:rsidRDefault="00864685" w:rsidP="00864685">
            <w:pPr>
              <w:jc w:val="center"/>
              <w:rPr>
                <w:b/>
                <w:bCs/>
                <w:color w:val="000000"/>
                <w:sz w:val="18"/>
                <w:szCs w:val="18"/>
              </w:rPr>
            </w:pPr>
            <w:r w:rsidRPr="00864685">
              <w:rPr>
                <w:b/>
                <w:bCs/>
                <w:color w:val="000000"/>
                <w:sz w:val="18"/>
                <w:szCs w:val="18"/>
              </w:rPr>
              <w:t>N+3 / N+2 limity - souhrnné *</w:t>
            </w:r>
          </w:p>
        </w:tc>
        <w:tc>
          <w:tcPr>
            <w:tcW w:w="430" w:type="pct"/>
            <w:tcBorders>
              <w:top w:val="single" w:sz="4" w:space="0" w:color="auto"/>
              <w:left w:val="nil"/>
              <w:bottom w:val="single" w:sz="4" w:space="0" w:color="auto"/>
              <w:right w:val="single" w:sz="4" w:space="0" w:color="auto"/>
            </w:tcBorders>
            <w:shd w:val="clear" w:color="000000" w:fill="B8CCE4"/>
            <w:vAlign w:val="center"/>
            <w:hideMark/>
          </w:tcPr>
          <w:p w:rsidR="00864685" w:rsidRPr="00864685" w:rsidRDefault="00864685" w:rsidP="00864685">
            <w:pPr>
              <w:jc w:val="center"/>
              <w:rPr>
                <w:b/>
                <w:bCs/>
                <w:color w:val="000000"/>
                <w:sz w:val="18"/>
                <w:szCs w:val="18"/>
              </w:rPr>
            </w:pPr>
            <w:r w:rsidRPr="00864685">
              <w:rPr>
                <w:b/>
                <w:bCs/>
                <w:color w:val="000000"/>
                <w:sz w:val="18"/>
                <w:szCs w:val="18"/>
              </w:rPr>
              <w:t>Předběžné platby z EK - roční</w:t>
            </w:r>
          </w:p>
        </w:tc>
        <w:tc>
          <w:tcPr>
            <w:tcW w:w="520" w:type="pct"/>
            <w:tcBorders>
              <w:top w:val="single" w:sz="4" w:space="0" w:color="auto"/>
              <w:left w:val="nil"/>
              <w:bottom w:val="single" w:sz="4" w:space="0" w:color="auto"/>
              <w:right w:val="single" w:sz="4" w:space="0" w:color="auto"/>
            </w:tcBorders>
            <w:shd w:val="clear" w:color="000000" w:fill="B8CCE4"/>
            <w:vAlign w:val="center"/>
            <w:hideMark/>
          </w:tcPr>
          <w:p w:rsidR="00864685" w:rsidRPr="00864685" w:rsidRDefault="00864685" w:rsidP="00864685">
            <w:pPr>
              <w:jc w:val="center"/>
              <w:rPr>
                <w:b/>
                <w:bCs/>
                <w:color w:val="000000"/>
                <w:sz w:val="18"/>
                <w:szCs w:val="18"/>
              </w:rPr>
            </w:pPr>
            <w:r w:rsidRPr="00864685">
              <w:rPr>
                <w:b/>
                <w:bCs/>
                <w:color w:val="000000"/>
                <w:sz w:val="18"/>
                <w:szCs w:val="18"/>
              </w:rPr>
              <w:t>Žádosti o průběžnou / závěrečnou platbu předložené EK - roční</w:t>
            </w:r>
          </w:p>
        </w:tc>
        <w:tc>
          <w:tcPr>
            <w:tcW w:w="566" w:type="pct"/>
            <w:tcBorders>
              <w:top w:val="single" w:sz="4" w:space="0" w:color="auto"/>
              <w:left w:val="nil"/>
              <w:bottom w:val="single" w:sz="4" w:space="0" w:color="auto"/>
              <w:right w:val="single" w:sz="4" w:space="0" w:color="auto"/>
            </w:tcBorders>
            <w:shd w:val="clear" w:color="000000" w:fill="B8CCE4"/>
            <w:vAlign w:val="center"/>
            <w:hideMark/>
          </w:tcPr>
          <w:p w:rsidR="00864685" w:rsidRPr="00864685" w:rsidRDefault="00864685" w:rsidP="00864685">
            <w:pPr>
              <w:jc w:val="center"/>
              <w:rPr>
                <w:b/>
                <w:bCs/>
                <w:color w:val="000000"/>
                <w:sz w:val="18"/>
                <w:szCs w:val="18"/>
              </w:rPr>
            </w:pPr>
            <w:r w:rsidRPr="00864685">
              <w:rPr>
                <w:b/>
                <w:bCs/>
                <w:color w:val="000000"/>
                <w:sz w:val="18"/>
                <w:szCs w:val="18"/>
              </w:rPr>
              <w:t>Předběžné platby z EK + žádosti o platby z ČR - roční</w:t>
            </w:r>
          </w:p>
        </w:tc>
        <w:tc>
          <w:tcPr>
            <w:tcW w:w="515" w:type="pct"/>
            <w:tcBorders>
              <w:top w:val="single" w:sz="4" w:space="0" w:color="auto"/>
              <w:left w:val="nil"/>
              <w:bottom w:val="single" w:sz="4" w:space="0" w:color="auto"/>
              <w:right w:val="single" w:sz="4" w:space="0" w:color="auto"/>
            </w:tcBorders>
            <w:shd w:val="clear" w:color="000000" w:fill="B8CCE4"/>
            <w:vAlign w:val="center"/>
            <w:hideMark/>
          </w:tcPr>
          <w:p w:rsidR="00864685" w:rsidRPr="00864685" w:rsidRDefault="00864685" w:rsidP="00864685">
            <w:pPr>
              <w:jc w:val="center"/>
              <w:rPr>
                <w:b/>
                <w:bCs/>
                <w:color w:val="000000"/>
                <w:sz w:val="18"/>
                <w:szCs w:val="18"/>
              </w:rPr>
            </w:pPr>
            <w:r w:rsidRPr="00864685">
              <w:rPr>
                <w:b/>
                <w:bCs/>
                <w:color w:val="000000"/>
                <w:sz w:val="18"/>
                <w:szCs w:val="18"/>
              </w:rPr>
              <w:t>Předběžné platby z EK + žádosti o platby - souhrnné</w:t>
            </w:r>
          </w:p>
        </w:tc>
        <w:tc>
          <w:tcPr>
            <w:tcW w:w="481" w:type="pct"/>
            <w:tcBorders>
              <w:top w:val="single" w:sz="4" w:space="0" w:color="auto"/>
              <w:left w:val="nil"/>
              <w:bottom w:val="single" w:sz="4" w:space="0" w:color="auto"/>
              <w:right w:val="single" w:sz="4" w:space="0" w:color="auto"/>
            </w:tcBorders>
            <w:shd w:val="clear" w:color="000000" w:fill="B8CCE4"/>
            <w:vAlign w:val="center"/>
            <w:hideMark/>
          </w:tcPr>
          <w:p w:rsidR="00864685" w:rsidRPr="00864685" w:rsidRDefault="00864685" w:rsidP="00864685">
            <w:pPr>
              <w:jc w:val="center"/>
              <w:rPr>
                <w:b/>
                <w:bCs/>
                <w:color w:val="000000"/>
                <w:sz w:val="18"/>
                <w:szCs w:val="18"/>
              </w:rPr>
            </w:pPr>
            <w:r w:rsidRPr="00864685">
              <w:rPr>
                <w:b/>
                <w:bCs/>
                <w:color w:val="000000"/>
                <w:sz w:val="18"/>
                <w:szCs w:val="18"/>
              </w:rPr>
              <w:t>Rozdíl mezi platbami a limity - souhrnné</w:t>
            </w:r>
          </w:p>
        </w:tc>
        <w:tc>
          <w:tcPr>
            <w:tcW w:w="498" w:type="pct"/>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rsidR="00864685" w:rsidRPr="00864685" w:rsidRDefault="00864685" w:rsidP="00864685">
            <w:pPr>
              <w:jc w:val="center"/>
              <w:rPr>
                <w:b/>
                <w:bCs/>
                <w:color w:val="000000"/>
                <w:sz w:val="18"/>
                <w:szCs w:val="18"/>
              </w:rPr>
            </w:pPr>
            <w:r w:rsidRPr="00864685">
              <w:rPr>
                <w:b/>
                <w:bCs/>
                <w:color w:val="000000"/>
                <w:sz w:val="18"/>
                <w:szCs w:val="18"/>
              </w:rPr>
              <w:t>Alokace velkých projektů k odečtení v rámci pravidla n+3/n+2</w:t>
            </w:r>
          </w:p>
        </w:tc>
        <w:tc>
          <w:tcPr>
            <w:tcW w:w="492" w:type="pct"/>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rsidR="00864685" w:rsidRPr="00864685" w:rsidRDefault="00864685" w:rsidP="00864685">
            <w:pPr>
              <w:jc w:val="center"/>
              <w:rPr>
                <w:b/>
                <w:bCs/>
                <w:color w:val="000000"/>
                <w:sz w:val="18"/>
                <w:szCs w:val="18"/>
              </w:rPr>
            </w:pPr>
            <w:r w:rsidRPr="00864685">
              <w:rPr>
                <w:b/>
                <w:bCs/>
                <w:color w:val="000000"/>
                <w:sz w:val="18"/>
                <w:szCs w:val="18"/>
              </w:rPr>
              <w:t>Rozdíl mezi platbami se započítáním velkých projektů a limity</w:t>
            </w:r>
          </w:p>
        </w:tc>
      </w:tr>
      <w:tr w:rsidR="00864685" w:rsidRPr="00864685" w:rsidTr="00864685">
        <w:trPr>
          <w:trHeight w:val="300"/>
        </w:trPr>
        <w:tc>
          <w:tcPr>
            <w:tcW w:w="390" w:type="pct"/>
            <w:vMerge/>
            <w:tcBorders>
              <w:top w:val="single" w:sz="4" w:space="0" w:color="auto"/>
              <w:left w:val="single" w:sz="4" w:space="0" w:color="auto"/>
              <w:bottom w:val="single" w:sz="4" w:space="0" w:color="auto"/>
              <w:right w:val="single" w:sz="4" w:space="0" w:color="auto"/>
            </w:tcBorders>
            <w:vAlign w:val="center"/>
            <w:hideMark/>
          </w:tcPr>
          <w:p w:rsidR="00864685" w:rsidRPr="00864685" w:rsidRDefault="00864685" w:rsidP="00864685">
            <w:pPr>
              <w:rPr>
                <w:b/>
                <w:bCs/>
                <w:color w:val="000000"/>
                <w:sz w:val="18"/>
                <w:szCs w:val="18"/>
              </w:rPr>
            </w:pPr>
          </w:p>
        </w:tc>
        <w:tc>
          <w:tcPr>
            <w:tcW w:w="588" w:type="pct"/>
            <w:vMerge/>
            <w:tcBorders>
              <w:top w:val="single" w:sz="4" w:space="0" w:color="auto"/>
              <w:left w:val="single" w:sz="4" w:space="0" w:color="auto"/>
              <w:bottom w:val="single" w:sz="4" w:space="0" w:color="auto"/>
              <w:right w:val="single" w:sz="4" w:space="0" w:color="auto"/>
            </w:tcBorders>
            <w:vAlign w:val="center"/>
            <w:hideMark/>
          </w:tcPr>
          <w:p w:rsidR="00864685" w:rsidRPr="00864685" w:rsidRDefault="00864685" w:rsidP="00864685">
            <w:pPr>
              <w:rPr>
                <w:b/>
                <w:bCs/>
                <w:color w:val="000000"/>
                <w:sz w:val="18"/>
                <w:szCs w:val="18"/>
              </w:rPr>
            </w:pPr>
          </w:p>
        </w:tc>
        <w:tc>
          <w:tcPr>
            <w:tcW w:w="520" w:type="pct"/>
            <w:tcBorders>
              <w:top w:val="nil"/>
              <w:left w:val="nil"/>
              <w:bottom w:val="single" w:sz="4" w:space="0" w:color="auto"/>
              <w:right w:val="single" w:sz="4" w:space="0" w:color="auto"/>
            </w:tcBorders>
            <w:shd w:val="clear" w:color="000000" w:fill="B8CCE4"/>
            <w:vAlign w:val="center"/>
            <w:hideMark/>
          </w:tcPr>
          <w:p w:rsidR="00864685" w:rsidRPr="00864685" w:rsidRDefault="00864685" w:rsidP="00864685">
            <w:pPr>
              <w:jc w:val="center"/>
              <w:rPr>
                <w:b/>
                <w:bCs/>
                <w:color w:val="000000"/>
                <w:sz w:val="18"/>
                <w:szCs w:val="18"/>
              </w:rPr>
            </w:pPr>
            <w:r w:rsidRPr="00864685">
              <w:rPr>
                <w:b/>
                <w:bCs/>
                <w:color w:val="000000"/>
                <w:sz w:val="18"/>
                <w:szCs w:val="18"/>
              </w:rPr>
              <w:t>a</w:t>
            </w:r>
          </w:p>
        </w:tc>
        <w:tc>
          <w:tcPr>
            <w:tcW w:w="430" w:type="pct"/>
            <w:tcBorders>
              <w:top w:val="nil"/>
              <w:left w:val="nil"/>
              <w:bottom w:val="single" w:sz="4" w:space="0" w:color="auto"/>
              <w:right w:val="single" w:sz="4" w:space="0" w:color="auto"/>
            </w:tcBorders>
            <w:shd w:val="clear" w:color="000000" w:fill="B8CCE4"/>
            <w:vAlign w:val="center"/>
            <w:hideMark/>
          </w:tcPr>
          <w:p w:rsidR="00864685" w:rsidRPr="00864685" w:rsidRDefault="00864685" w:rsidP="00864685">
            <w:pPr>
              <w:jc w:val="center"/>
              <w:rPr>
                <w:b/>
                <w:bCs/>
                <w:color w:val="000000"/>
                <w:sz w:val="18"/>
                <w:szCs w:val="18"/>
              </w:rPr>
            </w:pPr>
            <w:r w:rsidRPr="00864685">
              <w:rPr>
                <w:b/>
                <w:bCs/>
                <w:color w:val="000000"/>
                <w:sz w:val="18"/>
                <w:szCs w:val="18"/>
              </w:rPr>
              <w:t>b</w:t>
            </w:r>
          </w:p>
        </w:tc>
        <w:tc>
          <w:tcPr>
            <w:tcW w:w="520" w:type="pct"/>
            <w:tcBorders>
              <w:top w:val="nil"/>
              <w:left w:val="nil"/>
              <w:bottom w:val="single" w:sz="4" w:space="0" w:color="auto"/>
              <w:right w:val="single" w:sz="4" w:space="0" w:color="auto"/>
            </w:tcBorders>
            <w:shd w:val="clear" w:color="000000" w:fill="B8CCE4"/>
            <w:vAlign w:val="center"/>
            <w:hideMark/>
          </w:tcPr>
          <w:p w:rsidR="00864685" w:rsidRPr="00864685" w:rsidRDefault="00864685" w:rsidP="00864685">
            <w:pPr>
              <w:jc w:val="center"/>
              <w:rPr>
                <w:b/>
                <w:bCs/>
                <w:color w:val="000000"/>
                <w:sz w:val="18"/>
                <w:szCs w:val="18"/>
              </w:rPr>
            </w:pPr>
            <w:r w:rsidRPr="00864685">
              <w:rPr>
                <w:b/>
                <w:bCs/>
                <w:color w:val="000000"/>
                <w:sz w:val="18"/>
                <w:szCs w:val="18"/>
              </w:rPr>
              <w:t>c</w:t>
            </w:r>
          </w:p>
        </w:tc>
        <w:tc>
          <w:tcPr>
            <w:tcW w:w="566" w:type="pct"/>
            <w:tcBorders>
              <w:top w:val="nil"/>
              <w:left w:val="nil"/>
              <w:bottom w:val="single" w:sz="4" w:space="0" w:color="auto"/>
              <w:right w:val="single" w:sz="4" w:space="0" w:color="auto"/>
            </w:tcBorders>
            <w:shd w:val="clear" w:color="000000" w:fill="B8CCE4"/>
            <w:vAlign w:val="center"/>
            <w:hideMark/>
          </w:tcPr>
          <w:p w:rsidR="00864685" w:rsidRPr="00864685" w:rsidRDefault="00864685" w:rsidP="00864685">
            <w:pPr>
              <w:jc w:val="center"/>
              <w:rPr>
                <w:b/>
                <w:bCs/>
                <w:color w:val="000000"/>
                <w:sz w:val="18"/>
                <w:szCs w:val="18"/>
              </w:rPr>
            </w:pPr>
            <w:r w:rsidRPr="00864685">
              <w:rPr>
                <w:b/>
                <w:bCs/>
                <w:color w:val="000000"/>
                <w:sz w:val="18"/>
                <w:szCs w:val="18"/>
              </w:rPr>
              <w:t>d=</w:t>
            </w:r>
            <w:proofErr w:type="spellStart"/>
            <w:r w:rsidRPr="00864685">
              <w:rPr>
                <w:b/>
                <w:bCs/>
                <w:color w:val="000000"/>
                <w:sz w:val="18"/>
                <w:szCs w:val="18"/>
              </w:rPr>
              <w:t>b+c</w:t>
            </w:r>
            <w:proofErr w:type="spellEnd"/>
          </w:p>
        </w:tc>
        <w:tc>
          <w:tcPr>
            <w:tcW w:w="515" w:type="pct"/>
            <w:tcBorders>
              <w:top w:val="nil"/>
              <w:left w:val="nil"/>
              <w:bottom w:val="single" w:sz="4" w:space="0" w:color="auto"/>
              <w:right w:val="single" w:sz="4" w:space="0" w:color="auto"/>
            </w:tcBorders>
            <w:shd w:val="clear" w:color="000000" w:fill="B8CCE4"/>
            <w:vAlign w:val="center"/>
            <w:hideMark/>
          </w:tcPr>
          <w:p w:rsidR="00864685" w:rsidRPr="00864685" w:rsidRDefault="00864685" w:rsidP="00864685">
            <w:pPr>
              <w:jc w:val="center"/>
              <w:rPr>
                <w:b/>
                <w:bCs/>
                <w:color w:val="000000"/>
                <w:sz w:val="18"/>
                <w:szCs w:val="18"/>
              </w:rPr>
            </w:pPr>
            <w:r w:rsidRPr="00864685">
              <w:rPr>
                <w:b/>
                <w:bCs/>
                <w:color w:val="000000"/>
                <w:sz w:val="18"/>
                <w:szCs w:val="18"/>
              </w:rPr>
              <w:t>e</w:t>
            </w:r>
          </w:p>
        </w:tc>
        <w:tc>
          <w:tcPr>
            <w:tcW w:w="481" w:type="pct"/>
            <w:tcBorders>
              <w:top w:val="nil"/>
              <w:left w:val="nil"/>
              <w:bottom w:val="single" w:sz="4" w:space="0" w:color="auto"/>
              <w:right w:val="single" w:sz="4" w:space="0" w:color="auto"/>
            </w:tcBorders>
            <w:shd w:val="clear" w:color="000000" w:fill="B8CCE4"/>
            <w:vAlign w:val="center"/>
            <w:hideMark/>
          </w:tcPr>
          <w:p w:rsidR="00864685" w:rsidRPr="00864685" w:rsidRDefault="00864685" w:rsidP="00864685">
            <w:pPr>
              <w:jc w:val="center"/>
              <w:rPr>
                <w:b/>
                <w:bCs/>
                <w:color w:val="000000"/>
                <w:sz w:val="18"/>
                <w:szCs w:val="18"/>
              </w:rPr>
            </w:pPr>
            <w:r w:rsidRPr="00864685">
              <w:rPr>
                <w:b/>
                <w:bCs/>
                <w:color w:val="000000"/>
                <w:sz w:val="18"/>
                <w:szCs w:val="18"/>
              </w:rPr>
              <w:t>f=e-a</w:t>
            </w:r>
          </w:p>
        </w:tc>
        <w:tc>
          <w:tcPr>
            <w:tcW w:w="498" w:type="pct"/>
            <w:vMerge/>
            <w:tcBorders>
              <w:top w:val="single" w:sz="4" w:space="0" w:color="auto"/>
              <w:left w:val="single" w:sz="4" w:space="0" w:color="auto"/>
              <w:bottom w:val="single" w:sz="4" w:space="0" w:color="auto"/>
              <w:right w:val="single" w:sz="4" w:space="0" w:color="auto"/>
            </w:tcBorders>
            <w:vAlign w:val="center"/>
            <w:hideMark/>
          </w:tcPr>
          <w:p w:rsidR="00864685" w:rsidRPr="00864685" w:rsidRDefault="00864685" w:rsidP="00864685">
            <w:pPr>
              <w:rPr>
                <w:b/>
                <w:bCs/>
                <w:color w:val="000000"/>
                <w:sz w:val="18"/>
                <w:szCs w:val="18"/>
              </w:rPr>
            </w:pPr>
          </w:p>
        </w:tc>
        <w:tc>
          <w:tcPr>
            <w:tcW w:w="492" w:type="pct"/>
            <w:vMerge/>
            <w:tcBorders>
              <w:top w:val="single" w:sz="4" w:space="0" w:color="auto"/>
              <w:left w:val="single" w:sz="4" w:space="0" w:color="auto"/>
              <w:bottom w:val="single" w:sz="4" w:space="0" w:color="auto"/>
              <w:right w:val="single" w:sz="4" w:space="0" w:color="auto"/>
            </w:tcBorders>
            <w:vAlign w:val="center"/>
            <w:hideMark/>
          </w:tcPr>
          <w:p w:rsidR="00864685" w:rsidRPr="00864685" w:rsidRDefault="00864685" w:rsidP="00864685">
            <w:pPr>
              <w:rPr>
                <w:b/>
                <w:bCs/>
                <w:color w:val="000000"/>
                <w:sz w:val="18"/>
                <w:szCs w:val="18"/>
              </w:rPr>
            </w:pPr>
          </w:p>
        </w:tc>
      </w:tr>
      <w:tr w:rsidR="00864685" w:rsidRPr="00864685" w:rsidTr="009C030B">
        <w:trPr>
          <w:trHeight w:val="300"/>
        </w:trPr>
        <w:tc>
          <w:tcPr>
            <w:tcW w:w="390" w:type="pct"/>
            <w:tcBorders>
              <w:top w:val="nil"/>
              <w:left w:val="single" w:sz="4" w:space="0" w:color="auto"/>
              <w:bottom w:val="single" w:sz="4" w:space="0" w:color="auto"/>
              <w:right w:val="single" w:sz="4" w:space="0" w:color="auto"/>
            </w:tcBorders>
            <w:shd w:val="clear" w:color="000000" w:fill="FFFFEF"/>
            <w:vAlign w:val="center"/>
            <w:hideMark/>
          </w:tcPr>
          <w:p w:rsidR="00864685" w:rsidRPr="00864685" w:rsidRDefault="00864685" w:rsidP="009C030B">
            <w:pPr>
              <w:jc w:val="center"/>
              <w:rPr>
                <w:color w:val="000000"/>
                <w:sz w:val="18"/>
                <w:szCs w:val="18"/>
              </w:rPr>
            </w:pPr>
            <w:r w:rsidRPr="00864685">
              <w:rPr>
                <w:color w:val="000000"/>
                <w:sz w:val="18"/>
                <w:szCs w:val="18"/>
              </w:rPr>
              <w:t>2007</w:t>
            </w:r>
          </w:p>
        </w:tc>
        <w:tc>
          <w:tcPr>
            <w:tcW w:w="588" w:type="pct"/>
            <w:tcBorders>
              <w:top w:val="nil"/>
              <w:left w:val="nil"/>
              <w:bottom w:val="single" w:sz="4" w:space="0" w:color="auto"/>
              <w:right w:val="single" w:sz="4" w:space="0" w:color="auto"/>
            </w:tcBorders>
            <w:shd w:val="clear" w:color="000000" w:fill="FFFFFF"/>
            <w:noWrap/>
            <w:vAlign w:val="center"/>
            <w:hideMark/>
          </w:tcPr>
          <w:p w:rsidR="00864685" w:rsidRPr="00864685" w:rsidRDefault="00864685" w:rsidP="009C030B">
            <w:pPr>
              <w:jc w:val="right"/>
              <w:rPr>
                <w:color w:val="000000"/>
                <w:sz w:val="18"/>
                <w:szCs w:val="18"/>
              </w:rPr>
            </w:pPr>
            <w:r w:rsidRPr="00864685">
              <w:rPr>
                <w:color w:val="000000"/>
                <w:sz w:val="18"/>
                <w:szCs w:val="18"/>
              </w:rPr>
              <w:t>192 686 939</w:t>
            </w:r>
          </w:p>
        </w:tc>
        <w:tc>
          <w:tcPr>
            <w:tcW w:w="520" w:type="pct"/>
            <w:tcBorders>
              <w:top w:val="nil"/>
              <w:left w:val="nil"/>
              <w:bottom w:val="single" w:sz="4" w:space="0" w:color="auto"/>
              <w:right w:val="single" w:sz="4" w:space="0" w:color="auto"/>
            </w:tcBorders>
            <w:shd w:val="clear" w:color="000000" w:fill="FFFFFF"/>
            <w:noWrap/>
            <w:vAlign w:val="center"/>
            <w:hideMark/>
          </w:tcPr>
          <w:p w:rsidR="00864685" w:rsidRPr="00864685" w:rsidRDefault="00864685" w:rsidP="009C030B">
            <w:pPr>
              <w:jc w:val="right"/>
              <w:rPr>
                <w:color w:val="000000"/>
                <w:sz w:val="18"/>
                <w:szCs w:val="18"/>
              </w:rPr>
            </w:pPr>
            <w:r w:rsidRPr="00864685">
              <w:rPr>
                <w:color w:val="000000"/>
                <w:sz w:val="18"/>
                <w:szCs w:val="18"/>
              </w:rPr>
              <w:t> </w:t>
            </w:r>
          </w:p>
        </w:tc>
        <w:tc>
          <w:tcPr>
            <w:tcW w:w="430" w:type="pct"/>
            <w:tcBorders>
              <w:top w:val="nil"/>
              <w:left w:val="nil"/>
              <w:bottom w:val="single" w:sz="4" w:space="0" w:color="auto"/>
              <w:right w:val="single" w:sz="4" w:space="0" w:color="auto"/>
            </w:tcBorders>
            <w:shd w:val="clear" w:color="000000" w:fill="FFFFFF"/>
            <w:noWrap/>
            <w:vAlign w:val="center"/>
            <w:hideMark/>
          </w:tcPr>
          <w:p w:rsidR="00864685" w:rsidRPr="00864685" w:rsidRDefault="00864685" w:rsidP="009C030B">
            <w:pPr>
              <w:jc w:val="right"/>
              <w:rPr>
                <w:color w:val="000000"/>
                <w:sz w:val="18"/>
                <w:szCs w:val="18"/>
              </w:rPr>
            </w:pPr>
            <w:r w:rsidRPr="00864685">
              <w:rPr>
                <w:color w:val="000000"/>
                <w:sz w:val="18"/>
                <w:szCs w:val="18"/>
              </w:rPr>
              <w:t> </w:t>
            </w:r>
          </w:p>
        </w:tc>
        <w:tc>
          <w:tcPr>
            <w:tcW w:w="520" w:type="pct"/>
            <w:tcBorders>
              <w:top w:val="nil"/>
              <w:left w:val="nil"/>
              <w:bottom w:val="single" w:sz="4" w:space="0" w:color="auto"/>
              <w:right w:val="single" w:sz="4" w:space="0" w:color="auto"/>
            </w:tcBorders>
            <w:shd w:val="clear" w:color="000000" w:fill="FFFFFF"/>
            <w:noWrap/>
            <w:vAlign w:val="center"/>
            <w:hideMark/>
          </w:tcPr>
          <w:p w:rsidR="00864685" w:rsidRPr="00864685" w:rsidRDefault="00864685" w:rsidP="009C030B">
            <w:pPr>
              <w:jc w:val="right"/>
              <w:rPr>
                <w:color w:val="000000"/>
                <w:sz w:val="18"/>
                <w:szCs w:val="18"/>
              </w:rPr>
            </w:pPr>
            <w:r w:rsidRPr="00864685">
              <w:rPr>
                <w:color w:val="000000"/>
                <w:sz w:val="18"/>
                <w:szCs w:val="18"/>
              </w:rPr>
              <w:t> </w:t>
            </w:r>
          </w:p>
        </w:tc>
        <w:tc>
          <w:tcPr>
            <w:tcW w:w="566" w:type="pct"/>
            <w:tcBorders>
              <w:top w:val="nil"/>
              <w:left w:val="nil"/>
              <w:bottom w:val="single" w:sz="4" w:space="0" w:color="auto"/>
              <w:right w:val="single" w:sz="4" w:space="0" w:color="auto"/>
            </w:tcBorders>
            <w:shd w:val="clear" w:color="000000" w:fill="FFFFFF"/>
            <w:noWrap/>
            <w:vAlign w:val="center"/>
            <w:hideMark/>
          </w:tcPr>
          <w:p w:rsidR="00864685" w:rsidRPr="00864685" w:rsidRDefault="00864685" w:rsidP="009C030B">
            <w:pPr>
              <w:jc w:val="right"/>
              <w:rPr>
                <w:color w:val="000000"/>
                <w:sz w:val="18"/>
                <w:szCs w:val="18"/>
              </w:rPr>
            </w:pPr>
            <w:r w:rsidRPr="00864685">
              <w:rPr>
                <w:color w:val="000000"/>
                <w:sz w:val="18"/>
                <w:szCs w:val="18"/>
              </w:rPr>
              <w:t> </w:t>
            </w:r>
          </w:p>
        </w:tc>
        <w:tc>
          <w:tcPr>
            <w:tcW w:w="515" w:type="pct"/>
            <w:tcBorders>
              <w:top w:val="nil"/>
              <w:left w:val="nil"/>
              <w:bottom w:val="single" w:sz="4" w:space="0" w:color="auto"/>
              <w:right w:val="single" w:sz="4" w:space="0" w:color="auto"/>
            </w:tcBorders>
            <w:shd w:val="clear" w:color="000000" w:fill="FFFFFF"/>
            <w:noWrap/>
            <w:vAlign w:val="center"/>
            <w:hideMark/>
          </w:tcPr>
          <w:p w:rsidR="00864685" w:rsidRPr="00864685" w:rsidRDefault="00864685" w:rsidP="009C030B">
            <w:pPr>
              <w:jc w:val="right"/>
              <w:rPr>
                <w:color w:val="000000"/>
                <w:sz w:val="18"/>
                <w:szCs w:val="18"/>
              </w:rPr>
            </w:pPr>
            <w:r w:rsidRPr="00864685">
              <w:rPr>
                <w:color w:val="000000"/>
                <w:sz w:val="18"/>
                <w:szCs w:val="18"/>
              </w:rPr>
              <w:t> </w:t>
            </w:r>
          </w:p>
        </w:tc>
        <w:tc>
          <w:tcPr>
            <w:tcW w:w="481" w:type="pct"/>
            <w:tcBorders>
              <w:top w:val="nil"/>
              <w:left w:val="nil"/>
              <w:bottom w:val="single" w:sz="4" w:space="0" w:color="auto"/>
              <w:right w:val="single" w:sz="4" w:space="0" w:color="auto"/>
            </w:tcBorders>
            <w:shd w:val="clear" w:color="000000" w:fill="FFFFFF"/>
            <w:noWrap/>
            <w:vAlign w:val="center"/>
            <w:hideMark/>
          </w:tcPr>
          <w:p w:rsidR="00864685" w:rsidRPr="00864685" w:rsidRDefault="00864685" w:rsidP="009C030B">
            <w:pPr>
              <w:jc w:val="right"/>
              <w:rPr>
                <w:color w:val="000000"/>
                <w:sz w:val="18"/>
                <w:szCs w:val="18"/>
              </w:rPr>
            </w:pPr>
            <w:r w:rsidRPr="00864685">
              <w:rPr>
                <w:color w:val="000000"/>
                <w:sz w:val="18"/>
                <w:szCs w:val="18"/>
              </w:rPr>
              <w:t> </w:t>
            </w:r>
          </w:p>
        </w:tc>
        <w:tc>
          <w:tcPr>
            <w:tcW w:w="498" w:type="pct"/>
            <w:tcBorders>
              <w:top w:val="nil"/>
              <w:left w:val="nil"/>
              <w:bottom w:val="single" w:sz="4" w:space="0" w:color="auto"/>
              <w:right w:val="single" w:sz="4" w:space="0" w:color="auto"/>
            </w:tcBorders>
            <w:shd w:val="clear" w:color="auto" w:fill="auto"/>
            <w:noWrap/>
            <w:vAlign w:val="center"/>
            <w:hideMark/>
          </w:tcPr>
          <w:p w:rsidR="00864685" w:rsidRPr="00864685" w:rsidRDefault="00864685" w:rsidP="009C030B">
            <w:pPr>
              <w:jc w:val="right"/>
              <w:rPr>
                <w:color w:val="000000"/>
                <w:sz w:val="18"/>
                <w:szCs w:val="18"/>
              </w:rPr>
            </w:pPr>
            <w:r w:rsidRPr="00864685">
              <w:rPr>
                <w:color w:val="000000"/>
                <w:sz w:val="18"/>
                <w:szCs w:val="18"/>
              </w:rPr>
              <w:t> </w:t>
            </w:r>
          </w:p>
        </w:tc>
        <w:tc>
          <w:tcPr>
            <w:tcW w:w="492" w:type="pct"/>
            <w:tcBorders>
              <w:top w:val="nil"/>
              <w:left w:val="nil"/>
              <w:bottom w:val="single" w:sz="4" w:space="0" w:color="auto"/>
              <w:right w:val="single" w:sz="4" w:space="0" w:color="auto"/>
            </w:tcBorders>
            <w:shd w:val="clear" w:color="auto" w:fill="auto"/>
            <w:noWrap/>
            <w:vAlign w:val="center"/>
            <w:hideMark/>
          </w:tcPr>
          <w:p w:rsidR="00864685" w:rsidRPr="00864685" w:rsidRDefault="00864685" w:rsidP="009C030B">
            <w:pPr>
              <w:jc w:val="right"/>
              <w:rPr>
                <w:color w:val="000000"/>
                <w:sz w:val="18"/>
                <w:szCs w:val="18"/>
              </w:rPr>
            </w:pPr>
            <w:r w:rsidRPr="00864685">
              <w:rPr>
                <w:color w:val="000000"/>
                <w:sz w:val="18"/>
                <w:szCs w:val="18"/>
              </w:rPr>
              <w:t> </w:t>
            </w:r>
          </w:p>
        </w:tc>
      </w:tr>
      <w:tr w:rsidR="00864685" w:rsidRPr="00864685" w:rsidTr="009C030B">
        <w:trPr>
          <w:trHeight w:val="300"/>
        </w:trPr>
        <w:tc>
          <w:tcPr>
            <w:tcW w:w="390" w:type="pct"/>
            <w:tcBorders>
              <w:top w:val="nil"/>
              <w:left w:val="single" w:sz="4" w:space="0" w:color="auto"/>
              <w:bottom w:val="single" w:sz="4" w:space="0" w:color="auto"/>
              <w:right w:val="single" w:sz="4" w:space="0" w:color="auto"/>
            </w:tcBorders>
            <w:shd w:val="clear" w:color="000000" w:fill="FFFFEF"/>
            <w:vAlign w:val="center"/>
            <w:hideMark/>
          </w:tcPr>
          <w:p w:rsidR="00864685" w:rsidRPr="00864685" w:rsidRDefault="00864685" w:rsidP="009C030B">
            <w:pPr>
              <w:jc w:val="center"/>
              <w:rPr>
                <w:color w:val="000000"/>
                <w:sz w:val="18"/>
                <w:szCs w:val="18"/>
              </w:rPr>
            </w:pPr>
            <w:r w:rsidRPr="00864685">
              <w:rPr>
                <w:color w:val="000000"/>
                <w:sz w:val="18"/>
                <w:szCs w:val="18"/>
              </w:rPr>
              <w:t>2008</w:t>
            </w:r>
          </w:p>
        </w:tc>
        <w:tc>
          <w:tcPr>
            <w:tcW w:w="588" w:type="pct"/>
            <w:tcBorders>
              <w:top w:val="nil"/>
              <w:left w:val="nil"/>
              <w:bottom w:val="single" w:sz="4" w:space="0" w:color="auto"/>
              <w:right w:val="single" w:sz="4" w:space="0" w:color="auto"/>
            </w:tcBorders>
            <w:shd w:val="clear" w:color="000000" w:fill="FFFFFF"/>
            <w:noWrap/>
            <w:vAlign w:val="center"/>
            <w:hideMark/>
          </w:tcPr>
          <w:p w:rsidR="00864685" w:rsidRPr="00864685" w:rsidRDefault="00864685" w:rsidP="009C030B">
            <w:pPr>
              <w:jc w:val="right"/>
              <w:rPr>
                <w:color w:val="000000"/>
                <w:sz w:val="18"/>
                <w:szCs w:val="18"/>
              </w:rPr>
            </w:pPr>
            <w:r w:rsidRPr="00864685">
              <w:rPr>
                <w:color w:val="000000"/>
                <w:sz w:val="18"/>
                <w:szCs w:val="18"/>
              </w:rPr>
              <w:t>202 164 946</w:t>
            </w:r>
          </w:p>
        </w:tc>
        <w:tc>
          <w:tcPr>
            <w:tcW w:w="520" w:type="pct"/>
            <w:tcBorders>
              <w:top w:val="nil"/>
              <w:left w:val="nil"/>
              <w:bottom w:val="single" w:sz="4" w:space="0" w:color="auto"/>
              <w:right w:val="single" w:sz="4" w:space="0" w:color="auto"/>
            </w:tcBorders>
            <w:shd w:val="clear" w:color="000000" w:fill="FFFFFF"/>
            <w:noWrap/>
            <w:vAlign w:val="center"/>
            <w:hideMark/>
          </w:tcPr>
          <w:p w:rsidR="00864685" w:rsidRPr="00864685" w:rsidRDefault="00864685" w:rsidP="009C030B">
            <w:pPr>
              <w:jc w:val="right"/>
              <w:rPr>
                <w:color w:val="000000"/>
                <w:sz w:val="18"/>
                <w:szCs w:val="18"/>
              </w:rPr>
            </w:pPr>
            <w:r w:rsidRPr="00864685">
              <w:rPr>
                <w:color w:val="000000"/>
                <w:sz w:val="18"/>
                <w:szCs w:val="18"/>
              </w:rPr>
              <w:t> </w:t>
            </w:r>
          </w:p>
        </w:tc>
        <w:tc>
          <w:tcPr>
            <w:tcW w:w="430" w:type="pct"/>
            <w:tcBorders>
              <w:top w:val="nil"/>
              <w:left w:val="nil"/>
              <w:bottom w:val="single" w:sz="4" w:space="0" w:color="auto"/>
              <w:right w:val="single" w:sz="4" w:space="0" w:color="auto"/>
            </w:tcBorders>
            <w:shd w:val="clear" w:color="000000" w:fill="FFFFFF"/>
            <w:noWrap/>
            <w:vAlign w:val="center"/>
            <w:hideMark/>
          </w:tcPr>
          <w:p w:rsidR="00864685" w:rsidRPr="00864685" w:rsidRDefault="00864685" w:rsidP="009C030B">
            <w:pPr>
              <w:jc w:val="right"/>
              <w:rPr>
                <w:color w:val="000000"/>
                <w:sz w:val="18"/>
                <w:szCs w:val="18"/>
              </w:rPr>
            </w:pPr>
            <w:r w:rsidRPr="00864685">
              <w:rPr>
                <w:color w:val="000000"/>
                <w:sz w:val="18"/>
                <w:szCs w:val="18"/>
              </w:rPr>
              <w:t>77 650 533</w:t>
            </w:r>
          </w:p>
        </w:tc>
        <w:tc>
          <w:tcPr>
            <w:tcW w:w="520" w:type="pct"/>
            <w:tcBorders>
              <w:top w:val="nil"/>
              <w:left w:val="nil"/>
              <w:bottom w:val="single" w:sz="4" w:space="0" w:color="auto"/>
              <w:right w:val="single" w:sz="4" w:space="0" w:color="auto"/>
            </w:tcBorders>
            <w:shd w:val="clear" w:color="000000" w:fill="FFFFFF"/>
            <w:noWrap/>
            <w:vAlign w:val="center"/>
            <w:hideMark/>
          </w:tcPr>
          <w:p w:rsidR="00864685" w:rsidRPr="00864685" w:rsidRDefault="00864685" w:rsidP="009C030B">
            <w:pPr>
              <w:jc w:val="right"/>
              <w:rPr>
                <w:color w:val="000000"/>
                <w:sz w:val="18"/>
                <w:szCs w:val="18"/>
              </w:rPr>
            </w:pPr>
            <w:r w:rsidRPr="00864685">
              <w:rPr>
                <w:color w:val="000000"/>
                <w:sz w:val="18"/>
                <w:szCs w:val="18"/>
              </w:rPr>
              <w:t> </w:t>
            </w:r>
          </w:p>
        </w:tc>
        <w:tc>
          <w:tcPr>
            <w:tcW w:w="566" w:type="pct"/>
            <w:tcBorders>
              <w:top w:val="nil"/>
              <w:left w:val="nil"/>
              <w:bottom w:val="single" w:sz="4" w:space="0" w:color="auto"/>
              <w:right w:val="single" w:sz="4" w:space="0" w:color="auto"/>
            </w:tcBorders>
            <w:shd w:val="clear" w:color="000000" w:fill="FFFFFF"/>
            <w:noWrap/>
            <w:vAlign w:val="center"/>
            <w:hideMark/>
          </w:tcPr>
          <w:p w:rsidR="00864685" w:rsidRPr="00864685" w:rsidRDefault="00864685" w:rsidP="009C030B">
            <w:pPr>
              <w:jc w:val="right"/>
              <w:rPr>
                <w:color w:val="000000"/>
                <w:sz w:val="18"/>
                <w:szCs w:val="18"/>
              </w:rPr>
            </w:pPr>
            <w:r w:rsidRPr="00864685">
              <w:rPr>
                <w:color w:val="000000"/>
                <w:sz w:val="18"/>
                <w:szCs w:val="18"/>
              </w:rPr>
              <w:t>77 650 533</w:t>
            </w:r>
          </w:p>
        </w:tc>
        <w:tc>
          <w:tcPr>
            <w:tcW w:w="515" w:type="pct"/>
            <w:tcBorders>
              <w:top w:val="nil"/>
              <w:left w:val="nil"/>
              <w:bottom w:val="single" w:sz="4" w:space="0" w:color="auto"/>
              <w:right w:val="single" w:sz="4" w:space="0" w:color="auto"/>
            </w:tcBorders>
            <w:shd w:val="clear" w:color="000000" w:fill="FFFFFF"/>
            <w:noWrap/>
            <w:vAlign w:val="center"/>
            <w:hideMark/>
          </w:tcPr>
          <w:p w:rsidR="00864685" w:rsidRPr="00864685" w:rsidRDefault="00864685" w:rsidP="009C030B">
            <w:pPr>
              <w:jc w:val="right"/>
              <w:rPr>
                <w:color w:val="000000"/>
                <w:sz w:val="18"/>
                <w:szCs w:val="18"/>
              </w:rPr>
            </w:pPr>
            <w:r w:rsidRPr="00864685">
              <w:rPr>
                <w:color w:val="000000"/>
                <w:sz w:val="18"/>
                <w:szCs w:val="18"/>
              </w:rPr>
              <w:t>77 650 533</w:t>
            </w:r>
          </w:p>
        </w:tc>
        <w:tc>
          <w:tcPr>
            <w:tcW w:w="481" w:type="pct"/>
            <w:tcBorders>
              <w:top w:val="nil"/>
              <w:left w:val="nil"/>
              <w:bottom w:val="single" w:sz="4" w:space="0" w:color="auto"/>
              <w:right w:val="single" w:sz="4" w:space="0" w:color="auto"/>
            </w:tcBorders>
            <w:shd w:val="clear" w:color="000000" w:fill="FFFFFF"/>
            <w:noWrap/>
            <w:vAlign w:val="center"/>
            <w:hideMark/>
          </w:tcPr>
          <w:p w:rsidR="00864685" w:rsidRPr="00864685" w:rsidRDefault="00864685" w:rsidP="009C030B">
            <w:pPr>
              <w:jc w:val="right"/>
              <w:rPr>
                <w:color w:val="000000"/>
                <w:sz w:val="18"/>
                <w:szCs w:val="18"/>
              </w:rPr>
            </w:pPr>
            <w:r w:rsidRPr="00864685">
              <w:rPr>
                <w:color w:val="000000"/>
                <w:sz w:val="18"/>
                <w:szCs w:val="18"/>
              </w:rPr>
              <w:t> </w:t>
            </w:r>
          </w:p>
        </w:tc>
        <w:tc>
          <w:tcPr>
            <w:tcW w:w="498" w:type="pct"/>
            <w:tcBorders>
              <w:top w:val="nil"/>
              <w:left w:val="nil"/>
              <w:bottom w:val="single" w:sz="4" w:space="0" w:color="auto"/>
              <w:right w:val="single" w:sz="4" w:space="0" w:color="auto"/>
            </w:tcBorders>
            <w:shd w:val="clear" w:color="auto" w:fill="auto"/>
            <w:noWrap/>
            <w:vAlign w:val="center"/>
            <w:hideMark/>
          </w:tcPr>
          <w:p w:rsidR="00864685" w:rsidRPr="00864685" w:rsidRDefault="00864685" w:rsidP="009C030B">
            <w:pPr>
              <w:jc w:val="right"/>
              <w:rPr>
                <w:color w:val="000000"/>
                <w:sz w:val="18"/>
                <w:szCs w:val="18"/>
              </w:rPr>
            </w:pPr>
            <w:r w:rsidRPr="00864685">
              <w:rPr>
                <w:color w:val="000000"/>
                <w:sz w:val="18"/>
                <w:szCs w:val="18"/>
              </w:rPr>
              <w:t> </w:t>
            </w:r>
          </w:p>
        </w:tc>
        <w:tc>
          <w:tcPr>
            <w:tcW w:w="492" w:type="pct"/>
            <w:tcBorders>
              <w:top w:val="nil"/>
              <w:left w:val="nil"/>
              <w:bottom w:val="single" w:sz="4" w:space="0" w:color="auto"/>
              <w:right w:val="single" w:sz="4" w:space="0" w:color="auto"/>
            </w:tcBorders>
            <w:shd w:val="clear" w:color="auto" w:fill="auto"/>
            <w:noWrap/>
            <w:vAlign w:val="center"/>
            <w:hideMark/>
          </w:tcPr>
          <w:p w:rsidR="00864685" w:rsidRPr="00864685" w:rsidRDefault="00864685" w:rsidP="009C030B">
            <w:pPr>
              <w:jc w:val="right"/>
              <w:rPr>
                <w:color w:val="000000"/>
                <w:sz w:val="18"/>
                <w:szCs w:val="18"/>
              </w:rPr>
            </w:pPr>
            <w:r w:rsidRPr="00864685">
              <w:rPr>
                <w:color w:val="000000"/>
                <w:sz w:val="18"/>
                <w:szCs w:val="18"/>
              </w:rPr>
              <w:t> </w:t>
            </w:r>
          </w:p>
        </w:tc>
      </w:tr>
      <w:tr w:rsidR="00864685" w:rsidRPr="00864685" w:rsidTr="009C030B">
        <w:trPr>
          <w:trHeight w:val="300"/>
        </w:trPr>
        <w:tc>
          <w:tcPr>
            <w:tcW w:w="390" w:type="pct"/>
            <w:tcBorders>
              <w:top w:val="nil"/>
              <w:left w:val="single" w:sz="4" w:space="0" w:color="auto"/>
              <w:bottom w:val="single" w:sz="4" w:space="0" w:color="auto"/>
              <w:right w:val="single" w:sz="4" w:space="0" w:color="auto"/>
            </w:tcBorders>
            <w:shd w:val="clear" w:color="000000" w:fill="FFFFEF"/>
            <w:vAlign w:val="center"/>
            <w:hideMark/>
          </w:tcPr>
          <w:p w:rsidR="00864685" w:rsidRPr="00864685" w:rsidRDefault="00864685" w:rsidP="009C030B">
            <w:pPr>
              <w:jc w:val="center"/>
              <w:rPr>
                <w:color w:val="000000"/>
                <w:sz w:val="18"/>
                <w:szCs w:val="18"/>
              </w:rPr>
            </w:pPr>
            <w:r w:rsidRPr="00864685">
              <w:rPr>
                <w:color w:val="000000"/>
                <w:sz w:val="18"/>
                <w:szCs w:val="18"/>
              </w:rPr>
              <w:t>2009</w:t>
            </w:r>
          </w:p>
        </w:tc>
        <w:tc>
          <w:tcPr>
            <w:tcW w:w="588" w:type="pct"/>
            <w:tcBorders>
              <w:top w:val="nil"/>
              <w:left w:val="nil"/>
              <w:bottom w:val="single" w:sz="4" w:space="0" w:color="auto"/>
              <w:right w:val="single" w:sz="4" w:space="0" w:color="auto"/>
            </w:tcBorders>
            <w:shd w:val="clear" w:color="000000" w:fill="FFFFFF"/>
            <w:noWrap/>
            <w:vAlign w:val="center"/>
            <w:hideMark/>
          </w:tcPr>
          <w:p w:rsidR="00864685" w:rsidRPr="00864685" w:rsidRDefault="00864685" w:rsidP="009C030B">
            <w:pPr>
              <w:jc w:val="right"/>
              <w:rPr>
                <w:color w:val="000000"/>
                <w:sz w:val="18"/>
                <w:szCs w:val="18"/>
              </w:rPr>
            </w:pPr>
            <w:r w:rsidRPr="00864685">
              <w:rPr>
                <w:color w:val="000000"/>
                <w:sz w:val="18"/>
                <w:szCs w:val="18"/>
              </w:rPr>
              <w:t>211 684 389</w:t>
            </w:r>
          </w:p>
        </w:tc>
        <w:tc>
          <w:tcPr>
            <w:tcW w:w="520" w:type="pct"/>
            <w:tcBorders>
              <w:top w:val="nil"/>
              <w:left w:val="nil"/>
              <w:bottom w:val="single" w:sz="4" w:space="0" w:color="auto"/>
              <w:right w:val="single" w:sz="4" w:space="0" w:color="auto"/>
            </w:tcBorders>
            <w:shd w:val="clear" w:color="000000" w:fill="FFFFFF"/>
            <w:noWrap/>
            <w:vAlign w:val="center"/>
            <w:hideMark/>
          </w:tcPr>
          <w:p w:rsidR="00864685" w:rsidRPr="00864685" w:rsidRDefault="00864685" w:rsidP="009C030B">
            <w:pPr>
              <w:jc w:val="right"/>
              <w:rPr>
                <w:color w:val="000000"/>
                <w:sz w:val="18"/>
                <w:szCs w:val="18"/>
              </w:rPr>
            </w:pPr>
            <w:r w:rsidRPr="00864685">
              <w:rPr>
                <w:color w:val="000000"/>
                <w:sz w:val="18"/>
                <w:szCs w:val="18"/>
              </w:rPr>
              <w:t> </w:t>
            </w:r>
          </w:p>
        </w:tc>
        <w:tc>
          <w:tcPr>
            <w:tcW w:w="430" w:type="pct"/>
            <w:tcBorders>
              <w:top w:val="nil"/>
              <w:left w:val="nil"/>
              <w:bottom w:val="single" w:sz="4" w:space="0" w:color="auto"/>
              <w:right w:val="single" w:sz="4" w:space="0" w:color="auto"/>
            </w:tcBorders>
            <w:shd w:val="clear" w:color="000000" w:fill="FFFFFF"/>
            <w:noWrap/>
            <w:vAlign w:val="center"/>
            <w:hideMark/>
          </w:tcPr>
          <w:p w:rsidR="00864685" w:rsidRPr="00864685" w:rsidRDefault="00864685" w:rsidP="009C030B">
            <w:pPr>
              <w:jc w:val="right"/>
              <w:rPr>
                <w:color w:val="000000"/>
                <w:sz w:val="18"/>
                <w:szCs w:val="18"/>
              </w:rPr>
            </w:pPr>
            <w:r w:rsidRPr="00864685">
              <w:rPr>
                <w:color w:val="000000"/>
                <w:sz w:val="18"/>
                <w:szCs w:val="18"/>
              </w:rPr>
              <w:t>62 120 427</w:t>
            </w:r>
          </w:p>
        </w:tc>
        <w:tc>
          <w:tcPr>
            <w:tcW w:w="520" w:type="pct"/>
            <w:tcBorders>
              <w:top w:val="nil"/>
              <w:left w:val="nil"/>
              <w:bottom w:val="single" w:sz="4" w:space="0" w:color="auto"/>
              <w:right w:val="single" w:sz="4" w:space="0" w:color="auto"/>
            </w:tcBorders>
            <w:shd w:val="clear" w:color="000000" w:fill="FFFFFF"/>
            <w:noWrap/>
            <w:vAlign w:val="center"/>
            <w:hideMark/>
          </w:tcPr>
          <w:p w:rsidR="00864685" w:rsidRPr="00864685" w:rsidRDefault="00864685" w:rsidP="009C030B">
            <w:pPr>
              <w:jc w:val="right"/>
              <w:rPr>
                <w:color w:val="000000"/>
                <w:sz w:val="18"/>
                <w:szCs w:val="18"/>
              </w:rPr>
            </w:pPr>
            <w:r w:rsidRPr="00864685">
              <w:rPr>
                <w:color w:val="000000"/>
                <w:sz w:val="18"/>
                <w:szCs w:val="18"/>
              </w:rPr>
              <w:t>5 008 671</w:t>
            </w:r>
          </w:p>
        </w:tc>
        <w:tc>
          <w:tcPr>
            <w:tcW w:w="566" w:type="pct"/>
            <w:tcBorders>
              <w:top w:val="nil"/>
              <w:left w:val="nil"/>
              <w:bottom w:val="single" w:sz="4" w:space="0" w:color="auto"/>
              <w:right w:val="single" w:sz="4" w:space="0" w:color="auto"/>
            </w:tcBorders>
            <w:shd w:val="clear" w:color="000000" w:fill="FFFFFF"/>
            <w:noWrap/>
            <w:vAlign w:val="center"/>
            <w:hideMark/>
          </w:tcPr>
          <w:p w:rsidR="00864685" w:rsidRPr="00864685" w:rsidRDefault="00864685" w:rsidP="009C030B">
            <w:pPr>
              <w:jc w:val="right"/>
              <w:rPr>
                <w:color w:val="000000"/>
                <w:sz w:val="18"/>
                <w:szCs w:val="18"/>
              </w:rPr>
            </w:pPr>
            <w:r w:rsidRPr="00864685">
              <w:rPr>
                <w:color w:val="000000"/>
                <w:sz w:val="18"/>
                <w:szCs w:val="18"/>
              </w:rPr>
              <w:t>67 129 098</w:t>
            </w:r>
          </w:p>
        </w:tc>
        <w:tc>
          <w:tcPr>
            <w:tcW w:w="515" w:type="pct"/>
            <w:tcBorders>
              <w:top w:val="nil"/>
              <w:left w:val="nil"/>
              <w:bottom w:val="single" w:sz="4" w:space="0" w:color="auto"/>
              <w:right w:val="single" w:sz="4" w:space="0" w:color="auto"/>
            </w:tcBorders>
            <w:shd w:val="clear" w:color="000000" w:fill="FFFFFF"/>
            <w:noWrap/>
            <w:vAlign w:val="center"/>
            <w:hideMark/>
          </w:tcPr>
          <w:p w:rsidR="00864685" w:rsidRPr="00864685" w:rsidRDefault="00864685" w:rsidP="009C030B">
            <w:pPr>
              <w:jc w:val="right"/>
              <w:rPr>
                <w:color w:val="000000"/>
                <w:sz w:val="18"/>
                <w:szCs w:val="18"/>
              </w:rPr>
            </w:pPr>
            <w:r w:rsidRPr="00864685">
              <w:rPr>
                <w:color w:val="000000"/>
                <w:sz w:val="18"/>
                <w:szCs w:val="18"/>
              </w:rPr>
              <w:t>144 779 631</w:t>
            </w:r>
          </w:p>
        </w:tc>
        <w:tc>
          <w:tcPr>
            <w:tcW w:w="481" w:type="pct"/>
            <w:tcBorders>
              <w:top w:val="nil"/>
              <w:left w:val="nil"/>
              <w:bottom w:val="single" w:sz="4" w:space="0" w:color="auto"/>
              <w:right w:val="single" w:sz="4" w:space="0" w:color="auto"/>
            </w:tcBorders>
            <w:shd w:val="clear" w:color="000000" w:fill="FFFFFF"/>
            <w:noWrap/>
            <w:vAlign w:val="center"/>
            <w:hideMark/>
          </w:tcPr>
          <w:p w:rsidR="00864685" w:rsidRPr="00864685" w:rsidRDefault="00864685" w:rsidP="009C030B">
            <w:pPr>
              <w:jc w:val="right"/>
              <w:rPr>
                <w:color w:val="000000"/>
                <w:sz w:val="18"/>
                <w:szCs w:val="18"/>
              </w:rPr>
            </w:pPr>
            <w:r w:rsidRPr="00864685">
              <w:rPr>
                <w:color w:val="000000"/>
                <w:sz w:val="18"/>
                <w:szCs w:val="18"/>
              </w:rPr>
              <w:t> </w:t>
            </w:r>
          </w:p>
        </w:tc>
        <w:tc>
          <w:tcPr>
            <w:tcW w:w="498" w:type="pct"/>
            <w:tcBorders>
              <w:top w:val="nil"/>
              <w:left w:val="nil"/>
              <w:bottom w:val="single" w:sz="4" w:space="0" w:color="auto"/>
              <w:right w:val="single" w:sz="4" w:space="0" w:color="auto"/>
            </w:tcBorders>
            <w:shd w:val="clear" w:color="auto" w:fill="auto"/>
            <w:noWrap/>
            <w:vAlign w:val="center"/>
            <w:hideMark/>
          </w:tcPr>
          <w:p w:rsidR="00864685" w:rsidRPr="00864685" w:rsidRDefault="00864685" w:rsidP="009C030B">
            <w:pPr>
              <w:jc w:val="right"/>
              <w:rPr>
                <w:color w:val="000000"/>
                <w:sz w:val="18"/>
                <w:szCs w:val="18"/>
              </w:rPr>
            </w:pPr>
            <w:r w:rsidRPr="00864685">
              <w:rPr>
                <w:color w:val="000000"/>
                <w:sz w:val="18"/>
                <w:szCs w:val="18"/>
              </w:rPr>
              <w:t> </w:t>
            </w:r>
          </w:p>
        </w:tc>
        <w:tc>
          <w:tcPr>
            <w:tcW w:w="492" w:type="pct"/>
            <w:tcBorders>
              <w:top w:val="nil"/>
              <w:left w:val="nil"/>
              <w:bottom w:val="single" w:sz="4" w:space="0" w:color="auto"/>
              <w:right w:val="single" w:sz="4" w:space="0" w:color="auto"/>
            </w:tcBorders>
            <w:shd w:val="clear" w:color="auto" w:fill="auto"/>
            <w:noWrap/>
            <w:vAlign w:val="center"/>
            <w:hideMark/>
          </w:tcPr>
          <w:p w:rsidR="00864685" w:rsidRPr="00864685" w:rsidRDefault="00864685" w:rsidP="009C030B">
            <w:pPr>
              <w:jc w:val="right"/>
              <w:rPr>
                <w:color w:val="000000"/>
                <w:sz w:val="18"/>
                <w:szCs w:val="18"/>
              </w:rPr>
            </w:pPr>
            <w:r w:rsidRPr="00864685">
              <w:rPr>
                <w:color w:val="000000"/>
                <w:sz w:val="18"/>
                <w:szCs w:val="18"/>
              </w:rPr>
              <w:t> </w:t>
            </w:r>
          </w:p>
        </w:tc>
      </w:tr>
      <w:tr w:rsidR="00864685" w:rsidRPr="00864685" w:rsidTr="009C030B">
        <w:trPr>
          <w:trHeight w:val="300"/>
        </w:trPr>
        <w:tc>
          <w:tcPr>
            <w:tcW w:w="390" w:type="pct"/>
            <w:tcBorders>
              <w:top w:val="nil"/>
              <w:left w:val="single" w:sz="4" w:space="0" w:color="auto"/>
              <w:bottom w:val="single" w:sz="4" w:space="0" w:color="auto"/>
              <w:right w:val="single" w:sz="4" w:space="0" w:color="auto"/>
            </w:tcBorders>
            <w:shd w:val="clear" w:color="000000" w:fill="FFFFEF"/>
            <w:vAlign w:val="center"/>
            <w:hideMark/>
          </w:tcPr>
          <w:p w:rsidR="00864685" w:rsidRPr="00864685" w:rsidRDefault="00864685" w:rsidP="009C030B">
            <w:pPr>
              <w:jc w:val="center"/>
              <w:rPr>
                <w:color w:val="000000"/>
                <w:sz w:val="18"/>
                <w:szCs w:val="18"/>
              </w:rPr>
            </w:pPr>
            <w:r w:rsidRPr="00864685">
              <w:rPr>
                <w:color w:val="000000"/>
                <w:sz w:val="18"/>
                <w:szCs w:val="18"/>
              </w:rPr>
              <w:t>2010</w:t>
            </w:r>
          </w:p>
        </w:tc>
        <w:tc>
          <w:tcPr>
            <w:tcW w:w="588" w:type="pct"/>
            <w:tcBorders>
              <w:top w:val="nil"/>
              <w:left w:val="nil"/>
              <w:bottom w:val="single" w:sz="4" w:space="0" w:color="auto"/>
              <w:right w:val="single" w:sz="4" w:space="0" w:color="auto"/>
            </w:tcBorders>
            <w:shd w:val="clear" w:color="000000" w:fill="FFFFFF"/>
            <w:noWrap/>
            <w:vAlign w:val="center"/>
            <w:hideMark/>
          </w:tcPr>
          <w:p w:rsidR="00864685" w:rsidRPr="00864685" w:rsidRDefault="00864685" w:rsidP="009C030B">
            <w:pPr>
              <w:jc w:val="right"/>
              <w:rPr>
                <w:color w:val="000000"/>
                <w:sz w:val="18"/>
                <w:szCs w:val="18"/>
              </w:rPr>
            </w:pPr>
            <w:r w:rsidRPr="00864685">
              <w:rPr>
                <w:color w:val="000000"/>
                <w:sz w:val="18"/>
                <w:szCs w:val="18"/>
              </w:rPr>
              <w:t>221 648 970</w:t>
            </w:r>
          </w:p>
        </w:tc>
        <w:tc>
          <w:tcPr>
            <w:tcW w:w="520" w:type="pct"/>
            <w:tcBorders>
              <w:top w:val="nil"/>
              <w:left w:val="nil"/>
              <w:bottom w:val="single" w:sz="4" w:space="0" w:color="auto"/>
              <w:right w:val="single" w:sz="4" w:space="0" w:color="auto"/>
            </w:tcBorders>
            <w:shd w:val="clear" w:color="000000" w:fill="FFFFFF"/>
            <w:noWrap/>
            <w:vAlign w:val="center"/>
            <w:hideMark/>
          </w:tcPr>
          <w:p w:rsidR="00864685" w:rsidRPr="00864685" w:rsidRDefault="00864685" w:rsidP="009C030B">
            <w:pPr>
              <w:jc w:val="right"/>
              <w:rPr>
                <w:color w:val="000000"/>
                <w:sz w:val="18"/>
                <w:szCs w:val="18"/>
              </w:rPr>
            </w:pPr>
            <w:r w:rsidRPr="00864685">
              <w:rPr>
                <w:color w:val="000000"/>
                <w:sz w:val="18"/>
                <w:szCs w:val="18"/>
              </w:rPr>
              <w:t> </w:t>
            </w:r>
          </w:p>
        </w:tc>
        <w:tc>
          <w:tcPr>
            <w:tcW w:w="430" w:type="pct"/>
            <w:tcBorders>
              <w:top w:val="nil"/>
              <w:left w:val="nil"/>
              <w:bottom w:val="single" w:sz="4" w:space="0" w:color="auto"/>
              <w:right w:val="single" w:sz="4" w:space="0" w:color="auto"/>
            </w:tcBorders>
            <w:shd w:val="clear" w:color="000000" w:fill="FFFFFF"/>
            <w:noWrap/>
            <w:vAlign w:val="center"/>
            <w:hideMark/>
          </w:tcPr>
          <w:p w:rsidR="00864685" w:rsidRPr="00864685" w:rsidRDefault="00864685" w:rsidP="009C030B">
            <w:pPr>
              <w:jc w:val="right"/>
              <w:rPr>
                <w:color w:val="000000"/>
                <w:sz w:val="18"/>
                <w:szCs w:val="18"/>
              </w:rPr>
            </w:pPr>
            <w:r w:rsidRPr="00864685">
              <w:rPr>
                <w:color w:val="000000"/>
                <w:sz w:val="18"/>
                <w:szCs w:val="18"/>
              </w:rPr>
              <w:t> </w:t>
            </w:r>
          </w:p>
        </w:tc>
        <w:tc>
          <w:tcPr>
            <w:tcW w:w="520" w:type="pct"/>
            <w:tcBorders>
              <w:top w:val="nil"/>
              <w:left w:val="nil"/>
              <w:bottom w:val="single" w:sz="4" w:space="0" w:color="auto"/>
              <w:right w:val="single" w:sz="4" w:space="0" w:color="auto"/>
            </w:tcBorders>
            <w:shd w:val="clear" w:color="000000" w:fill="FFFFFF"/>
            <w:noWrap/>
            <w:vAlign w:val="center"/>
            <w:hideMark/>
          </w:tcPr>
          <w:p w:rsidR="00864685" w:rsidRPr="00864685" w:rsidRDefault="00864685" w:rsidP="009C030B">
            <w:pPr>
              <w:jc w:val="right"/>
              <w:rPr>
                <w:color w:val="000000"/>
                <w:sz w:val="18"/>
                <w:szCs w:val="18"/>
              </w:rPr>
            </w:pPr>
            <w:r w:rsidRPr="00864685">
              <w:rPr>
                <w:color w:val="000000"/>
                <w:sz w:val="18"/>
                <w:szCs w:val="18"/>
              </w:rPr>
              <w:t>80 625 348</w:t>
            </w:r>
          </w:p>
        </w:tc>
        <w:tc>
          <w:tcPr>
            <w:tcW w:w="566" w:type="pct"/>
            <w:tcBorders>
              <w:top w:val="nil"/>
              <w:left w:val="nil"/>
              <w:bottom w:val="single" w:sz="4" w:space="0" w:color="auto"/>
              <w:right w:val="single" w:sz="4" w:space="0" w:color="auto"/>
            </w:tcBorders>
            <w:shd w:val="clear" w:color="000000" w:fill="FFFFFF"/>
            <w:noWrap/>
            <w:vAlign w:val="center"/>
            <w:hideMark/>
          </w:tcPr>
          <w:p w:rsidR="00864685" w:rsidRPr="00864685" w:rsidRDefault="00864685" w:rsidP="009C030B">
            <w:pPr>
              <w:jc w:val="right"/>
              <w:rPr>
                <w:color w:val="000000"/>
                <w:sz w:val="18"/>
                <w:szCs w:val="18"/>
              </w:rPr>
            </w:pPr>
            <w:r w:rsidRPr="00864685">
              <w:rPr>
                <w:color w:val="000000"/>
                <w:sz w:val="18"/>
                <w:szCs w:val="18"/>
              </w:rPr>
              <w:t>80 625 348</w:t>
            </w:r>
          </w:p>
        </w:tc>
        <w:tc>
          <w:tcPr>
            <w:tcW w:w="515" w:type="pct"/>
            <w:tcBorders>
              <w:top w:val="nil"/>
              <w:left w:val="nil"/>
              <w:bottom w:val="single" w:sz="4" w:space="0" w:color="auto"/>
              <w:right w:val="single" w:sz="4" w:space="0" w:color="auto"/>
            </w:tcBorders>
            <w:shd w:val="clear" w:color="000000" w:fill="FFFFFF"/>
            <w:noWrap/>
            <w:vAlign w:val="center"/>
            <w:hideMark/>
          </w:tcPr>
          <w:p w:rsidR="00864685" w:rsidRPr="00864685" w:rsidRDefault="00864685" w:rsidP="009C030B">
            <w:pPr>
              <w:jc w:val="right"/>
              <w:rPr>
                <w:color w:val="000000"/>
                <w:sz w:val="18"/>
                <w:szCs w:val="18"/>
              </w:rPr>
            </w:pPr>
            <w:r w:rsidRPr="00864685">
              <w:rPr>
                <w:color w:val="000000"/>
                <w:sz w:val="18"/>
                <w:szCs w:val="18"/>
              </w:rPr>
              <w:t>225 404 979</w:t>
            </w:r>
          </w:p>
        </w:tc>
        <w:tc>
          <w:tcPr>
            <w:tcW w:w="481" w:type="pct"/>
            <w:tcBorders>
              <w:top w:val="nil"/>
              <w:left w:val="nil"/>
              <w:bottom w:val="single" w:sz="4" w:space="0" w:color="auto"/>
              <w:right w:val="single" w:sz="4" w:space="0" w:color="auto"/>
            </w:tcBorders>
            <w:shd w:val="clear" w:color="000000" w:fill="FFFFFF"/>
            <w:noWrap/>
            <w:vAlign w:val="center"/>
            <w:hideMark/>
          </w:tcPr>
          <w:p w:rsidR="00864685" w:rsidRPr="00864685" w:rsidRDefault="00864685" w:rsidP="009C030B">
            <w:pPr>
              <w:jc w:val="right"/>
              <w:rPr>
                <w:color w:val="000000"/>
                <w:sz w:val="18"/>
                <w:szCs w:val="18"/>
              </w:rPr>
            </w:pPr>
            <w:r w:rsidRPr="00864685">
              <w:rPr>
                <w:color w:val="000000"/>
                <w:sz w:val="18"/>
                <w:szCs w:val="18"/>
              </w:rPr>
              <w:t> </w:t>
            </w:r>
          </w:p>
        </w:tc>
        <w:tc>
          <w:tcPr>
            <w:tcW w:w="498" w:type="pct"/>
            <w:tcBorders>
              <w:top w:val="nil"/>
              <w:left w:val="nil"/>
              <w:bottom w:val="single" w:sz="4" w:space="0" w:color="auto"/>
              <w:right w:val="single" w:sz="4" w:space="0" w:color="auto"/>
            </w:tcBorders>
            <w:shd w:val="clear" w:color="auto" w:fill="auto"/>
            <w:noWrap/>
            <w:vAlign w:val="center"/>
            <w:hideMark/>
          </w:tcPr>
          <w:p w:rsidR="00864685" w:rsidRPr="00864685" w:rsidRDefault="00864685" w:rsidP="009C030B">
            <w:pPr>
              <w:jc w:val="right"/>
              <w:rPr>
                <w:color w:val="000000"/>
                <w:sz w:val="18"/>
                <w:szCs w:val="18"/>
              </w:rPr>
            </w:pPr>
            <w:r w:rsidRPr="00864685">
              <w:rPr>
                <w:color w:val="000000"/>
                <w:sz w:val="18"/>
                <w:szCs w:val="18"/>
              </w:rPr>
              <w:t> </w:t>
            </w:r>
          </w:p>
        </w:tc>
        <w:tc>
          <w:tcPr>
            <w:tcW w:w="492" w:type="pct"/>
            <w:tcBorders>
              <w:top w:val="nil"/>
              <w:left w:val="nil"/>
              <w:bottom w:val="single" w:sz="4" w:space="0" w:color="auto"/>
              <w:right w:val="single" w:sz="4" w:space="0" w:color="auto"/>
            </w:tcBorders>
            <w:shd w:val="clear" w:color="auto" w:fill="auto"/>
            <w:noWrap/>
            <w:vAlign w:val="center"/>
            <w:hideMark/>
          </w:tcPr>
          <w:p w:rsidR="00864685" w:rsidRPr="00864685" w:rsidRDefault="00864685" w:rsidP="009C030B">
            <w:pPr>
              <w:jc w:val="right"/>
              <w:rPr>
                <w:color w:val="000000"/>
                <w:sz w:val="18"/>
                <w:szCs w:val="18"/>
              </w:rPr>
            </w:pPr>
            <w:r w:rsidRPr="00864685">
              <w:rPr>
                <w:color w:val="000000"/>
                <w:sz w:val="18"/>
                <w:szCs w:val="18"/>
              </w:rPr>
              <w:t> </w:t>
            </w:r>
          </w:p>
        </w:tc>
      </w:tr>
      <w:tr w:rsidR="00864685" w:rsidRPr="00864685" w:rsidTr="009C030B">
        <w:trPr>
          <w:trHeight w:val="300"/>
        </w:trPr>
        <w:tc>
          <w:tcPr>
            <w:tcW w:w="390" w:type="pct"/>
            <w:tcBorders>
              <w:top w:val="nil"/>
              <w:left w:val="single" w:sz="4" w:space="0" w:color="auto"/>
              <w:bottom w:val="single" w:sz="4" w:space="0" w:color="auto"/>
              <w:right w:val="single" w:sz="4" w:space="0" w:color="auto"/>
            </w:tcBorders>
            <w:shd w:val="clear" w:color="000000" w:fill="FFFFEF"/>
            <w:vAlign w:val="center"/>
            <w:hideMark/>
          </w:tcPr>
          <w:p w:rsidR="00864685" w:rsidRPr="00864685" w:rsidRDefault="00864685" w:rsidP="009C030B">
            <w:pPr>
              <w:jc w:val="center"/>
              <w:rPr>
                <w:color w:val="000000"/>
                <w:sz w:val="18"/>
                <w:szCs w:val="18"/>
              </w:rPr>
            </w:pPr>
            <w:r w:rsidRPr="00864685">
              <w:rPr>
                <w:color w:val="000000"/>
                <w:sz w:val="18"/>
                <w:szCs w:val="18"/>
              </w:rPr>
              <w:t>2011</w:t>
            </w:r>
          </w:p>
        </w:tc>
        <w:tc>
          <w:tcPr>
            <w:tcW w:w="588" w:type="pct"/>
            <w:tcBorders>
              <w:top w:val="nil"/>
              <w:left w:val="nil"/>
              <w:bottom w:val="single" w:sz="4" w:space="0" w:color="auto"/>
              <w:right w:val="single" w:sz="4" w:space="0" w:color="auto"/>
            </w:tcBorders>
            <w:shd w:val="clear" w:color="000000" w:fill="FFFFFF"/>
            <w:noWrap/>
            <w:vAlign w:val="center"/>
            <w:hideMark/>
          </w:tcPr>
          <w:p w:rsidR="00864685" w:rsidRPr="00864685" w:rsidRDefault="00864685" w:rsidP="009C030B">
            <w:pPr>
              <w:jc w:val="right"/>
              <w:rPr>
                <w:color w:val="000000"/>
                <w:sz w:val="18"/>
                <w:szCs w:val="18"/>
              </w:rPr>
            </w:pPr>
            <w:r w:rsidRPr="00864685">
              <w:rPr>
                <w:color w:val="000000"/>
                <w:sz w:val="18"/>
                <w:szCs w:val="18"/>
              </w:rPr>
              <w:t>237 465 225</w:t>
            </w:r>
          </w:p>
        </w:tc>
        <w:tc>
          <w:tcPr>
            <w:tcW w:w="520" w:type="pct"/>
            <w:tcBorders>
              <w:top w:val="nil"/>
              <w:left w:val="nil"/>
              <w:bottom w:val="single" w:sz="4" w:space="0" w:color="auto"/>
              <w:right w:val="single" w:sz="4" w:space="0" w:color="auto"/>
            </w:tcBorders>
            <w:shd w:val="clear" w:color="000000" w:fill="FFFFFF"/>
            <w:noWrap/>
            <w:vAlign w:val="center"/>
            <w:hideMark/>
          </w:tcPr>
          <w:p w:rsidR="00864685" w:rsidRPr="00864685" w:rsidRDefault="00864685" w:rsidP="009C030B">
            <w:pPr>
              <w:jc w:val="right"/>
              <w:rPr>
                <w:color w:val="000000"/>
                <w:sz w:val="18"/>
                <w:szCs w:val="18"/>
              </w:rPr>
            </w:pPr>
            <w:r w:rsidRPr="00864685">
              <w:rPr>
                <w:color w:val="000000"/>
                <w:sz w:val="18"/>
                <w:szCs w:val="18"/>
              </w:rPr>
              <w:t>234 279 436</w:t>
            </w:r>
          </w:p>
        </w:tc>
        <w:tc>
          <w:tcPr>
            <w:tcW w:w="430" w:type="pct"/>
            <w:tcBorders>
              <w:top w:val="nil"/>
              <w:left w:val="nil"/>
              <w:bottom w:val="single" w:sz="4" w:space="0" w:color="auto"/>
              <w:right w:val="single" w:sz="4" w:space="0" w:color="auto"/>
            </w:tcBorders>
            <w:shd w:val="clear" w:color="000000" w:fill="FFFFFF"/>
            <w:noWrap/>
            <w:vAlign w:val="center"/>
            <w:hideMark/>
          </w:tcPr>
          <w:p w:rsidR="00864685" w:rsidRPr="00864685" w:rsidRDefault="00864685" w:rsidP="009C030B">
            <w:pPr>
              <w:jc w:val="right"/>
              <w:rPr>
                <w:color w:val="000000"/>
                <w:sz w:val="18"/>
                <w:szCs w:val="18"/>
              </w:rPr>
            </w:pPr>
            <w:r w:rsidRPr="00864685">
              <w:rPr>
                <w:color w:val="000000"/>
                <w:sz w:val="18"/>
                <w:szCs w:val="18"/>
              </w:rPr>
              <w:t> </w:t>
            </w:r>
          </w:p>
        </w:tc>
        <w:tc>
          <w:tcPr>
            <w:tcW w:w="520" w:type="pct"/>
            <w:tcBorders>
              <w:top w:val="nil"/>
              <w:left w:val="nil"/>
              <w:bottom w:val="single" w:sz="4" w:space="0" w:color="auto"/>
              <w:right w:val="single" w:sz="4" w:space="0" w:color="auto"/>
            </w:tcBorders>
            <w:shd w:val="clear" w:color="000000" w:fill="FFFFFF"/>
            <w:noWrap/>
            <w:vAlign w:val="center"/>
            <w:hideMark/>
          </w:tcPr>
          <w:p w:rsidR="00864685" w:rsidRPr="00864685" w:rsidRDefault="00864685" w:rsidP="009C030B">
            <w:pPr>
              <w:jc w:val="right"/>
              <w:rPr>
                <w:color w:val="000000"/>
                <w:sz w:val="18"/>
                <w:szCs w:val="18"/>
              </w:rPr>
            </w:pPr>
            <w:r w:rsidRPr="00864685">
              <w:rPr>
                <w:color w:val="000000"/>
                <w:sz w:val="18"/>
                <w:szCs w:val="18"/>
              </w:rPr>
              <w:t>161 307 463</w:t>
            </w:r>
          </w:p>
        </w:tc>
        <w:tc>
          <w:tcPr>
            <w:tcW w:w="566" w:type="pct"/>
            <w:tcBorders>
              <w:top w:val="nil"/>
              <w:left w:val="nil"/>
              <w:bottom w:val="single" w:sz="4" w:space="0" w:color="auto"/>
              <w:right w:val="single" w:sz="4" w:space="0" w:color="auto"/>
            </w:tcBorders>
            <w:shd w:val="clear" w:color="000000" w:fill="FFFFFF"/>
            <w:noWrap/>
            <w:vAlign w:val="center"/>
            <w:hideMark/>
          </w:tcPr>
          <w:p w:rsidR="00864685" w:rsidRPr="00864685" w:rsidRDefault="00864685" w:rsidP="009C030B">
            <w:pPr>
              <w:jc w:val="right"/>
              <w:rPr>
                <w:color w:val="000000"/>
                <w:sz w:val="18"/>
                <w:szCs w:val="18"/>
              </w:rPr>
            </w:pPr>
            <w:r w:rsidRPr="00864685">
              <w:rPr>
                <w:color w:val="000000"/>
                <w:sz w:val="18"/>
                <w:szCs w:val="18"/>
              </w:rPr>
              <w:t>161 307 463</w:t>
            </w:r>
          </w:p>
        </w:tc>
        <w:tc>
          <w:tcPr>
            <w:tcW w:w="515" w:type="pct"/>
            <w:tcBorders>
              <w:top w:val="nil"/>
              <w:left w:val="nil"/>
              <w:bottom w:val="single" w:sz="4" w:space="0" w:color="auto"/>
              <w:right w:val="single" w:sz="4" w:space="0" w:color="auto"/>
            </w:tcBorders>
            <w:shd w:val="clear" w:color="000000" w:fill="FFFFFF"/>
            <w:noWrap/>
            <w:vAlign w:val="center"/>
            <w:hideMark/>
          </w:tcPr>
          <w:p w:rsidR="00864685" w:rsidRPr="00864685" w:rsidRDefault="00864685" w:rsidP="009C030B">
            <w:pPr>
              <w:jc w:val="right"/>
              <w:rPr>
                <w:color w:val="000000"/>
                <w:sz w:val="18"/>
                <w:szCs w:val="18"/>
              </w:rPr>
            </w:pPr>
            <w:r w:rsidRPr="00864685">
              <w:rPr>
                <w:color w:val="000000"/>
                <w:sz w:val="18"/>
                <w:szCs w:val="18"/>
              </w:rPr>
              <w:t>386 712 442</w:t>
            </w:r>
          </w:p>
        </w:tc>
        <w:tc>
          <w:tcPr>
            <w:tcW w:w="481" w:type="pct"/>
            <w:tcBorders>
              <w:top w:val="nil"/>
              <w:left w:val="nil"/>
              <w:bottom w:val="single" w:sz="4" w:space="0" w:color="auto"/>
              <w:right w:val="single" w:sz="4" w:space="0" w:color="auto"/>
            </w:tcBorders>
            <w:shd w:val="clear" w:color="000000" w:fill="FFFFFF"/>
            <w:noWrap/>
            <w:vAlign w:val="center"/>
            <w:hideMark/>
          </w:tcPr>
          <w:p w:rsidR="00864685" w:rsidRPr="00864685" w:rsidRDefault="00864685" w:rsidP="009C030B">
            <w:pPr>
              <w:jc w:val="right"/>
              <w:rPr>
                <w:color w:val="000000"/>
                <w:sz w:val="18"/>
                <w:szCs w:val="18"/>
              </w:rPr>
            </w:pPr>
            <w:r w:rsidRPr="00864685">
              <w:rPr>
                <w:color w:val="000000"/>
                <w:sz w:val="18"/>
                <w:szCs w:val="18"/>
              </w:rPr>
              <w:t>152 433 006</w:t>
            </w:r>
          </w:p>
        </w:tc>
        <w:tc>
          <w:tcPr>
            <w:tcW w:w="498" w:type="pct"/>
            <w:tcBorders>
              <w:top w:val="nil"/>
              <w:left w:val="nil"/>
              <w:bottom w:val="single" w:sz="4" w:space="0" w:color="auto"/>
              <w:right w:val="single" w:sz="4" w:space="0" w:color="auto"/>
            </w:tcBorders>
            <w:shd w:val="clear" w:color="auto" w:fill="auto"/>
            <w:noWrap/>
            <w:vAlign w:val="center"/>
            <w:hideMark/>
          </w:tcPr>
          <w:p w:rsidR="00864685" w:rsidRPr="00864685" w:rsidRDefault="00864685" w:rsidP="009C030B">
            <w:pPr>
              <w:jc w:val="right"/>
              <w:rPr>
                <w:color w:val="000000"/>
                <w:sz w:val="18"/>
                <w:szCs w:val="18"/>
              </w:rPr>
            </w:pPr>
            <w:r w:rsidRPr="00864685">
              <w:rPr>
                <w:color w:val="000000"/>
                <w:sz w:val="18"/>
                <w:szCs w:val="18"/>
              </w:rPr>
              <w:t> </w:t>
            </w:r>
          </w:p>
        </w:tc>
        <w:tc>
          <w:tcPr>
            <w:tcW w:w="492" w:type="pct"/>
            <w:tcBorders>
              <w:top w:val="nil"/>
              <w:left w:val="nil"/>
              <w:bottom w:val="single" w:sz="4" w:space="0" w:color="auto"/>
              <w:right w:val="single" w:sz="4" w:space="0" w:color="auto"/>
            </w:tcBorders>
            <w:shd w:val="clear" w:color="000000" w:fill="FFFFFF"/>
            <w:noWrap/>
            <w:vAlign w:val="center"/>
            <w:hideMark/>
          </w:tcPr>
          <w:p w:rsidR="00864685" w:rsidRPr="00864685" w:rsidRDefault="00864685" w:rsidP="009C030B">
            <w:pPr>
              <w:jc w:val="right"/>
              <w:rPr>
                <w:color w:val="000000"/>
                <w:sz w:val="18"/>
                <w:szCs w:val="18"/>
              </w:rPr>
            </w:pPr>
            <w:r w:rsidRPr="00864685">
              <w:rPr>
                <w:color w:val="000000"/>
                <w:sz w:val="18"/>
                <w:szCs w:val="18"/>
              </w:rPr>
              <w:t>152 433 006</w:t>
            </w:r>
          </w:p>
        </w:tc>
      </w:tr>
      <w:tr w:rsidR="00864685" w:rsidRPr="00864685" w:rsidTr="009C030B">
        <w:trPr>
          <w:trHeight w:val="300"/>
        </w:trPr>
        <w:tc>
          <w:tcPr>
            <w:tcW w:w="390" w:type="pct"/>
            <w:tcBorders>
              <w:top w:val="nil"/>
              <w:left w:val="single" w:sz="4" w:space="0" w:color="auto"/>
              <w:bottom w:val="single" w:sz="4" w:space="0" w:color="auto"/>
              <w:right w:val="single" w:sz="4" w:space="0" w:color="auto"/>
            </w:tcBorders>
            <w:shd w:val="clear" w:color="000000" w:fill="FFFFEF"/>
            <w:vAlign w:val="center"/>
            <w:hideMark/>
          </w:tcPr>
          <w:p w:rsidR="00864685" w:rsidRPr="00864685" w:rsidRDefault="00864685" w:rsidP="009C030B">
            <w:pPr>
              <w:jc w:val="center"/>
              <w:rPr>
                <w:color w:val="000000"/>
                <w:sz w:val="18"/>
                <w:szCs w:val="18"/>
              </w:rPr>
            </w:pPr>
            <w:r w:rsidRPr="00864685">
              <w:rPr>
                <w:color w:val="000000"/>
                <w:sz w:val="18"/>
                <w:szCs w:val="18"/>
              </w:rPr>
              <w:t>2012</w:t>
            </w:r>
          </w:p>
        </w:tc>
        <w:tc>
          <w:tcPr>
            <w:tcW w:w="588" w:type="pct"/>
            <w:tcBorders>
              <w:top w:val="nil"/>
              <w:left w:val="nil"/>
              <w:bottom w:val="single" w:sz="4" w:space="0" w:color="auto"/>
              <w:right w:val="single" w:sz="4" w:space="0" w:color="auto"/>
            </w:tcBorders>
            <w:shd w:val="clear" w:color="000000" w:fill="FFFFFF"/>
            <w:noWrap/>
            <w:vAlign w:val="center"/>
            <w:hideMark/>
          </w:tcPr>
          <w:p w:rsidR="00864685" w:rsidRPr="00864685" w:rsidRDefault="00864685" w:rsidP="009C030B">
            <w:pPr>
              <w:jc w:val="right"/>
              <w:rPr>
                <w:color w:val="000000"/>
                <w:sz w:val="18"/>
                <w:szCs w:val="18"/>
              </w:rPr>
            </w:pPr>
            <w:r w:rsidRPr="00864685">
              <w:rPr>
                <w:color w:val="000000"/>
                <w:sz w:val="18"/>
                <w:szCs w:val="18"/>
              </w:rPr>
              <w:t>247 398 119</w:t>
            </w:r>
          </w:p>
        </w:tc>
        <w:tc>
          <w:tcPr>
            <w:tcW w:w="520" w:type="pct"/>
            <w:tcBorders>
              <w:top w:val="nil"/>
              <w:left w:val="nil"/>
              <w:bottom w:val="single" w:sz="4" w:space="0" w:color="auto"/>
              <w:right w:val="single" w:sz="4" w:space="0" w:color="auto"/>
            </w:tcBorders>
            <w:shd w:val="clear" w:color="000000" w:fill="FFFFFF"/>
            <w:noWrap/>
            <w:vAlign w:val="center"/>
            <w:hideMark/>
          </w:tcPr>
          <w:p w:rsidR="00864685" w:rsidRPr="00864685" w:rsidRDefault="00864685" w:rsidP="009C030B">
            <w:pPr>
              <w:jc w:val="right"/>
              <w:rPr>
                <w:color w:val="000000"/>
                <w:sz w:val="18"/>
                <w:szCs w:val="18"/>
              </w:rPr>
            </w:pPr>
            <w:r w:rsidRPr="00864685">
              <w:rPr>
                <w:color w:val="000000"/>
                <w:sz w:val="18"/>
                <w:szCs w:val="18"/>
              </w:rPr>
              <w:t>478 078 315</w:t>
            </w:r>
          </w:p>
        </w:tc>
        <w:tc>
          <w:tcPr>
            <w:tcW w:w="430" w:type="pct"/>
            <w:tcBorders>
              <w:top w:val="nil"/>
              <w:left w:val="nil"/>
              <w:bottom w:val="single" w:sz="4" w:space="0" w:color="auto"/>
              <w:right w:val="single" w:sz="4" w:space="0" w:color="auto"/>
            </w:tcBorders>
            <w:shd w:val="clear" w:color="000000" w:fill="FFFFFF"/>
            <w:noWrap/>
            <w:vAlign w:val="center"/>
            <w:hideMark/>
          </w:tcPr>
          <w:p w:rsidR="00864685" w:rsidRPr="00864685" w:rsidRDefault="00864685" w:rsidP="009C030B">
            <w:pPr>
              <w:jc w:val="right"/>
              <w:rPr>
                <w:color w:val="000000"/>
                <w:sz w:val="18"/>
                <w:szCs w:val="18"/>
              </w:rPr>
            </w:pPr>
            <w:r w:rsidRPr="00864685">
              <w:rPr>
                <w:color w:val="000000"/>
                <w:sz w:val="18"/>
                <w:szCs w:val="18"/>
              </w:rPr>
              <w:t> </w:t>
            </w:r>
          </w:p>
        </w:tc>
        <w:tc>
          <w:tcPr>
            <w:tcW w:w="520" w:type="pct"/>
            <w:tcBorders>
              <w:top w:val="nil"/>
              <w:left w:val="nil"/>
              <w:bottom w:val="single" w:sz="4" w:space="0" w:color="auto"/>
              <w:right w:val="single" w:sz="4" w:space="0" w:color="auto"/>
            </w:tcBorders>
            <w:shd w:val="clear" w:color="000000" w:fill="FFFFFF"/>
            <w:noWrap/>
            <w:vAlign w:val="center"/>
            <w:hideMark/>
          </w:tcPr>
          <w:p w:rsidR="00864685" w:rsidRPr="00864685" w:rsidRDefault="00864685" w:rsidP="009C030B">
            <w:pPr>
              <w:jc w:val="right"/>
              <w:rPr>
                <w:color w:val="000000"/>
                <w:sz w:val="18"/>
                <w:szCs w:val="18"/>
              </w:rPr>
            </w:pPr>
            <w:r w:rsidRPr="00864685">
              <w:rPr>
                <w:color w:val="000000"/>
                <w:sz w:val="18"/>
                <w:szCs w:val="18"/>
              </w:rPr>
              <w:t>159 216 619</w:t>
            </w:r>
          </w:p>
        </w:tc>
        <w:tc>
          <w:tcPr>
            <w:tcW w:w="566" w:type="pct"/>
            <w:tcBorders>
              <w:top w:val="nil"/>
              <w:left w:val="nil"/>
              <w:bottom w:val="single" w:sz="4" w:space="0" w:color="auto"/>
              <w:right w:val="single" w:sz="4" w:space="0" w:color="auto"/>
            </w:tcBorders>
            <w:shd w:val="clear" w:color="000000" w:fill="FFFFFF"/>
            <w:noWrap/>
            <w:vAlign w:val="center"/>
            <w:hideMark/>
          </w:tcPr>
          <w:p w:rsidR="00864685" w:rsidRPr="00864685" w:rsidRDefault="00864685" w:rsidP="009C030B">
            <w:pPr>
              <w:jc w:val="right"/>
              <w:rPr>
                <w:color w:val="000000"/>
                <w:sz w:val="18"/>
                <w:szCs w:val="18"/>
              </w:rPr>
            </w:pPr>
            <w:r w:rsidRPr="00864685">
              <w:rPr>
                <w:color w:val="000000"/>
                <w:sz w:val="18"/>
                <w:szCs w:val="18"/>
              </w:rPr>
              <w:t>159 216 619</w:t>
            </w:r>
          </w:p>
        </w:tc>
        <w:tc>
          <w:tcPr>
            <w:tcW w:w="515" w:type="pct"/>
            <w:tcBorders>
              <w:top w:val="nil"/>
              <w:left w:val="nil"/>
              <w:bottom w:val="single" w:sz="4" w:space="0" w:color="auto"/>
              <w:right w:val="single" w:sz="4" w:space="0" w:color="auto"/>
            </w:tcBorders>
            <w:shd w:val="clear" w:color="000000" w:fill="FFFFFF"/>
            <w:noWrap/>
            <w:vAlign w:val="center"/>
            <w:hideMark/>
          </w:tcPr>
          <w:p w:rsidR="00864685" w:rsidRPr="00864685" w:rsidRDefault="00864685" w:rsidP="009C030B">
            <w:pPr>
              <w:jc w:val="right"/>
              <w:rPr>
                <w:color w:val="000000"/>
                <w:sz w:val="18"/>
                <w:szCs w:val="18"/>
              </w:rPr>
            </w:pPr>
            <w:r w:rsidRPr="00864685">
              <w:rPr>
                <w:color w:val="000000"/>
                <w:sz w:val="18"/>
                <w:szCs w:val="18"/>
              </w:rPr>
              <w:t>545 929 061</w:t>
            </w:r>
          </w:p>
        </w:tc>
        <w:tc>
          <w:tcPr>
            <w:tcW w:w="481" w:type="pct"/>
            <w:tcBorders>
              <w:top w:val="nil"/>
              <w:left w:val="nil"/>
              <w:bottom w:val="single" w:sz="4" w:space="0" w:color="auto"/>
              <w:right w:val="single" w:sz="4" w:space="0" w:color="auto"/>
            </w:tcBorders>
            <w:shd w:val="clear" w:color="000000" w:fill="FFFFFF"/>
            <w:noWrap/>
            <w:vAlign w:val="center"/>
            <w:hideMark/>
          </w:tcPr>
          <w:p w:rsidR="00864685" w:rsidRPr="00864685" w:rsidRDefault="00864685" w:rsidP="009C030B">
            <w:pPr>
              <w:jc w:val="right"/>
              <w:rPr>
                <w:color w:val="000000"/>
                <w:sz w:val="18"/>
                <w:szCs w:val="18"/>
              </w:rPr>
            </w:pPr>
            <w:r w:rsidRPr="00864685">
              <w:rPr>
                <w:color w:val="000000"/>
                <w:sz w:val="18"/>
                <w:szCs w:val="18"/>
              </w:rPr>
              <w:t>67 850 746</w:t>
            </w:r>
          </w:p>
        </w:tc>
        <w:tc>
          <w:tcPr>
            <w:tcW w:w="498" w:type="pct"/>
            <w:tcBorders>
              <w:top w:val="nil"/>
              <w:left w:val="nil"/>
              <w:bottom w:val="single" w:sz="4" w:space="0" w:color="auto"/>
              <w:right w:val="single" w:sz="4" w:space="0" w:color="auto"/>
            </w:tcBorders>
            <w:shd w:val="clear" w:color="auto" w:fill="auto"/>
            <w:noWrap/>
            <w:vAlign w:val="center"/>
            <w:hideMark/>
          </w:tcPr>
          <w:p w:rsidR="00864685" w:rsidRPr="00864685" w:rsidRDefault="00864685" w:rsidP="009C030B">
            <w:pPr>
              <w:jc w:val="right"/>
              <w:rPr>
                <w:color w:val="000000"/>
                <w:sz w:val="18"/>
                <w:szCs w:val="18"/>
              </w:rPr>
            </w:pPr>
            <w:r w:rsidRPr="00864685">
              <w:rPr>
                <w:color w:val="000000"/>
                <w:sz w:val="18"/>
                <w:szCs w:val="18"/>
              </w:rPr>
              <w:t> </w:t>
            </w:r>
          </w:p>
        </w:tc>
        <w:tc>
          <w:tcPr>
            <w:tcW w:w="492" w:type="pct"/>
            <w:tcBorders>
              <w:top w:val="nil"/>
              <w:left w:val="nil"/>
              <w:bottom w:val="single" w:sz="4" w:space="0" w:color="auto"/>
              <w:right w:val="single" w:sz="4" w:space="0" w:color="auto"/>
            </w:tcBorders>
            <w:shd w:val="clear" w:color="000000" w:fill="FFFFFF"/>
            <w:noWrap/>
            <w:vAlign w:val="center"/>
            <w:hideMark/>
          </w:tcPr>
          <w:p w:rsidR="00864685" w:rsidRPr="00864685" w:rsidRDefault="00864685" w:rsidP="009C030B">
            <w:pPr>
              <w:jc w:val="right"/>
              <w:rPr>
                <w:color w:val="000000"/>
                <w:sz w:val="18"/>
                <w:szCs w:val="18"/>
              </w:rPr>
            </w:pPr>
            <w:r w:rsidRPr="00864685">
              <w:rPr>
                <w:color w:val="000000"/>
                <w:sz w:val="18"/>
                <w:szCs w:val="18"/>
              </w:rPr>
              <w:t>67 850 746</w:t>
            </w:r>
          </w:p>
        </w:tc>
      </w:tr>
      <w:tr w:rsidR="00864685" w:rsidRPr="00864685" w:rsidTr="009C030B">
        <w:trPr>
          <w:trHeight w:val="300"/>
        </w:trPr>
        <w:tc>
          <w:tcPr>
            <w:tcW w:w="390" w:type="pct"/>
            <w:tcBorders>
              <w:top w:val="nil"/>
              <w:left w:val="single" w:sz="4" w:space="0" w:color="auto"/>
              <w:bottom w:val="single" w:sz="4" w:space="0" w:color="auto"/>
              <w:right w:val="single" w:sz="4" w:space="0" w:color="auto"/>
            </w:tcBorders>
            <w:shd w:val="clear" w:color="000000" w:fill="FFFFEF"/>
            <w:vAlign w:val="center"/>
            <w:hideMark/>
          </w:tcPr>
          <w:p w:rsidR="00864685" w:rsidRPr="00864685" w:rsidRDefault="00864685" w:rsidP="009C030B">
            <w:pPr>
              <w:jc w:val="center"/>
              <w:rPr>
                <w:color w:val="000000"/>
                <w:sz w:val="18"/>
                <w:szCs w:val="18"/>
              </w:rPr>
            </w:pPr>
            <w:r w:rsidRPr="00864685">
              <w:rPr>
                <w:color w:val="000000"/>
                <w:sz w:val="18"/>
                <w:szCs w:val="18"/>
              </w:rPr>
              <w:t>2013</w:t>
            </w:r>
          </w:p>
        </w:tc>
        <w:tc>
          <w:tcPr>
            <w:tcW w:w="588" w:type="pct"/>
            <w:tcBorders>
              <w:top w:val="nil"/>
              <w:left w:val="nil"/>
              <w:bottom w:val="single" w:sz="4" w:space="0" w:color="auto"/>
              <w:right w:val="single" w:sz="4" w:space="0" w:color="auto"/>
            </w:tcBorders>
            <w:shd w:val="clear" w:color="000000" w:fill="FFFFFF"/>
            <w:noWrap/>
            <w:vAlign w:val="center"/>
            <w:hideMark/>
          </w:tcPr>
          <w:p w:rsidR="00864685" w:rsidRPr="00864685" w:rsidRDefault="00864685" w:rsidP="009C030B">
            <w:pPr>
              <w:jc w:val="right"/>
              <w:rPr>
                <w:color w:val="000000"/>
                <w:sz w:val="18"/>
                <w:szCs w:val="18"/>
              </w:rPr>
            </w:pPr>
            <w:r w:rsidRPr="00864685">
              <w:rPr>
                <w:color w:val="000000"/>
                <w:sz w:val="18"/>
                <w:szCs w:val="18"/>
              </w:rPr>
              <w:t>278 308 099</w:t>
            </w:r>
          </w:p>
        </w:tc>
        <w:tc>
          <w:tcPr>
            <w:tcW w:w="520" w:type="pct"/>
            <w:tcBorders>
              <w:top w:val="nil"/>
              <w:left w:val="nil"/>
              <w:bottom w:val="single" w:sz="4" w:space="0" w:color="auto"/>
              <w:right w:val="single" w:sz="4" w:space="0" w:color="auto"/>
            </w:tcBorders>
            <w:shd w:val="clear" w:color="000000" w:fill="FFFFFF"/>
            <w:noWrap/>
            <w:vAlign w:val="center"/>
            <w:hideMark/>
          </w:tcPr>
          <w:p w:rsidR="00864685" w:rsidRPr="00864685" w:rsidRDefault="00864685" w:rsidP="009C030B">
            <w:pPr>
              <w:jc w:val="right"/>
              <w:rPr>
                <w:color w:val="000000"/>
                <w:sz w:val="18"/>
                <w:szCs w:val="18"/>
              </w:rPr>
            </w:pPr>
            <w:r w:rsidRPr="00864685">
              <w:rPr>
                <w:color w:val="000000"/>
                <w:sz w:val="18"/>
                <w:szCs w:val="18"/>
              </w:rPr>
              <w:t>1 001 421 489</w:t>
            </w:r>
          </w:p>
        </w:tc>
        <w:tc>
          <w:tcPr>
            <w:tcW w:w="430" w:type="pct"/>
            <w:tcBorders>
              <w:top w:val="nil"/>
              <w:left w:val="nil"/>
              <w:bottom w:val="single" w:sz="4" w:space="0" w:color="auto"/>
              <w:right w:val="single" w:sz="4" w:space="0" w:color="auto"/>
            </w:tcBorders>
            <w:shd w:val="clear" w:color="000000" w:fill="FFFFFF"/>
            <w:noWrap/>
            <w:vAlign w:val="center"/>
            <w:hideMark/>
          </w:tcPr>
          <w:p w:rsidR="00864685" w:rsidRPr="00864685" w:rsidRDefault="00864685" w:rsidP="009C030B">
            <w:pPr>
              <w:jc w:val="right"/>
              <w:rPr>
                <w:color w:val="000000"/>
                <w:sz w:val="18"/>
                <w:szCs w:val="18"/>
              </w:rPr>
            </w:pPr>
            <w:r w:rsidRPr="00864685">
              <w:rPr>
                <w:color w:val="000000"/>
                <w:sz w:val="18"/>
                <w:szCs w:val="18"/>
              </w:rPr>
              <w:t> </w:t>
            </w:r>
          </w:p>
        </w:tc>
        <w:tc>
          <w:tcPr>
            <w:tcW w:w="520" w:type="pct"/>
            <w:tcBorders>
              <w:top w:val="nil"/>
              <w:left w:val="nil"/>
              <w:bottom w:val="single" w:sz="4" w:space="0" w:color="auto"/>
              <w:right w:val="single" w:sz="4" w:space="0" w:color="auto"/>
            </w:tcBorders>
            <w:shd w:val="clear" w:color="000000" w:fill="FFFFFF"/>
            <w:noWrap/>
            <w:vAlign w:val="center"/>
            <w:hideMark/>
          </w:tcPr>
          <w:p w:rsidR="00864685" w:rsidRPr="00864685" w:rsidRDefault="00864685" w:rsidP="009C030B">
            <w:pPr>
              <w:jc w:val="right"/>
              <w:rPr>
                <w:color w:val="000000"/>
                <w:sz w:val="18"/>
                <w:szCs w:val="18"/>
              </w:rPr>
            </w:pPr>
            <w:r w:rsidRPr="00864685">
              <w:rPr>
                <w:color w:val="000000"/>
                <w:sz w:val="18"/>
                <w:szCs w:val="18"/>
              </w:rPr>
              <w:t>393 274 551</w:t>
            </w:r>
          </w:p>
        </w:tc>
        <w:tc>
          <w:tcPr>
            <w:tcW w:w="566" w:type="pct"/>
            <w:tcBorders>
              <w:top w:val="nil"/>
              <w:left w:val="nil"/>
              <w:bottom w:val="single" w:sz="4" w:space="0" w:color="auto"/>
              <w:right w:val="single" w:sz="4" w:space="0" w:color="auto"/>
            </w:tcBorders>
            <w:shd w:val="clear" w:color="000000" w:fill="FFFFFF"/>
            <w:noWrap/>
            <w:vAlign w:val="center"/>
            <w:hideMark/>
          </w:tcPr>
          <w:p w:rsidR="00864685" w:rsidRPr="00864685" w:rsidRDefault="00864685" w:rsidP="009C030B">
            <w:pPr>
              <w:jc w:val="right"/>
              <w:rPr>
                <w:color w:val="000000"/>
                <w:sz w:val="18"/>
                <w:szCs w:val="18"/>
              </w:rPr>
            </w:pPr>
            <w:r w:rsidRPr="00864685">
              <w:rPr>
                <w:color w:val="000000"/>
                <w:sz w:val="18"/>
                <w:szCs w:val="18"/>
              </w:rPr>
              <w:t>393 274 551</w:t>
            </w:r>
          </w:p>
        </w:tc>
        <w:tc>
          <w:tcPr>
            <w:tcW w:w="515" w:type="pct"/>
            <w:tcBorders>
              <w:top w:val="nil"/>
              <w:left w:val="nil"/>
              <w:bottom w:val="single" w:sz="4" w:space="0" w:color="auto"/>
              <w:right w:val="single" w:sz="4" w:space="0" w:color="auto"/>
            </w:tcBorders>
            <w:shd w:val="clear" w:color="000000" w:fill="FFFFFF"/>
            <w:noWrap/>
            <w:vAlign w:val="center"/>
            <w:hideMark/>
          </w:tcPr>
          <w:p w:rsidR="00864685" w:rsidRPr="00864685" w:rsidRDefault="00864685" w:rsidP="009C030B">
            <w:pPr>
              <w:jc w:val="right"/>
              <w:rPr>
                <w:color w:val="000000"/>
                <w:sz w:val="18"/>
                <w:szCs w:val="18"/>
              </w:rPr>
            </w:pPr>
            <w:r w:rsidRPr="00864685">
              <w:rPr>
                <w:color w:val="000000"/>
                <w:sz w:val="18"/>
                <w:szCs w:val="18"/>
              </w:rPr>
              <w:t>939 203 612</w:t>
            </w:r>
          </w:p>
        </w:tc>
        <w:tc>
          <w:tcPr>
            <w:tcW w:w="481" w:type="pct"/>
            <w:tcBorders>
              <w:top w:val="nil"/>
              <w:left w:val="nil"/>
              <w:bottom w:val="single" w:sz="4" w:space="0" w:color="auto"/>
              <w:right w:val="single" w:sz="4" w:space="0" w:color="auto"/>
            </w:tcBorders>
            <w:shd w:val="clear" w:color="000000" w:fill="FFFFFF"/>
            <w:noWrap/>
            <w:vAlign w:val="center"/>
            <w:hideMark/>
          </w:tcPr>
          <w:p w:rsidR="00864685" w:rsidRPr="00864685" w:rsidRDefault="00864685" w:rsidP="009C030B">
            <w:pPr>
              <w:jc w:val="right"/>
              <w:rPr>
                <w:color w:val="000000"/>
                <w:sz w:val="18"/>
                <w:szCs w:val="18"/>
              </w:rPr>
            </w:pPr>
            <w:r w:rsidRPr="00864685">
              <w:rPr>
                <w:color w:val="000000"/>
                <w:sz w:val="18"/>
                <w:szCs w:val="18"/>
              </w:rPr>
              <w:t>-62 217 878</w:t>
            </w:r>
          </w:p>
        </w:tc>
        <w:tc>
          <w:tcPr>
            <w:tcW w:w="498" w:type="pct"/>
            <w:tcBorders>
              <w:top w:val="nil"/>
              <w:left w:val="nil"/>
              <w:bottom w:val="single" w:sz="4" w:space="0" w:color="auto"/>
              <w:right w:val="single" w:sz="4" w:space="0" w:color="auto"/>
            </w:tcBorders>
            <w:shd w:val="clear" w:color="000000" w:fill="FFFFFF"/>
            <w:noWrap/>
            <w:vAlign w:val="center"/>
            <w:hideMark/>
          </w:tcPr>
          <w:p w:rsidR="00864685" w:rsidRPr="00864685" w:rsidRDefault="00864685" w:rsidP="009C030B">
            <w:pPr>
              <w:jc w:val="right"/>
              <w:rPr>
                <w:color w:val="000000"/>
                <w:sz w:val="18"/>
                <w:szCs w:val="18"/>
              </w:rPr>
            </w:pPr>
            <w:r w:rsidRPr="00864685">
              <w:rPr>
                <w:color w:val="000000"/>
                <w:sz w:val="18"/>
                <w:szCs w:val="18"/>
              </w:rPr>
              <w:t>97 501 024</w:t>
            </w:r>
          </w:p>
        </w:tc>
        <w:tc>
          <w:tcPr>
            <w:tcW w:w="492" w:type="pct"/>
            <w:tcBorders>
              <w:top w:val="nil"/>
              <w:left w:val="nil"/>
              <w:bottom w:val="single" w:sz="4" w:space="0" w:color="auto"/>
              <w:right w:val="single" w:sz="4" w:space="0" w:color="auto"/>
            </w:tcBorders>
            <w:shd w:val="clear" w:color="auto" w:fill="auto"/>
            <w:noWrap/>
            <w:vAlign w:val="center"/>
            <w:hideMark/>
          </w:tcPr>
          <w:p w:rsidR="00864685" w:rsidRPr="00864685" w:rsidRDefault="00864685" w:rsidP="009C030B">
            <w:pPr>
              <w:jc w:val="right"/>
              <w:rPr>
                <w:color w:val="000000"/>
                <w:sz w:val="18"/>
                <w:szCs w:val="18"/>
              </w:rPr>
            </w:pPr>
            <w:r w:rsidRPr="00864685">
              <w:rPr>
                <w:color w:val="000000"/>
                <w:sz w:val="18"/>
                <w:szCs w:val="18"/>
              </w:rPr>
              <w:t>35 283 146</w:t>
            </w:r>
          </w:p>
        </w:tc>
      </w:tr>
      <w:tr w:rsidR="00864685" w:rsidRPr="00864685" w:rsidTr="009C030B">
        <w:trPr>
          <w:trHeight w:val="300"/>
        </w:trPr>
        <w:tc>
          <w:tcPr>
            <w:tcW w:w="390" w:type="pct"/>
            <w:tcBorders>
              <w:top w:val="nil"/>
              <w:left w:val="single" w:sz="4" w:space="0" w:color="auto"/>
              <w:bottom w:val="single" w:sz="4" w:space="0" w:color="auto"/>
              <w:right w:val="single" w:sz="4" w:space="0" w:color="auto"/>
            </w:tcBorders>
            <w:shd w:val="clear" w:color="000000" w:fill="FFFFEF"/>
            <w:vAlign w:val="center"/>
            <w:hideMark/>
          </w:tcPr>
          <w:p w:rsidR="00864685" w:rsidRPr="00864685" w:rsidRDefault="00864685" w:rsidP="009C030B">
            <w:pPr>
              <w:jc w:val="center"/>
              <w:rPr>
                <w:color w:val="000000"/>
                <w:sz w:val="18"/>
                <w:szCs w:val="18"/>
              </w:rPr>
            </w:pPr>
            <w:r w:rsidRPr="00864685">
              <w:rPr>
                <w:color w:val="000000"/>
                <w:sz w:val="18"/>
                <w:szCs w:val="18"/>
              </w:rPr>
              <w:t>2014</w:t>
            </w:r>
          </w:p>
        </w:tc>
        <w:tc>
          <w:tcPr>
            <w:tcW w:w="588" w:type="pct"/>
            <w:tcBorders>
              <w:top w:val="nil"/>
              <w:left w:val="nil"/>
              <w:bottom w:val="single" w:sz="4" w:space="0" w:color="auto"/>
              <w:right w:val="single" w:sz="4" w:space="0" w:color="auto"/>
            </w:tcBorders>
            <w:shd w:val="clear" w:color="000000" w:fill="FFFFFF"/>
            <w:noWrap/>
            <w:vAlign w:val="center"/>
            <w:hideMark/>
          </w:tcPr>
          <w:p w:rsidR="00864685" w:rsidRPr="00864685" w:rsidRDefault="00864685" w:rsidP="009C030B">
            <w:pPr>
              <w:jc w:val="right"/>
              <w:rPr>
                <w:color w:val="000000"/>
                <w:sz w:val="18"/>
                <w:szCs w:val="18"/>
              </w:rPr>
            </w:pPr>
            <w:r w:rsidRPr="00864685">
              <w:rPr>
                <w:color w:val="000000"/>
                <w:sz w:val="18"/>
                <w:szCs w:val="18"/>
              </w:rPr>
              <w:t>0</w:t>
            </w:r>
          </w:p>
        </w:tc>
        <w:tc>
          <w:tcPr>
            <w:tcW w:w="520" w:type="pct"/>
            <w:tcBorders>
              <w:top w:val="nil"/>
              <w:left w:val="nil"/>
              <w:bottom w:val="single" w:sz="4" w:space="0" w:color="auto"/>
              <w:right w:val="single" w:sz="4" w:space="0" w:color="auto"/>
            </w:tcBorders>
            <w:shd w:val="clear" w:color="000000" w:fill="FFFFFF"/>
            <w:noWrap/>
            <w:vAlign w:val="center"/>
            <w:hideMark/>
          </w:tcPr>
          <w:p w:rsidR="00864685" w:rsidRPr="00864685" w:rsidRDefault="00864685" w:rsidP="009C030B">
            <w:pPr>
              <w:jc w:val="right"/>
              <w:rPr>
                <w:color w:val="000000"/>
                <w:sz w:val="18"/>
                <w:szCs w:val="18"/>
              </w:rPr>
            </w:pPr>
            <w:r w:rsidRPr="00864685">
              <w:rPr>
                <w:color w:val="000000"/>
                <w:sz w:val="18"/>
                <w:szCs w:val="18"/>
              </w:rPr>
              <w:t>1 280 934 098</w:t>
            </w:r>
          </w:p>
        </w:tc>
        <w:tc>
          <w:tcPr>
            <w:tcW w:w="430" w:type="pct"/>
            <w:tcBorders>
              <w:top w:val="nil"/>
              <w:left w:val="nil"/>
              <w:bottom w:val="single" w:sz="4" w:space="0" w:color="auto"/>
              <w:right w:val="single" w:sz="4" w:space="0" w:color="auto"/>
            </w:tcBorders>
            <w:shd w:val="clear" w:color="000000" w:fill="FFFFFF"/>
            <w:noWrap/>
            <w:vAlign w:val="center"/>
            <w:hideMark/>
          </w:tcPr>
          <w:p w:rsidR="00864685" w:rsidRPr="00864685" w:rsidRDefault="00864685" w:rsidP="009C030B">
            <w:pPr>
              <w:jc w:val="right"/>
              <w:rPr>
                <w:color w:val="000000"/>
                <w:sz w:val="18"/>
                <w:szCs w:val="18"/>
              </w:rPr>
            </w:pPr>
            <w:r w:rsidRPr="00864685">
              <w:rPr>
                <w:color w:val="000000"/>
                <w:sz w:val="18"/>
                <w:szCs w:val="18"/>
              </w:rPr>
              <w:t> </w:t>
            </w:r>
          </w:p>
        </w:tc>
        <w:tc>
          <w:tcPr>
            <w:tcW w:w="520" w:type="pct"/>
            <w:tcBorders>
              <w:top w:val="nil"/>
              <w:left w:val="nil"/>
              <w:bottom w:val="single" w:sz="4" w:space="0" w:color="auto"/>
              <w:right w:val="single" w:sz="4" w:space="0" w:color="auto"/>
            </w:tcBorders>
            <w:shd w:val="clear" w:color="000000" w:fill="FFFFFF"/>
            <w:noWrap/>
            <w:vAlign w:val="center"/>
            <w:hideMark/>
          </w:tcPr>
          <w:p w:rsidR="00864685" w:rsidRPr="00864685" w:rsidRDefault="00864685" w:rsidP="009C030B">
            <w:pPr>
              <w:jc w:val="right"/>
              <w:rPr>
                <w:color w:val="000000"/>
                <w:sz w:val="18"/>
                <w:szCs w:val="18"/>
              </w:rPr>
            </w:pPr>
            <w:r w:rsidRPr="00864685">
              <w:rPr>
                <w:color w:val="000000"/>
                <w:sz w:val="18"/>
                <w:szCs w:val="18"/>
              </w:rPr>
              <w:t>245 236 035</w:t>
            </w:r>
          </w:p>
        </w:tc>
        <w:tc>
          <w:tcPr>
            <w:tcW w:w="566" w:type="pct"/>
            <w:tcBorders>
              <w:top w:val="nil"/>
              <w:left w:val="nil"/>
              <w:bottom w:val="single" w:sz="4" w:space="0" w:color="auto"/>
              <w:right w:val="single" w:sz="4" w:space="0" w:color="auto"/>
            </w:tcBorders>
            <w:shd w:val="clear" w:color="000000" w:fill="FFFFFF"/>
            <w:noWrap/>
            <w:vAlign w:val="center"/>
            <w:hideMark/>
          </w:tcPr>
          <w:p w:rsidR="00864685" w:rsidRPr="00864685" w:rsidRDefault="00864685" w:rsidP="009C030B">
            <w:pPr>
              <w:jc w:val="right"/>
              <w:rPr>
                <w:color w:val="000000"/>
                <w:sz w:val="18"/>
                <w:szCs w:val="18"/>
              </w:rPr>
            </w:pPr>
            <w:r w:rsidRPr="00864685">
              <w:rPr>
                <w:color w:val="000000"/>
                <w:sz w:val="18"/>
                <w:szCs w:val="18"/>
              </w:rPr>
              <w:t>245 236 035</w:t>
            </w:r>
          </w:p>
        </w:tc>
        <w:tc>
          <w:tcPr>
            <w:tcW w:w="515" w:type="pct"/>
            <w:tcBorders>
              <w:top w:val="nil"/>
              <w:left w:val="nil"/>
              <w:bottom w:val="single" w:sz="4" w:space="0" w:color="auto"/>
              <w:right w:val="single" w:sz="4" w:space="0" w:color="auto"/>
            </w:tcBorders>
            <w:shd w:val="clear" w:color="000000" w:fill="FFFFFF"/>
            <w:noWrap/>
            <w:vAlign w:val="center"/>
            <w:hideMark/>
          </w:tcPr>
          <w:p w:rsidR="00864685" w:rsidRPr="00864685" w:rsidRDefault="00864685" w:rsidP="009C030B">
            <w:pPr>
              <w:jc w:val="right"/>
              <w:rPr>
                <w:color w:val="000000"/>
                <w:sz w:val="18"/>
                <w:szCs w:val="18"/>
              </w:rPr>
            </w:pPr>
            <w:r w:rsidRPr="00864685">
              <w:rPr>
                <w:color w:val="000000"/>
                <w:sz w:val="18"/>
                <w:szCs w:val="18"/>
              </w:rPr>
              <w:t>1 184 439 647</w:t>
            </w:r>
          </w:p>
        </w:tc>
        <w:tc>
          <w:tcPr>
            <w:tcW w:w="481" w:type="pct"/>
            <w:tcBorders>
              <w:top w:val="nil"/>
              <w:left w:val="nil"/>
              <w:bottom w:val="single" w:sz="4" w:space="0" w:color="auto"/>
              <w:right w:val="single" w:sz="4" w:space="0" w:color="auto"/>
            </w:tcBorders>
            <w:shd w:val="clear" w:color="000000" w:fill="FFFFFF"/>
            <w:noWrap/>
            <w:vAlign w:val="center"/>
            <w:hideMark/>
          </w:tcPr>
          <w:p w:rsidR="00864685" w:rsidRPr="00864685" w:rsidRDefault="00864685" w:rsidP="009C030B">
            <w:pPr>
              <w:jc w:val="right"/>
              <w:rPr>
                <w:color w:val="000000"/>
                <w:sz w:val="18"/>
                <w:szCs w:val="18"/>
              </w:rPr>
            </w:pPr>
            <w:r w:rsidRPr="00864685">
              <w:rPr>
                <w:color w:val="000000"/>
                <w:sz w:val="18"/>
                <w:szCs w:val="18"/>
              </w:rPr>
              <w:t>-96 494 451</w:t>
            </w:r>
          </w:p>
        </w:tc>
        <w:tc>
          <w:tcPr>
            <w:tcW w:w="498" w:type="pct"/>
            <w:tcBorders>
              <w:top w:val="nil"/>
              <w:left w:val="nil"/>
              <w:bottom w:val="single" w:sz="4" w:space="0" w:color="auto"/>
              <w:right w:val="single" w:sz="4" w:space="0" w:color="auto"/>
            </w:tcBorders>
            <w:shd w:val="clear" w:color="000000" w:fill="FFFFFF"/>
            <w:noWrap/>
            <w:vAlign w:val="center"/>
            <w:hideMark/>
          </w:tcPr>
          <w:p w:rsidR="00864685" w:rsidRPr="00864685" w:rsidRDefault="00864685" w:rsidP="009C030B">
            <w:pPr>
              <w:jc w:val="right"/>
              <w:rPr>
                <w:color w:val="000000"/>
                <w:sz w:val="18"/>
                <w:szCs w:val="18"/>
              </w:rPr>
            </w:pPr>
            <w:r w:rsidRPr="00864685">
              <w:rPr>
                <w:color w:val="000000"/>
                <w:sz w:val="18"/>
                <w:szCs w:val="18"/>
              </w:rPr>
              <w:t>97 501 024</w:t>
            </w:r>
          </w:p>
        </w:tc>
        <w:tc>
          <w:tcPr>
            <w:tcW w:w="492" w:type="pct"/>
            <w:tcBorders>
              <w:top w:val="nil"/>
              <w:left w:val="nil"/>
              <w:bottom w:val="single" w:sz="4" w:space="0" w:color="auto"/>
              <w:right w:val="single" w:sz="4" w:space="0" w:color="auto"/>
            </w:tcBorders>
            <w:shd w:val="clear" w:color="auto" w:fill="auto"/>
            <w:noWrap/>
            <w:vAlign w:val="center"/>
            <w:hideMark/>
          </w:tcPr>
          <w:p w:rsidR="00864685" w:rsidRPr="00864685" w:rsidRDefault="00864685" w:rsidP="009C030B">
            <w:pPr>
              <w:jc w:val="right"/>
              <w:rPr>
                <w:color w:val="000000"/>
                <w:sz w:val="18"/>
                <w:szCs w:val="18"/>
              </w:rPr>
            </w:pPr>
            <w:r w:rsidRPr="00864685">
              <w:rPr>
                <w:color w:val="000000"/>
                <w:sz w:val="18"/>
                <w:szCs w:val="18"/>
              </w:rPr>
              <w:t>1 006 573</w:t>
            </w:r>
          </w:p>
        </w:tc>
      </w:tr>
      <w:tr w:rsidR="00864685" w:rsidRPr="00864685" w:rsidTr="009C030B">
        <w:trPr>
          <w:trHeight w:val="300"/>
        </w:trPr>
        <w:tc>
          <w:tcPr>
            <w:tcW w:w="390" w:type="pct"/>
            <w:tcBorders>
              <w:top w:val="nil"/>
              <w:left w:val="single" w:sz="4" w:space="0" w:color="auto"/>
              <w:bottom w:val="single" w:sz="4" w:space="0" w:color="auto"/>
              <w:right w:val="single" w:sz="4" w:space="0" w:color="auto"/>
            </w:tcBorders>
            <w:shd w:val="clear" w:color="000000" w:fill="FFFFEF"/>
            <w:vAlign w:val="center"/>
            <w:hideMark/>
          </w:tcPr>
          <w:p w:rsidR="00864685" w:rsidRPr="00864685" w:rsidRDefault="00864685" w:rsidP="009C030B">
            <w:pPr>
              <w:jc w:val="center"/>
              <w:rPr>
                <w:color w:val="000000"/>
                <w:sz w:val="18"/>
                <w:szCs w:val="18"/>
              </w:rPr>
            </w:pPr>
            <w:r w:rsidRPr="00864685">
              <w:rPr>
                <w:color w:val="000000"/>
                <w:sz w:val="18"/>
                <w:szCs w:val="18"/>
              </w:rPr>
              <w:t>2015</w:t>
            </w:r>
          </w:p>
        </w:tc>
        <w:tc>
          <w:tcPr>
            <w:tcW w:w="588" w:type="pct"/>
            <w:tcBorders>
              <w:top w:val="nil"/>
              <w:left w:val="nil"/>
              <w:bottom w:val="single" w:sz="4" w:space="0" w:color="auto"/>
              <w:right w:val="single" w:sz="4" w:space="0" w:color="auto"/>
            </w:tcBorders>
            <w:shd w:val="clear" w:color="000000" w:fill="FFFFFF"/>
            <w:noWrap/>
            <w:vAlign w:val="center"/>
            <w:hideMark/>
          </w:tcPr>
          <w:p w:rsidR="00864685" w:rsidRPr="00864685" w:rsidRDefault="00864685" w:rsidP="009C030B">
            <w:pPr>
              <w:jc w:val="right"/>
              <w:rPr>
                <w:color w:val="000000"/>
                <w:sz w:val="18"/>
                <w:szCs w:val="18"/>
              </w:rPr>
            </w:pPr>
            <w:r w:rsidRPr="00864685">
              <w:rPr>
                <w:color w:val="000000"/>
                <w:sz w:val="18"/>
                <w:szCs w:val="18"/>
              </w:rPr>
              <w:t>0</w:t>
            </w:r>
          </w:p>
        </w:tc>
        <w:tc>
          <w:tcPr>
            <w:tcW w:w="520" w:type="pct"/>
            <w:tcBorders>
              <w:top w:val="nil"/>
              <w:left w:val="nil"/>
              <w:bottom w:val="single" w:sz="4" w:space="0" w:color="auto"/>
              <w:right w:val="single" w:sz="4" w:space="0" w:color="auto"/>
            </w:tcBorders>
            <w:shd w:val="clear" w:color="000000" w:fill="FFFFFF"/>
            <w:noWrap/>
            <w:vAlign w:val="center"/>
            <w:hideMark/>
          </w:tcPr>
          <w:p w:rsidR="00864685" w:rsidRPr="00864685" w:rsidRDefault="00864685" w:rsidP="009C030B">
            <w:pPr>
              <w:jc w:val="right"/>
              <w:rPr>
                <w:color w:val="000000"/>
                <w:sz w:val="18"/>
                <w:szCs w:val="18"/>
              </w:rPr>
            </w:pPr>
            <w:r w:rsidRPr="00864685">
              <w:rPr>
                <w:color w:val="000000"/>
                <w:sz w:val="18"/>
                <w:szCs w:val="18"/>
              </w:rPr>
              <w:t>1 591 356 687</w:t>
            </w:r>
          </w:p>
        </w:tc>
        <w:tc>
          <w:tcPr>
            <w:tcW w:w="430" w:type="pct"/>
            <w:tcBorders>
              <w:top w:val="nil"/>
              <w:left w:val="nil"/>
              <w:bottom w:val="single" w:sz="4" w:space="0" w:color="auto"/>
              <w:right w:val="single" w:sz="4" w:space="0" w:color="auto"/>
            </w:tcBorders>
            <w:shd w:val="clear" w:color="000000" w:fill="FFFFFF"/>
            <w:noWrap/>
            <w:vAlign w:val="center"/>
            <w:hideMark/>
          </w:tcPr>
          <w:p w:rsidR="00864685" w:rsidRPr="00864685" w:rsidRDefault="00864685" w:rsidP="009C030B">
            <w:pPr>
              <w:jc w:val="right"/>
              <w:rPr>
                <w:color w:val="000000"/>
                <w:sz w:val="18"/>
                <w:szCs w:val="18"/>
              </w:rPr>
            </w:pPr>
            <w:r w:rsidRPr="00864685">
              <w:rPr>
                <w:color w:val="000000"/>
                <w:sz w:val="18"/>
                <w:szCs w:val="18"/>
              </w:rPr>
              <w:t> </w:t>
            </w:r>
          </w:p>
        </w:tc>
        <w:tc>
          <w:tcPr>
            <w:tcW w:w="520" w:type="pct"/>
            <w:tcBorders>
              <w:top w:val="nil"/>
              <w:left w:val="nil"/>
              <w:bottom w:val="single" w:sz="4" w:space="0" w:color="auto"/>
              <w:right w:val="single" w:sz="4" w:space="0" w:color="auto"/>
            </w:tcBorders>
            <w:shd w:val="clear" w:color="000000" w:fill="FFFFFF"/>
            <w:noWrap/>
            <w:vAlign w:val="center"/>
            <w:hideMark/>
          </w:tcPr>
          <w:p w:rsidR="00864685" w:rsidRPr="00864685" w:rsidRDefault="00864685" w:rsidP="009C030B">
            <w:pPr>
              <w:jc w:val="right"/>
              <w:rPr>
                <w:color w:val="000000"/>
                <w:sz w:val="18"/>
                <w:szCs w:val="18"/>
              </w:rPr>
            </w:pPr>
            <w:r w:rsidRPr="00864685">
              <w:rPr>
                <w:color w:val="000000"/>
                <w:sz w:val="18"/>
                <w:szCs w:val="18"/>
              </w:rPr>
              <w:t>12 498 357</w:t>
            </w:r>
          </w:p>
        </w:tc>
        <w:tc>
          <w:tcPr>
            <w:tcW w:w="566" w:type="pct"/>
            <w:tcBorders>
              <w:top w:val="nil"/>
              <w:left w:val="nil"/>
              <w:bottom w:val="single" w:sz="4" w:space="0" w:color="auto"/>
              <w:right w:val="single" w:sz="4" w:space="0" w:color="auto"/>
            </w:tcBorders>
            <w:shd w:val="clear" w:color="000000" w:fill="FFFFFF"/>
            <w:noWrap/>
            <w:vAlign w:val="center"/>
            <w:hideMark/>
          </w:tcPr>
          <w:p w:rsidR="00864685" w:rsidRPr="00864685" w:rsidRDefault="00864685" w:rsidP="009C030B">
            <w:pPr>
              <w:jc w:val="right"/>
              <w:rPr>
                <w:color w:val="000000"/>
                <w:sz w:val="18"/>
                <w:szCs w:val="18"/>
              </w:rPr>
            </w:pPr>
            <w:r w:rsidRPr="00864685">
              <w:rPr>
                <w:color w:val="000000"/>
                <w:sz w:val="18"/>
                <w:szCs w:val="18"/>
              </w:rPr>
              <w:t>12 498 357</w:t>
            </w:r>
          </w:p>
        </w:tc>
        <w:tc>
          <w:tcPr>
            <w:tcW w:w="515" w:type="pct"/>
            <w:tcBorders>
              <w:top w:val="nil"/>
              <w:left w:val="nil"/>
              <w:bottom w:val="single" w:sz="4" w:space="0" w:color="auto"/>
              <w:right w:val="single" w:sz="4" w:space="0" w:color="auto"/>
            </w:tcBorders>
            <w:shd w:val="clear" w:color="000000" w:fill="FFFFFF"/>
            <w:noWrap/>
            <w:vAlign w:val="center"/>
            <w:hideMark/>
          </w:tcPr>
          <w:p w:rsidR="00864685" w:rsidRPr="00864685" w:rsidRDefault="00864685" w:rsidP="009C030B">
            <w:pPr>
              <w:jc w:val="right"/>
              <w:rPr>
                <w:color w:val="000000"/>
                <w:sz w:val="18"/>
                <w:szCs w:val="18"/>
              </w:rPr>
            </w:pPr>
            <w:r w:rsidRPr="00864685">
              <w:rPr>
                <w:color w:val="000000"/>
                <w:sz w:val="18"/>
                <w:szCs w:val="18"/>
              </w:rPr>
              <w:t>1 196 938 004</w:t>
            </w:r>
          </w:p>
        </w:tc>
        <w:tc>
          <w:tcPr>
            <w:tcW w:w="481" w:type="pct"/>
            <w:tcBorders>
              <w:top w:val="nil"/>
              <w:left w:val="nil"/>
              <w:bottom w:val="single" w:sz="4" w:space="0" w:color="auto"/>
              <w:right w:val="single" w:sz="4" w:space="0" w:color="auto"/>
            </w:tcBorders>
            <w:shd w:val="clear" w:color="000000" w:fill="FFFFFF"/>
            <w:noWrap/>
            <w:vAlign w:val="center"/>
            <w:hideMark/>
          </w:tcPr>
          <w:p w:rsidR="00864685" w:rsidRPr="00864685" w:rsidRDefault="00864685" w:rsidP="009C030B">
            <w:pPr>
              <w:jc w:val="right"/>
              <w:rPr>
                <w:color w:val="000000"/>
                <w:sz w:val="18"/>
                <w:szCs w:val="18"/>
              </w:rPr>
            </w:pPr>
            <w:r w:rsidRPr="00864685">
              <w:rPr>
                <w:color w:val="000000"/>
                <w:sz w:val="18"/>
                <w:szCs w:val="18"/>
              </w:rPr>
              <w:t>-394 418 683</w:t>
            </w:r>
          </w:p>
        </w:tc>
        <w:tc>
          <w:tcPr>
            <w:tcW w:w="498" w:type="pct"/>
            <w:tcBorders>
              <w:top w:val="nil"/>
              <w:left w:val="nil"/>
              <w:bottom w:val="single" w:sz="4" w:space="0" w:color="auto"/>
              <w:right w:val="single" w:sz="4" w:space="0" w:color="auto"/>
            </w:tcBorders>
            <w:shd w:val="clear" w:color="auto" w:fill="auto"/>
            <w:noWrap/>
            <w:vAlign w:val="center"/>
            <w:hideMark/>
          </w:tcPr>
          <w:p w:rsidR="00864685" w:rsidRPr="00864685" w:rsidRDefault="00864685" w:rsidP="009C030B">
            <w:pPr>
              <w:jc w:val="right"/>
              <w:rPr>
                <w:color w:val="000000"/>
                <w:sz w:val="18"/>
                <w:szCs w:val="18"/>
              </w:rPr>
            </w:pPr>
            <w:r w:rsidRPr="00864685">
              <w:rPr>
                <w:color w:val="000000"/>
                <w:sz w:val="18"/>
                <w:szCs w:val="18"/>
              </w:rPr>
              <w:t> </w:t>
            </w:r>
          </w:p>
        </w:tc>
        <w:tc>
          <w:tcPr>
            <w:tcW w:w="492" w:type="pct"/>
            <w:tcBorders>
              <w:top w:val="nil"/>
              <w:left w:val="nil"/>
              <w:bottom w:val="single" w:sz="4" w:space="0" w:color="auto"/>
              <w:right w:val="single" w:sz="4" w:space="0" w:color="auto"/>
            </w:tcBorders>
            <w:shd w:val="clear" w:color="auto" w:fill="auto"/>
            <w:noWrap/>
            <w:vAlign w:val="center"/>
            <w:hideMark/>
          </w:tcPr>
          <w:p w:rsidR="00864685" w:rsidRPr="00864685" w:rsidRDefault="00864685" w:rsidP="009C030B">
            <w:pPr>
              <w:jc w:val="right"/>
              <w:rPr>
                <w:color w:val="000000"/>
                <w:sz w:val="18"/>
                <w:szCs w:val="18"/>
              </w:rPr>
            </w:pPr>
            <w:r w:rsidRPr="00864685">
              <w:rPr>
                <w:color w:val="000000"/>
                <w:sz w:val="18"/>
                <w:szCs w:val="18"/>
              </w:rPr>
              <w:t>-394 418 683</w:t>
            </w:r>
          </w:p>
        </w:tc>
      </w:tr>
      <w:tr w:rsidR="00864685" w:rsidRPr="00864685" w:rsidTr="009C030B">
        <w:trPr>
          <w:trHeight w:val="315"/>
        </w:trPr>
        <w:tc>
          <w:tcPr>
            <w:tcW w:w="390" w:type="pct"/>
            <w:tcBorders>
              <w:top w:val="nil"/>
              <w:left w:val="single" w:sz="4" w:space="0" w:color="auto"/>
              <w:bottom w:val="single" w:sz="4" w:space="0" w:color="auto"/>
              <w:right w:val="single" w:sz="4" w:space="0" w:color="auto"/>
            </w:tcBorders>
            <w:shd w:val="clear" w:color="auto" w:fill="B8CCE4" w:themeFill="accent1" w:themeFillTint="66"/>
            <w:vAlign w:val="center"/>
            <w:hideMark/>
          </w:tcPr>
          <w:p w:rsidR="00864685" w:rsidRPr="00864685" w:rsidRDefault="00864685" w:rsidP="009C030B">
            <w:pPr>
              <w:jc w:val="center"/>
              <w:rPr>
                <w:b/>
                <w:bCs/>
                <w:color w:val="000000"/>
                <w:sz w:val="18"/>
                <w:szCs w:val="18"/>
              </w:rPr>
            </w:pPr>
            <w:r w:rsidRPr="00864685">
              <w:rPr>
                <w:b/>
                <w:bCs/>
                <w:color w:val="000000"/>
                <w:sz w:val="18"/>
                <w:szCs w:val="18"/>
              </w:rPr>
              <w:t>Celkem</w:t>
            </w:r>
          </w:p>
        </w:tc>
        <w:tc>
          <w:tcPr>
            <w:tcW w:w="588" w:type="pct"/>
            <w:tcBorders>
              <w:top w:val="nil"/>
              <w:left w:val="nil"/>
              <w:bottom w:val="single" w:sz="4" w:space="0" w:color="auto"/>
              <w:right w:val="single" w:sz="4" w:space="0" w:color="auto"/>
            </w:tcBorders>
            <w:shd w:val="clear" w:color="auto" w:fill="B8CCE4" w:themeFill="accent1" w:themeFillTint="66"/>
            <w:noWrap/>
            <w:vAlign w:val="center"/>
            <w:hideMark/>
          </w:tcPr>
          <w:p w:rsidR="00864685" w:rsidRPr="00864685" w:rsidRDefault="00864685" w:rsidP="009C030B">
            <w:pPr>
              <w:jc w:val="right"/>
              <w:rPr>
                <w:b/>
                <w:bCs/>
                <w:color w:val="000000"/>
                <w:sz w:val="18"/>
                <w:szCs w:val="18"/>
              </w:rPr>
            </w:pPr>
            <w:r w:rsidRPr="00864685">
              <w:rPr>
                <w:b/>
                <w:bCs/>
                <w:color w:val="000000"/>
                <w:sz w:val="18"/>
                <w:szCs w:val="18"/>
              </w:rPr>
              <w:t>1 591 356 687</w:t>
            </w:r>
          </w:p>
        </w:tc>
        <w:tc>
          <w:tcPr>
            <w:tcW w:w="520" w:type="pct"/>
            <w:tcBorders>
              <w:top w:val="nil"/>
              <w:left w:val="nil"/>
              <w:bottom w:val="single" w:sz="4" w:space="0" w:color="auto"/>
              <w:right w:val="single" w:sz="4" w:space="0" w:color="auto"/>
            </w:tcBorders>
            <w:shd w:val="clear" w:color="auto" w:fill="B8CCE4" w:themeFill="accent1" w:themeFillTint="66"/>
            <w:noWrap/>
            <w:vAlign w:val="center"/>
            <w:hideMark/>
          </w:tcPr>
          <w:p w:rsidR="00864685" w:rsidRPr="00864685" w:rsidRDefault="00864685" w:rsidP="009C030B">
            <w:pPr>
              <w:jc w:val="right"/>
              <w:rPr>
                <w:b/>
                <w:bCs/>
                <w:color w:val="000000"/>
                <w:sz w:val="18"/>
                <w:szCs w:val="18"/>
              </w:rPr>
            </w:pPr>
            <w:r w:rsidRPr="00864685">
              <w:rPr>
                <w:b/>
                <w:bCs/>
                <w:color w:val="000000"/>
                <w:sz w:val="18"/>
                <w:szCs w:val="18"/>
              </w:rPr>
              <w:t>1 591 356 687</w:t>
            </w:r>
          </w:p>
        </w:tc>
        <w:tc>
          <w:tcPr>
            <w:tcW w:w="430" w:type="pct"/>
            <w:tcBorders>
              <w:top w:val="nil"/>
              <w:left w:val="nil"/>
              <w:bottom w:val="single" w:sz="4" w:space="0" w:color="auto"/>
              <w:right w:val="single" w:sz="4" w:space="0" w:color="auto"/>
            </w:tcBorders>
            <w:shd w:val="clear" w:color="auto" w:fill="B8CCE4" w:themeFill="accent1" w:themeFillTint="66"/>
            <w:noWrap/>
            <w:vAlign w:val="center"/>
            <w:hideMark/>
          </w:tcPr>
          <w:p w:rsidR="00864685" w:rsidRPr="00864685" w:rsidRDefault="00864685" w:rsidP="009C030B">
            <w:pPr>
              <w:jc w:val="right"/>
              <w:rPr>
                <w:b/>
                <w:bCs/>
                <w:color w:val="000000"/>
                <w:sz w:val="18"/>
                <w:szCs w:val="18"/>
              </w:rPr>
            </w:pPr>
            <w:r w:rsidRPr="00864685">
              <w:rPr>
                <w:b/>
                <w:bCs/>
                <w:color w:val="000000"/>
                <w:sz w:val="18"/>
                <w:szCs w:val="18"/>
              </w:rPr>
              <w:t>139 770 960</w:t>
            </w:r>
          </w:p>
        </w:tc>
        <w:tc>
          <w:tcPr>
            <w:tcW w:w="520" w:type="pct"/>
            <w:tcBorders>
              <w:top w:val="nil"/>
              <w:left w:val="nil"/>
              <w:bottom w:val="single" w:sz="4" w:space="0" w:color="auto"/>
              <w:right w:val="single" w:sz="4" w:space="0" w:color="auto"/>
            </w:tcBorders>
            <w:shd w:val="clear" w:color="auto" w:fill="B8CCE4" w:themeFill="accent1" w:themeFillTint="66"/>
            <w:noWrap/>
            <w:vAlign w:val="center"/>
            <w:hideMark/>
          </w:tcPr>
          <w:p w:rsidR="00864685" w:rsidRPr="00864685" w:rsidRDefault="00864685" w:rsidP="009C030B">
            <w:pPr>
              <w:jc w:val="right"/>
              <w:rPr>
                <w:b/>
                <w:bCs/>
                <w:color w:val="000000"/>
                <w:sz w:val="18"/>
                <w:szCs w:val="18"/>
              </w:rPr>
            </w:pPr>
            <w:r w:rsidRPr="00864685">
              <w:rPr>
                <w:b/>
                <w:bCs/>
                <w:color w:val="000000"/>
                <w:sz w:val="18"/>
                <w:szCs w:val="18"/>
              </w:rPr>
              <w:t>1 057 167 044</w:t>
            </w:r>
          </w:p>
        </w:tc>
        <w:tc>
          <w:tcPr>
            <w:tcW w:w="566" w:type="pct"/>
            <w:tcBorders>
              <w:top w:val="nil"/>
              <w:left w:val="nil"/>
              <w:bottom w:val="single" w:sz="4" w:space="0" w:color="auto"/>
              <w:right w:val="single" w:sz="4" w:space="0" w:color="auto"/>
            </w:tcBorders>
            <w:shd w:val="clear" w:color="auto" w:fill="B8CCE4" w:themeFill="accent1" w:themeFillTint="66"/>
            <w:noWrap/>
            <w:vAlign w:val="center"/>
            <w:hideMark/>
          </w:tcPr>
          <w:p w:rsidR="00864685" w:rsidRPr="00864685" w:rsidRDefault="00864685" w:rsidP="009C030B">
            <w:pPr>
              <w:jc w:val="right"/>
              <w:rPr>
                <w:b/>
                <w:bCs/>
                <w:color w:val="000000"/>
                <w:sz w:val="18"/>
                <w:szCs w:val="18"/>
              </w:rPr>
            </w:pPr>
            <w:r w:rsidRPr="00864685">
              <w:rPr>
                <w:b/>
                <w:bCs/>
                <w:color w:val="000000"/>
                <w:sz w:val="18"/>
                <w:szCs w:val="18"/>
              </w:rPr>
              <w:t>1 196 938 004</w:t>
            </w:r>
          </w:p>
        </w:tc>
        <w:tc>
          <w:tcPr>
            <w:tcW w:w="515" w:type="pct"/>
            <w:tcBorders>
              <w:top w:val="nil"/>
              <w:left w:val="nil"/>
              <w:bottom w:val="single" w:sz="4" w:space="0" w:color="auto"/>
              <w:right w:val="single" w:sz="4" w:space="0" w:color="auto"/>
            </w:tcBorders>
            <w:shd w:val="clear" w:color="auto" w:fill="B8CCE4" w:themeFill="accent1" w:themeFillTint="66"/>
            <w:noWrap/>
            <w:vAlign w:val="center"/>
            <w:hideMark/>
          </w:tcPr>
          <w:p w:rsidR="00864685" w:rsidRPr="00864685" w:rsidRDefault="00864685" w:rsidP="009C030B">
            <w:pPr>
              <w:jc w:val="right"/>
              <w:rPr>
                <w:b/>
                <w:bCs/>
                <w:color w:val="000000"/>
                <w:sz w:val="18"/>
                <w:szCs w:val="18"/>
              </w:rPr>
            </w:pPr>
            <w:r w:rsidRPr="00864685">
              <w:rPr>
                <w:b/>
                <w:bCs/>
                <w:color w:val="000000"/>
                <w:sz w:val="18"/>
                <w:szCs w:val="18"/>
              </w:rPr>
              <w:t>1 196 938 004</w:t>
            </w:r>
          </w:p>
        </w:tc>
        <w:tc>
          <w:tcPr>
            <w:tcW w:w="481" w:type="pct"/>
            <w:tcBorders>
              <w:top w:val="nil"/>
              <w:left w:val="nil"/>
              <w:bottom w:val="single" w:sz="4" w:space="0" w:color="auto"/>
              <w:right w:val="single" w:sz="4" w:space="0" w:color="auto"/>
            </w:tcBorders>
            <w:shd w:val="clear" w:color="auto" w:fill="B8CCE4" w:themeFill="accent1" w:themeFillTint="66"/>
            <w:noWrap/>
            <w:vAlign w:val="center"/>
            <w:hideMark/>
          </w:tcPr>
          <w:p w:rsidR="00864685" w:rsidRPr="00864685" w:rsidRDefault="00864685" w:rsidP="009C030B">
            <w:pPr>
              <w:jc w:val="right"/>
              <w:rPr>
                <w:b/>
                <w:bCs/>
                <w:color w:val="000000"/>
                <w:sz w:val="18"/>
                <w:szCs w:val="18"/>
              </w:rPr>
            </w:pPr>
            <w:r w:rsidRPr="00864685">
              <w:rPr>
                <w:b/>
                <w:bCs/>
                <w:color w:val="000000"/>
                <w:sz w:val="18"/>
                <w:szCs w:val="18"/>
              </w:rPr>
              <w:t>-394 418 683</w:t>
            </w:r>
          </w:p>
        </w:tc>
        <w:tc>
          <w:tcPr>
            <w:tcW w:w="498" w:type="pct"/>
            <w:tcBorders>
              <w:top w:val="nil"/>
              <w:left w:val="nil"/>
              <w:bottom w:val="single" w:sz="4" w:space="0" w:color="auto"/>
              <w:right w:val="single" w:sz="4" w:space="0" w:color="auto"/>
            </w:tcBorders>
            <w:shd w:val="clear" w:color="auto" w:fill="B8CCE4" w:themeFill="accent1" w:themeFillTint="66"/>
            <w:noWrap/>
            <w:vAlign w:val="center"/>
            <w:hideMark/>
          </w:tcPr>
          <w:p w:rsidR="00864685" w:rsidRPr="00864685" w:rsidRDefault="00864685" w:rsidP="009C030B">
            <w:pPr>
              <w:jc w:val="right"/>
              <w:rPr>
                <w:b/>
                <w:bCs/>
                <w:color w:val="000000"/>
                <w:sz w:val="18"/>
                <w:szCs w:val="18"/>
              </w:rPr>
            </w:pPr>
            <w:r w:rsidRPr="00864685">
              <w:rPr>
                <w:b/>
                <w:bCs/>
                <w:color w:val="000000"/>
                <w:sz w:val="18"/>
                <w:szCs w:val="18"/>
              </w:rPr>
              <w:t> </w:t>
            </w:r>
          </w:p>
        </w:tc>
        <w:tc>
          <w:tcPr>
            <w:tcW w:w="492" w:type="pct"/>
            <w:tcBorders>
              <w:top w:val="nil"/>
              <w:left w:val="nil"/>
              <w:bottom w:val="single" w:sz="4" w:space="0" w:color="auto"/>
              <w:right w:val="single" w:sz="4" w:space="0" w:color="auto"/>
            </w:tcBorders>
            <w:shd w:val="clear" w:color="auto" w:fill="B8CCE4" w:themeFill="accent1" w:themeFillTint="66"/>
            <w:noWrap/>
            <w:vAlign w:val="center"/>
            <w:hideMark/>
          </w:tcPr>
          <w:p w:rsidR="00864685" w:rsidRPr="00864685" w:rsidRDefault="00864685" w:rsidP="009C030B">
            <w:pPr>
              <w:jc w:val="right"/>
              <w:rPr>
                <w:b/>
                <w:bCs/>
                <w:color w:val="000000"/>
                <w:sz w:val="18"/>
                <w:szCs w:val="18"/>
              </w:rPr>
            </w:pPr>
            <w:r w:rsidRPr="00864685">
              <w:rPr>
                <w:b/>
                <w:bCs/>
                <w:color w:val="000000"/>
                <w:sz w:val="18"/>
                <w:szCs w:val="18"/>
              </w:rPr>
              <w:t> </w:t>
            </w:r>
          </w:p>
        </w:tc>
      </w:tr>
    </w:tbl>
    <w:p w:rsidR="00D86C26" w:rsidRDefault="00CE119D" w:rsidP="00D86C26">
      <w:pPr>
        <w:jc w:val="both"/>
        <w:rPr>
          <w:i/>
          <w:sz w:val="18"/>
          <w:szCs w:val="18"/>
        </w:rPr>
      </w:pPr>
      <w:r>
        <w:rPr>
          <w:i/>
          <w:sz w:val="18"/>
          <w:szCs w:val="18"/>
        </w:rPr>
        <w:t>Zdroj: MSC</w:t>
      </w:r>
      <w:r w:rsidR="00D86C26">
        <w:rPr>
          <w:i/>
          <w:sz w:val="18"/>
          <w:szCs w:val="18"/>
        </w:rPr>
        <w:t xml:space="preserve"> </w:t>
      </w:r>
      <w:r w:rsidR="00914BC7">
        <w:rPr>
          <w:i/>
          <w:sz w:val="18"/>
          <w:szCs w:val="18"/>
        </w:rPr>
        <w:t>k 30. 9. 2015</w:t>
      </w:r>
    </w:p>
    <w:p w:rsidR="001B253E" w:rsidRDefault="0029613C" w:rsidP="0066299B">
      <w:pPr>
        <w:rPr>
          <w:color w:val="000000"/>
          <w:sz w:val="18"/>
          <w:szCs w:val="18"/>
        </w:rPr>
        <w:sectPr w:rsidR="001B253E" w:rsidSect="00EF7784">
          <w:pgSz w:w="16839" w:h="11907" w:orient="landscape" w:code="9"/>
          <w:pgMar w:top="1418" w:right="1418" w:bottom="1418" w:left="1418" w:header="709" w:footer="709" w:gutter="0"/>
          <w:cols w:space="708"/>
          <w:docGrid w:linePitch="272"/>
        </w:sectPr>
      </w:pPr>
      <w:r>
        <w:rPr>
          <w:color w:val="000000"/>
          <w:sz w:val="18"/>
          <w:szCs w:val="18"/>
        </w:rPr>
        <w:t xml:space="preserve">Pozn.: V tabulce je upraven sloupec Žádosti o průběžnou platbu předložené EK. </w:t>
      </w:r>
      <w:r w:rsidRPr="00166B6D">
        <w:rPr>
          <w:color w:val="000000"/>
          <w:sz w:val="18"/>
          <w:szCs w:val="18"/>
        </w:rPr>
        <w:t xml:space="preserve">V prosinci 2011 byla předložena 8. průběžná žádost o platbu ve výši 28 120 764,12 EUR pro cíl KONV </w:t>
      </w:r>
      <w:r>
        <w:rPr>
          <w:color w:val="000000"/>
          <w:sz w:val="18"/>
          <w:szCs w:val="18"/>
        </w:rPr>
        <w:br/>
      </w:r>
      <w:r w:rsidRPr="00166B6D">
        <w:rPr>
          <w:color w:val="000000"/>
          <w:sz w:val="18"/>
          <w:szCs w:val="18"/>
        </w:rPr>
        <w:t xml:space="preserve">a 1 442 828,55 EUR pro cíl </w:t>
      </w:r>
      <w:proofErr w:type="spellStart"/>
      <w:r w:rsidRPr="00166B6D">
        <w:rPr>
          <w:color w:val="000000"/>
          <w:sz w:val="18"/>
          <w:szCs w:val="18"/>
        </w:rPr>
        <w:t>RKaZ</w:t>
      </w:r>
      <w:proofErr w:type="spellEnd"/>
      <w:r w:rsidRPr="00166B6D">
        <w:rPr>
          <w:color w:val="000000"/>
          <w:sz w:val="18"/>
          <w:szCs w:val="18"/>
        </w:rPr>
        <w:t>, která byla v únoru 2012 stažena.</w:t>
      </w:r>
      <w:r>
        <w:rPr>
          <w:color w:val="000000"/>
          <w:sz w:val="18"/>
          <w:szCs w:val="18"/>
        </w:rPr>
        <w:t xml:space="preserve"> Do ročních žádostí za rok </w:t>
      </w:r>
      <w:r w:rsidRPr="00AD03BF">
        <w:rPr>
          <w:color w:val="000000"/>
          <w:sz w:val="18"/>
          <w:szCs w:val="18"/>
        </w:rPr>
        <w:t xml:space="preserve">2011 </w:t>
      </w:r>
      <w:r>
        <w:rPr>
          <w:color w:val="000000"/>
          <w:sz w:val="18"/>
          <w:szCs w:val="18"/>
        </w:rPr>
        <w:t xml:space="preserve">je </w:t>
      </w:r>
      <w:r w:rsidRPr="00AD03BF">
        <w:rPr>
          <w:color w:val="000000"/>
          <w:sz w:val="18"/>
          <w:szCs w:val="18"/>
        </w:rPr>
        <w:t>započítána částka 8. průběžné platby, v</w:t>
      </w:r>
      <w:r>
        <w:rPr>
          <w:color w:val="000000"/>
          <w:sz w:val="18"/>
          <w:szCs w:val="18"/>
        </w:rPr>
        <w:t> </w:t>
      </w:r>
      <w:r w:rsidRPr="00AD03BF">
        <w:rPr>
          <w:color w:val="000000"/>
          <w:sz w:val="18"/>
          <w:szCs w:val="18"/>
        </w:rPr>
        <w:t>r</w:t>
      </w:r>
      <w:r>
        <w:rPr>
          <w:color w:val="000000"/>
          <w:sz w:val="18"/>
          <w:szCs w:val="18"/>
        </w:rPr>
        <w:t xml:space="preserve">oce </w:t>
      </w:r>
      <w:r w:rsidRPr="00AD03BF">
        <w:rPr>
          <w:color w:val="000000"/>
          <w:sz w:val="18"/>
          <w:szCs w:val="18"/>
        </w:rPr>
        <w:t xml:space="preserve">2012 </w:t>
      </w:r>
      <w:r>
        <w:rPr>
          <w:color w:val="000000"/>
          <w:sz w:val="18"/>
          <w:szCs w:val="18"/>
        </w:rPr>
        <w:t xml:space="preserve">je </w:t>
      </w:r>
      <w:r w:rsidRPr="00AD03BF">
        <w:rPr>
          <w:color w:val="000000"/>
          <w:sz w:val="18"/>
          <w:szCs w:val="18"/>
        </w:rPr>
        <w:t xml:space="preserve">počítáno s rozdílem mezi </w:t>
      </w:r>
      <w:r>
        <w:rPr>
          <w:color w:val="000000"/>
          <w:sz w:val="18"/>
          <w:szCs w:val="18"/>
        </w:rPr>
        <w:br/>
      </w:r>
      <w:r w:rsidRPr="00AD03BF">
        <w:rPr>
          <w:color w:val="000000"/>
          <w:sz w:val="18"/>
          <w:szCs w:val="18"/>
        </w:rPr>
        <w:t>9 a 8. platbo</w:t>
      </w:r>
      <w:r w:rsidR="00EF7784">
        <w:rPr>
          <w:color w:val="000000"/>
          <w:sz w:val="18"/>
          <w:szCs w:val="18"/>
        </w:rPr>
        <w:t>u, aby nedocházelo k duplikaci.</w:t>
      </w:r>
    </w:p>
    <w:p w:rsidR="008D2121" w:rsidRPr="009C030B" w:rsidRDefault="008E0161" w:rsidP="009C030B">
      <w:pPr>
        <w:pStyle w:val="Tabulkanzev"/>
        <w:rPr>
          <w:b w:val="0"/>
        </w:rPr>
      </w:pPr>
      <w:bookmarkStart w:id="49" w:name="_Toc433873546"/>
      <w:r w:rsidRPr="008E0161">
        <w:rPr>
          <w:b w:val="0"/>
        </w:rPr>
        <w:lastRenderedPageBreak/>
        <w:t xml:space="preserve">Naplňování pravidla n+3/n+2 (v </w:t>
      </w:r>
      <w:proofErr w:type="gramStart"/>
      <w:r w:rsidRPr="008E0161">
        <w:rPr>
          <w:b w:val="0"/>
        </w:rPr>
        <w:t>EUR</w:t>
      </w:r>
      <w:proofErr w:type="gramEnd"/>
      <w:r w:rsidRPr="008E0161">
        <w:rPr>
          <w:b w:val="0"/>
        </w:rPr>
        <w:t xml:space="preserve">) v cíli </w:t>
      </w:r>
      <w:proofErr w:type="spellStart"/>
      <w:r w:rsidRPr="008E0161">
        <w:rPr>
          <w:b w:val="0"/>
        </w:rPr>
        <w:t>RKaZ</w:t>
      </w:r>
      <w:bookmarkEnd w:id="49"/>
      <w:proofErr w:type="spellEnd"/>
    </w:p>
    <w:tbl>
      <w:tblPr>
        <w:tblW w:w="5000" w:type="pct"/>
        <w:tblCellMar>
          <w:left w:w="70" w:type="dxa"/>
          <w:right w:w="70" w:type="dxa"/>
        </w:tblCellMar>
        <w:tblLook w:val="04A0" w:firstRow="1" w:lastRow="0" w:firstColumn="1" w:lastColumn="0" w:noHBand="0" w:noVBand="1"/>
      </w:tblPr>
      <w:tblGrid>
        <w:gridCol w:w="821"/>
        <w:gridCol w:w="1510"/>
        <w:gridCol w:w="1188"/>
        <w:gridCol w:w="1055"/>
        <w:gridCol w:w="1247"/>
        <w:gridCol w:w="1145"/>
        <w:gridCol w:w="1115"/>
        <w:gridCol w:w="1130"/>
      </w:tblGrid>
      <w:tr w:rsidR="009C030B" w:rsidRPr="009C030B" w:rsidTr="009C030B">
        <w:trPr>
          <w:trHeight w:val="960"/>
        </w:trPr>
        <w:tc>
          <w:tcPr>
            <w:tcW w:w="383" w:type="pct"/>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rsidR="009C030B" w:rsidRPr="009C030B" w:rsidRDefault="009C030B" w:rsidP="009C030B">
            <w:pPr>
              <w:jc w:val="center"/>
              <w:rPr>
                <w:b/>
                <w:bCs/>
                <w:color w:val="000000"/>
                <w:sz w:val="18"/>
                <w:szCs w:val="18"/>
              </w:rPr>
            </w:pPr>
            <w:r w:rsidRPr="009C030B">
              <w:rPr>
                <w:b/>
                <w:bCs/>
                <w:color w:val="000000"/>
                <w:sz w:val="18"/>
                <w:szCs w:val="18"/>
              </w:rPr>
              <w:t>Finanční plán - rok</w:t>
            </w:r>
          </w:p>
        </w:tc>
        <w:tc>
          <w:tcPr>
            <w:tcW w:w="829" w:type="pct"/>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rsidR="009C030B" w:rsidRPr="009C030B" w:rsidRDefault="009C030B" w:rsidP="009C030B">
            <w:pPr>
              <w:jc w:val="center"/>
              <w:rPr>
                <w:b/>
                <w:bCs/>
                <w:color w:val="000000"/>
                <w:sz w:val="18"/>
                <w:szCs w:val="18"/>
              </w:rPr>
            </w:pPr>
            <w:r w:rsidRPr="009C030B">
              <w:rPr>
                <w:b/>
                <w:bCs/>
                <w:color w:val="000000"/>
                <w:sz w:val="18"/>
                <w:szCs w:val="18"/>
              </w:rPr>
              <w:t>Celková alokace EU prostředků 2007 - 2013 - roční</w:t>
            </w:r>
          </w:p>
        </w:tc>
        <w:tc>
          <w:tcPr>
            <w:tcW w:w="654" w:type="pct"/>
            <w:tcBorders>
              <w:top w:val="single" w:sz="4" w:space="0" w:color="auto"/>
              <w:left w:val="nil"/>
              <w:bottom w:val="single" w:sz="4" w:space="0" w:color="auto"/>
              <w:right w:val="single" w:sz="4" w:space="0" w:color="auto"/>
            </w:tcBorders>
            <w:shd w:val="clear" w:color="000000" w:fill="B8CCE4"/>
            <w:vAlign w:val="center"/>
            <w:hideMark/>
          </w:tcPr>
          <w:p w:rsidR="009C030B" w:rsidRPr="009C030B" w:rsidRDefault="009C030B" w:rsidP="009C030B">
            <w:pPr>
              <w:jc w:val="center"/>
              <w:rPr>
                <w:b/>
                <w:bCs/>
                <w:color w:val="000000"/>
                <w:sz w:val="18"/>
                <w:szCs w:val="18"/>
              </w:rPr>
            </w:pPr>
            <w:r w:rsidRPr="009C030B">
              <w:rPr>
                <w:b/>
                <w:bCs/>
                <w:color w:val="000000"/>
                <w:sz w:val="18"/>
                <w:szCs w:val="18"/>
              </w:rPr>
              <w:t>N+3 / N+2 limity - souhrnné *</w:t>
            </w:r>
          </w:p>
        </w:tc>
        <w:tc>
          <w:tcPr>
            <w:tcW w:w="582" w:type="pct"/>
            <w:tcBorders>
              <w:top w:val="single" w:sz="4" w:space="0" w:color="auto"/>
              <w:left w:val="nil"/>
              <w:bottom w:val="single" w:sz="4" w:space="0" w:color="auto"/>
              <w:right w:val="single" w:sz="4" w:space="0" w:color="auto"/>
            </w:tcBorders>
            <w:shd w:val="clear" w:color="000000" w:fill="B8CCE4"/>
            <w:vAlign w:val="center"/>
            <w:hideMark/>
          </w:tcPr>
          <w:p w:rsidR="009C030B" w:rsidRPr="009C030B" w:rsidRDefault="009C030B" w:rsidP="009C030B">
            <w:pPr>
              <w:jc w:val="center"/>
              <w:rPr>
                <w:b/>
                <w:bCs/>
                <w:color w:val="000000"/>
                <w:sz w:val="18"/>
                <w:szCs w:val="18"/>
              </w:rPr>
            </w:pPr>
            <w:r w:rsidRPr="009C030B">
              <w:rPr>
                <w:b/>
                <w:bCs/>
                <w:color w:val="000000"/>
                <w:sz w:val="18"/>
                <w:szCs w:val="18"/>
              </w:rPr>
              <w:t>Předběžné platby z EK - roční</w:t>
            </w:r>
          </w:p>
        </w:tc>
        <w:tc>
          <w:tcPr>
            <w:tcW w:w="686" w:type="pct"/>
            <w:tcBorders>
              <w:top w:val="single" w:sz="4" w:space="0" w:color="auto"/>
              <w:left w:val="nil"/>
              <w:bottom w:val="single" w:sz="4" w:space="0" w:color="auto"/>
              <w:right w:val="single" w:sz="4" w:space="0" w:color="auto"/>
            </w:tcBorders>
            <w:shd w:val="clear" w:color="000000" w:fill="B8CCE4"/>
            <w:vAlign w:val="center"/>
            <w:hideMark/>
          </w:tcPr>
          <w:p w:rsidR="009C030B" w:rsidRPr="009C030B" w:rsidRDefault="009C030B" w:rsidP="009C030B">
            <w:pPr>
              <w:jc w:val="center"/>
              <w:rPr>
                <w:b/>
                <w:bCs/>
                <w:color w:val="000000"/>
                <w:sz w:val="18"/>
                <w:szCs w:val="18"/>
              </w:rPr>
            </w:pPr>
            <w:r w:rsidRPr="009C030B">
              <w:rPr>
                <w:b/>
                <w:bCs/>
                <w:color w:val="000000"/>
                <w:sz w:val="18"/>
                <w:szCs w:val="18"/>
              </w:rPr>
              <w:t>Žádosti o průběžnou / závěrečnou platbu předložené EK - roční</w:t>
            </w:r>
          </w:p>
        </w:tc>
        <w:tc>
          <w:tcPr>
            <w:tcW w:w="630" w:type="pct"/>
            <w:tcBorders>
              <w:top w:val="single" w:sz="4" w:space="0" w:color="auto"/>
              <w:left w:val="nil"/>
              <w:bottom w:val="single" w:sz="4" w:space="0" w:color="auto"/>
              <w:right w:val="single" w:sz="4" w:space="0" w:color="auto"/>
            </w:tcBorders>
            <w:shd w:val="clear" w:color="000000" w:fill="B8CCE4"/>
            <w:vAlign w:val="center"/>
            <w:hideMark/>
          </w:tcPr>
          <w:p w:rsidR="009C030B" w:rsidRPr="009C030B" w:rsidRDefault="009C030B" w:rsidP="009C030B">
            <w:pPr>
              <w:jc w:val="center"/>
              <w:rPr>
                <w:b/>
                <w:bCs/>
                <w:color w:val="000000"/>
                <w:sz w:val="18"/>
                <w:szCs w:val="18"/>
              </w:rPr>
            </w:pPr>
            <w:r w:rsidRPr="009C030B">
              <w:rPr>
                <w:b/>
                <w:bCs/>
                <w:color w:val="000000"/>
                <w:sz w:val="18"/>
                <w:szCs w:val="18"/>
              </w:rPr>
              <w:t>Předběžné platby z EK + žádosti o platby z ČR - roční</w:t>
            </w:r>
          </w:p>
        </w:tc>
        <w:tc>
          <w:tcPr>
            <w:tcW w:w="614" w:type="pct"/>
            <w:tcBorders>
              <w:top w:val="single" w:sz="4" w:space="0" w:color="auto"/>
              <w:left w:val="nil"/>
              <w:bottom w:val="single" w:sz="4" w:space="0" w:color="auto"/>
              <w:right w:val="single" w:sz="4" w:space="0" w:color="auto"/>
            </w:tcBorders>
            <w:shd w:val="clear" w:color="000000" w:fill="B8CCE4"/>
            <w:vAlign w:val="center"/>
            <w:hideMark/>
          </w:tcPr>
          <w:p w:rsidR="009C030B" w:rsidRPr="009C030B" w:rsidRDefault="009C030B" w:rsidP="009C030B">
            <w:pPr>
              <w:jc w:val="center"/>
              <w:rPr>
                <w:b/>
                <w:bCs/>
                <w:color w:val="000000"/>
                <w:sz w:val="18"/>
                <w:szCs w:val="18"/>
              </w:rPr>
            </w:pPr>
            <w:r w:rsidRPr="009C030B">
              <w:rPr>
                <w:b/>
                <w:bCs/>
                <w:color w:val="000000"/>
                <w:sz w:val="18"/>
                <w:szCs w:val="18"/>
              </w:rPr>
              <w:t>Předběžné platby z EK + žádosti o platby - souhrnné</w:t>
            </w:r>
          </w:p>
        </w:tc>
        <w:tc>
          <w:tcPr>
            <w:tcW w:w="622" w:type="pct"/>
            <w:tcBorders>
              <w:top w:val="single" w:sz="4" w:space="0" w:color="auto"/>
              <w:left w:val="nil"/>
              <w:bottom w:val="single" w:sz="4" w:space="0" w:color="auto"/>
              <w:right w:val="single" w:sz="4" w:space="0" w:color="auto"/>
            </w:tcBorders>
            <w:shd w:val="clear" w:color="000000" w:fill="B8CCE4"/>
            <w:vAlign w:val="center"/>
            <w:hideMark/>
          </w:tcPr>
          <w:p w:rsidR="009C030B" w:rsidRPr="009C030B" w:rsidRDefault="009C030B" w:rsidP="009C030B">
            <w:pPr>
              <w:jc w:val="center"/>
              <w:rPr>
                <w:b/>
                <w:bCs/>
                <w:color w:val="000000"/>
                <w:sz w:val="18"/>
                <w:szCs w:val="18"/>
              </w:rPr>
            </w:pPr>
            <w:r w:rsidRPr="009C030B">
              <w:rPr>
                <w:b/>
                <w:bCs/>
                <w:color w:val="000000"/>
                <w:sz w:val="18"/>
                <w:szCs w:val="18"/>
              </w:rPr>
              <w:t>Rozdíl mezi platbami a limity - souhrnné</w:t>
            </w:r>
          </w:p>
        </w:tc>
      </w:tr>
      <w:tr w:rsidR="009C030B" w:rsidRPr="009C030B" w:rsidTr="009C030B">
        <w:trPr>
          <w:trHeight w:val="300"/>
        </w:trPr>
        <w:tc>
          <w:tcPr>
            <w:tcW w:w="383" w:type="pct"/>
            <w:vMerge/>
            <w:tcBorders>
              <w:top w:val="single" w:sz="4" w:space="0" w:color="auto"/>
              <w:left w:val="single" w:sz="4" w:space="0" w:color="auto"/>
              <w:bottom w:val="single" w:sz="4" w:space="0" w:color="auto"/>
              <w:right w:val="single" w:sz="4" w:space="0" w:color="auto"/>
            </w:tcBorders>
            <w:vAlign w:val="center"/>
            <w:hideMark/>
          </w:tcPr>
          <w:p w:rsidR="009C030B" w:rsidRPr="009C030B" w:rsidRDefault="009C030B" w:rsidP="009C030B">
            <w:pPr>
              <w:rPr>
                <w:b/>
                <w:bCs/>
                <w:color w:val="000000"/>
                <w:sz w:val="18"/>
                <w:szCs w:val="18"/>
              </w:rPr>
            </w:pPr>
          </w:p>
        </w:tc>
        <w:tc>
          <w:tcPr>
            <w:tcW w:w="829" w:type="pct"/>
            <w:vMerge/>
            <w:tcBorders>
              <w:top w:val="single" w:sz="4" w:space="0" w:color="auto"/>
              <w:left w:val="single" w:sz="4" w:space="0" w:color="auto"/>
              <w:bottom w:val="single" w:sz="4" w:space="0" w:color="auto"/>
              <w:right w:val="single" w:sz="4" w:space="0" w:color="auto"/>
            </w:tcBorders>
            <w:vAlign w:val="center"/>
            <w:hideMark/>
          </w:tcPr>
          <w:p w:rsidR="009C030B" w:rsidRPr="009C030B" w:rsidRDefault="009C030B" w:rsidP="009C030B">
            <w:pPr>
              <w:rPr>
                <w:b/>
                <w:bCs/>
                <w:color w:val="000000"/>
                <w:sz w:val="18"/>
                <w:szCs w:val="18"/>
              </w:rPr>
            </w:pPr>
          </w:p>
        </w:tc>
        <w:tc>
          <w:tcPr>
            <w:tcW w:w="654" w:type="pct"/>
            <w:tcBorders>
              <w:top w:val="nil"/>
              <w:left w:val="nil"/>
              <w:bottom w:val="single" w:sz="4" w:space="0" w:color="auto"/>
              <w:right w:val="single" w:sz="4" w:space="0" w:color="auto"/>
            </w:tcBorders>
            <w:shd w:val="clear" w:color="000000" w:fill="B8CCE4"/>
            <w:vAlign w:val="center"/>
            <w:hideMark/>
          </w:tcPr>
          <w:p w:rsidR="009C030B" w:rsidRPr="009C030B" w:rsidRDefault="009C030B" w:rsidP="009C030B">
            <w:pPr>
              <w:jc w:val="center"/>
              <w:rPr>
                <w:b/>
                <w:bCs/>
                <w:color w:val="000000"/>
                <w:sz w:val="18"/>
                <w:szCs w:val="18"/>
              </w:rPr>
            </w:pPr>
            <w:r w:rsidRPr="009C030B">
              <w:rPr>
                <w:b/>
                <w:bCs/>
                <w:color w:val="000000"/>
                <w:sz w:val="18"/>
                <w:szCs w:val="18"/>
              </w:rPr>
              <w:t>a</w:t>
            </w:r>
          </w:p>
        </w:tc>
        <w:tc>
          <w:tcPr>
            <w:tcW w:w="582" w:type="pct"/>
            <w:tcBorders>
              <w:top w:val="nil"/>
              <w:left w:val="nil"/>
              <w:bottom w:val="single" w:sz="4" w:space="0" w:color="auto"/>
              <w:right w:val="single" w:sz="4" w:space="0" w:color="auto"/>
            </w:tcBorders>
            <w:shd w:val="clear" w:color="000000" w:fill="B8CCE4"/>
            <w:vAlign w:val="center"/>
            <w:hideMark/>
          </w:tcPr>
          <w:p w:rsidR="009C030B" w:rsidRPr="009C030B" w:rsidRDefault="009C030B" w:rsidP="009C030B">
            <w:pPr>
              <w:jc w:val="center"/>
              <w:rPr>
                <w:b/>
                <w:bCs/>
                <w:color w:val="000000"/>
                <w:sz w:val="18"/>
                <w:szCs w:val="18"/>
              </w:rPr>
            </w:pPr>
            <w:r w:rsidRPr="009C030B">
              <w:rPr>
                <w:b/>
                <w:bCs/>
                <w:color w:val="000000"/>
                <w:sz w:val="18"/>
                <w:szCs w:val="18"/>
              </w:rPr>
              <w:t>b</w:t>
            </w:r>
          </w:p>
        </w:tc>
        <w:tc>
          <w:tcPr>
            <w:tcW w:w="686" w:type="pct"/>
            <w:tcBorders>
              <w:top w:val="nil"/>
              <w:left w:val="nil"/>
              <w:bottom w:val="single" w:sz="4" w:space="0" w:color="auto"/>
              <w:right w:val="single" w:sz="4" w:space="0" w:color="auto"/>
            </w:tcBorders>
            <w:shd w:val="clear" w:color="000000" w:fill="B8CCE4"/>
            <w:vAlign w:val="center"/>
            <w:hideMark/>
          </w:tcPr>
          <w:p w:rsidR="009C030B" w:rsidRPr="009C030B" w:rsidRDefault="009C030B" w:rsidP="009C030B">
            <w:pPr>
              <w:jc w:val="center"/>
              <w:rPr>
                <w:b/>
                <w:bCs/>
                <w:color w:val="000000"/>
                <w:sz w:val="18"/>
                <w:szCs w:val="18"/>
              </w:rPr>
            </w:pPr>
            <w:r w:rsidRPr="009C030B">
              <w:rPr>
                <w:b/>
                <w:bCs/>
                <w:color w:val="000000"/>
                <w:sz w:val="18"/>
                <w:szCs w:val="18"/>
              </w:rPr>
              <w:t>c</w:t>
            </w:r>
          </w:p>
        </w:tc>
        <w:tc>
          <w:tcPr>
            <w:tcW w:w="630" w:type="pct"/>
            <w:tcBorders>
              <w:top w:val="nil"/>
              <w:left w:val="nil"/>
              <w:bottom w:val="single" w:sz="4" w:space="0" w:color="auto"/>
              <w:right w:val="single" w:sz="4" w:space="0" w:color="auto"/>
            </w:tcBorders>
            <w:shd w:val="clear" w:color="000000" w:fill="B8CCE4"/>
            <w:vAlign w:val="center"/>
            <w:hideMark/>
          </w:tcPr>
          <w:p w:rsidR="009C030B" w:rsidRPr="009C030B" w:rsidRDefault="009C030B" w:rsidP="009C030B">
            <w:pPr>
              <w:jc w:val="center"/>
              <w:rPr>
                <w:b/>
                <w:bCs/>
                <w:color w:val="000000"/>
                <w:sz w:val="18"/>
                <w:szCs w:val="18"/>
              </w:rPr>
            </w:pPr>
            <w:r w:rsidRPr="009C030B">
              <w:rPr>
                <w:b/>
                <w:bCs/>
                <w:color w:val="000000"/>
                <w:sz w:val="18"/>
                <w:szCs w:val="18"/>
              </w:rPr>
              <w:t>d=</w:t>
            </w:r>
            <w:proofErr w:type="spellStart"/>
            <w:r w:rsidRPr="009C030B">
              <w:rPr>
                <w:b/>
                <w:bCs/>
                <w:color w:val="000000"/>
                <w:sz w:val="18"/>
                <w:szCs w:val="18"/>
              </w:rPr>
              <w:t>b+c</w:t>
            </w:r>
            <w:proofErr w:type="spellEnd"/>
          </w:p>
        </w:tc>
        <w:tc>
          <w:tcPr>
            <w:tcW w:w="614" w:type="pct"/>
            <w:tcBorders>
              <w:top w:val="nil"/>
              <w:left w:val="nil"/>
              <w:bottom w:val="single" w:sz="4" w:space="0" w:color="auto"/>
              <w:right w:val="single" w:sz="4" w:space="0" w:color="auto"/>
            </w:tcBorders>
            <w:shd w:val="clear" w:color="000000" w:fill="B8CCE4"/>
            <w:vAlign w:val="center"/>
            <w:hideMark/>
          </w:tcPr>
          <w:p w:rsidR="009C030B" w:rsidRPr="009C030B" w:rsidRDefault="009C030B" w:rsidP="009C030B">
            <w:pPr>
              <w:jc w:val="center"/>
              <w:rPr>
                <w:b/>
                <w:bCs/>
                <w:color w:val="000000"/>
                <w:sz w:val="18"/>
                <w:szCs w:val="18"/>
              </w:rPr>
            </w:pPr>
            <w:r w:rsidRPr="009C030B">
              <w:rPr>
                <w:b/>
                <w:bCs/>
                <w:color w:val="000000"/>
                <w:sz w:val="18"/>
                <w:szCs w:val="18"/>
              </w:rPr>
              <w:t>e</w:t>
            </w:r>
          </w:p>
        </w:tc>
        <w:tc>
          <w:tcPr>
            <w:tcW w:w="622" w:type="pct"/>
            <w:tcBorders>
              <w:top w:val="nil"/>
              <w:left w:val="nil"/>
              <w:bottom w:val="single" w:sz="4" w:space="0" w:color="auto"/>
              <w:right w:val="single" w:sz="4" w:space="0" w:color="auto"/>
            </w:tcBorders>
            <w:shd w:val="clear" w:color="000000" w:fill="B8CCE4"/>
            <w:vAlign w:val="center"/>
            <w:hideMark/>
          </w:tcPr>
          <w:p w:rsidR="009C030B" w:rsidRPr="009C030B" w:rsidRDefault="009C030B" w:rsidP="009C030B">
            <w:pPr>
              <w:jc w:val="center"/>
              <w:rPr>
                <w:b/>
                <w:bCs/>
                <w:color w:val="000000"/>
                <w:sz w:val="18"/>
                <w:szCs w:val="18"/>
              </w:rPr>
            </w:pPr>
            <w:r w:rsidRPr="009C030B">
              <w:rPr>
                <w:b/>
                <w:bCs/>
                <w:color w:val="000000"/>
                <w:sz w:val="18"/>
                <w:szCs w:val="18"/>
              </w:rPr>
              <w:t>f=e-a</w:t>
            </w:r>
          </w:p>
        </w:tc>
      </w:tr>
      <w:tr w:rsidR="009C030B" w:rsidRPr="009C030B" w:rsidTr="009C030B">
        <w:trPr>
          <w:trHeight w:val="300"/>
        </w:trPr>
        <w:tc>
          <w:tcPr>
            <w:tcW w:w="383" w:type="pct"/>
            <w:tcBorders>
              <w:top w:val="nil"/>
              <w:left w:val="single" w:sz="4" w:space="0" w:color="auto"/>
              <w:bottom w:val="single" w:sz="4" w:space="0" w:color="auto"/>
              <w:right w:val="single" w:sz="4" w:space="0" w:color="auto"/>
            </w:tcBorders>
            <w:shd w:val="clear" w:color="000000" w:fill="FFFFEF"/>
            <w:vAlign w:val="center"/>
            <w:hideMark/>
          </w:tcPr>
          <w:p w:rsidR="009C030B" w:rsidRPr="009C030B" w:rsidRDefault="009C030B" w:rsidP="009C030B">
            <w:pPr>
              <w:jc w:val="center"/>
              <w:rPr>
                <w:color w:val="000000"/>
                <w:sz w:val="18"/>
                <w:szCs w:val="18"/>
              </w:rPr>
            </w:pPr>
            <w:r w:rsidRPr="009C030B">
              <w:rPr>
                <w:color w:val="000000"/>
                <w:sz w:val="18"/>
                <w:szCs w:val="18"/>
              </w:rPr>
              <w:t>2007</w:t>
            </w:r>
          </w:p>
        </w:tc>
        <w:tc>
          <w:tcPr>
            <w:tcW w:w="829" w:type="pct"/>
            <w:tcBorders>
              <w:top w:val="nil"/>
              <w:left w:val="nil"/>
              <w:bottom w:val="single" w:sz="4" w:space="0" w:color="auto"/>
              <w:right w:val="single" w:sz="4" w:space="0" w:color="auto"/>
            </w:tcBorders>
            <w:shd w:val="clear" w:color="000000" w:fill="FFFFFF"/>
            <w:noWrap/>
            <w:vAlign w:val="center"/>
            <w:hideMark/>
          </w:tcPr>
          <w:p w:rsidR="009C030B" w:rsidRPr="009C030B" w:rsidRDefault="009C030B" w:rsidP="009C030B">
            <w:pPr>
              <w:jc w:val="right"/>
              <w:rPr>
                <w:color w:val="000000"/>
                <w:sz w:val="18"/>
                <w:szCs w:val="18"/>
              </w:rPr>
            </w:pPr>
            <w:r w:rsidRPr="009C030B">
              <w:rPr>
                <w:color w:val="000000"/>
                <w:sz w:val="18"/>
                <w:szCs w:val="18"/>
              </w:rPr>
              <w:t>3 951 894</w:t>
            </w:r>
          </w:p>
        </w:tc>
        <w:tc>
          <w:tcPr>
            <w:tcW w:w="654" w:type="pct"/>
            <w:tcBorders>
              <w:top w:val="nil"/>
              <w:left w:val="nil"/>
              <w:bottom w:val="single" w:sz="4" w:space="0" w:color="auto"/>
              <w:right w:val="single" w:sz="4" w:space="0" w:color="auto"/>
            </w:tcBorders>
            <w:shd w:val="clear" w:color="000000" w:fill="FFFFFF"/>
            <w:noWrap/>
            <w:vAlign w:val="center"/>
            <w:hideMark/>
          </w:tcPr>
          <w:p w:rsidR="009C030B" w:rsidRPr="009C030B" w:rsidRDefault="009C030B" w:rsidP="009C030B">
            <w:pPr>
              <w:jc w:val="right"/>
              <w:rPr>
                <w:color w:val="000000"/>
                <w:sz w:val="18"/>
                <w:szCs w:val="18"/>
              </w:rPr>
            </w:pPr>
            <w:r w:rsidRPr="009C030B">
              <w:rPr>
                <w:color w:val="000000"/>
                <w:sz w:val="18"/>
                <w:szCs w:val="18"/>
              </w:rPr>
              <w:t> </w:t>
            </w:r>
          </w:p>
        </w:tc>
        <w:tc>
          <w:tcPr>
            <w:tcW w:w="582" w:type="pct"/>
            <w:tcBorders>
              <w:top w:val="nil"/>
              <w:left w:val="nil"/>
              <w:bottom w:val="single" w:sz="4" w:space="0" w:color="auto"/>
              <w:right w:val="single" w:sz="4" w:space="0" w:color="auto"/>
            </w:tcBorders>
            <w:shd w:val="clear" w:color="000000" w:fill="FFFFFF"/>
            <w:noWrap/>
            <w:vAlign w:val="center"/>
            <w:hideMark/>
          </w:tcPr>
          <w:p w:rsidR="009C030B" w:rsidRPr="009C030B" w:rsidRDefault="009C030B" w:rsidP="009C030B">
            <w:pPr>
              <w:jc w:val="right"/>
              <w:rPr>
                <w:color w:val="000000"/>
                <w:sz w:val="18"/>
                <w:szCs w:val="18"/>
              </w:rPr>
            </w:pPr>
            <w:r w:rsidRPr="009C030B">
              <w:rPr>
                <w:color w:val="000000"/>
                <w:sz w:val="18"/>
                <w:szCs w:val="18"/>
              </w:rPr>
              <w:t> </w:t>
            </w:r>
          </w:p>
        </w:tc>
        <w:tc>
          <w:tcPr>
            <w:tcW w:w="686" w:type="pct"/>
            <w:tcBorders>
              <w:top w:val="nil"/>
              <w:left w:val="nil"/>
              <w:bottom w:val="single" w:sz="4" w:space="0" w:color="auto"/>
              <w:right w:val="single" w:sz="4" w:space="0" w:color="auto"/>
            </w:tcBorders>
            <w:shd w:val="clear" w:color="000000" w:fill="FFFFFF"/>
            <w:noWrap/>
            <w:vAlign w:val="center"/>
            <w:hideMark/>
          </w:tcPr>
          <w:p w:rsidR="009C030B" w:rsidRPr="009C030B" w:rsidRDefault="009C030B" w:rsidP="009C030B">
            <w:pPr>
              <w:jc w:val="right"/>
              <w:rPr>
                <w:color w:val="000000"/>
                <w:sz w:val="18"/>
                <w:szCs w:val="18"/>
              </w:rPr>
            </w:pPr>
            <w:r w:rsidRPr="009C030B">
              <w:rPr>
                <w:color w:val="000000"/>
                <w:sz w:val="18"/>
                <w:szCs w:val="18"/>
              </w:rPr>
              <w:t> </w:t>
            </w:r>
          </w:p>
        </w:tc>
        <w:tc>
          <w:tcPr>
            <w:tcW w:w="630" w:type="pct"/>
            <w:tcBorders>
              <w:top w:val="nil"/>
              <w:left w:val="nil"/>
              <w:bottom w:val="single" w:sz="4" w:space="0" w:color="auto"/>
              <w:right w:val="single" w:sz="4" w:space="0" w:color="auto"/>
            </w:tcBorders>
            <w:shd w:val="clear" w:color="000000" w:fill="FFFFFF"/>
            <w:noWrap/>
            <w:vAlign w:val="center"/>
            <w:hideMark/>
          </w:tcPr>
          <w:p w:rsidR="009C030B" w:rsidRPr="009C030B" w:rsidRDefault="009C030B" w:rsidP="009C030B">
            <w:pPr>
              <w:jc w:val="right"/>
              <w:rPr>
                <w:color w:val="000000"/>
                <w:sz w:val="18"/>
                <w:szCs w:val="18"/>
              </w:rPr>
            </w:pPr>
            <w:r w:rsidRPr="009C030B">
              <w:rPr>
                <w:color w:val="000000"/>
                <w:sz w:val="18"/>
                <w:szCs w:val="18"/>
              </w:rPr>
              <w:t> </w:t>
            </w:r>
          </w:p>
        </w:tc>
        <w:tc>
          <w:tcPr>
            <w:tcW w:w="614" w:type="pct"/>
            <w:tcBorders>
              <w:top w:val="nil"/>
              <w:left w:val="nil"/>
              <w:bottom w:val="single" w:sz="4" w:space="0" w:color="auto"/>
              <w:right w:val="single" w:sz="4" w:space="0" w:color="auto"/>
            </w:tcBorders>
            <w:shd w:val="clear" w:color="000000" w:fill="FFFFFF"/>
            <w:noWrap/>
            <w:vAlign w:val="center"/>
            <w:hideMark/>
          </w:tcPr>
          <w:p w:rsidR="009C030B" w:rsidRPr="009C030B" w:rsidRDefault="009C030B" w:rsidP="009C030B">
            <w:pPr>
              <w:jc w:val="right"/>
              <w:rPr>
                <w:color w:val="000000"/>
                <w:sz w:val="18"/>
                <w:szCs w:val="18"/>
              </w:rPr>
            </w:pPr>
            <w:r w:rsidRPr="009C030B">
              <w:rPr>
                <w:color w:val="000000"/>
                <w:sz w:val="18"/>
                <w:szCs w:val="18"/>
              </w:rPr>
              <w:t> </w:t>
            </w:r>
          </w:p>
        </w:tc>
        <w:tc>
          <w:tcPr>
            <w:tcW w:w="622" w:type="pct"/>
            <w:tcBorders>
              <w:top w:val="nil"/>
              <w:left w:val="nil"/>
              <w:bottom w:val="single" w:sz="4" w:space="0" w:color="auto"/>
              <w:right w:val="single" w:sz="4" w:space="0" w:color="auto"/>
            </w:tcBorders>
            <w:shd w:val="clear" w:color="000000" w:fill="FFFFFF"/>
            <w:noWrap/>
            <w:vAlign w:val="center"/>
            <w:hideMark/>
          </w:tcPr>
          <w:p w:rsidR="009C030B" w:rsidRPr="009C030B" w:rsidRDefault="009C030B" w:rsidP="009C030B">
            <w:pPr>
              <w:jc w:val="right"/>
              <w:rPr>
                <w:color w:val="000000"/>
                <w:sz w:val="18"/>
                <w:szCs w:val="18"/>
              </w:rPr>
            </w:pPr>
            <w:r w:rsidRPr="009C030B">
              <w:rPr>
                <w:color w:val="000000"/>
                <w:sz w:val="18"/>
                <w:szCs w:val="18"/>
              </w:rPr>
              <w:t> </w:t>
            </w:r>
          </w:p>
        </w:tc>
      </w:tr>
      <w:tr w:rsidR="009C030B" w:rsidRPr="009C030B" w:rsidTr="009C030B">
        <w:trPr>
          <w:trHeight w:val="300"/>
        </w:trPr>
        <w:tc>
          <w:tcPr>
            <w:tcW w:w="383" w:type="pct"/>
            <w:tcBorders>
              <w:top w:val="nil"/>
              <w:left w:val="single" w:sz="4" w:space="0" w:color="auto"/>
              <w:bottom w:val="single" w:sz="4" w:space="0" w:color="auto"/>
              <w:right w:val="single" w:sz="4" w:space="0" w:color="auto"/>
            </w:tcBorders>
            <w:shd w:val="clear" w:color="000000" w:fill="FFFFEF"/>
            <w:vAlign w:val="center"/>
            <w:hideMark/>
          </w:tcPr>
          <w:p w:rsidR="009C030B" w:rsidRPr="009C030B" w:rsidRDefault="009C030B" w:rsidP="009C030B">
            <w:pPr>
              <w:jc w:val="center"/>
              <w:rPr>
                <w:color w:val="000000"/>
                <w:sz w:val="18"/>
                <w:szCs w:val="18"/>
              </w:rPr>
            </w:pPr>
            <w:r w:rsidRPr="009C030B">
              <w:rPr>
                <w:color w:val="000000"/>
                <w:sz w:val="18"/>
                <w:szCs w:val="18"/>
              </w:rPr>
              <w:t>2008</w:t>
            </w:r>
          </w:p>
        </w:tc>
        <w:tc>
          <w:tcPr>
            <w:tcW w:w="829" w:type="pct"/>
            <w:tcBorders>
              <w:top w:val="nil"/>
              <w:left w:val="nil"/>
              <w:bottom w:val="single" w:sz="4" w:space="0" w:color="auto"/>
              <w:right w:val="single" w:sz="4" w:space="0" w:color="auto"/>
            </w:tcBorders>
            <w:shd w:val="clear" w:color="000000" w:fill="FFFFFF"/>
            <w:noWrap/>
            <w:vAlign w:val="center"/>
            <w:hideMark/>
          </w:tcPr>
          <w:p w:rsidR="009C030B" w:rsidRPr="009C030B" w:rsidRDefault="009C030B" w:rsidP="009C030B">
            <w:pPr>
              <w:jc w:val="right"/>
              <w:rPr>
                <w:color w:val="000000"/>
                <w:sz w:val="18"/>
                <w:szCs w:val="18"/>
              </w:rPr>
            </w:pPr>
            <w:r w:rsidRPr="009C030B">
              <w:rPr>
                <w:color w:val="000000"/>
                <w:sz w:val="18"/>
                <w:szCs w:val="18"/>
              </w:rPr>
              <w:t>4 030 931</w:t>
            </w:r>
          </w:p>
        </w:tc>
        <w:tc>
          <w:tcPr>
            <w:tcW w:w="654" w:type="pct"/>
            <w:tcBorders>
              <w:top w:val="nil"/>
              <w:left w:val="nil"/>
              <w:bottom w:val="single" w:sz="4" w:space="0" w:color="auto"/>
              <w:right w:val="single" w:sz="4" w:space="0" w:color="auto"/>
            </w:tcBorders>
            <w:shd w:val="clear" w:color="000000" w:fill="FFFFFF"/>
            <w:noWrap/>
            <w:vAlign w:val="center"/>
            <w:hideMark/>
          </w:tcPr>
          <w:p w:rsidR="009C030B" w:rsidRPr="009C030B" w:rsidRDefault="009C030B" w:rsidP="009C030B">
            <w:pPr>
              <w:jc w:val="right"/>
              <w:rPr>
                <w:color w:val="000000"/>
                <w:sz w:val="18"/>
                <w:szCs w:val="18"/>
              </w:rPr>
            </w:pPr>
            <w:r w:rsidRPr="009C030B">
              <w:rPr>
                <w:color w:val="000000"/>
                <w:sz w:val="18"/>
                <w:szCs w:val="18"/>
              </w:rPr>
              <w:t> </w:t>
            </w:r>
          </w:p>
        </w:tc>
        <w:tc>
          <w:tcPr>
            <w:tcW w:w="582" w:type="pct"/>
            <w:tcBorders>
              <w:top w:val="nil"/>
              <w:left w:val="nil"/>
              <w:bottom w:val="single" w:sz="4" w:space="0" w:color="auto"/>
              <w:right w:val="single" w:sz="4" w:space="0" w:color="auto"/>
            </w:tcBorders>
            <w:shd w:val="clear" w:color="000000" w:fill="FFFFFF"/>
            <w:noWrap/>
            <w:vAlign w:val="center"/>
            <w:hideMark/>
          </w:tcPr>
          <w:p w:rsidR="009C030B" w:rsidRPr="009C030B" w:rsidRDefault="009C030B" w:rsidP="009C030B">
            <w:pPr>
              <w:jc w:val="right"/>
              <w:rPr>
                <w:color w:val="000000"/>
                <w:sz w:val="18"/>
                <w:szCs w:val="18"/>
              </w:rPr>
            </w:pPr>
            <w:r w:rsidRPr="009C030B">
              <w:rPr>
                <w:color w:val="000000"/>
                <w:sz w:val="18"/>
                <w:szCs w:val="18"/>
              </w:rPr>
              <w:t>1 468 975</w:t>
            </w:r>
          </w:p>
        </w:tc>
        <w:tc>
          <w:tcPr>
            <w:tcW w:w="686" w:type="pct"/>
            <w:tcBorders>
              <w:top w:val="nil"/>
              <w:left w:val="nil"/>
              <w:bottom w:val="single" w:sz="4" w:space="0" w:color="auto"/>
              <w:right w:val="single" w:sz="4" w:space="0" w:color="auto"/>
            </w:tcBorders>
            <w:shd w:val="clear" w:color="000000" w:fill="FFFFFF"/>
            <w:noWrap/>
            <w:vAlign w:val="center"/>
            <w:hideMark/>
          </w:tcPr>
          <w:p w:rsidR="009C030B" w:rsidRPr="009C030B" w:rsidRDefault="009C030B" w:rsidP="009C030B">
            <w:pPr>
              <w:jc w:val="right"/>
              <w:rPr>
                <w:color w:val="000000"/>
                <w:sz w:val="18"/>
                <w:szCs w:val="18"/>
              </w:rPr>
            </w:pPr>
            <w:r w:rsidRPr="009C030B">
              <w:rPr>
                <w:color w:val="000000"/>
                <w:sz w:val="18"/>
                <w:szCs w:val="18"/>
              </w:rPr>
              <w:t> </w:t>
            </w:r>
          </w:p>
        </w:tc>
        <w:tc>
          <w:tcPr>
            <w:tcW w:w="630" w:type="pct"/>
            <w:tcBorders>
              <w:top w:val="nil"/>
              <w:left w:val="nil"/>
              <w:bottom w:val="single" w:sz="4" w:space="0" w:color="auto"/>
              <w:right w:val="single" w:sz="4" w:space="0" w:color="auto"/>
            </w:tcBorders>
            <w:shd w:val="clear" w:color="000000" w:fill="FFFFFF"/>
            <w:noWrap/>
            <w:vAlign w:val="center"/>
            <w:hideMark/>
          </w:tcPr>
          <w:p w:rsidR="009C030B" w:rsidRPr="009C030B" w:rsidRDefault="009C030B" w:rsidP="009C030B">
            <w:pPr>
              <w:jc w:val="right"/>
              <w:rPr>
                <w:color w:val="000000"/>
                <w:sz w:val="18"/>
                <w:szCs w:val="18"/>
              </w:rPr>
            </w:pPr>
            <w:r w:rsidRPr="009C030B">
              <w:rPr>
                <w:color w:val="000000"/>
                <w:sz w:val="18"/>
                <w:szCs w:val="18"/>
              </w:rPr>
              <w:t>1 468 975</w:t>
            </w:r>
          </w:p>
        </w:tc>
        <w:tc>
          <w:tcPr>
            <w:tcW w:w="614" w:type="pct"/>
            <w:tcBorders>
              <w:top w:val="nil"/>
              <w:left w:val="nil"/>
              <w:bottom w:val="single" w:sz="4" w:space="0" w:color="auto"/>
              <w:right w:val="single" w:sz="4" w:space="0" w:color="auto"/>
            </w:tcBorders>
            <w:shd w:val="clear" w:color="000000" w:fill="FFFFFF"/>
            <w:noWrap/>
            <w:vAlign w:val="center"/>
            <w:hideMark/>
          </w:tcPr>
          <w:p w:rsidR="009C030B" w:rsidRPr="009C030B" w:rsidRDefault="009C030B" w:rsidP="009C030B">
            <w:pPr>
              <w:jc w:val="right"/>
              <w:rPr>
                <w:color w:val="000000"/>
                <w:sz w:val="18"/>
                <w:szCs w:val="18"/>
              </w:rPr>
            </w:pPr>
            <w:r w:rsidRPr="009C030B">
              <w:rPr>
                <w:color w:val="000000"/>
                <w:sz w:val="18"/>
                <w:szCs w:val="18"/>
              </w:rPr>
              <w:t>1 468 975</w:t>
            </w:r>
          </w:p>
        </w:tc>
        <w:tc>
          <w:tcPr>
            <w:tcW w:w="622" w:type="pct"/>
            <w:tcBorders>
              <w:top w:val="nil"/>
              <w:left w:val="nil"/>
              <w:bottom w:val="single" w:sz="4" w:space="0" w:color="auto"/>
              <w:right w:val="single" w:sz="4" w:space="0" w:color="auto"/>
            </w:tcBorders>
            <w:shd w:val="clear" w:color="000000" w:fill="FFFFFF"/>
            <w:noWrap/>
            <w:vAlign w:val="center"/>
            <w:hideMark/>
          </w:tcPr>
          <w:p w:rsidR="009C030B" w:rsidRPr="009C030B" w:rsidRDefault="009C030B" w:rsidP="009C030B">
            <w:pPr>
              <w:jc w:val="right"/>
              <w:rPr>
                <w:color w:val="000000"/>
                <w:sz w:val="18"/>
                <w:szCs w:val="18"/>
              </w:rPr>
            </w:pPr>
            <w:r w:rsidRPr="009C030B">
              <w:rPr>
                <w:color w:val="000000"/>
                <w:sz w:val="18"/>
                <w:szCs w:val="18"/>
              </w:rPr>
              <w:t> </w:t>
            </w:r>
          </w:p>
        </w:tc>
      </w:tr>
      <w:tr w:rsidR="009C030B" w:rsidRPr="009C030B" w:rsidTr="009C030B">
        <w:trPr>
          <w:trHeight w:val="300"/>
        </w:trPr>
        <w:tc>
          <w:tcPr>
            <w:tcW w:w="383" w:type="pct"/>
            <w:tcBorders>
              <w:top w:val="nil"/>
              <w:left w:val="single" w:sz="4" w:space="0" w:color="auto"/>
              <w:bottom w:val="single" w:sz="4" w:space="0" w:color="auto"/>
              <w:right w:val="single" w:sz="4" w:space="0" w:color="auto"/>
            </w:tcBorders>
            <w:shd w:val="clear" w:color="000000" w:fill="FFFFEF"/>
            <w:vAlign w:val="center"/>
            <w:hideMark/>
          </w:tcPr>
          <w:p w:rsidR="009C030B" w:rsidRPr="009C030B" w:rsidRDefault="009C030B" w:rsidP="009C030B">
            <w:pPr>
              <w:jc w:val="center"/>
              <w:rPr>
                <w:color w:val="000000"/>
                <w:sz w:val="18"/>
                <w:szCs w:val="18"/>
              </w:rPr>
            </w:pPr>
            <w:r w:rsidRPr="009C030B">
              <w:rPr>
                <w:color w:val="000000"/>
                <w:sz w:val="18"/>
                <w:szCs w:val="18"/>
              </w:rPr>
              <w:t>2009</w:t>
            </w:r>
          </w:p>
        </w:tc>
        <w:tc>
          <w:tcPr>
            <w:tcW w:w="829" w:type="pct"/>
            <w:tcBorders>
              <w:top w:val="nil"/>
              <w:left w:val="nil"/>
              <w:bottom w:val="single" w:sz="4" w:space="0" w:color="auto"/>
              <w:right w:val="single" w:sz="4" w:space="0" w:color="auto"/>
            </w:tcBorders>
            <w:shd w:val="clear" w:color="000000" w:fill="FFFFFF"/>
            <w:noWrap/>
            <w:vAlign w:val="center"/>
            <w:hideMark/>
          </w:tcPr>
          <w:p w:rsidR="009C030B" w:rsidRPr="009C030B" w:rsidRDefault="009C030B" w:rsidP="009C030B">
            <w:pPr>
              <w:jc w:val="right"/>
              <w:rPr>
                <w:color w:val="000000"/>
                <w:sz w:val="18"/>
                <w:szCs w:val="18"/>
              </w:rPr>
            </w:pPr>
            <w:r w:rsidRPr="009C030B">
              <w:rPr>
                <w:color w:val="000000"/>
                <w:sz w:val="18"/>
                <w:szCs w:val="18"/>
              </w:rPr>
              <w:t>4 111 551</w:t>
            </w:r>
          </w:p>
        </w:tc>
        <w:tc>
          <w:tcPr>
            <w:tcW w:w="654" w:type="pct"/>
            <w:tcBorders>
              <w:top w:val="nil"/>
              <w:left w:val="nil"/>
              <w:bottom w:val="single" w:sz="4" w:space="0" w:color="auto"/>
              <w:right w:val="single" w:sz="4" w:space="0" w:color="auto"/>
            </w:tcBorders>
            <w:shd w:val="clear" w:color="000000" w:fill="FFFFFF"/>
            <w:noWrap/>
            <w:vAlign w:val="center"/>
            <w:hideMark/>
          </w:tcPr>
          <w:p w:rsidR="009C030B" w:rsidRPr="009C030B" w:rsidRDefault="009C030B" w:rsidP="009C030B">
            <w:pPr>
              <w:jc w:val="right"/>
              <w:rPr>
                <w:color w:val="000000"/>
                <w:sz w:val="18"/>
                <w:szCs w:val="18"/>
              </w:rPr>
            </w:pPr>
            <w:r w:rsidRPr="009C030B">
              <w:rPr>
                <w:color w:val="000000"/>
                <w:sz w:val="18"/>
                <w:szCs w:val="18"/>
              </w:rPr>
              <w:t> </w:t>
            </w:r>
          </w:p>
        </w:tc>
        <w:tc>
          <w:tcPr>
            <w:tcW w:w="582" w:type="pct"/>
            <w:tcBorders>
              <w:top w:val="nil"/>
              <w:left w:val="nil"/>
              <w:bottom w:val="single" w:sz="4" w:space="0" w:color="auto"/>
              <w:right w:val="single" w:sz="4" w:space="0" w:color="auto"/>
            </w:tcBorders>
            <w:shd w:val="clear" w:color="000000" w:fill="FFFFFF"/>
            <w:noWrap/>
            <w:vAlign w:val="center"/>
            <w:hideMark/>
          </w:tcPr>
          <w:p w:rsidR="009C030B" w:rsidRPr="009C030B" w:rsidRDefault="009C030B" w:rsidP="009C030B">
            <w:pPr>
              <w:jc w:val="right"/>
              <w:rPr>
                <w:color w:val="000000"/>
                <w:sz w:val="18"/>
                <w:szCs w:val="18"/>
              </w:rPr>
            </w:pPr>
            <w:r w:rsidRPr="009C030B">
              <w:rPr>
                <w:color w:val="000000"/>
                <w:sz w:val="18"/>
                <w:szCs w:val="18"/>
              </w:rPr>
              <w:t>1 175 180</w:t>
            </w:r>
          </w:p>
        </w:tc>
        <w:tc>
          <w:tcPr>
            <w:tcW w:w="686" w:type="pct"/>
            <w:tcBorders>
              <w:top w:val="nil"/>
              <w:left w:val="nil"/>
              <w:bottom w:val="single" w:sz="4" w:space="0" w:color="auto"/>
              <w:right w:val="single" w:sz="4" w:space="0" w:color="auto"/>
            </w:tcBorders>
            <w:shd w:val="clear" w:color="000000" w:fill="FFFFFF"/>
            <w:noWrap/>
            <w:vAlign w:val="center"/>
            <w:hideMark/>
          </w:tcPr>
          <w:p w:rsidR="009C030B" w:rsidRPr="009C030B" w:rsidRDefault="009C030B" w:rsidP="009C030B">
            <w:pPr>
              <w:jc w:val="right"/>
              <w:rPr>
                <w:color w:val="000000"/>
                <w:sz w:val="18"/>
                <w:szCs w:val="18"/>
              </w:rPr>
            </w:pPr>
            <w:r w:rsidRPr="009C030B">
              <w:rPr>
                <w:color w:val="000000"/>
                <w:sz w:val="18"/>
                <w:szCs w:val="18"/>
              </w:rPr>
              <w:t>3 569</w:t>
            </w:r>
          </w:p>
        </w:tc>
        <w:tc>
          <w:tcPr>
            <w:tcW w:w="630" w:type="pct"/>
            <w:tcBorders>
              <w:top w:val="nil"/>
              <w:left w:val="nil"/>
              <w:bottom w:val="single" w:sz="4" w:space="0" w:color="auto"/>
              <w:right w:val="single" w:sz="4" w:space="0" w:color="auto"/>
            </w:tcBorders>
            <w:shd w:val="clear" w:color="000000" w:fill="FFFFFF"/>
            <w:noWrap/>
            <w:vAlign w:val="center"/>
            <w:hideMark/>
          </w:tcPr>
          <w:p w:rsidR="009C030B" w:rsidRPr="009C030B" w:rsidRDefault="009C030B" w:rsidP="009C030B">
            <w:pPr>
              <w:jc w:val="right"/>
              <w:rPr>
                <w:color w:val="000000"/>
                <w:sz w:val="18"/>
                <w:szCs w:val="18"/>
              </w:rPr>
            </w:pPr>
            <w:r w:rsidRPr="009C030B">
              <w:rPr>
                <w:color w:val="000000"/>
                <w:sz w:val="18"/>
                <w:szCs w:val="18"/>
              </w:rPr>
              <w:t>1 178 749</w:t>
            </w:r>
          </w:p>
        </w:tc>
        <w:tc>
          <w:tcPr>
            <w:tcW w:w="614" w:type="pct"/>
            <w:tcBorders>
              <w:top w:val="nil"/>
              <w:left w:val="nil"/>
              <w:bottom w:val="single" w:sz="4" w:space="0" w:color="auto"/>
              <w:right w:val="single" w:sz="4" w:space="0" w:color="auto"/>
            </w:tcBorders>
            <w:shd w:val="clear" w:color="000000" w:fill="FFFFFF"/>
            <w:noWrap/>
            <w:vAlign w:val="center"/>
            <w:hideMark/>
          </w:tcPr>
          <w:p w:rsidR="009C030B" w:rsidRPr="009C030B" w:rsidRDefault="009C030B" w:rsidP="009C030B">
            <w:pPr>
              <w:jc w:val="right"/>
              <w:rPr>
                <w:color w:val="000000"/>
                <w:sz w:val="18"/>
                <w:szCs w:val="18"/>
              </w:rPr>
            </w:pPr>
            <w:r w:rsidRPr="009C030B">
              <w:rPr>
                <w:color w:val="000000"/>
                <w:sz w:val="18"/>
                <w:szCs w:val="18"/>
              </w:rPr>
              <w:t>2 647 724</w:t>
            </w:r>
          </w:p>
        </w:tc>
        <w:tc>
          <w:tcPr>
            <w:tcW w:w="622" w:type="pct"/>
            <w:tcBorders>
              <w:top w:val="nil"/>
              <w:left w:val="nil"/>
              <w:bottom w:val="single" w:sz="4" w:space="0" w:color="auto"/>
              <w:right w:val="single" w:sz="4" w:space="0" w:color="auto"/>
            </w:tcBorders>
            <w:shd w:val="clear" w:color="000000" w:fill="FFFFFF"/>
            <w:noWrap/>
            <w:vAlign w:val="center"/>
            <w:hideMark/>
          </w:tcPr>
          <w:p w:rsidR="009C030B" w:rsidRPr="009C030B" w:rsidRDefault="009C030B" w:rsidP="009C030B">
            <w:pPr>
              <w:jc w:val="right"/>
              <w:rPr>
                <w:color w:val="000000"/>
                <w:sz w:val="18"/>
                <w:szCs w:val="18"/>
              </w:rPr>
            </w:pPr>
            <w:r w:rsidRPr="009C030B">
              <w:rPr>
                <w:color w:val="000000"/>
                <w:sz w:val="18"/>
                <w:szCs w:val="18"/>
              </w:rPr>
              <w:t> </w:t>
            </w:r>
          </w:p>
        </w:tc>
      </w:tr>
      <w:tr w:rsidR="009C030B" w:rsidRPr="009C030B" w:rsidTr="009C030B">
        <w:trPr>
          <w:trHeight w:val="300"/>
        </w:trPr>
        <w:tc>
          <w:tcPr>
            <w:tcW w:w="383" w:type="pct"/>
            <w:tcBorders>
              <w:top w:val="nil"/>
              <w:left w:val="single" w:sz="4" w:space="0" w:color="auto"/>
              <w:bottom w:val="single" w:sz="4" w:space="0" w:color="auto"/>
              <w:right w:val="single" w:sz="4" w:space="0" w:color="auto"/>
            </w:tcBorders>
            <w:shd w:val="clear" w:color="000000" w:fill="FFFFEF"/>
            <w:vAlign w:val="center"/>
            <w:hideMark/>
          </w:tcPr>
          <w:p w:rsidR="009C030B" w:rsidRPr="009C030B" w:rsidRDefault="009C030B" w:rsidP="009C030B">
            <w:pPr>
              <w:jc w:val="center"/>
              <w:rPr>
                <w:color w:val="000000"/>
                <w:sz w:val="18"/>
                <w:szCs w:val="18"/>
              </w:rPr>
            </w:pPr>
            <w:r w:rsidRPr="009C030B">
              <w:rPr>
                <w:color w:val="000000"/>
                <w:sz w:val="18"/>
                <w:szCs w:val="18"/>
              </w:rPr>
              <w:t>2010</w:t>
            </w:r>
          </w:p>
        </w:tc>
        <w:tc>
          <w:tcPr>
            <w:tcW w:w="829" w:type="pct"/>
            <w:tcBorders>
              <w:top w:val="nil"/>
              <w:left w:val="nil"/>
              <w:bottom w:val="single" w:sz="4" w:space="0" w:color="auto"/>
              <w:right w:val="single" w:sz="4" w:space="0" w:color="auto"/>
            </w:tcBorders>
            <w:shd w:val="clear" w:color="000000" w:fill="FFFFFF"/>
            <w:noWrap/>
            <w:vAlign w:val="center"/>
            <w:hideMark/>
          </w:tcPr>
          <w:p w:rsidR="009C030B" w:rsidRPr="009C030B" w:rsidRDefault="009C030B" w:rsidP="009C030B">
            <w:pPr>
              <w:jc w:val="right"/>
              <w:rPr>
                <w:color w:val="000000"/>
                <w:sz w:val="18"/>
                <w:szCs w:val="18"/>
              </w:rPr>
            </w:pPr>
            <w:r w:rsidRPr="009C030B">
              <w:rPr>
                <w:color w:val="000000"/>
                <w:sz w:val="18"/>
                <w:szCs w:val="18"/>
              </w:rPr>
              <w:t>2 635 524</w:t>
            </w:r>
          </w:p>
        </w:tc>
        <w:tc>
          <w:tcPr>
            <w:tcW w:w="654" w:type="pct"/>
            <w:tcBorders>
              <w:top w:val="nil"/>
              <w:left w:val="nil"/>
              <w:bottom w:val="single" w:sz="4" w:space="0" w:color="auto"/>
              <w:right w:val="single" w:sz="4" w:space="0" w:color="auto"/>
            </w:tcBorders>
            <w:shd w:val="clear" w:color="000000" w:fill="FFFFFF"/>
            <w:noWrap/>
            <w:vAlign w:val="center"/>
            <w:hideMark/>
          </w:tcPr>
          <w:p w:rsidR="009C030B" w:rsidRPr="009C030B" w:rsidRDefault="009C030B" w:rsidP="009C030B">
            <w:pPr>
              <w:jc w:val="right"/>
              <w:rPr>
                <w:color w:val="000000"/>
                <w:sz w:val="18"/>
                <w:szCs w:val="18"/>
              </w:rPr>
            </w:pPr>
            <w:r w:rsidRPr="009C030B">
              <w:rPr>
                <w:color w:val="000000"/>
                <w:sz w:val="18"/>
                <w:szCs w:val="18"/>
              </w:rPr>
              <w:t> </w:t>
            </w:r>
          </w:p>
        </w:tc>
        <w:tc>
          <w:tcPr>
            <w:tcW w:w="582" w:type="pct"/>
            <w:tcBorders>
              <w:top w:val="nil"/>
              <w:left w:val="nil"/>
              <w:bottom w:val="single" w:sz="4" w:space="0" w:color="auto"/>
              <w:right w:val="single" w:sz="4" w:space="0" w:color="auto"/>
            </w:tcBorders>
            <w:shd w:val="clear" w:color="000000" w:fill="FFFFFF"/>
            <w:noWrap/>
            <w:vAlign w:val="center"/>
            <w:hideMark/>
          </w:tcPr>
          <w:p w:rsidR="009C030B" w:rsidRPr="009C030B" w:rsidRDefault="009C030B" w:rsidP="009C030B">
            <w:pPr>
              <w:jc w:val="right"/>
              <w:rPr>
                <w:color w:val="000000"/>
                <w:sz w:val="18"/>
                <w:szCs w:val="18"/>
              </w:rPr>
            </w:pPr>
            <w:r w:rsidRPr="009C030B">
              <w:rPr>
                <w:color w:val="000000"/>
                <w:sz w:val="18"/>
                <w:szCs w:val="18"/>
              </w:rPr>
              <w:t> </w:t>
            </w:r>
          </w:p>
        </w:tc>
        <w:tc>
          <w:tcPr>
            <w:tcW w:w="686" w:type="pct"/>
            <w:tcBorders>
              <w:top w:val="nil"/>
              <w:left w:val="nil"/>
              <w:bottom w:val="single" w:sz="4" w:space="0" w:color="auto"/>
              <w:right w:val="single" w:sz="4" w:space="0" w:color="auto"/>
            </w:tcBorders>
            <w:shd w:val="clear" w:color="000000" w:fill="FFFFFF"/>
            <w:noWrap/>
            <w:vAlign w:val="center"/>
            <w:hideMark/>
          </w:tcPr>
          <w:p w:rsidR="009C030B" w:rsidRPr="009C030B" w:rsidRDefault="009C030B" w:rsidP="009C030B">
            <w:pPr>
              <w:jc w:val="right"/>
              <w:rPr>
                <w:color w:val="000000"/>
                <w:sz w:val="18"/>
                <w:szCs w:val="18"/>
              </w:rPr>
            </w:pPr>
            <w:r w:rsidRPr="009C030B">
              <w:rPr>
                <w:color w:val="000000"/>
                <w:sz w:val="18"/>
                <w:szCs w:val="18"/>
              </w:rPr>
              <w:t>850 986</w:t>
            </w:r>
          </w:p>
        </w:tc>
        <w:tc>
          <w:tcPr>
            <w:tcW w:w="630" w:type="pct"/>
            <w:tcBorders>
              <w:top w:val="nil"/>
              <w:left w:val="nil"/>
              <w:bottom w:val="single" w:sz="4" w:space="0" w:color="auto"/>
              <w:right w:val="single" w:sz="4" w:space="0" w:color="auto"/>
            </w:tcBorders>
            <w:shd w:val="clear" w:color="000000" w:fill="FFFFFF"/>
            <w:noWrap/>
            <w:vAlign w:val="center"/>
            <w:hideMark/>
          </w:tcPr>
          <w:p w:rsidR="009C030B" w:rsidRPr="009C030B" w:rsidRDefault="009C030B" w:rsidP="009C030B">
            <w:pPr>
              <w:jc w:val="right"/>
              <w:rPr>
                <w:color w:val="000000"/>
                <w:sz w:val="18"/>
                <w:szCs w:val="18"/>
              </w:rPr>
            </w:pPr>
            <w:r w:rsidRPr="009C030B">
              <w:rPr>
                <w:color w:val="000000"/>
                <w:sz w:val="18"/>
                <w:szCs w:val="18"/>
              </w:rPr>
              <w:t>850 986</w:t>
            </w:r>
          </w:p>
        </w:tc>
        <w:tc>
          <w:tcPr>
            <w:tcW w:w="614" w:type="pct"/>
            <w:tcBorders>
              <w:top w:val="nil"/>
              <w:left w:val="nil"/>
              <w:bottom w:val="single" w:sz="4" w:space="0" w:color="auto"/>
              <w:right w:val="single" w:sz="4" w:space="0" w:color="auto"/>
            </w:tcBorders>
            <w:shd w:val="clear" w:color="000000" w:fill="FFFFFF"/>
            <w:noWrap/>
            <w:vAlign w:val="center"/>
            <w:hideMark/>
          </w:tcPr>
          <w:p w:rsidR="009C030B" w:rsidRPr="009C030B" w:rsidRDefault="009C030B" w:rsidP="009C030B">
            <w:pPr>
              <w:jc w:val="right"/>
              <w:rPr>
                <w:color w:val="000000"/>
                <w:sz w:val="18"/>
                <w:szCs w:val="18"/>
              </w:rPr>
            </w:pPr>
            <w:r w:rsidRPr="009C030B">
              <w:rPr>
                <w:color w:val="000000"/>
                <w:sz w:val="18"/>
                <w:szCs w:val="18"/>
              </w:rPr>
              <w:t>3 498 710</w:t>
            </w:r>
          </w:p>
        </w:tc>
        <w:tc>
          <w:tcPr>
            <w:tcW w:w="622" w:type="pct"/>
            <w:tcBorders>
              <w:top w:val="nil"/>
              <w:left w:val="nil"/>
              <w:bottom w:val="single" w:sz="4" w:space="0" w:color="auto"/>
              <w:right w:val="single" w:sz="4" w:space="0" w:color="auto"/>
            </w:tcBorders>
            <w:shd w:val="clear" w:color="000000" w:fill="FFFFFF"/>
            <w:noWrap/>
            <w:vAlign w:val="center"/>
            <w:hideMark/>
          </w:tcPr>
          <w:p w:rsidR="009C030B" w:rsidRPr="009C030B" w:rsidRDefault="009C030B" w:rsidP="009C030B">
            <w:pPr>
              <w:jc w:val="right"/>
              <w:rPr>
                <w:color w:val="000000"/>
                <w:sz w:val="18"/>
                <w:szCs w:val="18"/>
              </w:rPr>
            </w:pPr>
            <w:r w:rsidRPr="009C030B">
              <w:rPr>
                <w:color w:val="000000"/>
                <w:sz w:val="18"/>
                <w:szCs w:val="18"/>
              </w:rPr>
              <w:t> </w:t>
            </w:r>
          </w:p>
        </w:tc>
      </w:tr>
      <w:tr w:rsidR="009C030B" w:rsidRPr="009C030B" w:rsidTr="009C030B">
        <w:trPr>
          <w:trHeight w:val="300"/>
        </w:trPr>
        <w:tc>
          <w:tcPr>
            <w:tcW w:w="383" w:type="pct"/>
            <w:tcBorders>
              <w:top w:val="nil"/>
              <w:left w:val="single" w:sz="4" w:space="0" w:color="auto"/>
              <w:bottom w:val="single" w:sz="4" w:space="0" w:color="auto"/>
              <w:right w:val="single" w:sz="4" w:space="0" w:color="auto"/>
            </w:tcBorders>
            <w:shd w:val="clear" w:color="000000" w:fill="FFFFEF"/>
            <w:vAlign w:val="center"/>
            <w:hideMark/>
          </w:tcPr>
          <w:p w:rsidR="009C030B" w:rsidRPr="009C030B" w:rsidRDefault="009C030B" w:rsidP="009C030B">
            <w:pPr>
              <w:jc w:val="center"/>
              <w:rPr>
                <w:color w:val="000000"/>
                <w:sz w:val="18"/>
                <w:szCs w:val="18"/>
              </w:rPr>
            </w:pPr>
            <w:r w:rsidRPr="009C030B">
              <w:rPr>
                <w:color w:val="000000"/>
                <w:sz w:val="18"/>
                <w:szCs w:val="18"/>
              </w:rPr>
              <w:t>2011</w:t>
            </w:r>
          </w:p>
        </w:tc>
        <w:tc>
          <w:tcPr>
            <w:tcW w:w="829" w:type="pct"/>
            <w:tcBorders>
              <w:top w:val="nil"/>
              <w:left w:val="nil"/>
              <w:bottom w:val="single" w:sz="4" w:space="0" w:color="auto"/>
              <w:right w:val="single" w:sz="4" w:space="0" w:color="auto"/>
            </w:tcBorders>
            <w:shd w:val="clear" w:color="000000" w:fill="FFFFFF"/>
            <w:noWrap/>
            <w:vAlign w:val="center"/>
            <w:hideMark/>
          </w:tcPr>
          <w:p w:rsidR="009C030B" w:rsidRPr="009C030B" w:rsidRDefault="009C030B" w:rsidP="009C030B">
            <w:pPr>
              <w:jc w:val="right"/>
              <w:rPr>
                <w:color w:val="000000"/>
                <w:sz w:val="18"/>
                <w:szCs w:val="18"/>
              </w:rPr>
            </w:pPr>
            <w:r w:rsidRPr="009C030B">
              <w:rPr>
                <w:color w:val="000000"/>
                <w:sz w:val="18"/>
                <w:szCs w:val="18"/>
              </w:rPr>
              <w:t>4 277 657</w:t>
            </w:r>
          </w:p>
        </w:tc>
        <w:tc>
          <w:tcPr>
            <w:tcW w:w="654" w:type="pct"/>
            <w:tcBorders>
              <w:top w:val="nil"/>
              <w:left w:val="nil"/>
              <w:bottom w:val="single" w:sz="4" w:space="0" w:color="auto"/>
              <w:right w:val="single" w:sz="4" w:space="0" w:color="auto"/>
            </w:tcBorders>
            <w:shd w:val="clear" w:color="000000" w:fill="FFFFFF"/>
            <w:noWrap/>
            <w:vAlign w:val="center"/>
            <w:hideMark/>
          </w:tcPr>
          <w:p w:rsidR="009C030B" w:rsidRPr="009C030B" w:rsidRDefault="009C030B" w:rsidP="009C030B">
            <w:pPr>
              <w:jc w:val="right"/>
              <w:rPr>
                <w:color w:val="000000"/>
                <w:sz w:val="18"/>
                <w:szCs w:val="18"/>
              </w:rPr>
            </w:pPr>
            <w:r w:rsidRPr="009C030B">
              <w:rPr>
                <w:color w:val="000000"/>
                <w:sz w:val="18"/>
                <w:szCs w:val="18"/>
              </w:rPr>
              <w:t>4 689 580</w:t>
            </w:r>
          </w:p>
        </w:tc>
        <w:tc>
          <w:tcPr>
            <w:tcW w:w="582" w:type="pct"/>
            <w:tcBorders>
              <w:top w:val="nil"/>
              <w:left w:val="nil"/>
              <w:bottom w:val="single" w:sz="4" w:space="0" w:color="auto"/>
              <w:right w:val="single" w:sz="4" w:space="0" w:color="auto"/>
            </w:tcBorders>
            <w:shd w:val="clear" w:color="000000" w:fill="FFFFFF"/>
            <w:noWrap/>
            <w:vAlign w:val="center"/>
            <w:hideMark/>
          </w:tcPr>
          <w:p w:rsidR="009C030B" w:rsidRPr="009C030B" w:rsidRDefault="009C030B" w:rsidP="009C030B">
            <w:pPr>
              <w:jc w:val="right"/>
              <w:rPr>
                <w:color w:val="000000"/>
                <w:sz w:val="18"/>
                <w:szCs w:val="18"/>
              </w:rPr>
            </w:pPr>
            <w:r w:rsidRPr="009C030B">
              <w:rPr>
                <w:color w:val="000000"/>
                <w:sz w:val="18"/>
                <w:szCs w:val="18"/>
              </w:rPr>
              <w:t> </w:t>
            </w:r>
          </w:p>
        </w:tc>
        <w:tc>
          <w:tcPr>
            <w:tcW w:w="686" w:type="pct"/>
            <w:tcBorders>
              <w:top w:val="nil"/>
              <w:left w:val="nil"/>
              <w:bottom w:val="single" w:sz="4" w:space="0" w:color="auto"/>
              <w:right w:val="single" w:sz="4" w:space="0" w:color="auto"/>
            </w:tcBorders>
            <w:shd w:val="clear" w:color="000000" w:fill="FFFFFF"/>
            <w:noWrap/>
            <w:vAlign w:val="center"/>
            <w:hideMark/>
          </w:tcPr>
          <w:p w:rsidR="009C030B" w:rsidRPr="009C030B" w:rsidRDefault="009C030B" w:rsidP="009C030B">
            <w:pPr>
              <w:jc w:val="right"/>
              <w:rPr>
                <w:color w:val="000000"/>
                <w:sz w:val="18"/>
                <w:szCs w:val="18"/>
              </w:rPr>
            </w:pPr>
            <w:r w:rsidRPr="009C030B">
              <w:rPr>
                <w:color w:val="000000"/>
                <w:sz w:val="18"/>
                <w:szCs w:val="18"/>
              </w:rPr>
              <w:t>3 580 803</w:t>
            </w:r>
          </w:p>
        </w:tc>
        <w:tc>
          <w:tcPr>
            <w:tcW w:w="630" w:type="pct"/>
            <w:tcBorders>
              <w:top w:val="nil"/>
              <w:left w:val="nil"/>
              <w:bottom w:val="single" w:sz="4" w:space="0" w:color="auto"/>
              <w:right w:val="single" w:sz="4" w:space="0" w:color="auto"/>
            </w:tcBorders>
            <w:shd w:val="clear" w:color="000000" w:fill="FFFFFF"/>
            <w:noWrap/>
            <w:vAlign w:val="center"/>
            <w:hideMark/>
          </w:tcPr>
          <w:p w:rsidR="009C030B" w:rsidRPr="009C030B" w:rsidRDefault="009C030B" w:rsidP="009C030B">
            <w:pPr>
              <w:jc w:val="right"/>
              <w:rPr>
                <w:color w:val="000000"/>
                <w:sz w:val="18"/>
                <w:szCs w:val="18"/>
              </w:rPr>
            </w:pPr>
            <w:r w:rsidRPr="009C030B">
              <w:rPr>
                <w:color w:val="000000"/>
                <w:sz w:val="18"/>
                <w:szCs w:val="18"/>
              </w:rPr>
              <w:t>3 580 803</w:t>
            </w:r>
          </w:p>
        </w:tc>
        <w:tc>
          <w:tcPr>
            <w:tcW w:w="614" w:type="pct"/>
            <w:tcBorders>
              <w:top w:val="nil"/>
              <w:left w:val="nil"/>
              <w:bottom w:val="single" w:sz="4" w:space="0" w:color="auto"/>
              <w:right w:val="single" w:sz="4" w:space="0" w:color="auto"/>
            </w:tcBorders>
            <w:shd w:val="clear" w:color="000000" w:fill="FFFFFF"/>
            <w:noWrap/>
            <w:vAlign w:val="center"/>
            <w:hideMark/>
          </w:tcPr>
          <w:p w:rsidR="009C030B" w:rsidRPr="009C030B" w:rsidRDefault="009C030B" w:rsidP="009C030B">
            <w:pPr>
              <w:jc w:val="right"/>
              <w:rPr>
                <w:color w:val="000000"/>
                <w:sz w:val="18"/>
                <w:szCs w:val="18"/>
              </w:rPr>
            </w:pPr>
            <w:r w:rsidRPr="009C030B">
              <w:rPr>
                <w:color w:val="000000"/>
                <w:sz w:val="18"/>
                <w:szCs w:val="18"/>
              </w:rPr>
              <w:t>7 079 513</w:t>
            </w:r>
          </w:p>
        </w:tc>
        <w:tc>
          <w:tcPr>
            <w:tcW w:w="622" w:type="pct"/>
            <w:tcBorders>
              <w:top w:val="nil"/>
              <w:left w:val="nil"/>
              <w:bottom w:val="single" w:sz="4" w:space="0" w:color="auto"/>
              <w:right w:val="single" w:sz="4" w:space="0" w:color="auto"/>
            </w:tcBorders>
            <w:shd w:val="clear" w:color="000000" w:fill="FFFFFF"/>
            <w:noWrap/>
            <w:vAlign w:val="center"/>
            <w:hideMark/>
          </w:tcPr>
          <w:p w:rsidR="009C030B" w:rsidRPr="009C030B" w:rsidRDefault="009C030B" w:rsidP="009C030B">
            <w:pPr>
              <w:jc w:val="right"/>
              <w:rPr>
                <w:color w:val="000000"/>
                <w:sz w:val="18"/>
                <w:szCs w:val="18"/>
              </w:rPr>
            </w:pPr>
            <w:r w:rsidRPr="009C030B">
              <w:rPr>
                <w:color w:val="000000"/>
                <w:sz w:val="18"/>
                <w:szCs w:val="18"/>
              </w:rPr>
              <w:t>2 389 933</w:t>
            </w:r>
          </w:p>
        </w:tc>
      </w:tr>
      <w:tr w:rsidR="009C030B" w:rsidRPr="009C030B" w:rsidTr="009C030B">
        <w:trPr>
          <w:trHeight w:val="300"/>
        </w:trPr>
        <w:tc>
          <w:tcPr>
            <w:tcW w:w="383" w:type="pct"/>
            <w:tcBorders>
              <w:top w:val="nil"/>
              <w:left w:val="single" w:sz="4" w:space="0" w:color="auto"/>
              <w:bottom w:val="single" w:sz="4" w:space="0" w:color="auto"/>
              <w:right w:val="single" w:sz="4" w:space="0" w:color="auto"/>
            </w:tcBorders>
            <w:shd w:val="clear" w:color="000000" w:fill="FFFFEF"/>
            <w:vAlign w:val="center"/>
            <w:hideMark/>
          </w:tcPr>
          <w:p w:rsidR="009C030B" w:rsidRPr="009C030B" w:rsidRDefault="009C030B" w:rsidP="009C030B">
            <w:pPr>
              <w:jc w:val="center"/>
              <w:rPr>
                <w:color w:val="000000"/>
                <w:sz w:val="18"/>
                <w:szCs w:val="18"/>
              </w:rPr>
            </w:pPr>
            <w:r w:rsidRPr="009C030B">
              <w:rPr>
                <w:color w:val="000000"/>
                <w:sz w:val="18"/>
                <w:szCs w:val="18"/>
              </w:rPr>
              <w:t>2012</w:t>
            </w:r>
          </w:p>
        </w:tc>
        <w:tc>
          <w:tcPr>
            <w:tcW w:w="829" w:type="pct"/>
            <w:tcBorders>
              <w:top w:val="nil"/>
              <w:left w:val="nil"/>
              <w:bottom w:val="single" w:sz="4" w:space="0" w:color="auto"/>
              <w:right w:val="single" w:sz="4" w:space="0" w:color="auto"/>
            </w:tcBorders>
            <w:shd w:val="clear" w:color="000000" w:fill="FFFFFF"/>
            <w:noWrap/>
            <w:vAlign w:val="center"/>
            <w:hideMark/>
          </w:tcPr>
          <w:p w:rsidR="009C030B" w:rsidRPr="009C030B" w:rsidRDefault="009C030B" w:rsidP="009C030B">
            <w:pPr>
              <w:jc w:val="right"/>
              <w:rPr>
                <w:color w:val="000000"/>
                <w:sz w:val="18"/>
                <w:szCs w:val="18"/>
              </w:rPr>
            </w:pPr>
            <w:r w:rsidRPr="009C030B">
              <w:rPr>
                <w:color w:val="000000"/>
                <w:sz w:val="18"/>
                <w:szCs w:val="18"/>
              </w:rPr>
              <w:t>2 057 180</w:t>
            </w:r>
          </w:p>
        </w:tc>
        <w:tc>
          <w:tcPr>
            <w:tcW w:w="654" w:type="pct"/>
            <w:tcBorders>
              <w:top w:val="nil"/>
              <w:left w:val="nil"/>
              <w:bottom w:val="single" w:sz="4" w:space="0" w:color="auto"/>
              <w:right w:val="single" w:sz="4" w:space="0" w:color="auto"/>
            </w:tcBorders>
            <w:shd w:val="clear" w:color="000000" w:fill="FFFFFF"/>
            <w:noWrap/>
            <w:vAlign w:val="center"/>
            <w:hideMark/>
          </w:tcPr>
          <w:p w:rsidR="009C030B" w:rsidRPr="009C030B" w:rsidRDefault="009C030B" w:rsidP="009C030B">
            <w:pPr>
              <w:jc w:val="right"/>
              <w:rPr>
                <w:color w:val="000000"/>
                <w:sz w:val="18"/>
                <w:szCs w:val="18"/>
              </w:rPr>
            </w:pPr>
            <w:r w:rsidRPr="009C030B">
              <w:rPr>
                <w:color w:val="000000"/>
                <w:sz w:val="18"/>
                <w:szCs w:val="18"/>
              </w:rPr>
              <w:t>9 459 780</w:t>
            </w:r>
          </w:p>
        </w:tc>
        <w:tc>
          <w:tcPr>
            <w:tcW w:w="582" w:type="pct"/>
            <w:tcBorders>
              <w:top w:val="nil"/>
              <w:left w:val="nil"/>
              <w:bottom w:val="single" w:sz="4" w:space="0" w:color="auto"/>
              <w:right w:val="single" w:sz="4" w:space="0" w:color="auto"/>
            </w:tcBorders>
            <w:shd w:val="clear" w:color="000000" w:fill="FFFFFF"/>
            <w:noWrap/>
            <w:vAlign w:val="center"/>
            <w:hideMark/>
          </w:tcPr>
          <w:p w:rsidR="009C030B" w:rsidRPr="009C030B" w:rsidRDefault="009C030B" w:rsidP="009C030B">
            <w:pPr>
              <w:jc w:val="right"/>
              <w:rPr>
                <w:color w:val="000000"/>
                <w:sz w:val="18"/>
                <w:szCs w:val="18"/>
              </w:rPr>
            </w:pPr>
            <w:r w:rsidRPr="009C030B">
              <w:rPr>
                <w:color w:val="000000"/>
                <w:sz w:val="18"/>
                <w:szCs w:val="18"/>
              </w:rPr>
              <w:t> </w:t>
            </w:r>
          </w:p>
        </w:tc>
        <w:tc>
          <w:tcPr>
            <w:tcW w:w="686" w:type="pct"/>
            <w:tcBorders>
              <w:top w:val="nil"/>
              <w:left w:val="nil"/>
              <w:bottom w:val="single" w:sz="4" w:space="0" w:color="auto"/>
              <w:right w:val="single" w:sz="4" w:space="0" w:color="auto"/>
            </w:tcBorders>
            <w:shd w:val="clear" w:color="000000" w:fill="FFFFFF"/>
            <w:noWrap/>
            <w:vAlign w:val="center"/>
            <w:hideMark/>
          </w:tcPr>
          <w:p w:rsidR="009C030B" w:rsidRPr="009C030B" w:rsidRDefault="009C030B" w:rsidP="009C030B">
            <w:pPr>
              <w:jc w:val="right"/>
              <w:rPr>
                <w:color w:val="000000"/>
                <w:sz w:val="18"/>
                <w:szCs w:val="18"/>
              </w:rPr>
            </w:pPr>
            <w:r w:rsidRPr="009C030B">
              <w:rPr>
                <w:color w:val="000000"/>
                <w:sz w:val="18"/>
                <w:szCs w:val="18"/>
              </w:rPr>
              <w:t>2 947 396</w:t>
            </w:r>
          </w:p>
        </w:tc>
        <w:tc>
          <w:tcPr>
            <w:tcW w:w="630" w:type="pct"/>
            <w:tcBorders>
              <w:top w:val="nil"/>
              <w:left w:val="nil"/>
              <w:bottom w:val="single" w:sz="4" w:space="0" w:color="auto"/>
              <w:right w:val="single" w:sz="4" w:space="0" w:color="auto"/>
            </w:tcBorders>
            <w:shd w:val="clear" w:color="000000" w:fill="FFFFFF"/>
            <w:noWrap/>
            <w:vAlign w:val="center"/>
            <w:hideMark/>
          </w:tcPr>
          <w:p w:rsidR="009C030B" w:rsidRPr="009C030B" w:rsidRDefault="009C030B" w:rsidP="009C030B">
            <w:pPr>
              <w:jc w:val="right"/>
              <w:rPr>
                <w:color w:val="000000"/>
                <w:sz w:val="18"/>
                <w:szCs w:val="18"/>
              </w:rPr>
            </w:pPr>
            <w:r w:rsidRPr="009C030B">
              <w:rPr>
                <w:color w:val="000000"/>
                <w:sz w:val="18"/>
                <w:szCs w:val="18"/>
              </w:rPr>
              <w:t>2 947 396</w:t>
            </w:r>
          </w:p>
        </w:tc>
        <w:tc>
          <w:tcPr>
            <w:tcW w:w="614" w:type="pct"/>
            <w:tcBorders>
              <w:top w:val="nil"/>
              <w:left w:val="nil"/>
              <w:bottom w:val="single" w:sz="4" w:space="0" w:color="auto"/>
              <w:right w:val="single" w:sz="4" w:space="0" w:color="auto"/>
            </w:tcBorders>
            <w:shd w:val="clear" w:color="000000" w:fill="FFFFFF"/>
            <w:noWrap/>
            <w:vAlign w:val="center"/>
            <w:hideMark/>
          </w:tcPr>
          <w:p w:rsidR="009C030B" w:rsidRPr="009C030B" w:rsidRDefault="009C030B" w:rsidP="009C030B">
            <w:pPr>
              <w:jc w:val="right"/>
              <w:rPr>
                <w:color w:val="000000"/>
                <w:sz w:val="18"/>
                <w:szCs w:val="18"/>
              </w:rPr>
            </w:pPr>
            <w:r w:rsidRPr="009C030B">
              <w:rPr>
                <w:color w:val="000000"/>
                <w:sz w:val="18"/>
                <w:szCs w:val="18"/>
              </w:rPr>
              <w:t>10 026 909</w:t>
            </w:r>
          </w:p>
        </w:tc>
        <w:tc>
          <w:tcPr>
            <w:tcW w:w="622" w:type="pct"/>
            <w:tcBorders>
              <w:top w:val="nil"/>
              <w:left w:val="nil"/>
              <w:bottom w:val="single" w:sz="4" w:space="0" w:color="auto"/>
              <w:right w:val="single" w:sz="4" w:space="0" w:color="auto"/>
            </w:tcBorders>
            <w:shd w:val="clear" w:color="000000" w:fill="FFFFFF"/>
            <w:noWrap/>
            <w:vAlign w:val="center"/>
            <w:hideMark/>
          </w:tcPr>
          <w:p w:rsidR="009C030B" w:rsidRPr="009C030B" w:rsidRDefault="009C030B" w:rsidP="009C030B">
            <w:pPr>
              <w:jc w:val="right"/>
              <w:rPr>
                <w:color w:val="000000"/>
                <w:sz w:val="18"/>
                <w:szCs w:val="18"/>
              </w:rPr>
            </w:pPr>
            <w:r w:rsidRPr="009C030B">
              <w:rPr>
                <w:color w:val="000000"/>
                <w:sz w:val="18"/>
                <w:szCs w:val="18"/>
              </w:rPr>
              <w:t>567 129</w:t>
            </w:r>
          </w:p>
        </w:tc>
      </w:tr>
      <w:tr w:rsidR="009C030B" w:rsidRPr="009C030B" w:rsidTr="009C030B">
        <w:trPr>
          <w:trHeight w:val="300"/>
        </w:trPr>
        <w:tc>
          <w:tcPr>
            <w:tcW w:w="383" w:type="pct"/>
            <w:tcBorders>
              <w:top w:val="nil"/>
              <w:left w:val="single" w:sz="4" w:space="0" w:color="auto"/>
              <w:bottom w:val="single" w:sz="4" w:space="0" w:color="auto"/>
              <w:right w:val="single" w:sz="4" w:space="0" w:color="auto"/>
            </w:tcBorders>
            <w:shd w:val="clear" w:color="000000" w:fill="FFFFEF"/>
            <w:vAlign w:val="center"/>
            <w:hideMark/>
          </w:tcPr>
          <w:p w:rsidR="009C030B" w:rsidRPr="009C030B" w:rsidRDefault="009C030B" w:rsidP="009C030B">
            <w:pPr>
              <w:jc w:val="center"/>
              <w:rPr>
                <w:color w:val="000000"/>
                <w:sz w:val="18"/>
                <w:szCs w:val="18"/>
              </w:rPr>
            </w:pPr>
            <w:r w:rsidRPr="009C030B">
              <w:rPr>
                <w:color w:val="000000"/>
                <w:sz w:val="18"/>
                <w:szCs w:val="18"/>
              </w:rPr>
              <w:t>2013</w:t>
            </w:r>
          </w:p>
        </w:tc>
        <w:tc>
          <w:tcPr>
            <w:tcW w:w="829" w:type="pct"/>
            <w:tcBorders>
              <w:top w:val="nil"/>
              <w:left w:val="nil"/>
              <w:bottom w:val="single" w:sz="4" w:space="0" w:color="auto"/>
              <w:right w:val="single" w:sz="4" w:space="0" w:color="auto"/>
            </w:tcBorders>
            <w:shd w:val="clear" w:color="000000" w:fill="FFFFFF"/>
            <w:noWrap/>
            <w:vAlign w:val="center"/>
            <w:hideMark/>
          </w:tcPr>
          <w:p w:rsidR="009C030B" w:rsidRPr="009C030B" w:rsidRDefault="009C030B" w:rsidP="009C030B">
            <w:pPr>
              <w:jc w:val="right"/>
              <w:rPr>
                <w:color w:val="000000"/>
                <w:sz w:val="18"/>
                <w:szCs w:val="18"/>
              </w:rPr>
            </w:pPr>
            <w:r w:rsidRPr="009C030B">
              <w:rPr>
                <w:color w:val="000000"/>
                <w:sz w:val="18"/>
                <w:szCs w:val="18"/>
              </w:rPr>
              <w:t>2 736 597</w:t>
            </w:r>
          </w:p>
        </w:tc>
        <w:tc>
          <w:tcPr>
            <w:tcW w:w="654" w:type="pct"/>
            <w:tcBorders>
              <w:top w:val="nil"/>
              <w:left w:val="nil"/>
              <w:bottom w:val="single" w:sz="4" w:space="0" w:color="auto"/>
              <w:right w:val="single" w:sz="4" w:space="0" w:color="auto"/>
            </w:tcBorders>
            <w:shd w:val="clear" w:color="000000" w:fill="FFFFFF"/>
            <w:noWrap/>
            <w:vAlign w:val="center"/>
            <w:hideMark/>
          </w:tcPr>
          <w:p w:rsidR="009C030B" w:rsidRPr="009C030B" w:rsidRDefault="009C030B" w:rsidP="009C030B">
            <w:pPr>
              <w:jc w:val="right"/>
              <w:rPr>
                <w:color w:val="000000"/>
                <w:sz w:val="18"/>
                <w:szCs w:val="18"/>
              </w:rPr>
            </w:pPr>
            <w:r w:rsidRPr="009C030B">
              <w:rPr>
                <w:color w:val="000000"/>
                <w:sz w:val="18"/>
                <w:szCs w:val="18"/>
              </w:rPr>
              <w:t>17 690 259</w:t>
            </w:r>
          </w:p>
        </w:tc>
        <w:tc>
          <w:tcPr>
            <w:tcW w:w="582" w:type="pct"/>
            <w:tcBorders>
              <w:top w:val="nil"/>
              <w:left w:val="nil"/>
              <w:bottom w:val="single" w:sz="4" w:space="0" w:color="auto"/>
              <w:right w:val="single" w:sz="4" w:space="0" w:color="auto"/>
            </w:tcBorders>
            <w:shd w:val="clear" w:color="000000" w:fill="FFFFFF"/>
            <w:noWrap/>
            <w:vAlign w:val="center"/>
            <w:hideMark/>
          </w:tcPr>
          <w:p w:rsidR="009C030B" w:rsidRPr="009C030B" w:rsidRDefault="009C030B" w:rsidP="009C030B">
            <w:pPr>
              <w:jc w:val="right"/>
              <w:rPr>
                <w:color w:val="000000"/>
                <w:sz w:val="18"/>
                <w:szCs w:val="18"/>
              </w:rPr>
            </w:pPr>
            <w:r w:rsidRPr="009C030B">
              <w:rPr>
                <w:color w:val="000000"/>
                <w:sz w:val="18"/>
                <w:szCs w:val="18"/>
              </w:rPr>
              <w:t> </w:t>
            </w:r>
          </w:p>
        </w:tc>
        <w:tc>
          <w:tcPr>
            <w:tcW w:w="686" w:type="pct"/>
            <w:tcBorders>
              <w:top w:val="nil"/>
              <w:left w:val="nil"/>
              <w:bottom w:val="single" w:sz="4" w:space="0" w:color="auto"/>
              <w:right w:val="single" w:sz="4" w:space="0" w:color="auto"/>
            </w:tcBorders>
            <w:shd w:val="clear" w:color="000000" w:fill="FFFFFF"/>
            <w:noWrap/>
            <w:vAlign w:val="center"/>
            <w:hideMark/>
          </w:tcPr>
          <w:p w:rsidR="009C030B" w:rsidRPr="009C030B" w:rsidRDefault="009C030B" w:rsidP="009C030B">
            <w:pPr>
              <w:jc w:val="right"/>
              <w:rPr>
                <w:color w:val="000000"/>
                <w:sz w:val="18"/>
                <w:szCs w:val="18"/>
              </w:rPr>
            </w:pPr>
            <w:r w:rsidRPr="009C030B">
              <w:rPr>
                <w:color w:val="000000"/>
                <w:sz w:val="18"/>
                <w:szCs w:val="18"/>
              </w:rPr>
              <w:t>7 045 526</w:t>
            </w:r>
          </w:p>
        </w:tc>
        <w:tc>
          <w:tcPr>
            <w:tcW w:w="630" w:type="pct"/>
            <w:tcBorders>
              <w:top w:val="nil"/>
              <w:left w:val="nil"/>
              <w:bottom w:val="single" w:sz="4" w:space="0" w:color="auto"/>
              <w:right w:val="single" w:sz="4" w:space="0" w:color="auto"/>
            </w:tcBorders>
            <w:shd w:val="clear" w:color="000000" w:fill="FFFFFF"/>
            <w:noWrap/>
            <w:vAlign w:val="center"/>
            <w:hideMark/>
          </w:tcPr>
          <w:p w:rsidR="009C030B" w:rsidRPr="009C030B" w:rsidRDefault="009C030B" w:rsidP="009C030B">
            <w:pPr>
              <w:jc w:val="right"/>
              <w:rPr>
                <w:color w:val="000000"/>
                <w:sz w:val="18"/>
                <w:szCs w:val="18"/>
              </w:rPr>
            </w:pPr>
            <w:r w:rsidRPr="009C030B">
              <w:rPr>
                <w:color w:val="000000"/>
                <w:sz w:val="18"/>
                <w:szCs w:val="18"/>
              </w:rPr>
              <w:t>7 045 526</w:t>
            </w:r>
          </w:p>
        </w:tc>
        <w:tc>
          <w:tcPr>
            <w:tcW w:w="614" w:type="pct"/>
            <w:tcBorders>
              <w:top w:val="nil"/>
              <w:left w:val="nil"/>
              <w:bottom w:val="single" w:sz="4" w:space="0" w:color="auto"/>
              <w:right w:val="single" w:sz="4" w:space="0" w:color="auto"/>
            </w:tcBorders>
            <w:shd w:val="clear" w:color="000000" w:fill="FFFFFF"/>
            <w:noWrap/>
            <w:vAlign w:val="center"/>
            <w:hideMark/>
          </w:tcPr>
          <w:p w:rsidR="009C030B" w:rsidRPr="009C030B" w:rsidRDefault="009C030B" w:rsidP="009C030B">
            <w:pPr>
              <w:jc w:val="right"/>
              <w:rPr>
                <w:color w:val="000000"/>
                <w:sz w:val="18"/>
                <w:szCs w:val="18"/>
              </w:rPr>
            </w:pPr>
            <w:r w:rsidRPr="009C030B">
              <w:rPr>
                <w:color w:val="000000"/>
                <w:sz w:val="18"/>
                <w:szCs w:val="18"/>
              </w:rPr>
              <w:t>17 072 435</w:t>
            </w:r>
          </w:p>
        </w:tc>
        <w:tc>
          <w:tcPr>
            <w:tcW w:w="622" w:type="pct"/>
            <w:tcBorders>
              <w:top w:val="nil"/>
              <w:left w:val="nil"/>
              <w:bottom w:val="single" w:sz="4" w:space="0" w:color="auto"/>
              <w:right w:val="single" w:sz="4" w:space="0" w:color="auto"/>
            </w:tcBorders>
            <w:shd w:val="clear" w:color="000000" w:fill="FFFFFF"/>
            <w:noWrap/>
            <w:vAlign w:val="center"/>
            <w:hideMark/>
          </w:tcPr>
          <w:p w:rsidR="009C030B" w:rsidRPr="009C030B" w:rsidRDefault="009C030B" w:rsidP="009C030B">
            <w:pPr>
              <w:jc w:val="right"/>
              <w:rPr>
                <w:color w:val="000000"/>
                <w:sz w:val="18"/>
                <w:szCs w:val="18"/>
              </w:rPr>
            </w:pPr>
            <w:r w:rsidRPr="009C030B">
              <w:rPr>
                <w:color w:val="000000"/>
                <w:sz w:val="18"/>
                <w:szCs w:val="18"/>
              </w:rPr>
              <w:t>-617 824</w:t>
            </w:r>
          </w:p>
        </w:tc>
      </w:tr>
      <w:tr w:rsidR="009C030B" w:rsidRPr="009C030B" w:rsidTr="009C030B">
        <w:trPr>
          <w:trHeight w:val="300"/>
        </w:trPr>
        <w:tc>
          <w:tcPr>
            <w:tcW w:w="383" w:type="pct"/>
            <w:tcBorders>
              <w:top w:val="nil"/>
              <w:left w:val="single" w:sz="4" w:space="0" w:color="auto"/>
              <w:bottom w:val="single" w:sz="4" w:space="0" w:color="auto"/>
              <w:right w:val="single" w:sz="4" w:space="0" w:color="auto"/>
            </w:tcBorders>
            <w:shd w:val="clear" w:color="000000" w:fill="FFFFEF"/>
            <w:vAlign w:val="center"/>
            <w:hideMark/>
          </w:tcPr>
          <w:p w:rsidR="009C030B" w:rsidRPr="009C030B" w:rsidRDefault="009C030B" w:rsidP="009C030B">
            <w:pPr>
              <w:jc w:val="center"/>
              <w:rPr>
                <w:color w:val="000000"/>
                <w:sz w:val="18"/>
                <w:szCs w:val="18"/>
              </w:rPr>
            </w:pPr>
            <w:r w:rsidRPr="009C030B">
              <w:rPr>
                <w:color w:val="000000"/>
                <w:sz w:val="18"/>
                <w:szCs w:val="18"/>
              </w:rPr>
              <w:t>2014</w:t>
            </w:r>
          </w:p>
        </w:tc>
        <w:tc>
          <w:tcPr>
            <w:tcW w:w="829" w:type="pct"/>
            <w:tcBorders>
              <w:top w:val="nil"/>
              <w:left w:val="nil"/>
              <w:bottom w:val="single" w:sz="4" w:space="0" w:color="auto"/>
              <w:right w:val="single" w:sz="4" w:space="0" w:color="auto"/>
            </w:tcBorders>
            <w:shd w:val="clear" w:color="000000" w:fill="FFFFFF"/>
            <w:noWrap/>
            <w:vAlign w:val="center"/>
            <w:hideMark/>
          </w:tcPr>
          <w:p w:rsidR="009C030B" w:rsidRPr="009C030B" w:rsidRDefault="009C030B" w:rsidP="009C030B">
            <w:pPr>
              <w:jc w:val="right"/>
              <w:rPr>
                <w:color w:val="000000"/>
                <w:sz w:val="18"/>
                <w:szCs w:val="18"/>
              </w:rPr>
            </w:pPr>
            <w:r w:rsidRPr="009C030B">
              <w:rPr>
                <w:color w:val="000000"/>
                <w:sz w:val="18"/>
                <w:szCs w:val="18"/>
              </w:rPr>
              <w:t>0</w:t>
            </w:r>
          </w:p>
        </w:tc>
        <w:tc>
          <w:tcPr>
            <w:tcW w:w="654" w:type="pct"/>
            <w:tcBorders>
              <w:top w:val="nil"/>
              <w:left w:val="nil"/>
              <w:bottom w:val="single" w:sz="4" w:space="0" w:color="auto"/>
              <w:right w:val="single" w:sz="4" w:space="0" w:color="auto"/>
            </w:tcBorders>
            <w:shd w:val="clear" w:color="000000" w:fill="FFFFFF"/>
            <w:noWrap/>
            <w:vAlign w:val="center"/>
            <w:hideMark/>
          </w:tcPr>
          <w:p w:rsidR="009C030B" w:rsidRPr="009C030B" w:rsidRDefault="009C030B" w:rsidP="009C030B">
            <w:pPr>
              <w:jc w:val="right"/>
              <w:rPr>
                <w:color w:val="000000"/>
                <w:sz w:val="18"/>
                <w:szCs w:val="18"/>
              </w:rPr>
            </w:pPr>
            <w:r w:rsidRPr="009C030B">
              <w:rPr>
                <w:color w:val="000000"/>
                <w:sz w:val="18"/>
                <w:szCs w:val="18"/>
              </w:rPr>
              <w:t>20 406 088</w:t>
            </w:r>
          </w:p>
        </w:tc>
        <w:tc>
          <w:tcPr>
            <w:tcW w:w="582" w:type="pct"/>
            <w:tcBorders>
              <w:top w:val="nil"/>
              <w:left w:val="nil"/>
              <w:bottom w:val="single" w:sz="4" w:space="0" w:color="auto"/>
              <w:right w:val="single" w:sz="4" w:space="0" w:color="auto"/>
            </w:tcBorders>
            <w:shd w:val="clear" w:color="000000" w:fill="FFFFFF"/>
            <w:noWrap/>
            <w:vAlign w:val="center"/>
            <w:hideMark/>
          </w:tcPr>
          <w:p w:rsidR="009C030B" w:rsidRPr="009C030B" w:rsidRDefault="009C030B" w:rsidP="009C030B">
            <w:pPr>
              <w:jc w:val="right"/>
              <w:rPr>
                <w:color w:val="000000"/>
                <w:sz w:val="18"/>
                <w:szCs w:val="18"/>
              </w:rPr>
            </w:pPr>
            <w:r w:rsidRPr="009C030B">
              <w:rPr>
                <w:color w:val="000000"/>
                <w:sz w:val="18"/>
                <w:szCs w:val="18"/>
              </w:rPr>
              <w:t> </w:t>
            </w:r>
          </w:p>
        </w:tc>
        <w:tc>
          <w:tcPr>
            <w:tcW w:w="686" w:type="pct"/>
            <w:tcBorders>
              <w:top w:val="nil"/>
              <w:left w:val="nil"/>
              <w:bottom w:val="single" w:sz="4" w:space="0" w:color="auto"/>
              <w:right w:val="single" w:sz="4" w:space="0" w:color="auto"/>
            </w:tcBorders>
            <w:shd w:val="clear" w:color="000000" w:fill="FFFFFF"/>
            <w:noWrap/>
            <w:vAlign w:val="center"/>
            <w:hideMark/>
          </w:tcPr>
          <w:p w:rsidR="009C030B" w:rsidRPr="009C030B" w:rsidRDefault="009C030B" w:rsidP="009C030B">
            <w:pPr>
              <w:jc w:val="right"/>
              <w:rPr>
                <w:color w:val="000000"/>
                <w:sz w:val="18"/>
                <w:szCs w:val="18"/>
              </w:rPr>
            </w:pPr>
            <w:r w:rsidRPr="009C030B">
              <w:rPr>
                <w:color w:val="000000"/>
                <w:sz w:val="18"/>
                <w:szCs w:val="18"/>
              </w:rPr>
              <w:t>3 333 651</w:t>
            </w:r>
          </w:p>
        </w:tc>
        <w:tc>
          <w:tcPr>
            <w:tcW w:w="630" w:type="pct"/>
            <w:tcBorders>
              <w:top w:val="nil"/>
              <w:left w:val="nil"/>
              <w:bottom w:val="single" w:sz="4" w:space="0" w:color="auto"/>
              <w:right w:val="single" w:sz="4" w:space="0" w:color="auto"/>
            </w:tcBorders>
            <w:shd w:val="clear" w:color="000000" w:fill="FFFFFF"/>
            <w:noWrap/>
            <w:vAlign w:val="center"/>
            <w:hideMark/>
          </w:tcPr>
          <w:p w:rsidR="009C030B" w:rsidRPr="009C030B" w:rsidRDefault="009C030B" w:rsidP="009C030B">
            <w:pPr>
              <w:jc w:val="right"/>
              <w:rPr>
                <w:color w:val="000000"/>
                <w:sz w:val="18"/>
                <w:szCs w:val="18"/>
              </w:rPr>
            </w:pPr>
            <w:r w:rsidRPr="009C030B">
              <w:rPr>
                <w:color w:val="000000"/>
                <w:sz w:val="18"/>
                <w:szCs w:val="18"/>
              </w:rPr>
              <w:t>3 333 651</w:t>
            </w:r>
          </w:p>
        </w:tc>
        <w:tc>
          <w:tcPr>
            <w:tcW w:w="614" w:type="pct"/>
            <w:tcBorders>
              <w:top w:val="nil"/>
              <w:left w:val="nil"/>
              <w:bottom w:val="single" w:sz="4" w:space="0" w:color="auto"/>
              <w:right w:val="single" w:sz="4" w:space="0" w:color="auto"/>
            </w:tcBorders>
            <w:shd w:val="clear" w:color="000000" w:fill="FFFFFF"/>
            <w:noWrap/>
            <w:vAlign w:val="center"/>
            <w:hideMark/>
          </w:tcPr>
          <w:p w:rsidR="009C030B" w:rsidRPr="009C030B" w:rsidRDefault="009C030B" w:rsidP="009C030B">
            <w:pPr>
              <w:jc w:val="right"/>
              <w:rPr>
                <w:color w:val="000000"/>
                <w:sz w:val="18"/>
                <w:szCs w:val="18"/>
              </w:rPr>
            </w:pPr>
            <w:r w:rsidRPr="009C030B">
              <w:rPr>
                <w:color w:val="000000"/>
                <w:sz w:val="18"/>
                <w:szCs w:val="18"/>
              </w:rPr>
              <w:t>20 406 087</w:t>
            </w:r>
          </w:p>
        </w:tc>
        <w:tc>
          <w:tcPr>
            <w:tcW w:w="622" w:type="pct"/>
            <w:tcBorders>
              <w:top w:val="nil"/>
              <w:left w:val="nil"/>
              <w:bottom w:val="single" w:sz="4" w:space="0" w:color="auto"/>
              <w:right w:val="single" w:sz="4" w:space="0" w:color="auto"/>
            </w:tcBorders>
            <w:shd w:val="clear" w:color="000000" w:fill="FFFFFF"/>
            <w:noWrap/>
            <w:vAlign w:val="center"/>
            <w:hideMark/>
          </w:tcPr>
          <w:p w:rsidR="009C030B" w:rsidRPr="009C030B" w:rsidRDefault="009C030B" w:rsidP="009C030B">
            <w:pPr>
              <w:jc w:val="right"/>
              <w:rPr>
                <w:color w:val="000000"/>
                <w:sz w:val="18"/>
                <w:szCs w:val="18"/>
              </w:rPr>
            </w:pPr>
            <w:r w:rsidRPr="009C030B">
              <w:rPr>
                <w:color w:val="000000"/>
                <w:sz w:val="18"/>
                <w:szCs w:val="18"/>
              </w:rPr>
              <w:t>-1</w:t>
            </w:r>
          </w:p>
        </w:tc>
      </w:tr>
      <w:tr w:rsidR="009C030B" w:rsidRPr="009C030B" w:rsidTr="009C030B">
        <w:trPr>
          <w:trHeight w:val="300"/>
        </w:trPr>
        <w:tc>
          <w:tcPr>
            <w:tcW w:w="383" w:type="pct"/>
            <w:tcBorders>
              <w:top w:val="nil"/>
              <w:left w:val="single" w:sz="4" w:space="0" w:color="auto"/>
              <w:bottom w:val="single" w:sz="4" w:space="0" w:color="auto"/>
              <w:right w:val="single" w:sz="4" w:space="0" w:color="auto"/>
            </w:tcBorders>
            <w:shd w:val="clear" w:color="000000" w:fill="FFFFEF"/>
            <w:vAlign w:val="center"/>
            <w:hideMark/>
          </w:tcPr>
          <w:p w:rsidR="009C030B" w:rsidRPr="009C030B" w:rsidRDefault="009C030B" w:rsidP="009C030B">
            <w:pPr>
              <w:jc w:val="center"/>
              <w:rPr>
                <w:color w:val="000000"/>
                <w:sz w:val="18"/>
                <w:szCs w:val="18"/>
              </w:rPr>
            </w:pPr>
            <w:r w:rsidRPr="009C030B">
              <w:rPr>
                <w:color w:val="000000"/>
                <w:sz w:val="18"/>
                <w:szCs w:val="18"/>
              </w:rPr>
              <w:t>2015</w:t>
            </w:r>
          </w:p>
        </w:tc>
        <w:tc>
          <w:tcPr>
            <w:tcW w:w="829" w:type="pct"/>
            <w:tcBorders>
              <w:top w:val="nil"/>
              <w:left w:val="nil"/>
              <w:bottom w:val="single" w:sz="4" w:space="0" w:color="auto"/>
              <w:right w:val="single" w:sz="4" w:space="0" w:color="auto"/>
            </w:tcBorders>
            <w:shd w:val="clear" w:color="000000" w:fill="FFFFFF"/>
            <w:noWrap/>
            <w:vAlign w:val="center"/>
            <w:hideMark/>
          </w:tcPr>
          <w:p w:rsidR="009C030B" w:rsidRPr="009C030B" w:rsidRDefault="009C030B" w:rsidP="009C030B">
            <w:pPr>
              <w:jc w:val="right"/>
              <w:rPr>
                <w:color w:val="000000"/>
                <w:sz w:val="18"/>
                <w:szCs w:val="18"/>
              </w:rPr>
            </w:pPr>
            <w:r w:rsidRPr="009C030B">
              <w:rPr>
                <w:color w:val="000000"/>
                <w:sz w:val="18"/>
                <w:szCs w:val="18"/>
              </w:rPr>
              <w:t>0</w:t>
            </w:r>
          </w:p>
        </w:tc>
        <w:tc>
          <w:tcPr>
            <w:tcW w:w="654" w:type="pct"/>
            <w:tcBorders>
              <w:top w:val="nil"/>
              <w:left w:val="nil"/>
              <w:bottom w:val="single" w:sz="4" w:space="0" w:color="auto"/>
              <w:right w:val="single" w:sz="4" w:space="0" w:color="auto"/>
            </w:tcBorders>
            <w:shd w:val="clear" w:color="000000" w:fill="FFFFFF"/>
            <w:noWrap/>
            <w:vAlign w:val="center"/>
            <w:hideMark/>
          </w:tcPr>
          <w:p w:rsidR="009C030B" w:rsidRPr="009C030B" w:rsidRDefault="009C030B" w:rsidP="009C030B">
            <w:pPr>
              <w:jc w:val="right"/>
              <w:rPr>
                <w:color w:val="000000"/>
                <w:sz w:val="18"/>
                <w:szCs w:val="18"/>
              </w:rPr>
            </w:pPr>
            <w:r w:rsidRPr="009C030B">
              <w:rPr>
                <w:color w:val="000000"/>
                <w:sz w:val="18"/>
                <w:szCs w:val="18"/>
              </w:rPr>
              <w:t>23 801 334</w:t>
            </w:r>
          </w:p>
        </w:tc>
        <w:tc>
          <w:tcPr>
            <w:tcW w:w="582" w:type="pct"/>
            <w:tcBorders>
              <w:top w:val="nil"/>
              <w:left w:val="nil"/>
              <w:bottom w:val="single" w:sz="4" w:space="0" w:color="auto"/>
              <w:right w:val="single" w:sz="4" w:space="0" w:color="auto"/>
            </w:tcBorders>
            <w:shd w:val="clear" w:color="000000" w:fill="FFFFFF"/>
            <w:noWrap/>
            <w:vAlign w:val="center"/>
            <w:hideMark/>
          </w:tcPr>
          <w:p w:rsidR="009C030B" w:rsidRPr="009C030B" w:rsidRDefault="009C030B" w:rsidP="009C030B">
            <w:pPr>
              <w:jc w:val="right"/>
              <w:rPr>
                <w:color w:val="000000"/>
                <w:sz w:val="18"/>
                <w:szCs w:val="18"/>
              </w:rPr>
            </w:pPr>
            <w:r w:rsidRPr="009C030B">
              <w:rPr>
                <w:color w:val="000000"/>
                <w:sz w:val="18"/>
                <w:szCs w:val="18"/>
              </w:rPr>
              <w:t> </w:t>
            </w:r>
          </w:p>
        </w:tc>
        <w:tc>
          <w:tcPr>
            <w:tcW w:w="686" w:type="pct"/>
            <w:tcBorders>
              <w:top w:val="nil"/>
              <w:left w:val="nil"/>
              <w:bottom w:val="single" w:sz="4" w:space="0" w:color="auto"/>
              <w:right w:val="single" w:sz="4" w:space="0" w:color="auto"/>
            </w:tcBorders>
            <w:shd w:val="clear" w:color="000000" w:fill="FFFFFF"/>
            <w:noWrap/>
            <w:vAlign w:val="center"/>
            <w:hideMark/>
          </w:tcPr>
          <w:p w:rsidR="009C030B" w:rsidRPr="009C030B" w:rsidRDefault="009C030B" w:rsidP="009C030B">
            <w:pPr>
              <w:jc w:val="right"/>
              <w:rPr>
                <w:color w:val="000000"/>
                <w:sz w:val="18"/>
                <w:szCs w:val="18"/>
              </w:rPr>
            </w:pPr>
            <w:r w:rsidRPr="009C030B">
              <w:rPr>
                <w:color w:val="000000"/>
                <w:sz w:val="18"/>
                <w:szCs w:val="18"/>
              </w:rPr>
              <w:t>-13</w:t>
            </w:r>
            <w:r w:rsidR="00C14E75">
              <w:rPr>
                <w:color w:val="000000"/>
                <w:sz w:val="18"/>
                <w:szCs w:val="18"/>
              </w:rPr>
              <w:t> </w:t>
            </w:r>
            <w:r w:rsidRPr="009C030B">
              <w:rPr>
                <w:color w:val="000000"/>
                <w:sz w:val="18"/>
                <w:szCs w:val="18"/>
              </w:rPr>
              <w:t>321</w:t>
            </w:r>
            <w:r w:rsidR="00C14E75">
              <w:rPr>
                <w:color w:val="000000"/>
                <w:sz w:val="18"/>
                <w:szCs w:val="18"/>
              </w:rPr>
              <w:t>*</w:t>
            </w:r>
          </w:p>
        </w:tc>
        <w:tc>
          <w:tcPr>
            <w:tcW w:w="630" w:type="pct"/>
            <w:tcBorders>
              <w:top w:val="nil"/>
              <w:left w:val="nil"/>
              <w:bottom w:val="single" w:sz="4" w:space="0" w:color="auto"/>
              <w:right w:val="single" w:sz="4" w:space="0" w:color="auto"/>
            </w:tcBorders>
            <w:shd w:val="clear" w:color="000000" w:fill="FFFFFF"/>
            <w:noWrap/>
            <w:vAlign w:val="center"/>
            <w:hideMark/>
          </w:tcPr>
          <w:p w:rsidR="009C030B" w:rsidRPr="009C030B" w:rsidRDefault="009C030B" w:rsidP="009C030B">
            <w:pPr>
              <w:jc w:val="right"/>
              <w:rPr>
                <w:color w:val="000000"/>
                <w:sz w:val="18"/>
                <w:szCs w:val="18"/>
              </w:rPr>
            </w:pPr>
            <w:r w:rsidRPr="009C030B">
              <w:rPr>
                <w:color w:val="000000"/>
                <w:sz w:val="18"/>
                <w:szCs w:val="18"/>
              </w:rPr>
              <w:t>-13 321</w:t>
            </w:r>
          </w:p>
        </w:tc>
        <w:tc>
          <w:tcPr>
            <w:tcW w:w="614" w:type="pct"/>
            <w:tcBorders>
              <w:top w:val="nil"/>
              <w:left w:val="nil"/>
              <w:bottom w:val="single" w:sz="4" w:space="0" w:color="auto"/>
              <w:right w:val="single" w:sz="4" w:space="0" w:color="auto"/>
            </w:tcBorders>
            <w:shd w:val="clear" w:color="000000" w:fill="FFFFFF"/>
            <w:noWrap/>
            <w:vAlign w:val="center"/>
            <w:hideMark/>
          </w:tcPr>
          <w:p w:rsidR="009C030B" w:rsidRPr="009C030B" w:rsidRDefault="009C030B" w:rsidP="009C030B">
            <w:pPr>
              <w:jc w:val="right"/>
              <w:rPr>
                <w:color w:val="000000"/>
                <w:sz w:val="18"/>
                <w:szCs w:val="18"/>
              </w:rPr>
            </w:pPr>
            <w:r w:rsidRPr="009C030B">
              <w:rPr>
                <w:color w:val="000000"/>
                <w:sz w:val="18"/>
                <w:szCs w:val="18"/>
              </w:rPr>
              <w:t>20 392 766</w:t>
            </w:r>
          </w:p>
        </w:tc>
        <w:tc>
          <w:tcPr>
            <w:tcW w:w="622" w:type="pct"/>
            <w:tcBorders>
              <w:top w:val="nil"/>
              <w:left w:val="nil"/>
              <w:bottom w:val="single" w:sz="4" w:space="0" w:color="auto"/>
              <w:right w:val="single" w:sz="4" w:space="0" w:color="auto"/>
            </w:tcBorders>
            <w:shd w:val="clear" w:color="000000" w:fill="FFFFFF"/>
            <w:noWrap/>
            <w:vAlign w:val="center"/>
            <w:hideMark/>
          </w:tcPr>
          <w:p w:rsidR="009C030B" w:rsidRPr="009C030B" w:rsidRDefault="009C030B" w:rsidP="009C030B">
            <w:pPr>
              <w:jc w:val="right"/>
              <w:rPr>
                <w:color w:val="000000"/>
                <w:sz w:val="18"/>
                <w:szCs w:val="18"/>
              </w:rPr>
            </w:pPr>
            <w:r w:rsidRPr="009C030B">
              <w:rPr>
                <w:color w:val="000000"/>
                <w:sz w:val="18"/>
                <w:szCs w:val="18"/>
              </w:rPr>
              <w:t>-3 408 568</w:t>
            </w:r>
          </w:p>
        </w:tc>
      </w:tr>
      <w:tr w:rsidR="009C030B" w:rsidRPr="009C030B" w:rsidTr="009C030B">
        <w:trPr>
          <w:trHeight w:val="300"/>
        </w:trPr>
        <w:tc>
          <w:tcPr>
            <w:tcW w:w="383" w:type="pct"/>
            <w:tcBorders>
              <w:top w:val="nil"/>
              <w:left w:val="single" w:sz="4" w:space="0" w:color="auto"/>
              <w:bottom w:val="single" w:sz="4" w:space="0" w:color="auto"/>
              <w:right w:val="single" w:sz="4" w:space="0" w:color="auto"/>
            </w:tcBorders>
            <w:shd w:val="clear" w:color="000000" w:fill="B8CCE4"/>
            <w:vAlign w:val="center"/>
            <w:hideMark/>
          </w:tcPr>
          <w:p w:rsidR="009C030B" w:rsidRPr="009C030B" w:rsidRDefault="009C030B" w:rsidP="009C030B">
            <w:pPr>
              <w:jc w:val="right"/>
              <w:rPr>
                <w:b/>
                <w:bCs/>
                <w:color w:val="000000"/>
                <w:sz w:val="18"/>
                <w:szCs w:val="18"/>
              </w:rPr>
            </w:pPr>
            <w:r w:rsidRPr="009C030B">
              <w:rPr>
                <w:b/>
                <w:bCs/>
                <w:color w:val="000000"/>
                <w:sz w:val="18"/>
                <w:szCs w:val="18"/>
              </w:rPr>
              <w:t>Celkem</w:t>
            </w:r>
          </w:p>
        </w:tc>
        <w:tc>
          <w:tcPr>
            <w:tcW w:w="829" w:type="pct"/>
            <w:tcBorders>
              <w:top w:val="nil"/>
              <w:left w:val="nil"/>
              <w:bottom w:val="single" w:sz="4" w:space="0" w:color="auto"/>
              <w:right w:val="single" w:sz="4" w:space="0" w:color="auto"/>
            </w:tcBorders>
            <w:shd w:val="clear" w:color="000000" w:fill="B8CCE4"/>
            <w:noWrap/>
            <w:vAlign w:val="center"/>
            <w:hideMark/>
          </w:tcPr>
          <w:p w:rsidR="009C030B" w:rsidRPr="009C030B" w:rsidRDefault="009C030B" w:rsidP="009C030B">
            <w:pPr>
              <w:jc w:val="right"/>
              <w:rPr>
                <w:b/>
                <w:bCs/>
                <w:color w:val="000000"/>
                <w:sz w:val="18"/>
                <w:szCs w:val="18"/>
              </w:rPr>
            </w:pPr>
            <w:r w:rsidRPr="009C030B">
              <w:rPr>
                <w:b/>
                <w:bCs/>
                <w:color w:val="000000"/>
                <w:sz w:val="18"/>
                <w:szCs w:val="18"/>
              </w:rPr>
              <w:t>23 801 334</w:t>
            </w:r>
          </w:p>
        </w:tc>
        <w:tc>
          <w:tcPr>
            <w:tcW w:w="654" w:type="pct"/>
            <w:tcBorders>
              <w:top w:val="nil"/>
              <w:left w:val="nil"/>
              <w:bottom w:val="single" w:sz="4" w:space="0" w:color="auto"/>
              <w:right w:val="single" w:sz="4" w:space="0" w:color="auto"/>
            </w:tcBorders>
            <w:shd w:val="clear" w:color="000000" w:fill="B8CCE4"/>
            <w:noWrap/>
            <w:vAlign w:val="center"/>
            <w:hideMark/>
          </w:tcPr>
          <w:p w:rsidR="009C030B" w:rsidRPr="009C030B" w:rsidRDefault="009C030B" w:rsidP="009C030B">
            <w:pPr>
              <w:jc w:val="right"/>
              <w:rPr>
                <w:b/>
                <w:bCs/>
                <w:color w:val="000000"/>
                <w:sz w:val="18"/>
                <w:szCs w:val="18"/>
              </w:rPr>
            </w:pPr>
            <w:r w:rsidRPr="009C030B">
              <w:rPr>
                <w:b/>
                <w:bCs/>
                <w:color w:val="000000"/>
                <w:sz w:val="18"/>
                <w:szCs w:val="18"/>
              </w:rPr>
              <w:t>23 801 334</w:t>
            </w:r>
          </w:p>
        </w:tc>
        <w:tc>
          <w:tcPr>
            <w:tcW w:w="582" w:type="pct"/>
            <w:tcBorders>
              <w:top w:val="nil"/>
              <w:left w:val="nil"/>
              <w:bottom w:val="single" w:sz="4" w:space="0" w:color="auto"/>
              <w:right w:val="single" w:sz="4" w:space="0" w:color="auto"/>
            </w:tcBorders>
            <w:shd w:val="clear" w:color="000000" w:fill="B8CCE4"/>
            <w:noWrap/>
            <w:vAlign w:val="center"/>
            <w:hideMark/>
          </w:tcPr>
          <w:p w:rsidR="009C030B" w:rsidRPr="009C030B" w:rsidRDefault="009C030B" w:rsidP="009C030B">
            <w:pPr>
              <w:jc w:val="right"/>
              <w:rPr>
                <w:b/>
                <w:bCs/>
                <w:color w:val="000000"/>
                <w:sz w:val="18"/>
                <w:szCs w:val="18"/>
              </w:rPr>
            </w:pPr>
            <w:r w:rsidRPr="009C030B">
              <w:rPr>
                <w:b/>
                <w:bCs/>
                <w:color w:val="000000"/>
                <w:sz w:val="18"/>
                <w:szCs w:val="18"/>
              </w:rPr>
              <w:t>2 644 155</w:t>
            </w:r>
          </w:p>
        </w:tc>
        <w:tc>
          <w:tcPr>
            <w:tcW w:w="686" w:type="pct"/>
            <w:tcBorders>
              <w:top w:val="nil"/>
              <w:left w:val="nil"/>
              <w:bottom w:val="single" w:sz="4" w:space="0" w:color="auto"/>
              <w:right w:val="single" w:sz="4" w:space="0" w:color="auto"/>
            </w:tcBorders>
            <w:shd w:val="clear" w:color="000000" w:fill="B8CCE4"/>
            <w:noWrap/>
            <w:vAlign w:val="center"/>
            <w:hideMark/>
          </w:tcPr>
          <w:p w:rsidR="009C030B" w:rsidRPr="009C030B" w:rsidRDefault="009C030B" w:rsidP="009C030B">
            <w:pPr>
              <w:jc w:val="right"/>
              <w:rPr>
                <w:b/>
                <w:bCs/>
                <w:color w:val="000000"/>
                <w:sz w:val="18"/>
                <w:szCs w:val="18"/>
              </w:rPr>
            </w:pPr>
            <w:r w:rsidRPr="009C030B">
              <w:rPr>
                <w:b/>
                <w:bCs/>
                <w:color w:val="000000"/>
                <w:sz w:val="18"/>
                <w:szCs w:val="18"/>
              </w:rPr>
              <w:t>17 748 611</w:t>
            </w:r>
          </w:p>
        </w:tc>
        <w:tc>
          <w:tcPr>
            <w:tcW w:w="630" w:type="pct"/>
            <w:tcBorders>
              <w:top w:val="nil"/>
              <w:left w:val="nil"/>
              <w:bottom w:val="single" w:sz="4" w:space="0" w:color="auto"/>
              <w:right w:val="single" w:sz="4" w:space="0" w:color="auto"/>
            </w:tcBorders>
            <w:shd w:val="clear" w:color="000000" w:fill="B8CCE4"/>
            <w:noWrap/>
            <w:vAlign w:val="center"/>
            <w:hideMark/>
          </w:tcPr>
          <w:p w:rsidR="009C030B" w:rsidRPr="009C030B" w:rsidRDefault="009C030B" w:rsidP="009C030B">
            <w:pPr>
              <w:jc w:val="right"/>
              <w:rPr>
                <w:b/>
                <w:bCs/>
                <w:color w:val="000000"/>
                <w:sz w:val="18"/>
                <w:szCs w:val="18"/>
              </w:rPr>
            </w:pPr>
            <w:r w:rsidRPr="009C030B">
              <w:rPr>
                <w:b/>
                <w:bCs/>
                <w:color w:val="000000"/>
                <w:sz w:val="18"/>
                <w:szCs w:val="18"/>
              </w:rPr>
              <w:t>20 392 766</w:t>
            </w:r>
          </w:p>
        </w:tc>
        <w:tc>
          <w:tcPr>
            <w:tcW w:w="614" w:type="pct"/>
            <w:tcBorders>
              <w:top w:val="nil"/>
              <w:left w:val="nil"/>
              <w:bottom w:val="single" w:sz="4" w:space="0" w:color="auto"/>
              <w:right w:val="single" w:sz="4" w:space="0" w:color="auto"/>
            </w:tcBorders>
            <w:shd w:val="clear" w:color="000000" w:fill="B8CCE4"/>
            <w:noWrap/>
            <w:vAlign w:val="center"/>
            <w:hideMark/>
          </w:tcPr>
          <w:p w:rsidR="009C030B" w:rsidRPr="009C030B" w:rsidRDefault="009C030B" w:rsidP="009C030B">
            <w:pPr>
              <w:jc w:val="right"/>
              <w:rPr>
                <w:b/>
                <w:bCs/>
                <w:color w:val="000000"/>
                <w:sz w:val="18"/>
                <w:szCs w:val="18"/>
              </w:rPr>
            </w:pPr>
            <w:r w:rsidRPr="009C030B">
              <w:rPr>
                <w:b/>
                <w:bCs/>
                <w:color w:val="000000"/>
                <w:sz w:val="18"/>
                <w:szCs w:val="18"/>
              </w:rPr>
              <w:t>20 392 766</w:t>
            </w:r>
          </w:p>
        </w:tc>
        <w:tc>
          <w:tcPr>
            <w:tcW w:w="622" w:type="pct"/>
            <w:tcBorders>
              <w:top w:val="nil"/>
              <w:left w:val="nil"/>
              <w:bottom w:val="single" w:sz="4" w:space="0" w:color="auto"/>
              <w:right w:val="single" w:sz="4" w:space="0" w:color="auto"/>
            </w:tcBorders>
            <w:shd w:val="clear" w:color="000000" w:fill="B8CCE4"/>
            <w:noWrap/>
            <w:vAlign w:val="center"/>
            <w:hideMark/>
          </w:tcPr>
          <w:p w:rsidR="009C030B" w:rsidRPr="009C030B" w:rsidRDefault="009C030B" w:rsidP="009C030B">
            <w:pPr>
              <w:jc w:val="right"/>
              <w:rPr>
                <w:b/>
                <w:bCs/>
                <w:color w:val="000000"/>
                <w:sz w:val="18"/>
                <w:szCs w:val="18"/>
              </w:rPr>
            </w:pPr>
            <w:r w:rsidRPr="009C030B">
              <w:rPr>
                <w:b/>
                <w:bCs/>
                <w:color w:val="000000"/>
                <w:sz w:val="18"/>
                <w:szCs w:val="18"/>
              </w:rPr>
              <w:t>-3 408 567</w:t>
            </w:r>
          </w:p>
        </w:tc>
      </w:tr>
    </w:tbl>
    <w:p w:rsidR="00AF5949" w:rsidRPr="001242B0" w:rsidRDefault="00CE119D" w:rsidP="00AF5949">
      <w:pPr>
        <w:jc w:val="both"/>
        <w:rPr>
          <w:sz w:val="18"/>
          <w:szCs w:val="18"/>
        </w:rPr>
      </w:pPr>
      <w:r w:rsidRPr="001242B0">
        <w:rPr>
          <w:sz w:val="18"/>
          <w:szCs w:val="18"/>
        </w:rPr>
        <w:t>Zdroj: MSC</w:t>
      </w:r>
      <w:r w:rsidR="00AF5949" w:rsidRPr="001242B0">
        <w:rPr>
          <w:sz w:val="18"/>
          <w:szCs w:val="18"/>
        </w:rPr>
        <w:t xml:space="preserve"> </w:t>
      </w:r>
      <w:r w:rsidR="00914BC7">
        <w:rPr>
          <w:sz w:val="18"/>
          <w:szCs w:val="18"/>
        </w:rPr>
        <w:t>k 30. 9. 2015</w:t>
      </w:r>
    </w:p>
    <w:p w:rsidR="0093247E" w:rsidRDefault="0093247E" w:rsidP="0093247E">
      <w:pPr>
        <w:jc w:val="both"/>
        <w:rPr>
          <w:sz w:val="18"/>
          <w:szCs w:val="18"/>
        </w:rPr>
      </w:pPr>
      <w:r w:rsidRPr="001242B0">
        <w:rPr>
          <w:sz w:val="18"/>
          <w:szCs w:val="18"/>
        </w:rPr>
        <w:t xml:space="preserve">Pozn.: V tabulce je upraven sloupec Žádosti o průběžnou platbu předložené EK. V prosinci 2011 byla </w:t>
      </w:r>
      <w:r w:rsidR="0083782A" w:rsidRPr="001242B0">
        <w:rPr>
          <w:sz w:val="18"/>
          <w:szCs w:val="18"/>
        </w:rPr>
        <w:t xml:space="preserve">předložena </w:t>
      </w:r>
      <w:r w:rsidR="0083782A" w:rsidRPr="001242B0">
        <w:rPr>
          <w:sz w:val="18"/>
          <w:szCs w:val="18"/>
        </w:rPr>
        <w:br/>
        <w:t>8. průběžná</w:t>
      </w:r>
      <w:r w:rsidRPr="001242B0">
        <w:rPr>
          <w:sz w:val="18"/>
          <w:szCs w:val="18"/>
        </w:rPr>
        <w:t xml:space="preserve"> žádost o platbu ve výši 28 120 764,12 EUR pro cíl KONV a 1 442 828,55 EUR pro cíl </w:t>
      </w:r>
      <w:proofErr w:type="spellStart"/>
      <w:r w:rsidRPr="001242B0">
        <w:rPr>
          <w:sz w:val="18"/>
          <w:szCs w:val="18"/>
        </w:rPr>
        <w:t>RKaZ</w:t>
      </w:r>
      <w:proofErr w:type="spellEnd"/>
      <w:r w:rsidRPr="001242B0">
        <w:rPr>
          <w:sz w:val="18"/>
          <w:szCs w:val="18"/>
        </w:rPr>
        <w:t xml:space="preserve">, která byla v únoru 2012 stažena. Do ročních žádostí za rok 2011 je započítána částka 8. průběžné platby, v roce 2012 je počítáno s rozdílem mezi 9 a 8. platbou, aby nedocházelo k duplikaci.  </w:t>
      </w:r>
    </w:p>
    <w:p w:rsidR="00C14E75" w:rsidRDefault="00C14E75" w:rsidP="00C14E75">
      <w:pPr>
        <w:rPr>
          <w:color w:val="1F497D"/>
        </w:rPr>
      </w:pPr>
      <w:r>
        <w:rPr>
          <w:color w:val="1F497D"/>
        </w:rPr>
        <w:t>*</w:t>
      </w:r>
      <w:r w:rsidR="00FF50AC">
        <w:rPr>
          <w:i/>
          <w:sz w:val="18"/>
          <w:szCs w:val="18"/>
        </w:rPr>
        <w:t>V tabulce předběžných plateb</w:t>
      </w:r>
      <w:r w:rsidR="00D32AF0" w:rsidRPr="00D32AF0">
        <w:rPr>
          <w:i/>
          <w:sz w:val="18"/>
          <w:szCs w:val="18"/>
        </w:rPr>
        <w:t xml:space="preserve"> je uvedena záporná Žádost o průběžnou platbu za rok 2015</w:t>
      </w:r>
      <w:r w:rsidR="002413CD">
        <w:rPr>
          <w:i/>
          <w:sz w:val="18"/>
          <w:szCs w:val="18"/>
        </w:rPr>
        <w:t>.</w:t>
      </w:r>
      <w:r w:rsidR="00D32AF0" w:rsidRPr="00D32AF0">
        <w:rPr>
          <w:i/>
          <w:sz w:val="18"/>
          <w:szCs w:val="18"/>
        </w:rPr>
        <w:t xml:space="preserve"> Důvodem jet, že od </w:t>
      </w:r>
      <w:r w:rsidRPr="00D32AF0">
        <w:rPr>
          <w:i/>
          <w:sz w:val="18"/>
          <w:szCs w:val="18"/>
        </w:rPr>
        <w:t>výkazu výdajů v cíli 2 v PO1</w:t>
      </w:r>
      <w:r w:rsidR="00D32AF0" w:rsidRPr="00D32AF0">
        <w:rPr>
          <w:i/>
          <w:sz w:val="18"/>
          <w:szCs w:val="18"/>
        </w:rPr>
        <w:t xml:space="preserve"> byly odečteny</w:t>
      </w:r>
      <w:r w:rsidRPr="00D32AF0">
        <w:rPr>
          <w:i/>
          <w:sz w:val="18"/>
          <w:szCs w:val="18"/>
        </w:rPr>
        <w:t xml:space="preserve"> korekce vyšší než výdaje, zadruhé je cíl 2 v PO4  ze 100</w:t>
      </w:r>
      <w:r w:rsidR="00D32AF0" w:rsidRPr="00D32AF0">
        <w:rPr>
          <w:i/>
          <w:sz w:val="18"/>
          <w:szCs w:val="18"/>
        </w:rPr>
        <w:t xml:space="preserve"> </w:t>
      </w:r>
      <w:r w:rsidRPr="00D32AF0">
        <w:rPr>
          <w:i/>
          <w:sz w:val="18"/>
          <w:szCs w:val="18"/>
        </w:rPr>
        <w:t xml:space="preserve">% vyčerpán a aplikován strop na žádost o </w:t>
      </w:r>
      <w:proofErr w:type="gramStart"/>
      <w:r w:rsidRPr="00D32AF0">
        <w:rPr>
          <w:i/>
          <w:sz w:val="18"/>
          <w:szCs w:val="18"/>
        </w:rPr>
        <w:t>platbu.</w:t>
      </w:r>
      <w:r w:rsidRPr="00D32AF0">
        <w:rPr>
          <w:i/>
        </w:rPr>
        <w:t>.</w:t>
      </w:r>
      <w:proofErr w:type="gramEnd"/>
    </w:p>
    <w:p w:rsidR="007F5BE1" w:rsidRPr="001242B0" w:rsidRDefault="007F5BE1" w:rsidP="0093247E">
      <w:pPr>
        <w:jc w:val="both"/>
        <w:rPr>
          <w:sz w:val="18"/>
          <w:szCs w:val="18"/>
        </w:rPr>
      </w:pPr>
    </w:p>
    <w:p w:rsidR="008D2121" w:rsidRDefault="008D2121" w:rsidP="002A67A8">
      <w:bookmarkStart w:id="50" w:name="_Toc306893694"/>
    </w:p>
    <w:p w:rsidR="00435D35" w:rsidRDefault="00435D35" w:rsidP="00435D35">
      <w:pPr>
        <w:pStyle w:val="Nadpis3"/>
        <w:spacing w:before="0" w:after="0"/>
        <w:jc w:val="both"/>
        <w:rPr>
          <w:b w:val="0"/>
          <w:sz w:val="24"/>
          <w:szCs w:val="24"/>
        </w:rPr>
      </w:pPr>
      <w:bookmarkStart w:id="51" w:name="_Toc433873481"/>
      <w:r w:rsidRPr="006266F5">
        <w:rPr>
          <w:rFonts w:ascii="Times New Roman" w:hAnsi="Times New Roman"/>
          <w:sz w:val="24"/>
          <w:szCs w:val="24"/>
        </w:rPr>
        <w:t>2.</w:t>
      </w:r>
      <w:r>
        <w:rPr>
          <w:rFonts w:ascii="Times New Roman" w:hAnsi="Times New Roman"/>
          <w:sz w:val="24"/>
          <w:szCs w:val="24"/>
        </w:rPr>
        <w:t>7</w:t>
      </w:r>
      <w:r w:rsidRPr="006266F5">
        <w:rPr>
          <w:rFonts w:ascii="Times New Roman" w:hAnsi="Times New Roman"/>
          <w:sz w:val="24"/>
          <w:szCs w:val="24"/>
        </w:rPr>
        <w:t xml:space="preserve">.1 Analýza rizik ve vztahu k </w:t>
      </w:r>
      <w:r w:rsidR="00FC421C">
        <w:rPr>
          <w:rFonts w:ascii="Times New Roman" w:hAnsi="Times New Roman"/>
          <w:sz w:val="24"/>
          <w:szCs w:val="24"/>
        </w:rPr>
        <w:t>dočerpání programu</w:t>
      </w:r>
      <w:bookmarkEnd w:id="51"/>
      <w:r w:rsidRPr="006266F5">
        <w:rPr>
          <w:rFonts w:ascii="Times New Roman" w:hAnsi="Times New Roman"/>
          <w:sz w:val="24"/>
          <w:szCs w:val="24"/>
        </w:rPr>
        <w:t xml:space="preserve"> </w:t>
      </w:r>
      <w:bookmarkEnd w:id="50"/>
    </w:p>
    <w:p w:rsidR="00B46706" w:rsidRPr="0065764F" w:rsidRDefault="00B46706" w:rsidP="0065764F">
      <w:pPr>
        <w:jc w:val="both"/>
        <w:rPr>
          <w:sz w:val="22"/>
          <w:szCs w:val="22"/>
        </w:rPr>
      </w:pPr>
      <w:r w:rsidRPr="0065764F">
        <w:rPr>
          <w:sz w:val="22"/>
          <w:szCs w:val="22"/>
        </w:rPr>
        <w:t>Predikce dočerpání alokace zobrazuje níže uvedená tabulka č. 10 Výhled nedočerpání alokace. Plány čerpání vychází z predikcí, stanoven</w:t>
      </w:r>
      <w:r w:rsidR="002413CD">
        <w:rPr>
          <w:sz w:val="22"/>
          <w:szCs w:val="22"/>
        </w:rPr>
        <w:t>ých</w:t>
      </w:r>
      <w:r w:rsidRPr="0065764F">
        <w:rPr>
          <w:sz w:val="22"/>
          <w:szCs w:val="22"/>
        </w:rPr>
        <w:t xml:space="preserve"> na základě harmonogramů projektů </w:t>
      </w:r>
      <w:r w:rsidR="002B0F17" w:rsidRPr="0065764F">
        <w:rPr>
          <w:sz w:val="22"/>
          <w:szCs w:val="22"/>
        </w:rPr>
        <w:br/>
      </w:r>
      <w:r w:rsidRPr="0065764F">
        <w:rPr>
          <w:sz w:val="22"/>
          <w:szCs w:val="22"/>
        </w:rPr>
        <w:t xml:space="preserve">v IS Monit7+. Predikce jsou poníženy o odhady úspor z výběrových řízení a žádostí o platbu, které odpovídají dosavadním zkušenostem. </w:t>
      </w:r>
      <w:r w:rsidR="0065764F" w:rsidRPr="0065764F">
        <w:rPr>
          <w:sz w:val="22"/>
          <w:szCs w:val="22"/>
        </w:rPr>
        <w:t>Prostředky musí příjemci vynaložit do 31. 12. 2015, kdy končí způsobilost výdajů pro programové období 2007-2013. Administrace plateb bude probíhat ještě v roce 2016.</w:t>
      </w:r>
    </w:p>
    <w:p w:rsidR="00B46706" w:rsidRPr="00B46706" w:rsidRDefault="00B46706" w:rsidP="00B46706">
      <w:pPr>
        <w:jc w:val="both"/>
        <w:rPr>
          <w:sz w:val="22"/>
          <w:szCs w:val="22"/>
        </w:rPr>
      </w:pPr>
    </w:p>
    <w:p w:rsidR="00B46706" w:rsidRPr="00B46706" w:rsidRDefault="00611B69" w:rsidP="00B46706">
      <w:pPr>
        <w:jc w:val="both"/>
        <w:rPr>
          <w:sz w:val="22"/>
          <w:szCs w:val="22"/>
        </w:rPr>
      </w:pPr>
      <w:r>
        <w:rPr>
          <w:sz w:val="22"/>
          <w:szCs w:val="22"/>
        </w:rPr>
        <w:t xml:space="preserve">V predikcích nedočerpání je zohledněno </w:t>
      </w:r>
      <w:r w:rsidR="00DA4545">
        <w:rPr>
          <w:sz w:val="22"/>
          <w:szCs w:val="22"/>
        </w:rPr>
        <w:t xml:space="preserve">také </w:t>
      </w:r>
      <w:r>
        <w:rPr>
          <w:sz w:val="22"/>
          <w:szCs w:val="22"/>
        </w:rPr>
        <w:t>určit</w:t>
      </w:r>
      <w:r w:rsidR="00DA4545">
        <w:rPr>
          <w:sz w:val="22"/>
          <w:szCs w:val="22"/>
        </w:rPr>
        <w:t>é</w:t>
      </w:r>
      <w:r>
        <w:rPr>
          <w:sz w:val="22"/>
          <w:szCs w:val="22"/>
        </w:rPr>
        <w:t xml:space="preserve"> procento z objemu spících a vysoce rizikových projektů. U těchto projektů existuje vysoká pravděpodobnost, že </w:t>
      </w:r>
      <w:r w:rsidR="00D9017B">
        <w:rPr>
          <w:sz w:val="22"/>
          <w:szCs w:val="22"/>
        </w:rPr>
        <w:t xml:space="preserve">nebudou dokončeny v plánovaném čase či objemu. </w:t>
      </w:r>
      <w:r w:rsidR="00B46706" w:rsidRPr="00B46706">
        <w:rPr>
          <w:sz w:val="22"/>
          <w:szCs w:val="22"/>
        </w:rPr>
        <w:t>Na základě započítání spících a vysoce rizikových projektů byly vytvořeny 3 varianty predikcí:</w:t>
      </w:r>
    </w:p>
    <w:p w:rsidR="00B46706" w:rsidRPr="00B46706" w:rsidRDefault="00B46706" w:rsidP="00B46706">
      <w:pPr>
        <w:jc w:val="both"/>
        <w:rPr>
          <w:sz w:val="22"/>
          <w:szCs w:val="22"/>
        </w:rPr>
      </w:pPr>
      <w:r w:rsidRPr="00B46706">
        <w:rPr>
          <w:sz w:val="22"/>
          <w:szCs w:val="22"/>
        </w:rPr>
        <w:t>Optimistická varianta:  Odečteno 10 % z objemu vysoce rizikových a spících projektů.</w:t>
      </w:r>
    </w:p>
    <w:p w:rsidR="00B46706" w:rsidRPr="00B46706" w:rsidRDefault="00B46706" w:rsidP="00B46706">
      <w:pPr>
        <w:jc w:val="both"/>
        <w:rPr>
          <w:sz w:val="22"/>
          <w:szCs w:val="22"/>
        </w:rPr>
      </w:pPr>
      <w:r w:rsidRPr="00B46706">
        <w:rPr>
          <w:sz w:val="22"/>
          <w:szCs w:val="22"/>
        </w:rPr>
        <w:t>Střední varianta: Odečteno 15 % objemu vysoce rizikových a 30 % objemu spících projektů.</w:t>
      </w:r>
    </w:p>
    <w:p w:rsidR="00B46706" w:rsidRPr="00B46706" w:rsidRDefault="00B46706" w:rsidP="00B46706">
      <w:pPr>
        <w:jc w:val="both"/>
        <w:rPr>
          <w:sz w:val="22"/>
          <w:szCs w:val="22"/>
        </w:rPr>
      </w:pPr>
      <w:r w:rsidRPr="00B46706">
        <w:rPr>
          <w:sz w:val="22"/>
          <w:szCs w:val="22"/>
        </w:rPr>
        <w:t>Pesimistická varianta: Odečteno 50 % objemu vysoce rizikových a spících projektů.</w:t>
      </w:r>
    </w:p>
    <w:p w:rsidR="00B46706" w:rsidRPr="00B46706" w:rsidRDefault="00B46706" w:rsidP="00B46706">
      <w:pPr>
        <w:jc w:val="both"/>
        <w:rPr>
          <w:sz w:val="22"/>
          <w:szCs w:val="22"/>
        </w:rPr>
      </w:pPr>
    </w:p>
    <w:p w:rsidR="00B46706" w:rsidRPr="00B46706" w:rsidRDefault="002413CD" w:rsidP="00B46706">
      <w:pPr>
        <w:jc w:val="both"/>
        <w:rPr>
          <w:sz w:val="22"/>
          <w:szCs w:val="22"/>
        </w:rPr>
      </w:pPr>
      <w:r>
        <w:rPr>
          <w:b/>
          <w:sz w:val="22"/>
          <w:szCs w:val="22"/>
        </w:rPr>
        <w:t>Pod</w:t>
      </w:r>
      <w:r w:rsidR="00B46706" w:rsidRPr="00611B69">
        <w:rPr>
          <w:b/>
          <w:sz w:val="22"/>
          <w:szCs w:val="22"/>
        </w:rPr>
        <w:t xml:space="preserve">le optimistické varianty hrozí </w:t>
      </w:r>
      <w:r w:rsidR="00D9017B">
        <w:rPr>
          <w:b/>
          <w:sz w:val="22"/>
          <w:szCs w:val="22"/>
        </w:rPr>
        <w:t>podle dat k 30. 9. 2015</w:t>
      </w:r>
      <w:r w:rsidR="00B46706" w:rsidRPr="00611B69">
        <w:rPr>
          <w:b/>
          <w:sz w:val="22"/>
          <w:szCs w:val="22"/>
        </w:rPr>
        <w:t xml:space="preserve"> nedočerpání alokace ve výši 2,</w:t>
      </w:r>
      <w:r w:rsidR="00D9017B">
        <w:rPr>
          <w:b/>
          <w:sz w:val="22"/>
          <w:szCs w:val="22"/>
        </w:rPr>
        <w:t>0</w:t>
      </w:r>
      <w:r w:rsidR="00B46706" w:rsidRPr="00611B69">
        <w:rPr>
          <w:b/>
          <w:sz w:val="22"/>
          <w:szCs w:val="22"/>
        </w:rPr>
        <w:t xml:space="preserve"> m</w:t>
      </w:r>
      <w:r w:rsidR="00D9017B">
        <w:rPr>
          <w:b/>
          <w:sz w:val="22"/>
          <w:szCs w:val="22"/>
        </w:rPr>
        <w:t xml:space="preserve">ld. Kč, </w:t>
      </w:r>
      <w:r>
        <w:rPr>
          <w:b/>
          <w:sz w:val="22"/>
          <w:szCs w:val="22"/>
        </w:rPr>
        <w:t>po</w:t>
      </w:r>
      <w:r w:rsidR="00D9017B">
        <w:rPr>
          <w:b/>
          <w:sz w:val="22"/>
          <w:szCs w:val="22"/>
        </w:rPr>
        <w:t>dle střední varianty 2,3</w:t>
      </w:r>
      <w:r w:rsidR="00B46706" w:rsidRPr="00611B69">
        <w:rPr>
          <w:b/>
          <w:sz w:val="22"/>
          <w:szCs w:val="22"/>
        </w:rPr>
        <w:t xml:space="preserve"> mld. Kč a </w:t>
      </w:r>
      <w:r>
        <w:rPr>
          <w:b/>
          <w:sz w:val="22"/>
          <w:szCs w:val="22"/>
        </w:rPr>
        <w:t>po</w:t>
      </w:r>
      <w:r w:rsidR="00B46706" w:rsidRPr="00611B69">
        <w:rPr>
          <w:b/>
          <w:sz w:val="22"/>
          <w:szCs w:val="22"/>
        </w:rPr>
        <w:t>dle pesimistické varianty 4,</w:t>
      </w:r>
      <w:r w:rsidR="00D9017B">
        <w:rPr>
          <w:b/>
          <w:sz w:val="22"/>
          <w:szCs w:val="22"/>
        </w:rPr>
        <w:t>1</w:t>
      </w:r>
      <w:r w:rsidR="00B46706" w:rsidRPr="00611B69">
        <w:rPr>
          <w:b/>
          <w:sz w:val="22"/>
          <w:szCs w:val="22"/>
        </w:rPr>
        <w:t xml:space="preserve"> mld. Kč</w:t>
      </w:r>
      <w:r w:rsidR="00B46706" w:rsidRPr="00B46706">
        <w:rPr>
          <w:sz w:val="22"/>
          <w:szCs w:val="22"/>
        </w:rPr>
        <w:t xml:space="preserve">. </w:t>
      </w:r>
    </w:p>
    <w:p w:rsidR="00B46706" w:rsidRPr="00B46706" w:rsidRDefault="00B46706" w:rsidP="00B46706">
      <w:pPr>
        <w:jc w:val="both"/>
        <w:rPr>
          <w:sz w:val="22"/>
          <w:szCs w:val="22"/>
        </w:rPr>
      </w:pPr>
    </w:p>
    <w:p w:rsidR="00B46706" w:rsidRPr="00B46706" w:rsidRDefault="00B46706" w:rsidP="00B46706">
      <w:pPr>
        <w:jc w:val="both"/>
        <w:rPr>
          <w:sz w:val="22"/>
          <w:szCs w:val="22"/>
        </w:rPr>
      </w:pPr>
      <w:r w:rsidRPr="00B46706">
        <w:rPr>
          <w:sz w:val="22"/>
          <w:szCs w:val="22"/>
        </w:rPr>
        <w:t xml:space="preserve">V poslední aktualizaci problémových projektů k </w:t>
      </w:r>
      <w:r w:rsidR="00611B69" w:rsidRPr="00B46706">
        <w:rPr>
          <w:sz w:val="22"/>
          <w:szCs w:val="22"/>
        </w:rPr>
        <w:t>1. 7. 2015</w:t>
      </w:r>
      <w:r w:rsidRPr="00B46706">
        <w:rPr>
          <w:sz w:val="22"/>
          <w:szCs w:val="22"/>
        </w:rPr>
        <w:t xml:space="preserve"> nebyly stanoveny žádné spící projekty, odečítá se tedy pouze stanovené procento vysoce rizikových. </w:t>
      </w:r>
    </w:p>
    <w:p w:rsidR="00B46706" w:rsidRPr="00B46706" w:rsidRDefault="00B46706" w:rsidP="00B46706">
      <w:pPr>
        <w:jc w:val="both"/>
        <w:rPr>
          <w:sz w:val="22"/>
          <w:szCs w:val="22"/>
        </w:rPr>
      </w:pPr>
    </w:p>
    <w:p w:rsidR="00B46706" w:rsidRDefault="002413CD" w:rsidP="00B46706">
      <w:pPr>
        <w:jc w:val="both"/>
        <w:rPr>
          <w:sz w:val="22"/>
          <w:szCs w:val="22"/>
        </w:rPr>
      </w:pPr>
      <w:r>
        <w:rPr>
          <w:sz w:val="22"/>
          <w:szCs w:val="22"/>
        </w:rPr>
        <w:t>V</w:t>
      </w:r>
      <w:r w:rsidR="00D9017B">
        <w:rPr>
          <w:sz w:val="22"/>
          <w:szCs w:val="22"/>
        </w:rPr>
        <w:t>íce viz kapitola 2.</w:t>
      </w:r>
      <w:r w:rsidR="0065764F">
        <w:rPr>
          <w:sz w:val="22"/>
          <w:szCs w:val="22"/>
        </w:rPr>
        <w:t>4.1 Riziko nedočerpání alokace.</w:t>
      </w:r>
    </w:p>
    <w:p w:rsidR="00B46706" w:rsidRDefault="00B46706" w:rsidP="00B46706">
      <w:pPr>
        <w:jc w:val="both"/>
        <w:rPr>
          <w:sz w:val="22"/>
          <w:szCs w:val="22"/>
        </w:rPr>
      </w:pPr>
    </w:p>
    <w:p w:rsidR="007D66D0" w:rsidRDefault="007D66D0" w:rsidP="00B46706">
      <w:pPr>
        <w:jc w:val="both"/>
        <w:rPr>
          <w:sz w:val="22"/>
          <w:szCs w:val="22"/>
        </w:rPr>
      </w:pPr>
    </w:p>
    <w:p w:rsidR="007D66D0" w:rsidRDefault="007D66D0" w:rsidP="00B46706">
      <w:pPr>
        <w:jc w:val="both"/>
        <w:rPr>
          <w:sz w:val="22"/>
          <w:szCs w:val="22"/>
        </w:rPr>
      </w:pPr>
    </w:p>
    <w:p w:rsidR="007D66D0" w:rsidRDefault="007D66D0" w:rsidP="00B46706">
      <w:pPr>
        <w:jc w:val="both"/>
        <w:rPr>
          <w:sz w:val="22"/>
          <w:szCs w:val="22"/>
        </w:rPr>
      </w:pPr>
    </w:p>
    <w:p w:rsidR="00B056DE" w:rsidRDefault="0098567C" w:rsidP="00B46706">
      <w:pPr>
        <w:pStyle w:val="Tabulkanzev"/>
      </w:pPr>
      <w:bookmarkStart w:id="52" w:name="_Toc433873547"/>
      <w:r>
        <w:rPr>
          <w:b w:val="0"/>
        </w:rPr>
        <w:lastRenderedPageBreak/>
        <w:t>Výhled nedočerpání alokace</w:t>
      </w:r>
      <w:r w:rsidRPr="008E0161">
        <w:rPr>
          <w:b w:val="0"/>
        </w:rPr>
        <w:t xml:space="preserve"> (v </w:t>
      </w:r>
      <w:r w:rsidR="00B46706">
        <w:rPr>
          <w:b w:val="0"/>
        </w:rPr>
        <w:t>Kč</w:t>
      </w:r>
      <w:r w:rsidRPr="008E0161">
        <w:rPr>
          <w:b w:val="0"/>
        </w:rPr>
        <w:t>)</w:t>
      </w:r>
      <w:bookmarkEnd w:id="52"/>
    </w:p>
    <w:tbl>
      <w:tblPr>
        <w:tblW w:w="8379" w:type="dxa"/>
        <w:jc w:val="center"/>
        <w:tblInd w:w="55" w:type="dxa"/>
        <w:tblCellMar>
          <w:left w:w="70" w:type="dxa"/>
          <w:right w:w="70" w:type="dxa"/>
        </w:tblCellMar>
        <w:tblLook w:val="04A0" w:firstRow="1" w:lastRow="0" w:firstColumn="1" w:lastColumn="0" w:noHBand="0" w:noVBand="1"/>
      </w:tblPr>
      <w:tblGrid>
        <w:gridCol w:w="1926"/>
        <w:gridCol w:w="2151"/>
        <w:gridCol w:w="2151"/>
        <w:gridCol w:w="2151"/>
      </w:tblGrid>
      <w:tr w:rsidR="0098567C" w:rsidRPr="0098567C" w:rsidTr="00A14AF6">
        <w:trPr>
          <w:trHeight w:val="619"/>
          <w:jc w:val="center"/>
        </w:trPr>
        <w:tc>
          <w:tcPr>
            <w:tcW w:w="8378" w:type="dxa"/>
            <w:gridSpan w:val="4"/>
            <w:tcBorders>
              <w:top w:val="double" w:sz="4" w:space="0" w:color="1F497D" w:themeColor="text2"/>
              <w:left w:val="double" w:sz="4" w:space="0" w:color="1F497D" w:themeColor="text2"/>
              <w:bottom w:val="single" w:sz="8" w:space="0" w:color="1F497D" w:themeColor="text2"/>
              <w:right w:val="double" w:sz="4" w:space="0" w:color="1F497D" w:themeColor="text2"/>
            </w:tcBorders>
            <w:shd w:val="clear" w:color="000000" w:fill="C5D9F1"/>
            <w:vAlign w:val="center"/>
            <w:hideMark/>
          </w:tcPr>
          <w:p w:rsidR="0098567C" w:rsidRPr="0098567C" w:rsidRDefault="0098567C" w:rsidP="0098567C">
            <w:pPr>
              <w:jc w:val="center"/>
              <w:rPr>
                <w:b/>
                <w:bCs/>
                <w:color w:val="000000"/>
                <w:sz w:val="22"/>
                <w:szCs w:val="22"/>
              </w:rPr>
            </w:pPr>
            <w:r w:rsidRPr="0098567C">
              <w:rPr>
                <w:b/>
                <w:bCs/>
                <w:color w:val="000000"/>
                <w:sz w:val="22"/>
                <w:szCs w:val="22"/>
              </w:rPr>
              <w:t>Predikce (ne)dočerpání alokace IOP po odečtení části spících a vysoce rizikových projektů</w:t>
            </w:r>
          </w:p>
        </w:tc>
      </w:tr>
      <w:tr w:rsidR="00A14AF6" w:rsidRPr="0098567C" w:rsidTr="00A14AF6">
        <w:trPr>
          <w:trHeight w:val="619"/>
          <w:jc w:val="center"/>
        </w:trPr>
        <w:tc>
          <w:tcPr>
            <w:tcW w:w="1926" w:type="dxa"/>
            <w:tcBorders>
              <w:top w:val="single" w:sz="8" w:space="0" w:color="1F497D" w:themeColor="text2"/>
              <w:left w:val="double" w:sz="4" w:space="0" w:color="1F497D" w:themeColor="text2"/>
              <w:bottom w:val="single" w:sz="8" w:space="0" w:color="1F497D" w:themeColor="text2"/>
              <w:right w:val="single" w:sz="8" w:space="0" w:color="1F497D" w:themeColor="text2"/>
            </w:tcBorders>
            <w:shd w:val="clear" w:color="000000" w:fill="DCE6F1"/>
            <w:vAlign w:val="center"/>
            <w:hideMark/>
          </w:tcPr>
          <w:p w:rsidR="0098567C" w:rsidRPr="0098567C" w:rsidRDefault="0098567C" w:rsidP="0065764F">
            <w:pPr>
              <w:jc w:val="center"/>
              <w:rPr>
                <w:b/>
                <w:bCs/>
                <w:color w:val="000000"/>
                <w:sz w:val="22"/>
                <w:szCs w:val="22"/>
              </w:rPr>
            </w:pPr>
            <w:r w:rsidRPr="0098567C">
              <w:rPr>
                <w:b/>
                <w:bCs/>
                <w:color w:val="000000"/>
                <w:sz w:val="22"/>
                <w:szCs w:val="22"/>
              </w:rPr>
              <w:t>Oblast intervence</w:t>
            </w:r>
          </w:p>
        </w:tc>
        <w:tc>
          <w:tcPr>
            <w:tcW w:w="2151"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000000" w:fill="DCE6F1"/>
            <w:vAlign w:val="center"/>
            <w:hideMark/>
          </w:tcPr>
          <w:p w:rsidR="0098567C" w:rsidRPr="0098567C" w:rsidRDefault="0098567C" w:rsidP="0065764F">
            <w:pPr>
              <w:jc w:val="center"/>
              <w:rPr>
                <w:b/>
                <w:bCs/>
                <w:color w:val="000000"/>
                <w:sz w:val="22"/>
                <w:szCs w:val="22"/>
              </w:rPr>
            </w:pPr>
            <w:r w:rsidRPr="0098567C">
              <w:rPr>
                <w:b/>
                <w:bCs/>
                <w:color w:val="000000"/>
                <w:sz w:val="22"/>
                <w:szCs w:val="22"/>
              </w:rPr>
              <w:t>Optimistická varianta</w:t>
            </w:r>
          </w:p>
        </w:tc>
        <w:tc>
          <w:tcPr>
            <w:tcW w:w="2151"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000000" w:fill="DCE6F1"/>
            <w:vAlign w:val="center"/>
            <w:hideMark/>
          </w:tcPr>
          <w:p w:rsidR="0098567C" w:rsidRPr="0098567C" w:rsidRDefault="0065764F" w:rsidP="0065764F">
            <w:pPr>
              <w:jc w:val="center"/>
              <w:rPr>
                <w:b/>
                <w:bCs/>
                <w:color w:val="000000"/>
                <w:sz w:val="22"/>
                <w:szCs w:val="22"/>
              </w:rPr>
            </w:pPr>
            <w:r w:rsidRPr="00A14AF6">
              <w:rPr>
                <w:b/>
                <w:bCs/>
                <w:color w:val="000000"/>
                <w:sz w:val="22"/>
                <w:szCs w:val="22"/>
              </w:rPr>
              <w:t>Střední varianta</w:t>
            </w:r>
          </w:p>
        </w:tc>
        <w:tc>
          <w:tcPr>
            <w:tcW w:w="2151" w:type="dxa"/>
            <w:tcBorders>
              <w:top w:val="single" w:sz="8" w:space="0" w:color="1F497D" w:themeColor="text2"/>
              <w:left w:val="single" w:sz="8" w:space="0" w:color="1F497D" w:themeColor="text2"/>
              <w:bottom w:val="single" w:sz="8" w:space="0" w:color="1F497D" w:themeColor="text2"/>
              <w:right w:val="double" w:sz="4" w:space="0" w:color="1F497D" w:themeColor="text2"/>
            </w:tcBorders>
            <w:shd w:val="clear" w:color="000000" w:fill="DCE6F1"/>
            <w:vAlign w:val="center"/>
            <w:hideMark/>
          </w:tcPr>
          <w:p w:rsidR="0098567C" w:rsidRPr="0098567C" w:rsidRDefault="0098567C" w:rsidP="0065764F">
            <w:pPr>
              <w:jc w:val="center"/>
              <w:rPr>
                <w:b/>
                <w:bCs/>
                <w:color w:val="000000"/>
                <w:sz w:val="22"/>
                <w:szCs w:val="22"/>
              </w:rPr>
            </w:pPr>
            <w:r w:rsidRPr="0098567C">
              <w:rPr>
                <w:b/>
                <w:bCs/>
                <w:color w:val="000000"/>
                <w:sz w:val="22"/>
                <w:szCs w:val="22"/>
              </w:rPr>
              <w:t>Pesimistická varianta</w:t>
            </w:r>
          </w:p>
        </w:tc>
      </w:tr>
      <w:tr w:rsidR="0098567C" w:rsidRPr="0098567C" w:rsidTr="00A14AF6">
        <w:trPr>
          <w:trHeight w:val="303"/>
          <w:jc w:val="center"/>
        </w:trPr>
        <w:tc>
          <w:tcPr>
            <w:tcW w:w="1926" w:type="dxa"/>
            <w:tcBorders>
              <w:top w:val="single" w:sz="8" w:space="0" w:color="1F497D" w:themeColor="text2"/>
              <w:left w:val="double" w:sz="4" w:space="0" w:color="1F497D" w:themeColor="text2"/>
              <w:bottom w:val="single" w:sz="8" w:space="0" w:color="1F497D" w:themeColor="text2"/>
              <w:right w:val="single" w:sz="8" w:space="0" w:color="1F497D" w:themeColor="text2"/>
            </w:tcBorders>
            <w:shd w:val="clear" w:color="auto" w:fill="auto"/>
            <w:vAlign w:val="center"/>
            <w:hideMark/>
          </w:tcPr>
          <w:p w:rsidR="0098567C" w:rsidRPr="0098567C" w:rsidRDefault="0098567C" w:rsidP="0098567C">
            <w:pPr>
              <w:rPr>
                <w:color w:val="000000"/>
                <w:sz w:val="22"/>
                <w:szCs w:val="22"/>
              </w:rPr>
            </w:pPr>
            <w:r w:rsidRPr="0098567C">
              <w:rPr>
                <w:color w:val="000000"/>
                <w:sz w:val="22"/>
                <w:szCs w:val="22"/>
              </w:rPr>
              <w:t>1.1a</w:t>
            </w:r>
          </w:p>
        </w:tc>
        <w:tc>
          <w:tcPr>
            <w:tcW w:w="2151"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bottom"/>
            <w:hideMark/>
          </w:tcPr>
          <w:p w:rsidR="0098567C" w:rsidRPr="0098567C" w:rsidRDefault="0098567C" w:rsidP="0098567C">
            <w:pPr>
              <w:jc w:val="right"/>
              <w:rPr>
                <w:color w:val="000000"/>
                <w:sz w:val="22"/>
                <w:szCs w:val="22"/>
              </w:rPr>
            </w:pPr>
            <w:r w:rsidRPr="0098567C">
              <w:rPr>
                <w:color w:val="FF0000"/>
                <w:sz w:val="22"/>
                <w:szCs w:val="22"/>
              </w:rPr>
              <w:t xml:space="preserve">-1 486 891 832 </w:t>
            </w:r>
          </w:p>
        </w:tc>
        <w:tc>
          <w:tcPr>
            <w:tcW w:w="2151"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bottom"/>
            <w:hideMark/>
          </w:tcPr>
          <w:p w:rsidR="0098567C" w:rsidRPr="0098567C" w:rsidRDefault="0098567C" w:rsidP="0098567C">
            <w:pPr>
              <w:jc w:val="right"/>
              <w:rPr>
                <w:color w:val="000000"/>
                <w:sz w:val="22"/>
                <w:szCs w:val="22"/>
              </w:rPr>
            </w:pPr>
            <w:r w:rsidRPr="0098567C">
              <w:rPr>
                <w:color w:val="FF0000"/>
                <w:sz w:val="22"/>
                <w:szCs w:val="22"/>
              </w:rPr>
              <w:t xml:space="preserve">-1 543 059 710 </w:t>
            </w:r>
          </w:p>
        </w:tc>
        <w:tc>
          <w:tcPr>
            <w:tcW w:w="2151" w:type="dxa"/>
            <w:tcBorders>
              <w:top w:val="single" w:sz="8" w:space="0" w:color="1F497D" w:themeColor="text2"/>
              <w:left w:val="single" w:sz="8" w:space="0" w:color="1F497D" w:themeColor="text2"/>
              <w:bottom w:val="single" w:sz="8" w:space="0" w:color="1F497D" w:themeColor="text2"/>
              <w:right w:val="double" w:sz="4" w:space="0" w:color="1F497D" w:themeColor="text2"/>
            </w:tcBorders>
            <w:shd w:val="clear" w:color="auto" w:fill="auto"/>
            <w:noWrap/>
            <w:vAlign w:val="bottom"/>
            <w:hideMark/>
          </w:tcPr>
          <w:p w:rsidR="0098567C" w:rsidRPr="0098567C" w:rsidRDefault="0098567C" w:rsidP="0098567C">
            <w:pPr>
              <w:jc w:val="right"/>
              <w:rPr>
                <w:color w:val="000000"/>
                <w:sz w:val="22"/>
                <w:szCs w:val="22"/>
              </w:rPr>
            </w:pPr>
            <w:r w:rsidRPr="0098567C">
              <w:rPr>
                <w:color w:val="FF0000"/>
                <w:sz w:val="22"/>
                <w:szCs w:val="22"/>
              </w:rPr>
              <w:t xml:space="preserve">-1 936 234 860 </w:t>
            </w:r>
          </w:p>
        </w:tc>
      </w:tr>
      <w:tr w:rsidR="0098567C" w:rsidRPr="0098567C" w:rsidTr="00A14AF6">
        <w:trPr>
          <w:trHeight w:val="303"/>
          <w:jc w:val="center"/>
        </w:trPr>
        <w:tc>
          <w:tcPr>
            <w:tcW w:w="1926" w:type="dxa"/>
            <w:tcBorders>
              <w:top w:val="single" w:sz="8" w:space="0" w:color="1F497D" w:themeColor="text2"/>
              <w:left w:val="double" w:sz="4" w:space="0" w:color="1F497D" w:themeColor="text2"/>
              <w:bottom w:val="single" w:sz="8" w:space="0" w:color="1F497D" w:themeColor="text2"/>
              <w:right w:val="single" w:sz="8" w:space="0" w:color="1F497D" w:themeColor="text2"/>
            </w:tcBorders>
            <w:shd w:val="clear" w:color="auto" w:fill="auto"/>
            <w:vAlign w:val="center"/>
            <w:hideMark/>
          </w:tcPr>
          <w:p w:rsidR="0098567C" w:rsidRPr="0098567C" w:rsidRDefault="0098567C" w:rsidP="0098567C">
            <w:pPr>
              <w:rPr>
                <w:color w:val="000000"/>
                <w:sz w:val="22"/>
                <w:szCs w:val="22"/>
              </w:rPr>
            </w:pPr>
            <w:r w:rsidRPr="0098567C">
              <w:rPr>
                <w:color w:val="000000"/>
                <w:sz w:val="22"/>
                <w:szCs w:val="22"/>
              </w:rPr>
              <w:t>1.1b</w:t>
            </w:r>
          </w:p>
        </w:tc>
        <w:tc>
          <w:tcPr>
            <w:tcW w:w="2151"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bottom"/>
            <w:hideMark/>
          </w:tcPr>
          <w:p w:rsidR="0098567C" w:rsidRPr="0098567C" w:rsidRDefault="0098567C" w:rsidP="0098567C">
            <w:pPr>
              <w:jc w:val="right"/>
              <w:rPr>
                <w:color w:val="000000"/>
                <w:sz w:val="22"/>
                <w:szCs w:val="22"/>
              </w:rPr>
            </w:pPr>
            <w:r w:rsidRPr="0098567C">
              <w:rPr>
                <w:color w:val="FF0000"/>
                <w:sz w:val="22"/>
                <w:szCs w:val="22"/>
              </w:rPr>
              <w:t xml:space="preserve">-51 633 835 </w:t>
            </w:r>
          </w:p>
        </w:tc>
        <w:tc>
          <w:tcPr>
            <w:tcW w:w="2151"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bottom"/>
            <w:hideMark/>
          </w:tcPr>
          <w:p w:rsidR="0098567C" w:rsidRPr="0098567C" w:rsidRDefault="0098567C" w:rsidP="0098567C">
            <w:pPr>
              <w:jc w:val="right"/>
              <w:rPr>
                <w:color w:val="000000"/>
                <w:sz w:val="22"/>
                <w:szCs w:val="22"/>
              </w:rPr>
            </w:pPr>
            <w:r w:rsidRPr="0098567C">
              <w:rPr>
                <w:color w:val="FF0000"/>
                <w:sz w:val="22"/>
                <w:szCs w:val="22"/>
              </w:rPr>
              <w:t xml:space="preserve">-55 954 441 </w:t>
            </w:r>
          </w:p>
        </w:tc>
        <w:tc>
          <w:tcPr>
            <w:tcW w:w="2151" w:type="dxa"/>
            <w:tcBorders>
              <w:top w:val="single" w:sz="8" w:space="0" w:color="1F497D" w:themeColor="text2"/>
              <w:left w:val="single" w:sz="8" w:space="0" w:color="1F497D" w:themeColor="text2"/>
              <w:bottom w:val="single" w:sz="8" w:space="0" w:color="1F497D" w:themeColor="text2"/>
              <w:right w:val="double" w:sz="4" w:space="0" w:color="1F497D" w:themeColor="text2"/>
            </w:tcBorders>
            <w:shd w:val="clear" w:color="auto" w:fill="auto"/>
            <w:noWrap/>
            <w:vAlign w:val="bottom"/>
            <w:hideMark/>
          </w:tcPr>
          <w:p w:rsidR="0098567C" w:rsidRPr="0098567C" w:rsidRDefault="0098567C" w:rsidP="0098567C">
            <w:pPr>
              <w:jc w:val="right"/>
              <w:rPr>
                <w:color w:val="000000"/>
                <w:sz w:val="22"/>
                <w:szCs w:val="22"/>
              </w:rPr>
            </w:pPr>
            <w:r w:rsidRPr="0098567C">
              <w:rPr>
                <w:color w:val="FF0000"/>
                <w:sz w:val="22"/>
                <w:szCs w:val="22"/>
              </w:rPr>
              <w:t xml:space="preserve">-86 198 684 </w:t>
            </w:r>
          </w:p>
        </w:tc>
      </w:tr>
      <w:tr w:rsidR="0098567C" w:rsidRPr="0098567C" w:rsidTr="00A14AF6">
        <w:trPr>
          <w:trHeight w:val="303"/>
          <w:jc w:val="center"/>
        </w:trPr>
        <w:tc>
          <w:tcPr>
            <w:tcW w:w="1926" w:type="dxa"/>
            <w:tcBorders>
              <w:top w:val="single" w:sz="8" w:space="0" w:color="1F497D" w:themeColor="text2"/>
              <w:left w:val="double" w:sz="4" w:space="0" w:color="1F497D" w:themeColor="text2"/>
              <w:bottom w:val="single" w:sz="8" w:space="0" w:color="1F497D" w:themeColor="text2"/>
              <w:right w:val="single" w:sz="8" w:space="0" w:color="1F497D" w:themeColor="text2"/>
            </w:tcBorders>
            <w:shd w:val="clear" w:color="auto" w:fill="auto"/>
            <w:vAlign w:val="center"/>
            <w:hideMark/>
          </w:tcPr>
          <w:p w:rsidR="0098567C" w:rsidRPr="0098567C" w:rsidRDefault="0098567C" w:rsidP="0098567C">
            <w:pPr>
              <w:rPr>
                <w:color w:val="000000"/>
                <w:sz w:val="22"/>
                <w:szCs w:val="22"/>
              </w:rPr>
            </w:pPr>
            <w:r w:rsidRPr="0098567C">
              <w:rPr>
                <w:color w:val="000000"/>
                <w:sz w:val="22"/>
                <w:szCs w:val="22"/>
              </w:rPr>
              <w:t>2.1</w:t>
            </w:r>
          </w:p>
        </w:tc>
        <w:tc>
          <w:tcPr>
            <w:tcW w:w="2151"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bottom"/>
            <w:hideMark/>
          </w:tcPr>
          <w:p w:rsidR="0098567C" w:rsidRPr="0098567C" w:rsidRDefault="0098567C" w:rsidP="0098567C">
            <w:pPr>
              <w:jc w:val="right"/>
              <w:rPr>
                <w:color w:val="000000"/>
                <w:sz w:val="22"/>
                <w:szCs w:val="22"/>
              </w:rPr>
            </w:pPr>
            <w:r w:rsidRPr="0098567C">
              <w:rPr>
                <w:color w:val="FF0000"/>
                <w:sz w:val="22"/>
                <w:szCs w:val="22"/>
              </w:rPr>
              <w:t xml:space="preserve">-373 758 379 </w:t>
            </w:r>
          </w:p>
        </w:tc>
        <w:tc>
          <w:tcPr>
            <w:tcW w:w="2151"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bottom"/>
            <w:hideMark/>
          </w:tcPr>
          <w:p w:rsidR="0098567C" w:rsidRPr="0098567C" w:rsidRDefault="0098567C" w:rsidP="0098567C">
            <w:pPr>
              <w:jc w:val="right"/>
              <w:rPr>
                <w:color w:val="000000"/>
                <w:sz w:val="22"/>
                <w:szCs w:val="22"/>
              </w:rPr>
            </w:pPr>
            <w:r w:rsidRPr="0098567C">
              <w:rPr>
                <w:color w:val="FF0000"/>
                <w:sz w:val="22"/>
                <w:szCs w:val="22"/>
              </w:rPr>
              <w:t xml:space="preserve">-380 053 810 </w:t>
            </w:r>
          </w:p>
        </w:tc>
        <w:tc>
          <w:tcPr>
            <w:tcW w:w="2151" w:type="dxa"/>
            <w:tcBorders>
              <w:top w:val="single" w:sz="8" w:space="0" w:color="1F497D" w:themeColor="text2"/>
              <w:left w:val="single" w:sz="8" w:space="0" w:color="1F497D" w:themeColor="text2"/>
              <w:bottom w:val="single" w:sz="8" w:space="0" w:color="1F497D" w:themeColor="text2"/>
              <w:right w:val="double" w:sz="4" w:space="0" w:color="1F497D" w:themeColor="text2"/>
            </w:tcBorders>
            <w:shd w:val="clear" w:color="auto" w:fill="auto"/>
            <w:noWrap/>
            <w:vAlign w:val="bottom"/>
            <w:hideMark/>
          </w:tcPr>
          <w:p w:rsidR="0098567C" w:rsidRPr="0098567C" w:rsidRDefault="0098567C" w:rsidP="0098567C">
            <w:pPr>
              <w:jc w:val="right"/>
              <w:rPr>
                <w:color w:val="000000"/>
                <w:sz w:val="22"/>
                <w:szCs w:val="22"/>
              </w:rPr>
            </w:pPr>
            <w:r w:rsidRPr="0098567C">
              <w:rPr>
                <w:color w:val="FF0000"/>
                <w:sz w:val="22"/>
                <w:szCs w:val="22"/>
              </w:rPr>
              <w:t xml:space="preserve">-424 121 832 </w:t>
            </w:r>
          </w:p>
        </w:tc>
      </w:tr>
      <w:tr w:rsidR="0098567C" w:rsidRPr="0098567C" w:rsidTr="00A14AF6">
        <w:trPr>
          <w:trHeight w:val="303"/>
          <w:jc w:val="center"/>
        </w:trPr>
        <w:tc>
          <w:tcPr>
            <w:tcW w:w="1926" w:type="dxa"/>
            <w:tcBorders>
              <w:top w:val="single" w:sz="8" w:space="0" w:color="1F497D" w:themeColor="text2"/>
              <w:left w:val="double" w:sz="4" w:space="0" w:color="1F497D" w:themeColor="text2"/>
              <w:bottom w:val="single" w:sz="8" w:space="0" w:color="1F497D" w:themeColor="text2"/>
              <w:right w:val="single" w:sz="8" w:space="0" w:color="1F497D" w:themeColor="text2"/>
            </w:tcBorders>
            <w:shd w:val="clear" w:color="auto" w:fill="auto"/>
            <w:vAlign w:val="center"/>
            <w:hideMark/>
          </w:tcPr>
          <w:p w:rsidR="0098567C" w:rsidRPr="0098567C" w:rsidRDefault="0098567C" w:rsidP="0098567C">
            <w:pPr>
              <w:rPr>
                <w:color w:val="000000"/>
                <w:sz w:val="22"/>
                <w:szCs w:val="22"/>
              </w:rPr>
            </w:pPr>
            <w:r w:rsidRPr="0098567C">
              <w:rPr>
                <w:color w:val="000000"/>
                <w:sz w:val="22"/>
                <w:szCs w:val="22"/>
              </w:rPr>
              <w:t>3.1</w:t>
            </w:r>
          </w:p>
        </w:tc>
        <w:tc>
          <w:tcPr>
            <w:tcW w:w="2151"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bottom"/>
            <w:hideMark/>
          </w:tcPr>
          <w:p w:rsidR="0098567C" w:rsidRPr="0098567C" w:rsidRDefault="0098567C" w:rsidP="0098567C">
            <w:pPr>
              <w:jc w:val="right"/>
              <w:rPr>
                <w:color w:val="000000"/>
                <w:sz w:val="22"/>
                <w:szCs w:val="22"/>
              </w:rPr>
            </w:pPr>
            <w:r w:rsidRPr="0098567C">
              <w:rPr>
                <w:color w:val="FF0000"/>
                <w:sz w:val="22"/>
                <w:szCs w:val="22"/>
              </w:rPr>
              <w:t xml:space="preserve">-230 330 640 </w:t>
            </w:r>
          </w:p>
        </w:tc>
        <w:tc>
          <w:tcPr>
            <w:tcW w:w="2151"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bottom"/>
            <w:hideMark/>
          </w:tcPr>
          <w:p w:rsidR="0098567C" w:rsidRPr="0098567C" w:rsidRDefault="0098567C" w:rsidP="0098567C">
            <w:pPr>
              <w:jc w:val="right"/>
              <w:rPr>
                <w:color w:val="000000"/>
                <w:sz w:val="22"/>
                <w:szCs w:val="22"/>
              </w:rPr>
            </w:pPr>
            <w:r w:rsidRPr="0098567C">
              <w:rPr>
                <w:color w:val="FF0000"/>
                <w:sz w:val="22"/>
                <w:szCs w:val="22"/>
              </w:rPr>
              <w:t xml:space="preserve">-230 330 640 </w:t>
            </w:r>
          </w:p>
        </w:tc>
        <w:tc>
          <w:tcPr>
            <w:tcW w:w="2151" w:type="dxa"/>
            <w:tcBorders>
              <w:top w:val="single" w:sz="8" w:space="0" w:color="1F497D" w:themeColor="text2"/>
              <w:left w:val="single" w:sz="8" w:space="0" w:color="1F497D" w:themeColor="text2"/>
              <w:bottom w:val="single" w:sz="8" w:space="0" w:color="1F497D" w:themeColor="text2"/>
              <w:right w:val="double" w:sz="4" w:space="0" w:color="1F497D" w:themeColor="text2"/>
            </w:tcBorders>
            <w:shd w:val="clear" w:color="auto" w:fill="auto"/>
            <w:noWrap/>
            <w:vAlign w:val="bottom"/>
            <w:hideMark/>
          </w:tcPr>
          <w:p w:rsidR="0098567C" w:rsidRPr="0098567C" w:rsidRDefault="0098567C" w:rsidP="0098567C">
            <w:pPr>
              <w:jc w:val="right"/>
              <w:rPr>
                <w:color w:val="000000"/>
                <w:sz w:val="22"/>
                <w:szCs w:val="22"/>
              </w:rPr>
            </w:pPr>
            <w:r w:rsidRPr="0098567C">
              <w:rPr>
                <w:color w:val="FF0000"/>
                <w:sz w:val="22"/>
                <w:szCs w:val="22"/>
              </w:rPr>
              <w:t xml:space="preserve">-230 330 640 </w:t>
            </w:r>
          </w:p>
        </w:tc>
      </w:tr>
      <w:tr w:rsidR="0098567C" w:rsidRPr="0098567C" w:rsidTr="00A14AF6">
        <w:trPr>
          <w:trHeight w:val="303"/>
          <w:jc w:val="center"/>
        </w:trPr>
        <w:tc>
          <w:tcPr>
            <w:tcW w:w="1926" w:type="dxa"/>
            <w:tcBorders>
              <w:top w:val="single" w:sz="8" w:space="0" w:color="1F497D" w:themeColor="text2"/>
              <w:left w:val="double" w:sz="4" w:space="0" w:color="1F497D" w:themeColor="text2"/>
              <w:bottom w:val="single" w:sz="8" w:space="0" w:color="1F497D" w:themeColor="text2"/>
              <w:right w:val="single" w:sz="8" w:space="0" w:color="1F497D" w:themeColor="text2"/>
            </w:tcBorders>
            <w:shd w:val="clear" w:color="auto" w:fill="auto"/>
            <w:vAlign w:val="center"/>
            <w:hideMark/>
          </w:tcPr>
          <w:p w:rsidR="0098567C" w:rsidRPr="0098567C" w:rsidRDefault="0098567C" w:rsidP="0098567C">
            <w:pPr>
              <w:rPr>
                <w:color w:val="000000"/>
                <w:sz w:val="22"/>
                <w:szCs w:val="22"/>
              </w:rPr>
            </w:pPr>
            <w:r w:rsidRPr="0098567C">
              <w:rPr>
                <w:color w:val="000000"/>
                <w:sz w:val="22"/>
                <w:szCs w:val="22"/>
              </w:rPr>
              <w:t>3.2</w:t>
            </w:r>
          </w:p>
        </w:tc>
        <w:tc>
          <w:tcPr>
            <w:tcW w:w="2151"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bottom"/>
            <w:hideMark/>
          </w:tcPr>
          <w:p w:rsidR="0098567C" w:rsidRPr="0098567C" w:rsidRDefault="0098567C" w:rsidP="0098567C">
            <w:pPr>
              <w:jc w:val="right"/>
              <w:rPr>
                <w:color w:val="000000"/>
                <w:sz w:val="22"/>
                <w:szCs w:val="22"/>
              </w:rPr>
            </w:pPr>
            <w:r w:rsidRPr="0098567C">
              <w:rPr>
                <w:color w:val="000000"/>
                <w:sz w:val="22"/>
                <w:szCs w:val="22"/>
              </w:rPr>
              <w:t xml:space="preserve">952 793 389 </w:t>
            </w:r>
          </w:p>
        </w:tc>
        <w:tc>
          <w:tcPr>
            <w:tcW w:w="2151"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bottom"/>
            <w:hideMark/>
          </w:tcPr>
          <w:p w:rsidR="0098567C" w:rsidRPr="0098567C" w:rsidRDefault="0098567C" w:rsidP="0098567C">
            <w:pPr>
              <w:jc w:val="right"/>
              <w:rPr>
                <w:color w:val="000000"/>
                <w:sz w:val="22"/>
                <w:szCs w:val="22"/>
              </w:rPr>
            </w:pPr>
            <w:r w:rsidRPr="0098567C">
              <w:rPr>
                <w:color w:val="000000"/>
                <w:sz w:val="22"/>
                <w:szCs w:val="22"/>
              </w:rPr>
              <w:t xml:space="preserve">952 793 389 </w:t>
            </w:r>
          </w:p>
        </w:tc>
        <w:tc>
          <w:tcPr>
            <w:tcW w:w="2151" w:type="dxa"/>
            <w:tcBorders>
              <w:top w:val="single" w:sz="8" w:space="0" w:color="1F497D" w:themeColor="text2"/>
              <w:left w:val="single" w:sz="8" w:space="0" w:color="1F497D" w:themeColor="text2"/>
              <w:bottom w:val="single" w:sz="8" w:space="0" w:color="1F497D" w:themeColor="text2"/>
              <w:right w:val="double" w:sz="4" w:space="0" w:color="1F497D" w:themeColor="text2"/>
            </w:tcBorders>
            <w:shd w:val="clear" w:color="auto" w:fill="auto"/>
            <w:noWrap/>
            <w:vAlign w:val="bottom"/>
            <w:hideMark/>
          </w:tcPr>
          <w:p w:rsidR="0098567C" w:rsidRPr="0098567C" w:rsidRDefault="0098567C" w:rsidP="0098567C">
            <w:pPr>
              <w:jc w:val="right"/>
              <w:rPr>
                <w:color w:val="000000"/>
                <w:sz w:val="22"/>
                <w:szCs w:val="22"/>
              </w:rPr>
            </w:pPr>
            <w:r w:rsidRPr="0098567C">
              <w:rPr>
                <w:color w:val="000000"/>
                <w:sz w:val="22"/>
                <w:szCs w:val="22"/>
              </w:rPr>
              <w:t xml:space="preserve">952 793 389 </w:t>
            </w:r>
          </w:p>
        </w:tc>
      </w:tr>
      <w:tr w:rsidR="0098567C" w:rsidRPr="0098567C" w:rsidTr="00A14AF6">
        <w:trPr>
          <w:trHeight w:val="303"/>
          <w:jc w:val="center"/>
        </w:trPr>
        <w:tc>
          <w:tcPr>
            <w:tcW w:w="1926" w:type="dxa"/>
            <w:tcBorders>
              <w:top w:val="single" w:sz="8" w:space="0" w:color="1F497D" w:themeColor="text2"/>
              <w:left w:val="double" w:sz="4" w:space="0" w:color="1F497D" w:themeColor="text2"/>
              <w:bottom w:val="single" w:sz="8" w:space="0" w:color="1F497D" w:themeColor="text2"/>
              <w:right w:val="single" w:sz="8" w:space="0" w:color="1F497D" w:themeColor="text2"/>
            </w:tcBorders>
            <w:shd w:val="clear" w:color="auto" w:fill="auto"/>
            <w:vAlign w:val="center"/>
            <w:hideMark/>
          </w:tcPr>
          <w:p w:rsidR="0098567C" w:rsidRPr="0098567C" w:rsidRDefault="0098567C" w:rsidP="0098567C">
            <w:pPr>
              <w:rPr>
                <w:color w:val="000000"/>
                <w:sz w:val="22"/>
                <w:szCs w:val="22"/>
              </w:rPr>
            </w:pPr>
            <w:r w:rsidRPr="0098567C">
              <w:rPr>
                <w:color w:val="000000"/>
                <w:sz w:val="22"/>
                <w:szCs w:val="22"/>
              </w:rPr>
              <w:t>3.3</w:t>
            </w:r>
          </w:p>
        </w:tc>
        <w:tc>
          <w:tcPr>
            <w:tcW w:w="2151"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bottom"/>
            <w:hideMark/>
          </w:tcPr>
          <w:p w:rsidR="0098567C" w:rsidRPr="0098567C" w:rsidRDefault="0098567C" w:rsidP="0098567C">
            <w:pPr>
              <w:jc w:val="right"/>
              <w:rPr>
                <w:color w:val="000000"/>
                <w:sz w:val="22"/>
                <w:szCs w:val="22"/>
              </w:rPr>
            </w:pPr>
            <w:r w:rsidRPr="0098567C">
              <w:rPr>
                <w:color w:val="FF0000"/>
                <w:sz w:val="22"/>
                <w:szCs w:val="22"/>
              </w:rPr>
              <w:t xml:space="preserve">-599 774 076 </w:t>
            </w:r>
          </w:p>
        </w:tc>
        <w:tc>
          <w:tcPr>
            <w:tcW w:w="2151"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bottom"/>
            <w:hideMark/>
          </w:tcPr>
          <w:p w:rsidR="0098567C" w:rsidRPr="0098567C" w:rsidRDefault="0098567C" w:rsidP="0098567C">
            <w:pPr>
              <w:jc w:val="right"/>
              <w:rPr>
                <w:color w:val="000000"/>
                <w:sz w:val="22"/>
                <w:szCs w:val="22"/>
              </w:rPr>
            </w:pPr>
            <w:r w:rsidRPr="0098567C">
              <w:rPr>
                <w:color w:val="FF0000"/>
                <w:sz w:val="22"/>
                <w:szCs w:val="22"/>
              </w:rPr>
              <w:t xml:space="preserve">-609 980 400 </w:t>
            </w:r>
          </w:p>
        </w:tc>
        <w:tc>
          <w:tcPr>
            <w:tcW w:w="2151" w:type="dxa"/>
            <w:tcBorders>
              <w:top w:val="single" w:sz="8" w:space="0" w:color="1F497D" w:themeColor="text2"/>
              <w:left w:val="single" w:sz="8" w:space="0" w:color="1F497D" w:themeColor="text2"/>
              <w:bottom w:val="single" w:sz="8" w:space="0" w:color="1F497D" w:themeColor="text2"/>
              <w:right w:val="double" w:sz="4" w:space="0" w:color="1F497D" w:themeColor="text2"/>
            </w:tcBorders>
            <w:shd w:val="clear" w:color="auto" w:fill="auto"/>
            <w:noWrap/>
            <w:vAlign w:val="bottom"/>
            <w:hideMark/>
          </w:tcPr>
          <w:p w:rsidR="0098567C" w:rsidRPr="0098567C" w:rsidRDefault="0098567C" w:rsidP="0098567C">
            <w:pPr>
              <w:jc w:val="right"/>
              <w:rPr>
                <w:color w:val="000000"/>
                <w:sz w:val="22"/>
                <w:szCs w:val="22"/>
              </w:rPr>
            </w:pPr>
            <w:r w:rsidRPr="0098567C">
              <w:rPr>
                <w:color w:val="FF0000"/>
                <w:sz w:val="22"/>
                <w:szCs w:val="22"/>
              </w:rPr>
              <w:t xml:space="preserve">-681 424 668 </w:t>
            </w:r>
          </w:p>
        </w:tc>
      </w:tr>
      <w:tr w:rsidR="0098567C" w:rsidRPr="0098567C" w:rsidTr="00A14AF6">
        <w:trPr>
          <w:trHeight w:val="303"/>
          <w:jc w:val="center"/>
        </w:trPr>
        <w:tc>
          <w:tcPr>
            <w:tcW w:w="1926" w:type="dxa"/>
            <w:tcBorders>
              <w:top w:val="single" w:sz="8" w:space="0" w:color="1F497D" w:themeColor="text2"/>
              <w:left w:val="double" w:sz="4" w:space="0" w:color="1F497D" w:themeColor="text2"/>
              <w:bottom w:val="single" w:sz="8" w:space="0" w:color="1F497D" w:themeColor="text2"/>
              <w:right w:val="single" w:sz="8" w:space="0" w:color="1F497D" w:themeColor="text2"/>
            </w:tcBorders>
            <w:shd w:val="clear" w:color="auto" w:fill="auto"/>
            <w:vAlign w:val="center"/>
            <w:hideMark/>
          </w:tcPr>
          <w:p w:rsidR="0098567C" w:rsidRPr="0098567C" w:rsidRDefault="0098567C" w:rsidP="0098567C">
            <w:pPr>
              <w:rPr>
                <w:color w:val="000000"/>
                <w:sz w:val="22"/>
                <w:szCs w:val="22"/>
              </w:rPr>
            </w:pPr>
            <w:r w:rsidRPr="0098567C">
              <w:rPr>
                <w:color w:val="000000"/>
                <w:sz w:val="22"/>
                <w:szCs w:val="22"/>
              </w:rPr>
              <w:t>3.4</w:t>
            </w:r>
          </w:p>
        </w:tc>
        <w:tc>
          <w:tcPr>
            <w:tcW w:w="2151"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bottom"/>
            <w:hideMark/>
          </w:tcPr>
          <w:p w:rsidR="0098567C" w:rsidRPr="0098567C" w:rsidRDefault="0098567C" w:rsidP="0098567C">
            <w:pPr>
              <w:jc w:val="right"/>
              <w:rPr>
                <w:color w:val="000000"/>
                <w:sz w:val="22"/>
                <w:szCs w:val="22"/>
              </w:rPr>
            </w:pPr>
            <w:r w:rsidRPr="0098567C">
              <w:rPr>
                <w:color w:val="FF0000"/>
                <w:sz w:val="22"/>
                <w:szCs w:val="22"/>
              </w:rPr>
              <w:t xml:space="preserve">-885 681 770 </w:t>
            </w:r>
          </w:p>
        </w:tc>
        <w:tc>
          <w:tcPr>
            <w:tcW w:w="2151"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bottom"/>
            <w:hideMark/>
          </w:tcPr>
          <w:p w:rsidR="0098567C" w:rsidRPr="0098567C" w:rsidRDefault="0098567C" w:rsidP="0098567C">
            <w:pPr>
              <w:jc w:val="right"/>
              <w:rPr>
                <w:color w:val="000000"/>
                <w:sz w:val="22"/>
                <w:szCs w:val="22"/>
              </w:rPr>
            </w:pPr>
            <w:r w:rsidRPr="0098567C">
              <w:rPr>
                <w:color w:val="FF0000"/>
                <w:sz w:val="22"/>
                <w:szCs w:val="22"/>
              </w:rPr>
              <w:t xml:space="preserve">-1 053 158 476 </w:t>
            </w:r>
          </w:p>
        </w:tc>
        <w:tc>
          <w:tcPr>
            <w:tcW w:w="2151" w:type="dxa"/>
            <w:tcBorders>
              <w:top w:val="single" w:sz="8" w:space="0" w:color="1F497D" w:themeColor="text2"/>
              <w:left w:val="single" w:sz="8" w:space="0" w:color="1F497D" w:themeColor="text2"/>
              <w:bottom w:val="single" w:sz="8" w:space="0" w:color="1F497D" w:themeColor="text2"/>
              <w:right w:val="double" w:sz="4" w:space="0" w:color="1F497D" w:themeColor="text2"/>
            </w:tcBorders>
            <w:shd w:val="clear" w:color="auto" w:fill="auto"/>
            <w:noWrap/>
            <w:vAlign w:val="bottom"/>
            <w:hideMark/>
          </w:tcPr>
          <w:p w:rsidR="0098567C" w:rsidRPr="0098567C" w:rsidRDefault="0098567C" w:rsidP="0098567C">
            <w:pPr>
              <w:jc w:val="right"/>
              <w:rPr>
                <w:color w:val="000000"/>
                <w:sz w:val="22"/>
                <w:szCs w:val="22"/>
              </w:rPr>
            </w:pPr>
            <w:r w:rsidRPr="0098567C">
              <w:rPr>
                <w:color w:val="FF0000"/>
                <w:sz w:val="22"/>
                <w:szCs w:val="22"/>
              </w:rPr>
              <w:t xml:space="preserve">-2 225 495 419 </w:t>
            </w:r>
          </w:p>
        </w:tc>
      </w:tr>
      <w:tr w:rsidR="0098567C" w:rsidRPr="0098567C" w:rsidTr="00A14AF6">
        <w:trPr>
          <w:trHeight w:val="303"/>
          <w:jc w:val="center"/>
        </w:trPr>
        <w:tc>
          <w:tcPr>
            <w:tcW w:w="1926" w:type="dxa"/>
            <w:tcBorders>
              <w:top w:val="single" w:sz="8" w:space="0" w:color="1F497D" w:themeColor="text2"/>
              <w:left w:val="double" w:sz="4" w:space="0" w:color="1F497D" w:themeColor="text2"/>
              <w:bottom w:val="single" w:sz="8" w:space="0" w:color="1F497D" w:themeColor="text2"/>
              <w:right w:val="single" w:sz="8" w:space="0" w:color="1F497D" w:themeColor="text2"/>
            </w:tcBorders>
            <w:shd w:val="clear" w:color="auto" w:fill="auto"/>
            <w:vAlign w:val="center"/>
            <w:hideMark/>
          </w:tcPr>
          <w:p w:rsidR="0098567C" w:rsidRPr="0098567C" w:rsidRDefault="0098567C" w:rsidP="0098567C">
            <w:pPr>
              <w:rPr>
                <w:color w:val="000000"/>
                <w:sz w:val="22"/>
                <w:szCs w:val="22"/>
              </w:rPr>
            </w:pPr>
            <w:r w:rsidRPr="0098567C">
              <w:rPr>
                <w:color w:val="000000"/>
                <w:sz w:val="22"/>
                <w:szCs w:val="22"/>
              </w:rPr>
              <w:t>4.1a</w:t>
            </w:r>
          </w:p>
        </w:tc>
        <w:tc>
          <w:tcPr>
            <w:tcW w:w="2151"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bottom"/>
            <w:hideMark/>
          </w:tcPr>
          <w:p w:rsidR="0098567C" w:rsidRPr="0098567C" w:rsidRDefault="0098567C" w:rsidP="0098567C">
            <w:pPr>
              <w:jc w:val="right"/>
              <w:rPr>
                <w:color w:val="000000"/>
                <w:sz w:val="22"/>
                <w:szCs w:val="22"/>
              </w:rPr>
            </w:pPr>
            <w:r w:rsidRPr="0098567C">
              <w:rPr>
                <w:color w:val="FF0000"/>
                <w:sz w:val="22"/>
                <w:szCs w:val="22"/>
              </w:rPr>
              <w:t xml:space="preserve">-267 330 445 </w:t>
            </w:r>
          </w:p>
        </w:tc>
        <w:tc>
          <w:tcPr>
            <w:tcW w:w="2151"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bottom"/>
            <w:hideMark/>
          </w:tcPr>
          <w:p w:rsidR="0098567C" w:rsidRPr="0098567C" w:rsidRDefault="0098567C" w:rsidP="0098567C">
            <w:pPr>
              <w:jc w:val="right"/>
              <w:rPr>
                <w:color w:val="000000"/>
                <w:sz w:val="22"/>
                <w:szCs w:val="22"/>
              </w:rPr>
            </w:pPr>
            <w:r w:rsidRPr="0098567C">
              <w:rPr>
                <w:color w:val="FF0000"/>
                <w:sz w:val="22"/>
                <w:szCs w:val="22"/>
              </w:rPr>
              <w:t xml:space="preserve">-271 360 685 </w:t>
            </w:r>
          </w:p>
        </w:tc>
        <w:tc>
          <w:tcPr>
            <w:tcW w:w="2151" w:type="dxa"/>
            <w:tcBorders>
              <w:top w:val="single" w:sz="8" w:space="0" w:color="1F497D" w:themeColor="text2"/>
              <w:left w:val="single" w:sz="8" w:space="0" w:color="1F497D" w:themeColor="text2"/>
              <w:bottom w:val="single" w:sz="8" w:space="0" w:color="1F497D" w:themeColor="text2"/>
              <w:right w:val="double" w:sz="4" w:space="0" w:color="1F497D" w:themeColor="text2"/>
            </w:tcBorders>
            <w:shd w:val="clear" w:color="auto" w:fill="auto"/>
            <w:noWrap/>
            <w:vAlign w:val="bottom"/>
            <w:hideMark/>
          </w:tcPr>
          <w:p w:rsidR="0098567C" w:rsidRPr="0098567C" w:rsidRDefault="0098567C" w:rsidP="0098567C">
            <w:pPr>
              <w:jc w:val="right"/>
              <w:rPr>
                <w:color w:val="000000"/>
                <w:sz w:val="22"/>
                <w:szCs w:val="22"/>
              </w:rPr>
            </w:pPr>
            <w:r w:rsidRPr="0098567C">
              <w:rPr>
                <w:color w:val="FF0000"/>
                <w:sz w:val="22"/>
                <w:szCs w:val="22"/>
              </w:rPr>
              <w:t xml:space="preserve">-299 572 365 </w:t>
            </w:r>
          </w:p>
        </w:tc>
      </w:tr>
      <w:tr w:rsidR="0098567C" w:rsidRPr="0098567C" w:rsidTr="00A14AF6">
        <w:trPr>
          <w:trHeight w:val="303"/>
          <w:jc w:val="center"/>
        </w:trPr>
        <w:tc>
          <w:tcPr>
            <w:tcW w:w="1926" w:type="dxa"/>
            <w:tcBorders>
              <w:top w:val="single" w:sz="8" w:space="0" w:color="1F497D" w:themeColor="text2"/>
              <w:left w:val="double" w:sz="4" w:space="0" w:color="1F497D" w:themeColor="text2"/>
              <w:bottom w:val="single" w:sz="8" w:space="0" w:color="1F497D" w:themeColor="text2"/>
              <w:right w:val="single" w:sz="8" w:space="0" w:color="1F497D" w:themeColor="text2"/>
            </w:tcBorders>
            <w:shd w:val="clear" w:color="auto" w:fill="auto"/>
            <w:vAlign w:val="center"/>
            <w:hideMark/>
          </w:tcPr>
          <w:p w:rsidR="0098567C" w:rsidRPr="0098567C" w:rsidRDefault="0098567C" w:rsidP="0098567C">
            <w:pPr>
              <w:rPr>
                <w:color w:val="000000"/>
                <w:sz w:val="22"/>
                <w:szCs w:val="22"/>
              </w:rPr>
            </w:pPr>
            <w:r w:rsidRPr="0098567C">
              <w:rPr>
                <w:color w:val="000000"/>
                <w:sz w:val="22"/>
                <w:szCs w:val="22"/>
              </w:rPr>
              <w:t>4.1b</w:t>
            </w:r>
          </w:p>
        </w:tc>
        <w:tc>
          <w:tcPr>
            <w:tcW w:w="2151"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bottom"/>
            <w:hideMark/>
          </w:tcPr>
          <w:p w:rsidR="0098567C" w:rsidRPr="0098567C" w:rsidRDefault="0098567C" w:rsidP="0098567C">
            <w:pPr>
              <w:jc w:val="right"/>
              <w:rPr>
                <w:color w:val="000000"/>
                <w:sz w:val="22"/>
                <w:szCs w:val="22"/>
              </w:rPr>
            </w:pPr>
            <w:r w:rsidRPr="0098567C">
              <w:rPr>
                <w:color w:val="000000"/>
                <w:sz w:val="22"/>
                <w:szCs w:val="22"/>
              </w:rPr>
              <w:t xml:space="preserve">21 829 839 </w:t>
            </w:r>
          </w:p>
        </w:tc>
        <w:tc>
          <w:tcPr>
            <w:tcW w:w="2151"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bottom"/>
            <w:hideMark/>
          </w:tcPr>
          <w:p w:rsidR="0098567C" w:rsidRPr="0098567C" w:rsidRDefault="0098567C" w:rsidP="0098567C">
            <w:pPr>
              <w:jc w:val="right"/>
              <w:rPr>
                <w:color w:val="000000"/>
                <w:sz w:val="22"/>
                <w:szCs w:val="22"/>
              </w:rPr>
            </w:pPr>
            <w:r w:rsidRPr="0098567C">
              <w:rPr>
                <w:color w:val="000000"/>
                <w:sz w:val="22"/>
                <w:szCs w:val="22"/>
              </w:rPr>
              <w:t xml:space="preserve">21 519 820 </w:t>
            </w:r>
          </w:p>
        </w:tc>
        <w:tc>
          <w:tcPr>
            <w:tcW w:w="2151" w:type="dxa"/>
            <w:tcBorders>
              <w:top w:val="single" w:sz="8" w:space="0" w:color="1F497D" w:themeColor="text2"/>
              <w:left w:val="single" w:sz="8" w:space="0" w:color="1F497D" w:themeColor="text2"/>
              <w:bottom w:val="single" w:sz="8" w:space="0" w:color="1F497D" w:themeColor="text2"/>
              <w:right w:val="double" w:sz="4" w:space="0" w:color="1F497D" w:themeColor="text2"/>
            </w:tcBorders>
            <w:shd w:val="clear" w:color="auto" w:fill="auto"/>
            <w:noWrap/>
            <w:vAlign w:val="bottom"/>
            <w:hideMark/>
          </w:tcPr>
          <w:p w:rsidR="0098567C" w:rsidRPr="0098567C" w:rsidRDefault="0098567C" w:rsidP="0098567C">
            <w:pPr>
              <w:jc w:val="right"/>
              <w:rPr>
                <w:color w:val="000000"/>
                <w:sz w:val="22"/>
                <w:szCs w:val="22"/>
              </w:rPr>
            </w:pPr>
            <w:r w:rsidRPr="0098567C">
              <w:rPr>
                <w:color w:val="000000"/>
                <w:sz w:val="22"/>
                <w:szCs w:val="22"/>
              </w:rPr>
              <w:t xml:space="preserve">19 349 689 </w:t>
            </w:r>
          </w:p>
        </w:tc>
      </w:tr>
      <w:tr w:rsidR="0098567C" w:rsidRPr="0098567C" w:rsidTr="00A14AF6">
        <w:trPr>
          <w:trHeight w:val="303"/>
          <w:jc w:val="center"/>
        </w:trPr>
        <w:tc>
          <w:tcPr>
            <w:tcW w:w="1926" w:type="dxa"/>
            <w:tcBorders>
              <w:top w:val="single" w:sz="8" w:space="0" w:color="1F497D" w:themeColor="text2"/>
              <w:left w:val="double" w:sz="4" w:space="0" w:color="1F497D" w:themeColor="text2"/>
              <w:bottom w:val="single" w:sz="8" w:space="0" w:color="1F497D" w:themeColor="text2"/>
              <w:right w:val="single" w:sz="8" w:space="0" w:color="1F497D" w:themeColor="text2"/>
            </w:tcBorders>
            <w:shd w:val="clear" w:color="auto" w:fill="auto"/>
            <w:vAlign w:val="center"/>
            <w:hideMark/>
          </w:tcPr>
          <w:p w:rsidR="0098567C" w:rsidRPr="0098567C" w:rsidRDefault="0098567C" w:rsidP="0098567C">
            <w:pPr>
              <w:rPr>
                <w:color w:val="000000"/>
                <w:sz w:val="22"/>
                <w:szCs w:val="22"/>
              </w:rPr>
            </w:pPr>
            <w:r w:rsidRPr="0098567C">
              <w:rPr>
                <w:color w:val="000000"/>
                <w:sz w:val="22"/>
                <w:szCs w:val="22"/>
              </w:rPr>
              <w:t>5.1</w:t>
            </w:r>
          </w:p>
        </w:tc>
        <w:tc>
          <w:tcPr>
            <w:tcW w:w="2151"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bottom"/>
            <w:hideMark/>
          </w:tcPr>
          <w:p w:rsidR="0098567C" w:rsidRPr="0098567C" w:rsidRDefault="0098567C" w:rsidP="0098567C">
            <w:pPr>
              <w:jc w:val="right"/>
              <w:rPr>
                <w:color w:val="000000"/>
                <w:sz w:val="22"/>
                <w:szCs w:val="22"/>
              </w:rPr>
            </w:pPr>
            <w:r w:rsidRPr="0098567C">
              <w:rPr>
                <w:color w:val="FF0000"/>
                <w:sz w:val="22"/>
                <w:szCs w:val="22"/>
              </w:rPr>
              <w:t xml:space="preserve">-323 702 902 </w:t>
            </w:r>
          </w:p>
        </w:tc>
        <w:tc>
          <w:tcPr>
            <w:tcW w:w="2151"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bottom"/>
            <w:hideMark/>
          </w:tcPr>
          <w:p w:rsidR="0098567C" w:rsidRPr="0098567C" w:rsidRDefault="0098567C" w:rsidP="0098567C">
            <w:pPr>
              <w:jc w:val="right"/>
              <w:rPr>
                <w:color w:val="000000"/>
                <w:sz w:val="22"/>
                <w:szCs w:val="22"/>
              </w:rPr>
            </w:pPr>
            <w:r w:rsidRPr="0098567C">
              <w:rPr>
                <w:color w:val="FF0000"/>
                <w:sz w:val="22"/>
                <w:szCs w:val="22"/>
              </w:rPr>
              <w:t xml:space="preserve">-336 431 299 </w:t>
            </w:r>
          </w:p>
        </w:tc>
        <w:tc>
          <w:tcPr>
            <w:tcW w:w="2151" w:type="dxa"/>
            <w:tcBorders>
              <w:top w:val="single" w:sz="8" w:space="0" w:color="1F497D" w:themeColor="text2"/>
              <w:left w:val="single" w:sz="8" w:space="0" w:color="1F497D" w:themeColor="text2"/>
              <w:bottom w:val="single" w:sz="8" w:space="0" w:color="1F497D" w:themeColor="text2"/>
              <w:right w:val="double" w:sz="4" w:space="0" w:color="1F497D" w:themeColor="text2"/>
            </w:tcBorders>
            <w:shd w:val="clear" w:color="auto" w:fill="auto"/>
            <w:noWrap/>
            <w:vAlign w:val="bottom"/>
            <w:hideMark/>
          </w:tcPr>
          <w:p w:rsidR="0098567C" w:rsidRPr="0098567C" w:rsidRDefault="0098567C" w:rsidP="0098567C">
            <w:pPr>
              <w:jc w:val="right"/>
              <w:rPr>
                <w:color w:val="000000"/>
                <w:sz w:val="22"/>
                <w:szCs w:val="22"/>
              </w:rPr>
            </w:pPr>
            <w:r w:rsidRPr="0098567C">
              <w:rPr>
                <w:color w:val="FF0000"/>
                <w:sz w:val="22"/>
                <w:szCs w:val="22"/>
              </w:rPr>
              <w:t xml:space="preserve">-425 530 080 </w:t>
            </w:r>
          </w:p>
        </w:tc>
      </w:tr>
      <w:tr w:rsidR="0098567C" w:rsidRPr="0098567C" w:rsidTr="00A14AF6">
        <w:trPr>
          <w:trHeight w:val="303"/>
          <w:jc w:val="center"/>
        </w:trPr>
        <w:tc>
          <w:tcPr>
            <w:tcW w:w="1926" w:type="dxa"/>
            <w:tcBorders>
              <w:top w:val="single" w:sz="8" w:space="0" w:color="1F497D" w:themeColor="text2"/>
              <w:left w:val="double" w:sz="4" w:space="0" w:color="1F497D" w:themeColor="text2"/>
              <w:bottom w:val="single" w:sz="8" w:space="0" w:color="1F497D" w:themeColor="text2"/>
              <w:right w:val="single" w:sz="8" w:space="0" w:color="1F497D" w:themeColor="text2"/>
            </w:tcBorders>
            <w:shd w:val="clear" w:color="auto" w:fill="auto"/>
            <w:vAlign w:val="center"/>
            <w:hideMark/>
          </w:tcPr>
          <w:p w:rsidR="0098567C" w:rsidRPr="0098567C" w:rsidRDefault="0098567C" w:rsidP="0098567C">
            <w:pPr>
              <w:rPr>
                <w:color w:val="000000"/>
                <w:sz w:val="22"/>
                <w:szCs w:val="22"/>
              </w:rPr>
            </w:pPr>
            <w:r w:rsidRPr="0098567C">
              <w:rPr>
                <w:color w:val="000000"/>
                <w:sz w:val="22"/>
                <w:szCs w:val="22"/>
              </w:rPr>
              <w:t>5.2</w:t>
            </w:r>
          </w:p>
        </w:tc>
        <w:tc>
          <w:tcPr>
            <w:tcW w:w="2151"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bottom"/>
            <w:hideMark/>
          </w:tcPr>
          <w:p w:rsidR="0098567C" w:rsidRPr="0098567C" w:rsidRDefault="0098567C" w:rsidP="0098567C">
            <w:pPr>
              <w:jc w:val="right"/>
              <w:rPr>
                <w:color w:val="000000"/>
                <w:sz w:val="22"/>
                <w:szCs w:val="22"/>
              </w:rPr>
            </w:pPr>
            <w:r w:rsidRPr="0098567C">
              <w:rPr>
                <w:color w:val="000000"/>
                <w:sz w:val="22"/>
                <w:szCs w:val="22"/>
              </w:rPr>
              <w:t xml:space="preserve">1 258 441 521 </w:t>
            </w:r>
          </w:p>
        </w:tc>
        <w:tc>
          <w:tcPr>
            <w:tcW w:w="2151"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bottom"/>
            <w:hideMark/>
          </w:tcPr>
          <w:p w:rsidR="0098567C" w:rsidRPr="0098567C" w:rsidRDefault="0098567C" w:rsidP="0098567C">
            <w:pPr>
              <w:jc w:val="right"/>
              <w:rPr>
                <w:color w:val="000000"/>
                <w:sz w:val="22"/>
                <w:szCs w:val="22"/>
              </w:rPr>
            </w:pPr>
            <w:r w:rsidRPr="0098567C">
              <w:rPr>
                <w:color w:val="000000"/>
                <w:sz w:val="22"/>
                <w:szCs w:val="22"/>
              </w:rPr>
              <w:t xml:space="preserve">1 258 441 521 </w:t>
            </w:r>
          </w:p>
        </w:tc>
        <w:tc>
          <w:tcPr>
            <w:tcW w:w="2151" w:type="dxa"/>
            <w:tcBorders>
              <w:top w:val="single" w:sz="8" w:space="0" w:color="1F497D" w:themeColor="text2"/>
              <w:left w:val="single" w:sz="8" w:space="0" w:color="1F497D" w:themeColor="text2"/>
              <w:bottom w:val="single" w:sz="8" w:space="0" w:color="1F497D" w:themeColor="text2"/>
              <w:right w:val="double" w:sz="4" w:space="0" w:color="1F497D" w:themeColor="text2"/>
            </w:tcBorders>
            <w:shd w:val="clear" w:color="auto" w:fill="auto"/>
            <w:noWrap/>
            <w:vAlign w:val="bottom"/>
            <w:hideMark/>
          </w:tcPr>
          <w:p w:rsidR="0098567C" w:rsidRPr="0098567C" w:rsidRDefault="0098567C" w:rsidP="0098567C">
            <w:pPr>
              <w:jc w:val="right"/>
              <w:rPr>
                <w:color w:val="000000"/>
                <w:sz w:val="22"/>
                <w:szCs w:val="22"/>
              </w:rPr>
            </w:pPr>
            <w:r w:rsidRPr="0098567C">
              <w:rPr>
                <w:color w:val="000000"/>
                <w:sz w:val="22"/>
                <w:szCs w:val="22"/>
              </w:rPr>
              <w:t xml:space="preserve">1 258 441 521 </w:t>
            </w:r>
          </w:p>
        </w:tc>
      </w:tr>
      <w:tr w:rsidR="0098567C" w:rsidRPr="0098567C" w:rsidTr="00A14AF6">
        <w:trPr>
          <w:trHeight w:val="303"/>
          <w:jc w:val="center"/>
        </w:trPr>
        <w:tc>
          <w:tcPr>
            <w:tcW w:w="1926" w:type="dxa"/>
            <w:tcBorders>
              <w:top w:val="single" w:sz="8" w:space="0" w:color="1F497D" w:themeColor="text2"/>
              <w:left w:val="double" w:sz="4" w:space="0" w:color="1F497D" w:themeColor="text2"/>
              <w:bottom w:val="single" w:sz="8" w:space="0" w:color="1F497D" w:themeColor="text2"/>
              <w:right w:val="single" w:sz="8" w:space="0" w:color="1F497D" w:themeColor="text2"/>
            </w:tcBorders>
            <w:shd w:val="clear" w:color="auto" w:fill="auto"/>
            <w:vAlign w:val="center"/>
            <w:hideMark/>
          </w:tcPr>
          <w:p w:rsidR="0098567C" w:rsidRPr="0098567C" w:rsidRDefault="0098567C" w:rsidP="0098567C">
            <w:pPr>
              <w:rPr>
                <w:color w:val="000000"/>
                <w:sz w:val="22"/>
                <w:szCs w:val="22"/>
              </w:rPr>
            </w:pPr>
            <w:r w:rsidRPr="0098567C">
              <w:rPr>
                <w:color w:val="000000"/>
                <w:sz w:val="22"/>
                <w:szCs w:val="22"/>
              </w:rPr>
              <w:t>5.3</w:t>
            </w:r>
          </w:p>
        </w:tc>
        <w:tc>
          <w:tcPr>
            <w:tcW w:w="2151"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bottom"/>
            <w:hideMark/>
          </w:tcPr>
          <w:p w:rsidR="0098567C" w:rsidRPr="0098567C" w:rsidRDefault="0098567C" w:rsidP="0098567C">
            <w:pPr>
              <w:jc w:val="right"/>
              <w:rPr>
                <w:color w:val="000000"/>
                <w:sz w:val="22"/>
                <w:szCs w:val="22"/>
              </w:rPr>
            </w:pPr>
            <w:r w:rsidRPr="0098567C">
              <w:rPr>
                <w:color w:val="FF0000"/>
                <w:sz w:val="22"/>
                <w:szCs w:val="22"/>
              </w:rPr>
              <w:t xml:space="preserve">-3 756 714 </w:t>
            </w:r>
          </w:p>
        </w:tc>
        <w:tc>
          <w:tcPr>
            <w:tcW w:w="2151"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bottom"/>
            <w:hideMark/>
          </w:tcPr>
          <w:p w:rsidR="0098567C" w:rsidRPr="0098567C" w:rsidRDefault="0098567C" w:rsidP="0098567C">
            <w:pPr>
              <w:jc w:val="right"/>
              <w:rPr>
                <w:color w:val="000000"/>
                <w:sz w:val="22"/>
                <w:szCs w:val="22"/>
              </w:rPr>
            </w:pPr>
            <w:r w:rsidRPr="0098567C">
              <w:rPr>
                <w:color w:val="FF0000"/>
                <w:sz w:val="22"/>
                <w:szCs w:val="22"/>
              </w:rPr>
              <w:t xml:space="preserve">-3 756 714 </w:t>
            </w:r>
          </w:p>
        </w:tc>
        <w:tc>
          <w:tcPr>
            <w:tcW w:w="2151" w:type="dxa"/>
            <w:tcBorders>
              <w:top w:val="single" w:sz="8" w:space="0" w:color="1F497D" w:themeColor="text2"/>
              <w:left w:val="single" w:sz="8" w:space="0" w:color="1F497D" w:themeColor="text2"/>
              <w:bottom w:val="single" w:sz="8" w:space="0" w:color="1F497D" w:themeColor="text2"/>
              <w:right w:val="double" w:sz="4" w:space="0" w:color="1F497D" w:themeColor="text2"/>
            </w:tcBorders>
            <w:shd w:val="clear" w:color="auto" w:fill="auto"/>
            <w:noWrap/>
            <w:vAlign w:val="bottom"/>
            <w:hideMark/>
          </w:tcPr>
          <w:p w:rsidR="0098567C" w:rsidRPr="0098567C" w:rsidRDefault="0098567C" w:rsidP="0098567C">
            <w:pPr>
              <w:jc w:val="right"/>
              <w:rPr>
                <w:color w:val="000000"/>
                <w:sz w:val="22"/>
                <w:szCs w:val="22"/>
              </w:rPr>
            </w:pPr>
            <w:r w:rsidRPr="0098567C">
              <w:rPr>
                <w:color w:val="FF0000"/>
                <w:sz w:val="22"/>
                <w:szCs w:val="22"/>
              </w:rPr>
              <w:t xml:space="preserve">-3 756 714 </w:t>
            </w:r>
          </w:p>
        </w:tc>
      </w:tr>
      <w:tr w:rsidR="0098567C" w:rsidRPr="0098567C" w:rsidTr="00A14AF6">
        <w:trPr>
          <w:trHeight w:val="303"/>
          <w:jc w:val="center"/>
        </w:trPr>
        <w:tc>
          <w:tcPr>
            <w:tcW w:w="1926" w:type="dxa"/>
            <w:tcBorders>
              <w:top w:val="single" w:sz="8" w:space="0" w:color="1F497D" w:themeColor="text2"/>
              <w:left w:val="double" w:sz="4" w:space="0" w:color="1F497D" w:themeColor="text2"/>
              <w:bottom w:val="single" w:sz="8" w:space="0" w:color="1F497D" w:themeColor="text2"/>
              <w:right w:val="single" w:sz="8" w:space="0" w:color="1F497D" w:themeColor="text2"/>
            </w:tcBorders>
            <w:shd w:val="clear" w:color="auto" w:fill="auto"/>
            <w:vAlign w:val="center"/>
            <w:hideMark/>
          </w:tcPr>
          <w:p w:rsidR="0098567C" w:rsidRPr="0098567C" w:rsidRDefault="0098567C" w:rsidP="0098567C">
            <w:pPr>
              <w:rPr>
                <w:color w:val="000000"/>
                <w:sz w:val="22"/>
                <w:szCs w:val="22"/>
              </w:rPr>
            </w:pPr>
            <w:r w:rsidRPr="0098567C">
              <w:rPr>
                <w:color w:val="000000"/>
                <w:sz w:val="22"/>
                <w:szCs w:val="22"/>
              </w:rPr>
              <w:t>6.1a</w:t>
            </w:r>
          </w:p>
        </w:tc>
        <w:tc>
          <w:tcPr>
            <w:tcW w:w="2151"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bottom"/>
            <w:hideMark/>
          </w:tcPr>
          <w:p w:rsidR="0098567C" w:rsidRPr="0098567C" w:rsidRDefault="0098567C" w:rsidP="0098567C">
            <w:pPr>
              <w:jc w:val="right"/>
              <w:rPr>
                <w:color w:val="000000"/>
                <w:sz w:val="22"/>
                <w:szCs w:val="22"/>
              </w:rPr>
            </w:pPr>
            <w:r w:rsidRPr="0098567C">
              <w:rPr>
                <w:color w:val="000000"/>
                <w:sz w:val="22"/>
                <w:szCs w:val="22"/>
              </w:rPr>
              <w:t xml:space="preserve">28 279 099 </w:t>
            </w:r>
          </w:p>
        </w:tc>
        <w:tc>
          <w:tcPr>
            <w:tcW w:w="2151"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bottom"/>
            <w:hideMark/>
          </w:tcPr>
          <w:p w:rsidR="0098567C" w:rsidRPr="0098567C" w:rsidRDefault="0098567C" w:rsidP="0098567C">
            <w:pPr>
              <w:jc w:val="right"/>
              <w:rPr>
                <w:color w:val="000000"/>
                <w:sz w:val="22"/>
                <w:szCs w:val="22"/>
              </w:rPr>
            </w:pPr>
            <w:r w:rsidRPr="0098567C">
              <w:rPr>
                <w:color w:val="000000"/>
                <w:sz w:val="22"/>
                <w:szCs w:val="22"/>
              </w:rPr>
              <w:t xml:space="preserve">28 279 099 </w:t>
            </w:r>
          </w:p>
        </w:tc>
        <w:tc>
          <w:tcPr>
            <w:tcW w:w="2151" w:type="dxa"/>
            <w:tcBorders>
              <w:top w:val="single" w:sz="8" w:space="0" w:color="1F497D" w:themeColor="text2"/>
              <w:left w:val="single" w:sz="8" w:space="0" w:color="1F497D" w:themeColor="text2"/>
              <w:bottom w:val="single" w:sz="8" w:space="0" w:color="1F497D" w:themeColor="text2"/>
              <w:right w:val="double" w:sz="4" w:space="0" w:color="1F497D" w:themeColor="text2"/>
            </w:tcBorders>
            <w:shd w:val="clear" w:color="auto" w:fill="auto"/>
            <w:noWrap/>
            <w:vAlign w:val="bottom"/>
            <w:hideMark/>
          </w:tcPr>
          <w:p w:rsidR="0098567C" w:rsidRPr="0098567C" w:rsidRDefault="0098567C" w:rsidP="0098567C">
            <w:pPr>
              <w:jc w:val="right"/>
              <w:rPr>
                <w:color w:val="000000"/>
                <w:sz w:val="22"/>
                <w:szCs w:val="22"/>
              </w:rPr>
            </w:pPr>
            <w:r w:rsidRPr="0098567C">
              <w:rPr>
                <w:color w:val="000000"/>
                <w:sz w:val="22"/>
                <w:szCs w:val="22"/>
              </w:rPr>
              <w:t xml:space="preserve">28 279 099 </w:t>
            </w:r>
          </w:p>
        </w:tc>
      </w:tr>
      <w:tr w:rsidR="0098567C" w:rsidRPr="0098567C" w:rsidTr="00A14AF6">
        <w:trPr>
          <w:trHeight w:val="303"/>
          <w:jc w:val="center"/>
        </w:trPr>
        <w:tc>
          <w:tcPr>
            <w:tcW w:w="1926" w:type="dxa"/>
            <w:tcBorders>
              <w:top w:val="single" w:sz="8" w:space="0" w:color="1F497D" w:themeColor="text2"/>
              <w:left w:val="double" w:sz="4" w:space="0" w:color="1F497D" w:themeColor="text2"/>
              <w:bottom w:val="single" w:sz="8" w:space="0" w:color="1F497D" w:themeColor="text2"/>
              <w:right w:val="single" w:sz="8" w:space="0" w:color="1F497D" w:themeColor="text2"/>
            </w:tcBorders>
            <w:shd w:val="clear" w:color="auto" w:fill="auto"/>
            <w:vAlign w:val="center"/>
            <w:hideMark/>
          </w:tcPr>
          <w:p w:rsidR="0098567C" w:rsidRPr="0098567C" w:rsidRDefault="0098567C" w:rsidP="0098567C">
            <w:pPr>
              <w:rPr>
                <w:color w:val="000000"/>
                <w:sz w:val="22"/>
                <w:szCs w:val="22"/>
              </w:rPr>
            </w:pPr>
            <w:r w:rsidRPr="0098567C">
              <w:rPr>
                <w:color w:val="000000"/>
                <w:sz w:val="22"/>
                <w:szCs w:val="22"/>
              </w:rPr>
              <w:t>6.2a</w:t>
            </w:r>
          </w:p>
        </w:tc>
        <w:tc>
          <w:tcPr>
            <w:tcW w:w="2151"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bottom"/>
            <w:hideMark/>
          </w:tcPr>
          <w:p w:rsidR="0098567C" w:rsidRPr="0098567C" w:rsidRDefault="0098567C" w:rsidP="0098567C">
            <w:pPr>
              <w:jc w:val="right"/>
              <w:rPr>
                <w:color w:val="000000"/>
                <w:sz w:val="22"/>
                <w:szCs w:val="22"/>
              </w:rPr>
            </w:pPr>
            <w:r w:rsidRPr="0098567C">
              <w:rPr>
                <w:color w:val="FF0000"/>
                <w:sz w:val="22"/>
                <w:szCs w:val="22"/>
              </w:rPr>
              <w:t xml:space="preserve">-77 416 515 </w:t>
            </w:r>
          </w:p>
        </w:tc>
        <w:tc>
          <w:tcPr>
            <w:tcW w:w="2151"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bottom"/>
            <w:hideMark/>
          </w:tcPr>
          <w:p w:rsidR="0098567C" w:rsidRPr="0098567C" w:rsidRDefault="0098567C" w:rsidP="0098567C">
            <w:pPr>
              <w:jc w:val="right"/>
              <w:rPr>
                <w:color w:val="000000"/>
                <w:sz w:val="22"/>
                <w:szCs w:val="22"/>
              </w:rPr>
            </w:pPr>
            <w:r w:rsidRPr="0098567C">
              <w:rPr>
                <w:color w:val="FF0000"/>
                <w:sz w:val="22"/>
                <w:szCs w:val="22"/>
              </w:rPr>
              <w:t xml:space="preserve">-77 416 515 </w:t>
            </w:r>
          </w:p>
        </w:tc>
        <w:tc>
          <w:tcPr>
            <w:tcW w:w="2151" w:type="dxa"/>
            <w:tcBorders>
              <w:top w:val="single" w:sz="8" w:space="0" w:color="1F497D" w:themeColor="text2"/>
              <w:left w:val="single" w:sz="8" w:space="0" w:color="1F497D" w:themeColor="text2"/>
              <w:bottom w:val="single" w:sz="8" w:space="0" w:color="1F497D" w:themeColor="text2"/>
              <w:right w:val="double" w:sz="4" w:space="0" w:color="1F497D" w:themeColor="text2"/>
            </w:tcBorders>
            <w:shd w:val="clear" w:color="auto" w:fill="auto"/>
            <w:noWrap/>
            <w:vAlign w:val="bottom"/>
            <w:hideMark/>
          </w:tcPr>
          <w:p w:rsidR="0098567C" w:rsidRPr="0098567C" w:rsidRDefault="0098567C" w:rsidP="0098567C">
            <w:pPr>
              <w:jc w:val="right"/>
              <w:rPr>
                <w:color w:val="000000"/>
                <w:sz w:val="22"/>
                <w:szCs w:val="22"/>
              </w:rPr>
            </w:pPr>
            <w:r w:rsidRPr="0098567C">
              <w:rPr>
                <w:color w:val="FF0000"/>
                <w:sz w:val="22"/>
                <w:szCs w:val="22"/>
              </w:rPr>
              <w:t xml:space="preserve">-77 416 515 </w:t>
            </w:r>
          </w:p>
        </w:tc>
      </w:tr>
      <w:tr w:rsidR="0098567C" w:rsidRPr="0098567C" w:rsidTr="00A14AF6">
        <w:trPr>
          <w:trHeight w:val="303"/>
          <w:jc w:val="center"/>
        </w:trPr>
        <w:tc>
          <w:tcPr>
            <w:tcW w:w="1926" w:type="dxa"/>
            <w:tcBorders>
              <w:top w:val="single" w:sz="8" w:space="0" w:color="1F497D" w:themeColor="text2"/>
              <w:left w:val="double" w:sz="4" w:space="0" w:color="1F497D" w:themeColor="text2"/>
              <w:bottom w:val="single" w:sz="8" w:space="0" w:color="1F497D" w:themeColor="text2"/>
              <w:right w:val="single" w:sz="8" w:space="0" w:color="1F497D" w:themeColor="text2"/>
            </w:tcBorders>
            <w:shd w:val="clear" w:color="auto" w:fill="auto"/>
            <w:vAlign w:val="center"/>
            <w:hideMark/>
          </w:tcPr>
          <w:p w:rsidR="0098567C" w:rsidRPr="0098567C" w:rsidRDefault="0098567C" w:rsidP="0098567C">
            <w:pPr>
              <w:rPr>
                <w:color w:val="000000"/>
                <w:sz w:val="22"/>
                <w:szCs w:val="22"/>
              </w:rPr>
            </w:pPr>
            <w:r w:rsidRPr="0098567C">
              <w:rPr>
                <w:color w:val="000000"/>
                <w:sz w:val="22"/>
                <w:szCs w:val="22"/>
              </w:rPr>
              <w:t>6.1b</w:t>
            </w:r>
          </w:p>
        </w:tc>
        <w:tc>
          <w:tcPr>
            <w:tcW w:w="2151"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bottom"/>
            <w:hideMark/>
          </w:tcPr>
          <w:p w:rsidR="0098567C" w:rsidRPr="0098567C" w:rsidRDefault="0098567C" w:rsidP="0098567C">
            <w:pPr>
              <w:jc w:val="right"/>
              <w:rPr>
                <w:color w:val="000000"/>
                <w:sz w:val="22"/>
                <w:szCs w:val="22"/>
              </w:rPr>
            </w:pPr>
            <w:r w:rsidRPr="0098567C">
              <w:rPr>
                <w:color w:val="000000"/>
                <w:sz w:val="22"/>
                <w:szCs w:val="22"/>
              </w:rPr>
              <w:t xml:space="preserve">523 949 </w:t>
            </w:r>
          </w:p>
        </w:tc>
        <w:tc>
          <w:tcPr>
            <w:tcW w:w="2151"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bottom"/>
            <w:hideMark/>
          </w:tcPr>
          <w:p w:rsidR="0098567C" w:rsidRPr="0098567C" w:rsidRDefault="0098567C" w:rsidP="0098567C">
            <w:pPr>
              <w:jc w:val="right"/>
              <w:rPr>
                <w:color w:val="000000"/>
                <w:sz w:val="22"/>
                <w:szCs w:val="22"/>
              </w:rPr>
            </w:pPr>
            <w:r w:rsidRPr="0098567C">
              <w:rPr>
                <w:color w:val="000000"/>
                <w:sz w:val="22"/>
                <w:szCs w:val="22"/>
              </w:rPr>
              <w:t xml:space="preserve">523 949 </w:t>
            </w:r>
          </w:p>
        </w:tc>
        <w:tc>
          <w:tcPr>
            <w:tcW w:w="2151" w:type="dxa"/>
            <w:tcBorders>
              <w:top w:val="single" w:sz="8" w:space="0" w:color="1F497D" w:themeColor="text2"/>
              <w:left w:val="single" w:sz="8" w:space="0" w:color="1F497D" w:themeColor="text2"/>
              <w:bottom w:val="single" w:sz="8" w:space="0" w:color="1F497D" w:themeColor="text2"/>
              <w:right w:val="double" w:sz="4" w:space="0" w:color="1F497D" w:themeColor="text2"/>
            </w:tcBorders>
            <w:shd w:val="clear" w:color="auto" w:fill="auto"/>
            <w:noWrap/>
            <w:vAlign w:val="bottom"/>
            <w:hideMark/>
          </w:tcPr>
          <w:p w:rsidR="0098567C" w:rsidRPr="0098567C" w:rsidRDefault="0098567C" w:rsidP="0098567C">
            <w:pPr>
              <w:jc w:val="right"/>
              <w:rPr>
                <w:color w:val="000000"/>
                <w:sz w:val="22"/>
                <w:szCs w:val="22"/>
              </w:rPr>
            </w:pPr>
            <w:r w:rsidRPr="0098567C">
              <w:rPr>
                <w:color w:val="000000"/>
                <w:sz w:val="22"/>
                <w:szCs w:val="22"/>
              </w:rPr>
              <w:t xml:space="preserve">523 949 </w:t>
            </w:r>
          </w:p>
        </w:tc>
      </w:tr>
      <w:tr w:rsidR="0098567C" w:rsidRPr="0098567C" w:rsidTr="00A14AF6">
        <w:trPr>
          <w:trHeight w:val="318"/>
          <w:jc w:val="center"/>
        </w:trPr>
        <w:tc>
          <w:tcPr>
            <w:tcW w:w="1926" w:type="dxa"/>
            <w:tcBorders>
              <w:top w:val="single" w:sz="8" w:space="0" w:color="1F497D" w:themeColor="text2"/>
              <w:left w:val="double" w:sz="4" w:space="0" w:color="1F497D" w:themeColor="text2"/>
              <w:bottom w:val="single" w:sz="8" w:space="0" w:color="1F497D" w:themeColor="text2"/>
              <w:right w:val="single" w:sz="8" w:space="0" w:color="1F497D" w:themeColor="text2"/>
            </w:tcBorders>
            <w:shd w:val="clear" w:color="auto" w:fill="auto"/>
            <w:vAlign w:val="center"/>
            <w:hideMark/>
          </w:tcPr>
          <w:p w:rsidR="0098567C" w:rsidRPr="0098567C" w:rsidRDefault="0098567C" w:rsidP="0098567C">
            <w:pPr>
              <w:rPr>
                <w:color w:val="000000"/>
                <w:sz w:val="22"/>
                <w:szCs w:val="22"/>
              </w:rPr>
            </w:pPr>
            <w:r w:rsidRPr="0098567C">
              <w:rPr>
                <w:color w:val="000000"/>
                <w:sz w:val="22"/>
                <w:szCs w:val="22"/>
              </w:rPr>
              <w:t>6.2b</w:t>
            </w:r>
          </w:p>
        </w:tc>
        <w:tc>
          <w:tcPr>
            <w:tcW w:w="2151"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bottom"/>
            <w:hideMark/>
          </w:tcPr>
          <w:p w:rsidR="0098567C" w:rsidRPr="0098567C" w:rsidRDefault="0098567C" w:rsidP="0098567C">
            <w:pPr>
              <w:jc w:val="right"/>
              <w:rPr>
                <w:color w:val="000000"/>
                <w:sz w:val="22"/>
                <w:szCs w:val="22"/>
              </w:rPr>
            </w:pPr>
            <w:r w:rsidRPr="0098567C">
              <w:rPr>
                <w:color w:val="FF0000"/>
                <w:sz w:val="22"/>
                <w:szCs w:val="22"/>
              </w:rPr>
              <w:t xml:space="preserve">-687 283 </w:t>
            </w:r>
          </w:p>
        </w:tc>
        <w:tc>
          <w:tcPr>
            <w:tcW w:w="2151"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auto"/>
            <w:noWrap/>
            <w:vAlign w:val="bottom"/>
            <w:hideMark/>
          </w:tcPr>
          <w:p w:rsidR="0098567C" w:rsidRPr="0098567C" w:rsidRDefault="0098567C" w:rsidP="0098567C">
            <w:pPr>
              <w:jc w:val="right"/>
              <w:rPr>
                <w:color w:val="000000"/>
                <w:sz w:val="22"/>
                <w:szCs w:val="22"/>
              </w:rPr>
            </w:pPr>
            <w:r w:rsidRPr="0098567C">
              <w:rPr>
                <w:color w:val="FF0000"/>
                <w:sz w:val="22"/>
                <w:szCs w:val="22"/>
              </w:rPr>
              <w:t xml:space="preserve">-687 283 </w:t>
            </w:r>
          </w:p>
        </w:tc>
        <w:tc>
          <w:tcPr>
            <w:tcW w:w="2151" w:type="dxa"/>
            <w:tcBorders>
              <w:top w:val="single" w:sz="8" w:space="0" w:color="1F497D" w:themeColor="text2"/>
              <w:left w:val="single" w:sz="8" w:space="0" w:color="1F497D" w:themeColor="text2"/>
              <w:bottom w:val="single" w:sz="8" w:space="0" w:color="1F497D" w:themeColor="text2"/>
              <w:right w:val="double" w:sz="4" w:space="0" w:color="1F497D" w:themeColor="text2"/>
            </w:tcBorders>
            <w:shd w:val="clear" w:color="auto" w:fill="auto"/>
            <w:noWrap/>
            <w:vAlign w:val="bottom"/>
            <w:hideMark/>
          </w:tcPr>
          <w:p w:rsidR="0098567C" w:rsidRPr="0098567C" w:rsidRDefault="0098567C" w:rsidP="0098567C">
            <w:pPr>
              <w:jc w:val="right"/>
              <w:rPr>
                <w:color w:val="000000"/>
                <w:sz w:val="22"/>
                <w:szCs w:val="22"/>
              </w:rPr>
            </w:pPr>
            <w:r w:rsidRPr="0098567C">
              <w:rPr>
                <w:color w:val="FF0000"/>
                <w:sz w:val="22"/>
                <w:szCs w:val="22"/>
              </w:rPr>
              <w:t xml:space="preserve">-687 283 </w:t>
            </w:r>
          </w:p>
        </w:tc>
      </w:tr>
      <w:tr w:rsidR="00D737D8" w:rsidRPr="0098567C" w:rsidTr="00D737D8">
        <w:trPr>
          <w:trHeight w:val="318"/>
          <w:jc w:val="center"/>
        </w:trPr>
        <w:tc>
          <w:tcPr>
            <w:tcW w:w="1926" w:type="dxa"/>
            <w:tcBorders>
              <w:top w:val="single" w:sz="8" w:space="0" w:color="1F497D" w:themeColor="text2"/>
              <w:left w:val="double" w:sz="4" w:space="0" w:color="1F497D" w:themeColor="text2"/>
              <w:bottom w:val="single" w:sz="8" w:space="0" w:color="1F497D" w:themeColor="text2"/>
              <w:right w:val="single" w:sz="8" w:space="0" w:color="1F497D" w:themeColor="text2"/>
            </w:tcBorders>
            <w:shd w:val="clear" w:color="auto" w:fill="DBE5F1" w:themeFill="accent1" w:themeFillTint="33"/>
            <w:noWrap/>
            <w:vAlign w:val="bottom"/>
            <w:hideMark/>
          </w:tcPr>
          <w:p w:rsidR="0098567C" w:rsidRPr="0098567C" w:rsidRDefault="0098567C" w:rsidP="0098567C">
            <w:pPr>
              <w:rPr>
                <w:b/>
                <w:bCs/>
                <w:color w:val="000000"/>
                <w:sz w:val="22"/>
                <w:szCs w:val="22"/>
              </w:rPr>
            </w:pPr>
            <w:r w:rsidRPr="0098567C">
              <w:rPr>
                <w:b/>
                <w:bCs/>
                <w:color w:val="000000"/>
                <w:sz w:val="22"/>
                <w:szCs w:val="22"/>
              </w:rPr>
              <w:t>Celkem IOP</w:t>
            </w:r>
          </w:p>
        </w:tc>
        <w:tc>
          <w:tcPr>
            <w:tcW w:w="2151"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DBE5F1" w:themeFill="accent1" w:themeFillTint="33"/>
            <w:noWrap/>
            <w:vAlign w:val="bottom"/>
            <w:hideMark/>
          </w:tcPr>
          <w:p w:rsidR="0098567C" w:rsidRPr="0098567C" w:rsidRDefault="0098567C" w:rsidP="0098567C">
            <w:pPr>
              <w:jc w:val="right"/>
              <w:rPr>
                <w:b/>
                <w:bCs/>
                <w:color w:val="000000"/>
                <w:sz w:val="22"/>
                <w:szCs w:val="22"/>
              </w:rPr>
            </w:pPr>
            <w:r w:rsidRPr="0098567C">
              <w:rPr>
                <w:b/>
                <w:bCs/>
                <w:color w:val="FF0000"/>
                <w:sz w:val="22"/>
                <w:szCs w:val="22"/>
              </w:rPr>
              <w:t xml:space="preserve">-2 039 096 595 </w:t>
            </w:r>
          </w:p>
        </w:tc>
        <w:tc>
          <w:tcPr>
            <w:tcW w:w="2151"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DBE5F1" w:themeFill="accent1" w:themeFillTint="33"/>
            <w:noWrap/>
            <w:vAlign w:val="bottom"/>
            <w:hideMark/>
          </w:tcPr>
          <w:p w:rsidR="0098567C" w:rsidRPr="0098567C" w:rsidRDefault="0098567C" w:rsidP="0098567C">
            <w:pPr>
              <w:jc w:val="right"/>
              <w:rPr>
                <w:b/>
                <w:bCs/>
                <w:color w:val="000000"/>
                <w:sz w:val="22"/>
                <w:szCs w:val="22"/>
              </w:rPr>
            </w:pPr>
            <w:r w:rsidRPr="0098567C">
              <w:rPr>
                <w:b/>
                <w:bCs/>
                <w:color w:val="FF0000"/>
                <w:sz w:val="22"/>
                <w:szCs w:val="22"/>
              </w:rPr>
              <w:t xml:space="preserve">-2 300 632 197 </w:t>
            </w:r>
          </w:p>
        </w:tc>
        <w:tc>
          <w:tcPr>
            <w:tcW w:w="2151" w:type="dxa"/>
            <w:tcBorders>
              <w:top w:val="single" w:sz="8" w:space="0" w:color="1F497D" w:themeColor="text2"/>
              <w:left w:val="single" w:sz="8" w:space="0" w:color="1F497D" w:themeColor="text2"/>
              <w:bottom w:val="single" w:sz="8" w:space="0" w:color="1F497D" w:themeColor="text2"/>
              <w:right w:val="double" w:sz="4" w:space="0" w:color="1F497D" w:themeColor="text2"/>
            </w:tcBorders>
            <w:shd w:val="clear" w:color="auto" w:fill="DBE5F1" w:themeFill="accent1" w:themeFillTint="33"/>
            <w:noWrap/>
            <w:vAlign w:val="bottom"/>
            <w:hideMark/>
          </w:tcPr>
          <w:p w:rsidR="0098567C" w:rsidRPr="0098567C" w:rsidRDefault="0098567C" w:rsidP="0098567C">
            <w:pPr>
              <w:jc w:val="right"/>
              <w:rPr>
                <w:b/>
                <w:bCs/>
                <w:color w:val="000000"/>
                <w:sz w:val="22"/>
                <w:szCs w:val="22"/>
              </w:rPr>
            </w:pPr>
            <w:r w:rsidRPr="0098567C">
              <w:rPr>
                <w:b/>
                <w:bCs/>
                <w:color w:val="FF0000"/>
                <w:sz w:val="22"/>
                <w:szCs w:val="22"/>
              </w:rPr>
              <w:t xml:space="preserve">-4 131 381 413 </w:t>
            </w:r>
          </w:p>
        </w:tc>
      </w:tr>
      <w:tr w:rsidR="00D737D8" w:rsidRPr="0098567C" w:rsidTr="00D737D8">
        <w:trPr>
          <w:trHeight w:val="318"/>
          <w:jc w:val="center"/>
        </w:trPr>
        <w:tc>
          <w:tcPr>
            <w:tcW w:w="1926" w:type="dxa"/>
            <w:tcBorders>
              <w:top w:val="single" w:sz="8" w:space="0" w:color="1F497D" w:themeColor="text2"/>
              <w:left w:val="double" w:sz="4" w:space="0" w:color="1F497D" w:themeColor="text2"/>
              <w:bottom w:val="single" w:sz="8" w:space="0" w:color="1F497D" w:themeColor="text2"/>
              <w:right w:val="single" w:sz="8" w:space="0" w:color="1F497D" w:themeColor="text2"/>
            </w:tcBorders>
            <w:shd w:val="clear" w:color="auto" w:fill="DBE5F1" w:themeFill="accent1" w:themeFillTint="33"/>
            <w:noWrap/>
            <w:vAlign w:val="bottom"/>
            <w:hideMark/>
          </w:tcPr>
          <w:p w:rsidR="0098567C" w:rsidRPr="0098567C" w:rsidRDefault="0098567C" w:rsidP="0098567C">
            <w:pPr>
              <w:rPr>
                <w:b/>
                <w:bCs/>
                <w:color w:val="000000"/>
                <w:sz w:val="22"/>
                <w:szCs w:val="22"/>
              </w:rPr>
            </w:pPr>
            <w:r w:rsidRPr="0098567C">
              <w:rPr>
                <w:b/>
                <w:bCs/>
                <w:color w:val="000000"/>
                <w:sz w:val="22"/>
                <w:szCs w:val="22"/>
              </w:rPr>
              <w:t>Konvergence</w:t>
            </w:r>
          </w:p>
        </w:tc>
        <w:tc>
          <w:tcPr>
            <w:tcW w:w="2151"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DBE5F1" w:themeFill="accent1" w:themeFillTint="33"/>
            <w:noWrap/>
            <w:vAlign w:val="bottom"/>
            <w:hideMark/>
          </w:tcPr>
          <w:p w:rsidR="0098567C" w:rsidRPr="0098567C" w:rsidRDefault="0098567C" w:rsidP="0098567C">
            <w:pPr>
              <w:jc w:val="right"/>
              <w:rPr>
                <w:b/>
                <w:bCs/>
                <w:color w:val="000000"/>
                <w:sz w:val="22"/>
                <w:szCs w:val="22"/>
              </w:rPr>
            </w:pPr>
            <w:r w:rsidRPr="0098567C">
              <w:rPr>
                <w:b/>
                <w:bCs/>
                <w:color w:val="FF0000"/>
                <w:sz w:val="22"/>
                <w:szCs w:val="22"/>
              </w:rPr>
              <w:t xml:space="preserve">-2 009 129 265 </w:t>
            </w:r>
          </w:p>
        </w:tc>
        <w:tc>
          <w:tcPr>
            <w:tcW w:w="2151"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DBE5F1" w:themeFill="accent1" w:themeFillTint="33"/>
            <w:noWrap/>
            <w:vAlign w:val="bottom"/>
            <w:hideMark/>
          </w:tcPr>
          <w:p w:rsidR="0098567C" w:rsidRPr="0098567C" w:rsidRDefault="0098567C" w:rsidP="0098567C">
            <w:pPr>
              <w:jc w:val="right"/>
              <w:rPr>
                <w:b/>
                <w:bCs/>
                <w:color w:val="000000"/>
                <w:sz w:val="22"/>
                <w:szCs w:val="22"/>
              </w:rPr>
            </w:pPr>
            <w:r w:rsidRPr="0098567C">
              <w:rPr>
                <w:b/>
                <w:bCs/>
                <w:color w:val="FF0000"/>
                <w:sz w:val="22"/>
                <w:szCs w:val="22"/>
              </w:rPr>
              <w:t xml:space="preserve">-2 266 034 242 </w:t>
            </w:r>
          </w:p>
        </w:tc>
        <w:tc>
          <w:tcPr>
            <w:tcW w:w="2151" w:type="dxa"/>
            <w:tcBorders>
              <w:top w:val="single" w:sz="8" w:space="0" w:color="1F497D" w:themeColor="text2"/>
              <w:left w:val="single" w:sz="8" w:space="0" w:color="1F497D" w:themeColor="text2"/>
              <w:bottom w:val="single" w:sz="8" w:space="0" w:color="1F497D" w:themeColor="text2"/>
              <w:right w:val="double" w:sz="4" w:space="0" w:color="1F497D" w:themeColor="text2"/>
            </w:tcBorders>
            <w:shd w:val="clear" w:color="auto" w:fill="DBE5F1" w:themeFill="accent1" w:themeFillTint="33"/>
            <w:noWrap/>
            <w:vAlign w:val="bottom"/>
            <w:hideMark/>
          </w:tcPr>
          <w:p w:rsidR="0098567C" w:rsidRPr="0098567C" w:rsidRDefault="0098567C" w:rsidP="0098567C">
            <w:pPr>
              <w:jc w:val="right"/>
              <w:rPr>
                <w:b/>
                <w:bCs/>
                <w:color w:val="000000"/>
                <w:sz w:val="22"/>
                <w:szCs w:val="22"/>
              </w:rPr>
            </w:pPr>
            <w:r w:rsidRPr="0098567C">
              <w:rPr>
                <w:b/>
                <w:bCs/>
                <w:color w:val="FF0000"/>
                <w:sz w:val="22"/>
                <w:szCs w:val="22"/>
              </w:rPr>
              <w:t xml:space="preserve">-4 064 369 084 </w:t>
            </w:r>
          </w:p>
        </w:tc>
      </w:tr>
      <w:tr w:rsidR="00D737D8" w:rsidRPr="0098567C" w:rsidTr="00D737D8">
        <w:trPr>
          <w:trHeight w:val="318"/>
          <w:jc w:val="center"/>
        </w:trPr>
        <w:tc>
          <w:tcPr>
            <w:tcW w:w="1926" w:type="dxa"/>
            <w:tcBorders>
              <w:top w:val="single" w:sz="8" w:space="0" w:color="1F497D" w:themeColor="text2"/>
              <w:left w:val="double" w:sz="4" w:space="0" w:color="1F497D" w:themeColor="text2"/>
              <w:bottom w:val="single" w:sz="8" w:space="0" w:color="1F497D" w:themeColor="text2"/>
              <w:right w:val="single" w:sz="8" w:space="0" w:color="1F497D" w:themeColor="text2"/>
            </w:tcBorders>
            <w:shd w:val="clear" w:color="auto" w:fill="DBE5F1" w:themeFill="accent1" w:themeFillTint="33"/>
            <w:noWrap/>
            <w:vAlign w:val="bottom"/>
            <w:hideMark/>
          </w:tcPr>
          <w:p w:rsidR="0098567C" w:rsidRPr="0098567C" w:rsidRDefault="0098567C" w:rsidP="0098567C">
            <w:pPr>
              <w:rPr>
                <w:b/>
                <w:bCs/>
                <w:color w:val="000000"/>
                <w:sz w:val="22"/>
                <w:szCs w:val="22"/>
              </w:rPr>
            </w:pPr>
            <w:proofErr w:type="spellStart"/>
            <w:r w:rsidRPr="0098567C">
              <w:rPr>
                <w:b/>
                <w:bCs/>
                <w:color w:val="000000"/>
                <w:sz w:val="22"/>
                <w:szCs w:val="22"/>
              </w:rPr>
              <w:t>RKaZ</w:t>
            </w:r>
            <w:proofErr w:type="spellEnd"/>
          </w:p>
        </w:tc>
        <w:tc>
          <w:tcPr>
            <w:tcW w:w="2151"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DBE5F1" w:themeFill="accent1" w:themeFillTint="33"/>
            <w:noWrap/>
            <w:vAlign w:val="bottom"/>
            <w:hideMark/>
          </w:tcPr>
          <w:p w:rsidR="0098567C" w:rsidRPr="0098567C" w:rsidRDefault="0098567C" w:rsidP="0098567C">
            <w:pPr>
              <w:jc w:val="right"/>
              <w:rPr>
                <w:b/>
                <w:bCs/>
                <w:color w:val="000000"/>
                <w:sz w:val="22"/>
                <w:szCs w:val="22"/>
              </w:rPr>
            </w:pPr>
            <w:r w:rsidRPr="0098567C">
              <w:rPr>
                <w:b/>
                <w:bCs/>
                <w:color w:val="FF0000"/>
                <w:sz w:val="22"/>
                <w:szCs w:val="22"/>
              </w:rPr>
              <w:t xml:space="preserve">-29 967 330 </w:t>
            </w:r>
          </w:p>
        </w:tc>
        <w:tc>
          <w:tcPr>
            <w:tcW w:w="2151"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DBE5F1" w:themeFill="accent1" w:themeFillTint="33"/>
            <w:noWrap/>
            <w:vAlign w:val="bottom"/>
            <w:hideMark/>
          </w:tcPr>
          <w:p w:rsidR="0098567C" w:rsidRPr="0098567C" w:rsidRDefault="0098567C" w:rsidP="0098567C">
            <w:pPr>
              <w:jc w:val="right"/>
              <w:rPr>
                <w:b/>
                <w:bCs/>
                <w:color w:val="000000"/>
                <w:sz w:val="22"/>
                <w:szCs w:val="22"/>
              </w:rPr>
            </w:pPr>
            <w:r w:rsidRPr="0098567C">
              <w:rPr>
                <w:b/>
                <w:bCs/>
                <w:color w:val="FF0000"/>
                <w:sz w:val="22"/>
                <w:szCs w:val="22"/>
              </w:rPr>
              <w:t xml:space="preserve">-34 597 955 </w:t>
            </w:r>
          </w:p>
        </w:tc>
        <w:tc>
          <w:tcPr>
            <w:tcW w:w="2151" w:type="dxa"/>
            <w:tcBorders>
              <w:top w:val="single" w:sz="8" w:space="0" w:color="1F497D" w:themeColor="text2"/>
              <w:left w:val="single" w:sz="8" w:space="0" w:color="1F497D" w:themeColor="text2"/>
              <w:bottom w:val="single" w:sz="8" w:space="0" w:color="1F497D" w:themeColor="text2"/>
              <w:right w:val="double" w:sz="4" w:space="0" w:color="1F497D" w:themeColor="text2"/>
            </w:tcBorders>
            <w:shd w:val="clear" w:color="auto" w:fill="DBE5F1" w:themeFill="accent1" w:themeFillTint="33"/>
            <w:noWrap/>
            <w:vAlign w:val="bottom"/>
            <w:hideMark/>
          </w:tcPr>
          <w:p w:rsidR="0098567C" w:rsidRPr="0098567C" w:rsidRDefault="0098567C" w:rsidP="0098567C">
            <w:pPr>
              <w:jc w:val="right"/>
              <w:rPr>
                <w:b/>
                <w:bCs/>
                <w:color w:val="000000"/>
                <w:sz w:val="22"/>
                <w:szCs w:val="22"/>
              </w:rPr>
            </w:pPr>
            <w:r w:rsidRPr="0098567C">
              <w:rPr>
                <w:b/>
                <w:bCs/>
                <w:color w:val="FF0000"/>
                <w:sz w:val="22"/>
                <w:szCs w:val="22"/>
              </w:rPr>
              <w:t xml:space="preserve">-67 012 329 </w:t>
            </w:r>
          </w:p>
        </w:tc>
      </w:tr>
      <w:tr w:rsidR="00D737D8" w:rsidRPr="0098567C" w:rsidTr="00D737D8">
        <w:trPr>
          <w:trHeight w:val="318"/>
          <w:jc w:val="center"/>
        </w:trPr>
        <w:tc>
          <w:tcPr>
            <w:tcW w:w="1926" w:type="dxa"/>
            <w:tcBorders>
              <w:top w:val="single" w:sz="8" w:space="0" w:color="1F497D" w:themeColor="text2"/>
              <w:left w:val="double" w:sz="4" w:space="0" w:color="1F497D" w:themeColor="text2"/>
              <w:bottom w:val="single" w:sz="8" w:space="0" w:color="1F497D" w:themeColor="text2"/>
              <w:right w:val="single" w:sz="8" w:space="0" w:color="1F497D" w:themeColor="text2"/>
            </w:tcBorders>
            <w:shd w:val="clear" w:color="auto" w:fill="DBE5F1" w:themeFill="accent1" w:themeFillTint="33"/>
            <w:noWrap/>
            <w:vAlign w:val="bottom"/>
            <w:hideMark/>
          </w:tcPr>
          <w:p w:rsidR="0098567C" w:rsidRPr="0098567C" w:rsidRDefault="0098567C" w:rsidP="0098567C">
            <w:pPr>
              <w:rPr>
                <w:i/>
                <w:iCs/>
                <w:color w:val="000000"/>
                <w:sz w:val="22"/>
                <w:szCs w:val="22"/>
              </w:rPr>
            </w:pPr>
            <w:r w:rsidRPr="0098567C">
              <w:rPr>
                <w:i/>
                <w:iCs/>
                <w:color w:val="000000"/>
                <w:sz w:val="22"/>
                <w:szCs w:val="22"/>
              </w:rPr>
              <w:t>MV</w:t>
            </w:r>
          </w:p>
        </w:tc>
        <w:tc>
          <w:tcPr>
            <w:tcW w:w="2151"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DBE5F1" w:themeFill="accent1" w:themeFillTint="33"/>
            <w:noWrap/>
            <w:vAlign w:val="bottom"/>
            <w:hideMark/>
          </w:tcPr>
          <w:p w:rsidR="0098567C" w:rsidRPr="0098567C" w:rsidRDefault="0098567C" w:rsidP="0098567C">
            <w:pPr>
              <w:jc w:val="right"/>
              <w:rPr>
                <w:i/>
                <w:iCs/>
                <w:color w:val="000000"/>
                <w:sz w:val="22"/>
                <w:szCs w:val="22"/>
              </w:rPr>
            </w:pPr>
            <w:r w:rsidRPr="0098567C">
              <w:rPr>
                <w:i/>
                <w:iCs/>
                <w:color w:val="FF0000"/>
                <w:sz w:val="22"/>
                <w:szCs w:val="22"/>
              </w:rPr>
              <w:t xml:space="preserve">-1 538 525 667 </w:t>
            </w:r>
          </w:p>
        </w:tc>
        <w:tc>
          <w:tcPr>
            <w:tcW w:w="2151"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DBE5F1" w:themeFill="accent1" w:themeFillTint="33"/>
            <w:noWrap/>
            <w:vAlign w:val="bottom"/>
            <w:hideMark/>
          </w:tcPr>
          <w:p w:rsidR="0098567C" w:rsidRPr="0098567C" w:rsidRDefault="0098567C" w:rsidP="0098567C">
            <w:pPr>
              <w:jc w:val="right"/>
              <w:rPr>
                <w:i/>
                <w:iCs/>
                <w:color w:val="000000"/>
                <w:sz w:val="22"/>
                <w:szCs w:val="22"/>
              </w:rPr>
            </w:pPr>
            <w:r w:rsidRPr="0098567C">
              <w:rPr>
                <w:i/>
                <w:iCs/>
                <w:color w:val="FF0000"/>
                <w:sz w:val="22"/>
                <w:szCs w:val="22"/>
              </w:rPr>
              <w:t xml:space="preserve">-1 599 014 151 </w:t>
            </w:r>
          </w:p>
        </w:tc>
        <w:tc>
          <w:tcPr>
            <w:tcW w:w="2151" w:type="dxa"/>
            <w:tcBorders>
              <w:top w:val="single" w:sz="8" w:space="0" w:color="1F497D" w:themeColor="text2"/>
              <w:left w:val="single" w:sz="8" w:space="0" w:color="1F497D" w:themeColor="text2"/>
              <w:bottom w:val="single" w:sz="8" w:space="0" w:color="1F497D" w:themeColor="text2"/>
              <w:right w:val="double" w:sz="4" w:space="0" w:color="1F497D" w:themeColor="text2"/>
            </w:tcBorders>
            <w:shd w:val="clear" w:color="auto" w:fill="DBE5F1" w:themeFill="accent1" w:themeFillTint="33"/>
            <w:noWrap/>
            <w:vAlign w:val="bottom"/>
            <w:hideMark/>
          </w:tcPr>
          <w:p w:rsidR="0098567C" w:rsidRPr="0098567C" w:rsidRDefault="0098567C" w:rsidP="0098567C">
            <w:pPr>
              <w:jc w:val="right"/>
              <w:rPr>
                <w:i/>
                <w:iCs/>
                <w:color w:val="000000"/>
                <w:sz w:val="22"/>
                <w:szCs w:val="22"/>
              </w:rPr>
            </w:pPr>
            <w:r w:rsidRPr="0098567C">
              <w:rPr>
                <w:i/>
                <w:iCs/>
                <w:color w:val="FF0000"/>
                <w:sz w:val="22"/>
                <w:szCs w:val="22"/>
              </w:rPr>
              <w:t xml:space="preserve">-2 022 433 544 </w:t>
            </w:r>
          </w:p>
        </w:tc>
      </w:tr>
      <w:tr w:rsidR="00D737D8" w:rsidRPr="0098567C" w:rsidTr="00D737D8">
        <w:trPr>
          <w:trHeight w:val="318"/>
          <w:jc w:val="center"/>
        </w:trPr>
        <w:tc>
          <w:tcPr>
            <w:tcW w:w="1926" w:type="dxa"/>
            <w:tcBorders>
              <w:top w:val="single" w:sz="8" w:space="0" w:color="1F497D" w:themeColor="text2"/>
              <w:left w:val="double" w:sz="4" w:space="0" w:color="1F497D" w:themeColor="text2"/>
              <w:bottom w:val="single" w:sz="8" w:space="0" w:color="1F497D" w:themeColor="text2"/>
              <w:right w:val="single" w:sz="8" w:space="0" w:color="1F497D" w:themeColor="text2"/>
            </w:tcBorders>
            <w:shd w:val="clear" w:color="auto" w:fill="DBE5F1" w:themeFill="accent1" w:themeFillTint="33"/>
            <w:noWrap/>
            <w:vAlign w:val="bottom"/>
            <w:hideMark/>
          </w:tcPr>
          <w:p w:rsidR="0098567C" w:rsidRPr="0098567C" w:rsidRDefault="0098567C" w:rsidP="0098567C">
            <w:pPr>
              <w:rPr>
                <w:i/>
                <w:iCs/>
                <w:color w:val="000000"/>
                <w:sz w:val="22"/>
                <w:szCs w:val="22"/>
              </w:rPr>
            </w:pPr>
            <w:r w:rsidRPr="0098567C">
              <w:rPr>
                <w:i/>
                <w:iCs/>
                <w:color w:val="000000"/>
                <w:sz w:val="22"/>
                <w:szCs w:val="22"/>
              </w:rPr>
              <w:t>MPSV</w:t>
            </w:r>
          </w:p>
        </w:tc>
        <w:tc>
          <w:tcPr>
            <w:tcW w:w="2151"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DBE5F1" w:themeFill="accent1" w:themeFillTint="33"/>
            <w:noWrap/>
            <w:vAlign w:val="bottom"/>
            <w:hideMark/>
          </w:tcPr>
          <w:p w:rsidR="0098567C" w:rsidRPr="0098567C" w:rsidRDefault="0098567C" w:rsidP="0098567C">
            <w:pPr>
              <w:jc w:val="right"/>
              <w:rPr>
                <w:i/>
                <w:iCs/>
                <w:color w:val="000000"/>
                <w:sz w:val="22"/>
                <w:szCs w:val="22"/>
              </w:rPr>
            </w:pPr>
            <w:r w:rsidRPr="0098567C">
              <w:rPr>
                <w:i/>
                <w:iCs/>
                <w:color w:val="FF0000"/>
                <w:sz w:val="22"/>
                <w:szCs w:val="22"/>
              </w:rPr>
              <w:t xml:space="preserve">-830 104 716 </w:t>
            </w:r>
          </w:p>
        </w:tc>
        <w:tc>
          <w:tcPr>
            <w:tcW w:w="2151"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DBE5F1" w:themeFill="accent1" w:themeFillTint="33"/>
            <w:noWrap/>
            <w:vAlign w:val="bottom"/>
            <w:hideMark/>
          </w:tcPr>
          <w:p w:rsidR="0098567C" w:rsidRPr="0098567C" w:rsidRDefault="0098567C" w:rsidP="0098567C">
            <w:pPr>
              <w:jc w:val="right"/>
              <w:rPr>
                <w:i/>
                <w:iCs/>
                <w:color w:val="000000"/>
                <w:sz w:val="22"/>
                <w:szCs w:val="22"/>
              </w:rPr>
            </w:pPr>
            <w:r w:rsidRPr="0098567C">
              <w:rPr>
                <w:i/>
                <w:iCs/>
                <w:color w:val="FF0000"/>
                <w:sz w:val="22"/>
                <w:szCs w:val="22"/>
              </w:rPr>
              <w:t xml:space="preserve">-840 311 040 </w:t>
            </w:r>
          </w:p>
        </w:tc>
        <w:tc>
          <w:tcPr>
            <w:tcW w:w="2151" w:type="dxa"/>
            <w:tcBorders>
              <w:top w:val="single" w:sz="8" w:space="0" w:color="1F497D" w:themeColor="text2"/>
              <w:left w:val="single" w:sz="8" w:space="0" w:color="1F497D" w:themeColor="text2"/>
              <w:bottom w:val="single" w:sz="8" w:space="0" w:color="1F497D" w:themeColor="text2"/>
              <w:right w:val="double" w:sz="4" w:space="0" w:color="1F497D" w:themeColor="text2"/>
            </w:tcBorders>
            <w:shd w:val="clear" w:color="auto" w:fill="DBE5F1" w:themeFill="accent1" w:themeFillTint="33"/>
            <w:noWrap/>
            <w:vAlign w:val="bottom"/>
            <w:hideMark/>
          </w:tcPr>
          <w:p w:rsidR="0098567C" w:rsidRPr="0098567C" w:rsidRDefault="0098567C" w:rsidP="0098567C">
            <w:pPr>
              <w:jc w:val="right"/>
              <w:rPr>
                <w:i/>
                <w:iCs/>
                <w:color w:val="000000"/>
                <w:sz w:val="22"/>
                <w:szCs w:val="22"/>
              </w:rPr>
            </w:pPr>
            <w:r w:rsidRPr="0098567C">
              <w:rPr>
                <w:i/>
                <w:iCs/>
                <w:color w:val="FF0000"/>
                <w:sz w:val="22"/>
                <w:szCs w:val="22"/>
              </w:rPr>
              <w:t xml:space="preserve">-911 755 309 </w:t>
            </w:r>
          </w:p>
        </w:tc>
      </w:tr>
      <w:tr w:rsidR="00D737D8" w:rsidRPr="0098567C" w:rsidTr="00D737D8">
        <w:trPr>
          <w:trHeight w:val="318"/>
          <w:jc w:val="center"/>
        </w:trPr>
        <w:tc>
          <w:tcPr>
            <w:tcW w:w="1926" w:type="dxa"/>
            <w:tcBorders>
              <w:top w:val="single" w:sz="8" w:space="0" w:color="1F497D" w:themeColor="text2"/>
              <w:left w:val="double" w:sz="4" w:space="0" w:color="1F497D" w:themeColor="text2"/>
              <w:bottom w:val="single" w:sz="8" w:space="0" w:color="1F497D" w:themeColor="text2"/>
              <w:right w:val="single" w:sz="8" w:space="0" w:color="1F497D" w:themeColor="text2"/>
            </w:tcBorders>
            <w:shd w:val="clear" w:color="auto" w:fill="DBE5F1" w:themeFill="accent1" w:themeFillTint="33"/>
            <w:noWrap/>
            <w:vAlign w:val="bottom"/>
            <w:hideMark/>
          </w:tcPr>
          <w:p w:rsidR="0098567C" w:rsidRPr="0098567C" w:rsidRDefault="0098567C" w:rsidP="0098567C">
            <w:pPr>
              <w:rPr>
                <w:i/>
                <w:iCs/>
                <w:color w:val="000000"/>
                <w:sz w:val="22"/>
                <w:szCs w:val="22"/>
              </w:rPr>
            </w:pPr>
            <w:proofErr w:type="spellStart"/>
            <w:r w:rsidRPr="0098567C">
              <w:rPr>
                <w:i/>
                <w:iCs/>
                <w:color w:val="000000"/>
                <w:sz w:val="22"/>
                <w:szCs w:val="22"/>
              </w:rPr>
              <w:t>MZd</w:t>
            </w:r>
            <w:proofErr w:type="spellEnd"/>
          </w:p>
        </w:tc>
        <w:tc>
          <w:tcPr>
            <w:tcW w:w="2151"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DBE5F1" w:themeFill="accent1" w:themeFillTint="33"/>
            <w:noWrap/>
            <w:vAlign w:val="bottom"/>
            <w:hideMark/>
          </w:tcPr>
          <w:p w:rsidR="0098567C" w:rsidRPr="0098567C" w:rsidRDefault="0098567C" w:rsidP="0098567C">
            <w:pPr>
              <w:jc w:val="right"/>
              <w:rPr>
                <w:i/>
                <w:iCs/>
                <w:color w:val="000000"/>
                <w:sz w:val="22"/>
                <w:szCs w:val="22"/>
              </w:rPr>
            </w:pPr>
            <w:r w:rsidRPr="0098567C">
              <w:rPr>
                <w:i/>
                <w:iCs/>
                <w:color w:val="000000"/>
                <w:sz w:val="22"/>
                <w:szCs w:val="22"/>
              </w:rPr>
              <w:t xml:space="preserve">952 793 389 </w:t>
            </w:r>
          </w:p>
        </w:tc>
        <w:tc>
          <w:tcPr>
            <w:tcW w:w="2151"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DBE5F1" w:themeFill="accent1" w:themeFillTint="33"/>
            <w:noWrap/>
            <w:vAlign w:val="bottom"/>
            <w:hideMark/>
          </w:tcPr>
          <w:p w:rsidR="0098567C" w:rsidRPr="0098567C" w:rsidRDefault="0098567C" w:rsidP="0098567C">
            <w:pPr>
              <w:jc w:val="right"/>
              <w:rPr>
                <w:i/>
                <w:iCs/>
                <w:color w:val="000000"/>
                <w:sz w:val="22"/>
                <w:szCs w:val="22"/>
              </w:rPr>
            </w:pPr>
            <w:r w:rsidRPr="0098567C">
              <w:rPr>
                <w:i/>
                <w:iCs/>
                <w:color w:val="000000"/>
                <w:sz w:val="22"/>
                <w:szCs w:val="22"/>
              </w:rPr>
              <w:t xml:space="preserve">952 793 389 </w:t>
            </w:r>
          </w:p>
        </w:tc>
        <w:tc>
          <w:tcPr>
            <w:tcW w:w="2151" w:type="dxa"/>
            <w:tcBorders>
              <w:top w:val="single" w:sz="8" w:space="0" w:color="1F497D" w:themeColor="text2"/>
              <w:left w:val="single" w:sz="8" w:space="0" w:color="1F497D" w:themeColor="text2"/>
              <w:bottom w:val="single" w:sz="8" w:space="0" w:color="1F497D" w:themeColor="text2"/>
              <w:right w:val="double" w:sz="4" w:space="0" w:color="1F497D" w:themeColor="text2"/>
            </w:tcBorders>
            <w:shd w:val="clear" w:color="auto" w:fill="DBE5F1" w:themeFill="accent1" w:themeFillTint="33"/>
            <w:noWrap/>
            <w:vAlign w:val="bottom"/>
            <w:hideMark/>
          </w:tcPr>
          <w:p w:rsidR="0098567C" w:rsidRPr="0098567C" w:rsidRDefault="0098567C" w:rsidP="0098567C">
            <w:pPr>
              <w:jc w:val="right"/>
              <w:rPr>
                <w:i/>
                <w:iCs/>
                <w:color w:val="000000"/>
                <w:sz w:val="22"/>
                <w:szCs w:val="22"/>
              </w:rPr>
            </w:pPr>
            <w:r w:rsidRPr="0098567C">
              <w:rPr>
                <w:i/>
                <w:iCs/>
                <w:color w:val="000000"/>
                <w:sz w:val="22"/>
                <w:szCs w:val="22"/>
              </w:rPr>
              <w:t xml:space="preserve">952 793 389 </w:t>
            </w:r>
          </w:p>
        </w:tc>
      </w:tr>
      <w:tr w:rsidR="00D737D8" w:rsidRPr="0098567C" w:rsidTr="00D737D8">
        <w:trPr>
          <w:trHeight w:val="318"/>
          <w:jc w:val="center"/>
        </w:trPr>
        <w:tc>
          <w:tcPr>
            <w:tcW w:w="1926" w:type="dxa"/>
            <w:tcBorders>
              <w:top w:val="single" w:sz="8" w:space="0" w:color="1F497D" w:themeColor="text2"/>
              <w:left w:val="double" w:sz="4" w:space="0" w:color="1F497D" w:themeColor="text2"/>
              <w:bottom w:val="double" w:sz="4" w:space="0" w:color="1F497D" w:themeColor="text2"/>
              <w:right w:val="single" w:sz="8" w:space="0" w:color="1F497D" w:themeColor="text2"/>
            </w:tcBorders>
            <w:shd w:val="clear" w:color="auto" w:fill="DBE5F1" w:themeFill="accent1" w:themeFillTint="33"/>
            <w:noWrap/>
            <w:vAlign w:val="bottom"/>
            <w:hideMark/>
          </w:tcPr>
          <w:p w:rsidR="0098567C" w:rsidRPr="0098567C" w:rsidRDefault="0098567C" w:rsidP="0098567C">
            <w:pPr>
              <w:rPr>
                <w:i/>
                <w:iCs/>
                <w:color w:val="000000"/>
                <w:sz w:val="22"/>
                <w:szCs w:val="22"/>
              </w:rPr>
            </w:pPr>
            <w:r w:rsidRPr="0098567C">
              <w:rPr>
                <w:i/>
                <w:iCs/>
                <w:color w:val="000000"/>
                <w:sz w:val="22"/>
                <w:szCs w:val="22"/>
              </w:rPr>
              <w:t>MMR</w:t>
            </w:r>
          </w:p>
        </w:tc>
        <w:tc>
          <w:tcPr>
            <w:tcW w:w="2151" w:type="dxa"/>
            <w:tcBorders>
              <w:top w:val="single" w:sz="8" w:space="0" w:color="1F497D" w:themeColor="text2"/>
              <w:left w:val="single" w:sz="8" w:space="0" w:color="1F497D" w:themeColor="text2"/>
              <w:bottom w:val="double" w:sz="4" w:space="0" w:color="1F497D" w:themeColor="text2"/>
              <w:right w:val="single" w:sz="8" w:space="0" w:color="1F497D" w:themeColor="text2"/>
            </w:tcBorders>
            <w:shd w:val="clear" w:color="auto" w:fill="DBE5F1" w:themeFill="accent1" w:themeFillTint="33"/>
            <w:noWrap/>
            <w:vAlign w:val="bottom"/>
            <w:hideMark/>
          </w:tcPr>
          <w:p w:rsidR="0098567C" w:rsidRPr="0098567C" w:rsidRDefault="0098567C" w:rsidP="0098567C">
            <w:pPr>
              <w:jc w:val="right"/>
              <w:rPr>
                <w:i/>
                <w:iCs/>
                <w:color w:val="000000"/>
                <w:sz w:val="22"/>
                <w:szCs w:val="22"/>
              </w:rPr>
            </w:pPr>
            <w:r w:rsidRPr="0098567C">
              <w:rPr>
                <w:i/>
                <w:iCs/>
                <w:color w:val="FF0000"/>
                <w:sz w:val="22"/>
                <w:szCs w:val="22"/>
              </w:rPr>
              <w:t xml:space="preserve">-623 259 601 </w:t>
            </w:r>
          </w:p>
        </w:tc>
        <w:tc>
          <w:tcPr>
            <w:tcW w:w="2151" w:type="dxa"/>
            <w:tcBorders>
              <w:top w:val="single" w:sz="8" w:space="0" w:color="1F497D" w:themeColor="text2"/>
              <w:left w:val="single" w:sz="8" w:space="0" w:color="1F497D" w:themeColor="text2"/>
              <w:bottom w:val="double" w:sz="4" w:space="0" w:color="1F497D" w:themeColor="text2"/>
              <w:right w:val="single" w:sz="8" w:space="0" w:color="1F497D" w:themeColor="text2"/>
            </w:tcBorders>
            <w:shd w:val="clear" w:color="auto" w:fill="DBE5F1" w:themeFill="accent1" w:themeFillTint="33"/>
            <w:noWrap/>
            <w:vAlign w:val="bottom"/>
            <w:hideMark/>
          </w:tcPr>
          <w:p w:rsidR="0098567C" w:rsidRPr="0098567C" w:rsidRDefault="0098567C" w:rsidP="0098567C">
            <w:pPr>
              <w:jc w:val="right"/>
              <w:rPr>
                <w:i/>
                <w:iCs/>
                <w:color w:val="000000"/>
                <w:sz w:val="22"/>
                <w:szCs w:val="22"/>
              </w:rPr>
            </w:pPr>
            <w:r w:rsidRPr="0098567C">
              <w:rPr>
                <w:i/>
                <w:iCs/>
                <w:color w:val="FF0000"/>
                <w:sz w:val="22"/>
                <w:szCs w:val="22"/>
              </w:rPr>
              <w:t xml:space="preserve">-814 100 395 </w:t>
            </w:r>
          </w:p>
        </w:tc>
        <w:tc>
          <w:tcPr>
            <w:tcW w:w="2151" w:type="dxa"/>
            <w:tcBorders>
              <w:top w:val="single" w:sz="8" w:space="0" w:color="1F497D" w:themeColor="text2"/>
              <w:left w:val="single" w:sz="8" w:space="0" w:color="1F497D" w:themeColor="text2"/>
              <w:bottom w:val="double" w:sz="4" w:space="0" w:color="1F497D" w:themeColor="text2"/>
              <w:right w:val="double" w:sz="4" w:space="0" w:color="1F497D" w:themeColor="text2"/>
            </w:tcBorders>
            <w:shd w:val="clear" w:color="auto" w:fill="DBE5F1" w:themeFill="accent1" w:themeFillTint="33"/>
            <w:noWrap/>
            <w:vAlign w:val="bottom"/>
            <w:hideMark/>
          </w:tcPr>
          <w:p w:rsidR="0098567C" w:rsidRPr="0098567C" w:rsidRDefault="0098567C" w:rsidP="0098567C">
            <w:pPr>
              <w:jc w:val="right"/>
              <w:rPr>
                <w:i/>
                <w:iCs/>
                <w:color w:val="000000"/>
                <w:sz w:val="22"/>
                <w:szCs w:val="22"/>
              </w:rPr>
            </w:pPr>
            <w:r w:rsidRPr="0098567C">
              <w:rPr>
                <w:i/>
                <w:iCs/>
                <w:color w:val="FF0000"/>
                <w:sz w:val="22"/>
                <w:szCs w:val="22"/>
              </w:rPr>
              <w:t xml:space="preserve">-2 149 985 950 </w:t>
            </w:r>
          </w:p>
        </w:tc>
      </w:tr>
    </w:tbl>
    <w:p w:rsidR="00A14AF6" w:rsidRPr="00A14AF6" w:rsidRDefault="0098567C" w:rsidP="0098567C">
      <w:pPr>
        <w:rPr>
          <w:i/>
        </w:rPr>
      </w:pPr>
      <w:r w:rsidRPr="00A14AF6">
        <w:rPr>
          <w:i/>
        </w:rPr>
        <w:t xml:space="preserve">Zdroj: </w:t>
      </w:r>
      <w:r w:rsidR="0065764F" w:rsidRPr="00A14AF6">
        <w:rPr>
          <w:i/>
        </w:rPr>
        <w:t>IS</w:t>
      </w:r>
      <w:r w:rsidR="009F31B0">
        <w:rPr>
          <w:i/>
        </w:rPr>
        <w:t xml:space="preserve"> </w:t>
      </w:r>
      <w:r w:rsidR="0065764F" w:rsidRPr="00A14AF6">
        <w:rPr>
          <w:i/>
        </w:rPr>
        <w:t>Monit</w:t>
      </w:r>
      <w:r w:rsidR="00A14AF6" w:rsidRPr="00A14AF6">
        <w:rPr>
          <w:i/>
        </w:rPr>
        <w:t>7+ k 30. 9. 2015</w:t>
      </w:r>
    </w:p>
    <w:p w:rsidR="0098567C" w:rsidRDefault="00B46706" w:rsidP="0098567C">
      <w:r w:rsidRPr="00A14AF6">
        <w:rPr>
          <w:i/>
        </w:rPr>
        <w:t xml:space="preserve">Zdroj financování: </w:t>
      </w:r>
      <w:r w:rsidR="00A14AF6" w:rsidRPr="00A14AF6">
        <w:rPr>
          <w:i/>
        </w:rPr>
        <w:t>podíl EU</w:t>
      </w:r>
      <w:r w:rsidR="00A14AF6">
        <w:t xml:space="preserve"> </w:t>
      </w:r>
      <w:r w:rsidR="0098567C">
        <w:tab/>
      </w:r>
      <w:r w:rsidR="0098567C">
        <w:tab/>
      </w:r>
    </w:p>
    <w:p w:rsidR="006E7C29" w:rsidRDefault="006E7C29" w:rsidP="00120401">
      <w:pPr>
        <w:jc w:val="both"/>
        <w:rPr>
          <w:sz w:val="22"/>
          <w:szCs w:val="22"/>
        </w:rPr>
      </w:pPr>
    </w:p>
    <w:p w:rsidR="00D644B0" w:rsidRDefault="00D644B0" w:rsidP="002C0E80">
      <w:pPr>
        <w:pStyle w:val="Nadpis3"/>
        <w:rPr>
          <w:rFonts w:ascii="Times New Roman" w:hAnsi="Times New Roman"/>
          <w:sz w:val="24"/>
          <w:szCs w:val="24"/>
        </w:rPr>
      </w:pPr>
      <w:bookmarkStart w:id="53" w:name="_Toc433873482"/>
      <w:r w:rsidRPr="006266F5">
        <w:rPr>
          <w:rFonts w:ascii="Times New Roman" w:hAnsi="Times New Roman"/>
          <w:sz w:val="24"/>
          <w:szCs w:val="24"/>
        </w:rPr>
        <w:t>2.</w:t>
      </w:r>
      <w:r w:rsidR="00674032">
        <w:rPr>
          <w:rFonts w:ascii="Times New Roman" w:hAnsi="Times New Roman"/>
          <w:sz w:val="24"/>
          <w:szCs w:val="24"/>
        </w:rPr>
        <w:t>7</w:t>
      </w:r>
      <w:r w:rsidRPr="006266F5">
        <w:rPr>
          <w:rFonts w:ascii="Times New Roman" w:hAnsi="Times New Roman"/>
          <w:sz w:val="24"/>
          <w:szCs w:val="24"/>
        </w:rPr>
        <w:t>.2 Predikce vývoje čerpání IOP</w:t>
      </w:r>
      <w:bookmarkEnd w:id="53"/>
      <w:r w:rsidRPr="006266F5">
        <w:rPr>
          <w:rFonts w:ascii="Times New Roman" w:hAnsi="Times New Roman"/>
          <w:sz w:val="24"/>
          <w:szCs w:val="24"/>
        </w:rPr>
        <w:t xml:space="preserve"> </w:t>
      </w:r>
    </w:p>
    <w:p w:rsidR="003D32A8" w:rsidRDefault="00286D5F" w:rsidP="00286D5F">
      <w:pPr>
        <w:jc w:val="both"/>
        <w:rPr>
          <w:sz w:val="22"/>
          <w:szCs w:val="22"/>
        </w:rPr>
      </w:pPr>
      <w:r w:rsidRPr="00E25E66">
        <w:rPr>
          <w:sz w:val="22"/>
          <w:szCs w:val="22"/>
        </w:rPr>
        <w:t xml:space="preserve">V následující tabulce je zobrazen předpokládaný vývoj předkládání žádostí o platbu v období </w:t>
      </w:r>
      <w:r w:rsidR="00CB0B52" w:rsidRPr="00E25E66">
        <w:rPr>
          <w:sz w:val="22"/>
          <w:szCs w:val="22"/>
        </w:rPr>
        <w:br/>
      </w:r>
      <w:r w:rsidRPr="00E25E66">
        <w:rPr>
          <w:sz w:val="22"/>
          <w:szCs w:val="22"/>
        </w:rPr>
        <w:t xml:space="preserve">od </w:t>
      </w:r>
      <w:r w:rsidR="00E25E66" w:rsidRPr="00E25E66">
        <w:rPr>
          <w:sz w:val="22"/>
          <w:szCs w:val="22"/>
        </w:rPr>
        <w:t>října</w:t>
      </w:r>
      <w:r w:rsidR="009253A0" w:rsidRPr="00E25E66">
        <w:rPr>
          <w:sz w:val="22"/>
          <w:szCs w:val="22"/>
        </w:rPr>
        <w:t xml:space="preserve"> </w:t>
      </w:r>
      <w:r w:rsidRPr="00E25E66">
        <w:rPr>
          <w:sz w:val="22"/>
          <w:szCs w:val="22"/>
        </w:rPr>
        <w:t>201</w:t>
      </w:r>
      <w:r w:rsidR="00922C15" w:rsidRPr="00E25E66">
        <w:rPr>
          <w:sz w:val="22"/>
          <w:szCs w:val="22"/>
        </w:rPr>
        <w:t>5</w:t>
      </w:r>
      <w:r w:rsidRPr="00E25E66">
        <w:rPr>
          <w:sz w:val="22"/>
          <w:szCs w:val="22"/>
        </w:rPr>
        <w:t xml:space="preserve"> do </w:t>
      </w:r>
      <w:r w:rsidR="00922C15" w:rsidRPr="00E25E66">
        <w:rPr>
          <w:sz w:val="22"/>
          <w:szCs w:val="22"/>
        </w:rPr>
        <w:t>konce</w:t>
      </w:r>
      <w:r w:rsidR="00E25E66" w:rsidRPr="00E25E66">
        <w:rPr>
          <w:sz w:val="22"/>
          <w:szCs w:val="22"/>
        </w:rPr>
        <w:t xml:space="preserve"> programovacího období</w:t>
      </w:r>
      <w:r w:rsidR="00D43F00">
        <w:rPr>
          <w:sz w:val="22"/>
          <w:szCs w:val="22"/>
        </w:rPr>
        <w:t xml:space="preserve"> dle harmonogramů </w:t>
      </w:r>
      <w:proofErr w:type="gramStart"/>
      <w:r w:rsidR="00D43F00">
        <w:rPr>
          <w:sz w:val="22"/>
          <w:szCs w:val="22"/>
        </w:rPr>
        <w:t>projektů</w:t>
      </w:r>
      <w:r w:rsidR="009253A0" w:rsidRPr="00E25E66">
        <w:rPr>
          <w:sz w:val="22"/>
          <w:szCs w:val="22"/>
        </w:rPr>
        <w:t xml:space="preserve"> </w:t>
      </w:r>
      <w:r w:rsidRPr="00E25E66">
        <w:rPr>
          <w:sz w:val="22"/>
          <w:szCs w:val="22"/>
        </w:rPr>
        <w:t>.</w:t>
      </w:r>
      <w:r w:rsidR="00D43F00">
        <w:rPr>
          <w:sz w:val="22"/>
          <w:szCs w:val="22"/>
        </w:rPr>
        <w:t xml:space="preserve"> Na</w:t>
      </w:r>
      <w:proofErr w:type="gramEnd"/>
      <w:r w:rsidR="00D43F00">
        <w:rPr>
          <w:sz w:val="22"/>
          <w:szCs w:val="22"/>
        </w:rPr>
        <w:t xml:space="preserve"> základě dosavadních </w:t>
      </w:r>
      <w:r w:rsidR="00D43F00" w:rsidRPr="00D43F00">
        <w:rPr>
          <w:sz w:val="22"/>
          <w:szCs w:val="22"/>
        </w:rPr>
        <w:t xml:space="preserve">zkušeností </w:t>
      </w:r>
      <w:r w:rsidR="00D43F00">
        <w:rPr>
          <w:sz w:val="22"/>
          <w:szCs w:val="22"/>
        </w:rPr>
        <w:t xml:space="preserve">předpokládá ŘO, že objem skutečně předložených žádostí o platbu bude </w:t>
      </w:r>
      <w:r w:rsidR="00D43F00" w:rsidRPr="00D43F00">
        <w:rPr>
          <w:sz w:val="22"/>
          <w:szCs w:val="22"/>
        </w:rPr>
        <w:t>z důvodu úspor nižší</w:t>
      </w:r>
      <w:r w:rsidR="00D43F00">
        <w:rPr>
          <w:sz w:val="22"/>
          <w:szCs w:val="22"/>
        </w:rPr>
        <w:t xml:space="preserve">. </w:t>
      </w:r>
    </w:p>
    <w:p w:rsidR="00E25E66" w:rsidRDefault="00E25E66" w:rsidP="00286D5F">
      <w:pPr>
        <w:jc w:val="both"/>
        <w:rPr>
          <w:sz w:val="22"/>
          <w:szCs w:val="22"/>
        </w:rPr>
      </w:pPr>
    </w:p>
    <w:p w:rsidR="00E25E66" w:rsidRDefault="00867F5E" w:rsidP="00E25E66">
      <w:pPr>
        <w:pStyle w:val="Tabulkanzev"/>
        <w:rPr>
          <w:rStyle w:val="Siln"/>
        </w:rPr>
      </w:pPr>
      <w:r>
        <w:rPr>
          <w:sz w:val="22"/>
          <w:szCs w:val="22"/>
        </w:rPr>
        <w:t xml:space="preserve"> </w:t>
      </w:r>
      <w:bookmarkStart w:id="54" w:name="_Toc433873548"/>
      <w:r w:rsidR="00E25E66">
        <w:rPr>
          <w:rStyle w:val="Siln"/>
        </w:rPr>
        <w:t xml:space="preserve">Předložené </w:t>
      </w:r>
      <w:proofErr w:type="spellStart"/>
      <w:r w:rsidR="00E25E66">
        <w:rPr>
          <w:rStyle w:val="Siln"/>
        </w:rPr>
        <w:t>Ž</w:t>
      </w:r>
      <w:r w:rsidR="004A56BD">
        <w:rPr>
          <w:rStyle w:val="Siln"/>
        </w:rPr>
        <w:t>o</w:t>
      </w:r>
      <w:r w:rsidR="00E25E66">
        <w:rPr>
          <w:rStyle w:val="Siln"/>
        </w:rPr>
        <w:t>P</w:t>
      </w:r>
      <w:proofErr w:type="spellEnd"/>
      <w:r w:rsidR="00E25E66">
        <w:rPr>
          <w:rStyle w:val="Siln"/>
        </w:rPr>
        <w:t xml:space="preserve"> do konce programovacího období</w:t>
      </w:r>
      <w:bookmarkEnd w:id="54"/>
    </w:p>
    <w:tbl>
      <w:tblPr>
        <w:tblW w:w="5000" w:type="pct"/>
        <w:tblBorders>
          <w:top w:val="double" w:sz="4" w:space="0" w:color="1F497D" w:themeColor="text2"/>
          <w:left w:val="double" w:sz="4" w:space="0" w:color="1F497D" w:themeColor="text2"/>
          <w:bottom w:val="double" w:sz="4" w:space="0" w:color="1F497D" w:themeColor="text2"/>
          <w:right w:val="double" w:sz="4" w:space="0" w:color="1F497D" w:themeColor="text2"/>
          <w:insideH w:val="single" w:sz="4" w:space="0" w:color="1F497D" w:themeColor="text2"/>
          <w:insideV w:val="single" w:sz="4" w:space="0" w:color="1F497D" w:themeColor="text2"/>
        </w:tblBorders>
        <w:tblCellMar>
          <w:left w:w="70" w:type="dxa"/>
          <w:right w:w="70" w:type="dxa"/>
        </w:tblCellMar>
        <w:tblLook w:val="04A0" w:firstRow="1" w:lastRow="0" w:firstColumn="1" w:lastColumn="0" w:noHBand="0" w:noVBand="1"/>
      </w:tblPr>
      <w:tblGrid>
        <w:gridCol w:w="1061"/>
        <w:gridCol w:w="550"/>
        <w:gridCol w:w="943"/>
        <w:gridCol w:w="551"/>
        <w:gridCol w:w="1060"/>
        <w:gridCol w:w="551"/>
        <w:gridCol w:w="1085"/>
        <w:gridCol w:w="551"/>
        <w:gridCol w:w="1164"/>
        <w:gridCol w:w="551"/>
        <w:gridCol w:w="1144"/>
      </w:tblGrid>
      <w:tr w:rsidR="00BC337C" w:rsidRPr="00797940" w:rsidTr="001B073B">
        <w:trPr>
          <w:trHeight w:val="300"/>
          <w:tblHeader/>
        </w:trPr>
        <w:tc>
          <w:tcPr>
            <w:tcW w:w="576" w:type="pct"/>
            <w:vMerge w:val="restart"/>
            <w:shd w:val="clear" w:color="000000" w:fill="DCE6F1"/>
            <w:vAlign w:val="center"/>
            <w:hideMark/>
          </w:tcPr>
          <w:p w:rsidR="00BC337C" w:rsidRPr="00797940" w:rsidRDefault="00BC337C" w:rsidP="000A36D9">
            <w:pPr>
              <w:jc w:val="center"/>
              <w:rPr>
                <w:b/>
                <w:bCs/>
                <w:sz w:val="18"/>
                <w:szCs w:val="18"/>
              </w:rPr>
            </w:pPr>
            <w:r w:rsidRPr="00797940">
              <w:rPr>
                <w:b/>
                <w:bCs/>
                <w:sz w:val="18"/>
                <w:szCs w:val="18"/>
              </w:rPr>
              <w:t>Oblast podpory/ZS</w:t>
            </w:r>
          </w:p>
        </w:tc>
        <w:tc>
          <w:tcPr>
            <w:tcW w:w="810" w:type="pct"/>
            <w:gridSpan w:val="2"/>
            <w:shd w:val="clear" w:color="000000" w:fill="DCE6F1"/>
            <w:noWrap/>
            <w:vAlign w:val="center"/>
            <w:hideMark/>
          </w:tcPr>
          <w:p w:rsidR="00BC337C" w:rsidRPr="00797940" w:rsidRDefault="00BC337C" w:rsidP="000A36D9">
            <w:pPr>
              <w:jc w:val="center"/>
              <w:rPr>
                <w:b/>
                <w:bCs/>
                <w:sz w:val="18"/>
                <w:szCs w:val="18"/>
              </w:rPr>
            </w:pPr>
            <w:r w:rsidRPr="00797940">
              <w:rPr>
                <w:b/>
                <w:bCs/>
                <w:sz w:val="18"/>
                <w:szCs w:val="18"/>
              </w:rPr>
              <w:t>říjen 2015</w:t>
            </w:r>
          </w:p>
        </w:tc>
        <w:tc>
          <w:tcPr>
            <w:tcW w:w="874" w:type="pct"/>
            <w:gridSpan w:val="2"/>
            <w:shd w:val="clear" w:color="000000" w:fill="DCE6F1"/>
            <w:noWrap/>
            <w:vAlign w:val="center"/>
            <w:hideMark/>
          </w:tcPr>
          <w:p w:rsidR="00BC337C" w:rsidRPr="00797940" w:rsidRDefault="00BC337C" w:rsidP="000A36D9">
            <w:pPr>
              <w:jc w:val="center"/>
              <w:rPr>
                <w:b/>
                <w:bCs/>
                <w:sz w:val="18"/>
                <w:szCs w:val="18"/>
              </w:rPr>
            </w:pPr>
            <w:r w:rsidRPr="00797940">
              <w:rPr>
                <w:b/>
                <w:bCs/>
                <w:sz w:val="18"/>
                <w:szCs w:val="18"/>
              </w:rPr>
              <w:t>listopad 2015</w:t>
            </w:r>
          </w:p>
        </w:tc>
        <w:tc>
          <w:tcPr>
            <w:tcW w:w="888" w:type="pct"/>
            <w:gridSpan w:val="2"/>
            <w:shd w:val="clear" w:color="000000" w:fill="DCE6F1"/>
            <w:noWrap/>
            <w:vAlign w:val="center"/>
            <w:hideMark/>
          </w:tcPr>
          <w:p w:rsidR="00BC337C" w:rsidRPr="00797940" w:rsidRDefault="00BC337C" w:rsidP="000A36D9">
            <w:pPr>
              <w:jc w:val="center"/>
              <w:rPr>
                <w:b/>
                <w:bCs/>
                <w:sz w:val="18"/>
                <w:szCs w:val="18"/>
              </w:rPr>
            </w:pPr>
            <w:r w:rsidRPr="00797940">
              <w:rPr>
                <w:b/>
                <w:bCs/>
                <w:sz w:val="18"/>
                <w:szCs w:val="18"/>
              </w:rPr>
              <w:t>prosinec 2015</w:t>
            </w:r>
          </w:p>
        </w:tc>
        <w:tc>
          <w:tcPr>
            <w:tcW w:w="931" w:type="pct"/>
            <w:gridSpan w:val="2"/>
            <w:shd w:val="clear" w:color="000000" w:fill="DCE6F1"/>
            <w:noWrap/>
            <w:vAlign w:val="center"/>
            <w:hideMark/>
          </w:tcPr>
          <w:p w:rsidR="00BC337C" w:rsidRPr="00797940" w:rsidRDefault="00BC337C" w:rsidP="000A36D9">
            <w:pPr>
              <w:jc w:val="center"/>
              <w:rPr>
                <w:b/>
                <w:bCs/>
                <w:sz w:val="18"/>
                <w:szCs w:val="18"/>
              </w:rPr>
            </w:pPr>
            <w:r w:rsidRPr="00797940">
              <w:rPr>
                <w:b/>
                <w:bCs/>
                <w:sz w:val="18"/>
                <w:szCs w:val="18"/>
              </w:rPr>
              <w:t>leden 2016</w:t>
            </w:r>
          </w:p>
        </w:tc>
        <w:tc>
          <w:tcPr>
            <w:tcW w:w="920" w:type="pct"/>
            <w:gridSpan w:val="2"/>
            <w:shd w:val="clear" w:color="000000" w:fill="DCE6F1"/>
            <w:noWrap/>
            <w:vAlign w:val="center"/>
            <w:hideMark/>
          </w:tcPr>
          <w:p w:rsidR="00BC337C" w:rsidRPr="00797940" w:rsidRDefault="00BC337C" w:rsidP="000A36D9">
            <w:pPr>
              <w:jc w:val="center"/>
              <w:rPr>
                <w:b/>
                <w:bCs/>
                <w:sz w:val="18"/>
                <w:szCs w:val="18"/>
              </w:rPr>
            </w:pPr>
            <w:r w:rsidRPr="00797940">
              <w:rPr>
                <w:b/>
                <w:bCs/>
                <w:sz w:val="18"/>
                <w:szCs w:val="18"/>
              </w:rPr>
              <w:t>celkem</w:t>
            </w:r>
          </w:p>
        </w:tc>
      </w:tr>
      <w:tr w:rsidR="00D737D8" w:rsidRPr="00797940" w:rsidTr="001B073B">
        <w:trPr>
          <w:trHeight w:val="435"/>
          <w:tblHeader/>
        </w:trPr>
        <w:tc>
          <w:tcPr>
            <w:tcW w:w="576" w:type="pct"/>
            <w:vMerge/>
            <w:vAlign w:val="center"/>
            <w:hideMark/>
          </w:tcPr>
          <w:p w:rsidR="00BC337C" w:rsidRPr="00797940" w:rsidRDefault="00BC337C" w:rsidP="000A36D9">
            <w:pPr>
              <w:rPr>
                <w:b/>
                <w:bCs/>
                <w:sz w:val="18"/>
                <w:szCs w:val="18"/>
              </w:rPr>
            </w:pPr>
          </w:p>
        </w:tc>
        <w:tc>
          <w:tcPr>
            <w:tcW w:w="299" w:type="pct"/>
            <w:shd w:val="clear" w:color="000000" w:fill="DCE6F1"/>
            <w:noWrap/>
            <w:vAlign w:val="center"/>
            <w:hideMark/>
          </w:tcPr>
          <w:p w:rsidR="00BC337C" w:rsidRPr="00797940" w:rsidRDefault="00BC337C" w:rsidP="000A36D9">
            <w:pPr>
              <w:jc w:val="center"/>
              <w:rPr>
                <w:b/>
                <w:bCs/>
                <w:color w:val="000000"/>
                <w:sz w:val="18"/>
                <w:szCs w:val="18"/>
              </w:rPr>
            </w:pPr>
            <w:r w:rsidRPr="00797940">
              <w:rPr>
                <w:b/>
                <w:bCs/>
                <w:color w:val="000000"/>
                <w:sz w:val="18"/>
                <w:szCs w:val="18"/>
              </w:rPr>
              <w:t>počet</w:t>
            </w:r>
          </w:p>
        </w:tc>
        <w:tc>
          <w:tcPr>
            <w:tcW w:w="512" w:type="pct"/>
            <w:shd w:val="clear" w:color="000000" w:fill="DCE6F1"/>
            <w:noWrap/>
            <w:vAlign w:val="center"/>
            <w:hideMark/>
          </w:tcPr>
          <w:p w:rsidR="00BC337C" w:rsidRPr="00797940" w:rsidRDefault="00BC337C" w:rsidP="000A36D9">
            <w:pPr>
              <w:jc w:val="center"/>
              <w:rPr>
                <w:b/>
                <w:bCs/>
                <w:color w:val="000000"/>
                <w:sz w:val="18"/>
                <w:szCs w:val="18"/>
              </w:rPr>
            </w:pPr>
            <w:r w:rsidRPr="00797940">
              <w:rPr>
                <w:b/>
                <w:bCs/>
                <w:color w:val="000000"/>
                <w:sz w:val="18"/>
                <w:szCs w:val="18"/>
              </w:rPr>
              <w:t>objem</w:t>
            </w:r>
          </w:p>
        </w:tc>
        <w:tc>
          <w:tcPr>
            <w:tcW w:w="299" w:type="pct"/>
            <w:shd w:val="clear" w:color="000000" w:fill="DCE6F1"/>
            <w:noWrap/>
            <w:vAlign w:val="center"/>
            <w:hideMark/>
          </w:tcPr>
          <w:p w:rsidR="00BC337C" w:rsidRPr="00797940" w:rsidRDefault="00BC337C" w:rsidP="000A36D9">
            <w:pPr>
              <w:jc w:val="center"/>
              <w:rPr>
                <w:b/>
                <w:bCs/>
                <w:color w:val="000000"/>
                <w:sz w:val="18"/>
                <w:szCs w:val="18"/>
              </w:rPr>
            </w:pPr>
            <w:r w:rsidRPr="00797940">
              <w:rPr>
                <w:b/>
                <w:bCs/>
                <w:color w:val="000000"/>
                <w:sz w:val="18"/>
                <w:szCs w:val="18"/>
              </w:rPr>
              <w:t>počet</w:t>
            </w:r>
          </w:p>
        </w:tc>
        <w:tc>
          <w:tcPr>
            <w:tcW w:w="575" w:type="pct"/>
            <w:shd w:val="clear" w:color="000000" w:fill="DCE6F1"/>
            <w:noWrap/>
            <w:vAlign w:val="center"/>
            <w:hideMark/>
          </w:tcPr>
          <w:p w:rsidR="00BC337C" w:rsidRPr="00797940" w:rsidRDefault="00BC337C" w:rsidP="000A36D9">
            <w:pPr>
              <w:jc w:val="center"/>
              <w:rPr>
                <w:b/>
                <w:bCs/>
                <w:color w:val="000000"/>
                <w:sz w:val="18"/>
                <w:szCs w:val="18"/>
              </w:rPr>
            </w:pPr>
            <w:r w:rsidRPr="00797940">
              <w:rPr>
                <w:b/>
                <w:bCs/>
                <w:color w:val="000000"/>
                <w:sz w:val="18"/>
                <w:szCs w:val="18"/>
              </w:rPr>
              <w:t>objem</w:t>
            </w:r>
          </w:p>
        </w:tc>
        <w:tc>
          <w:tcPr>
            <w:tcW w:w="299" w:type="pct"/>
            <w:shd w:val="clear" w:color="000000" w:fill="DCE6F1"/>
            <w:noWrap/>
            <w:vAlign w:val="center"/>
            <w:hideMark/>
          </w:tcPr>
          <w:p w:rsidR="00BC337C" w:rsidRPr="00797940" w:rsidRDefault="00BC337C" w:rsidP="000A36D9">
            <w:pPr>
              <w:jc w:val="center"/>
              <w:rPr>
                <w:b/>
                <w:bCs/>
                <w:color w:val="000000"/>
                <w:sz w:val="18"/>
                <w:szCs w:val="18"/>
              </w:rPr>
            </w:pPr>
            <w:r w:rsidRPr="00797940">
              <w:rPr>
                <w:b/>
                <w:bCs/>
                <w:color w:val="000000"/>
                <w:sz w:val="18"/>
                <w:szCs w:val="18"/>
              </w:rPr>
              <w:t>počet</w:t>
            </w:r>
          </w:p>
        </w:tc>
        <w:tc>
          <w:tcPr>
            <w:tcW w:w="589" w:type="pct"/>
            <w:shd w:val="clear" w:color="000000" w:fill="DCE6F1"/>
            <w:noWrap/>
            <w:vAlign w:val="center"/>
            <w:hideMark/>
          </w:tcPr>
          <w:p w:rsidR="00BC337C" w:rsidRPr="00797940" w:rsidRDefault="00BC337C" w:rsidP="000A36D9">
            <w:pPr>
              <w:jc w:val="center"/>
              <w:rPr>
                <w:b/>
                <w:bCs/>
                <w:color w:val="000000"/>
                <w:sz w:val="18"/>
                <w:szCs w:val="18"/>
              </w:rPr>
            </w:pPr>
            <w:r w:rsidRPr="00797940">
              <w:rPr>
                <w:b/>
                <w:bCs/>
                <w:color w:val="000000"/>
                <w:sz w:val="18"/>
                <w:szCs w:val="18"/>
              </w:rPr>
              <w:t>objem</w:t>
            </w:r>
          </w:p>
        </w:tc>
        <w:tc>
          <w:tcPr>
            <w:tcW w:w="299" w:type="pct"/>
            <w:shd w:val="clear" w:color="000000" w:fill="DCE6F1"/>
            <w:noWrap/>
            <w:vAlign w:val="center"/>
            <w:hideMark/>
          </w:tcPr>
          <w:p w:rsidR="00BC337C" w:rsidRPr="00797940" w:rsidRDefault="00BC337C" w:rsidP="000A36D9">
            <w:pPr>
              <w:jc w:val="center"/>
              <w:rPr>
                <w:b/>
                <w:bCs/>
                <w:color w:val="000000"/>
                <w:sz w:val="18"/>
                <w:szCs w:val="18"/>
              </w:rPr>
            </w:pPr>
            <w:r w:rsidRPr="00797940">
              <w:rPr>
                <w:b/>
                <w:bCs/>
                <w:color w:val="000000"/>
                <w:sz w:val="18"/>
                <w:szCs w:val="18"/>
              </w:rPr>
              <w:t>počet</w:t>
            </w:r>
          </w:p>
        </w:tc>
        <w:tc>
          <w:tcPr>
            <w:tcW w:w="632" w:type="pct"/>
            <w:shd w:val="clear" w:color="000000" w:fill="DCE6F1"/>
            <w:noWrap/>
            <w:vAlign w:val="center"/>
            <w:hideMark/>
          </w:tcPr>
          <w:p w:rsidR="00BC337C" w:rsidRPr="00797940" w:rsidRDefault="00BC337C" w:rsidP="000A36D9">
            <w:pPr>
              <w:jc w:val="center"/>
              <w:rPr>
                <w:b/>
                <w:bCs/>
                <w:color w:val="000000"/>
                <w:sz w:val="18"/>
                <w:szCs w:val="18"/>
              </w:rPr>
            </w:pPr>
            <w:r w:rsidRPr="00797940">
              <w:rPr>
                <w:b/>
                <w:bCs/>
                <w:color w:val="000000"/>
                <w:sz w:val="18"/>
                <w:szCs w:val="18"/>
              </w:rPr>
              <w:t>objem</w:t>
            </w:r>
          </w:p>
        </w:tc>
        <w:tc>
          <w:tcPr>
            <w:tcW w:w="299" w:type="pct"/>
            <w:shd w:val="clear" w:color="000000" w:fill="DCE6F1"/>
            <w:noWrap/>
            <w:vAlign w:val="center"/>
            <w:hideMark/>
          </w:tcPr>
          <w:p w:rsidR="00BC337C" w:rsidRPr="00797940" w:rsidRDefault="00BC337C" w:rsidP="000A36D9">
            <w:pPr>
              <w:jc w:val="center"/>
              <w:rPr>
                <w:b/>
                <w:bCs/>
                <w:color w:val="000000"/>
                <w:sz w:val="18"/>
                <w:szCs w:val="18"/>
              </w:rPr>
            </w:pPr>
            <w:r w:rsidRPr="00797940">
              <w:rPr>
                <w:b/>
                <w:bCs/>
                <w:color w:val="000000"/>
                <w:sz w:val="18"/>
                <w:szCs w:val="18"/>
              </w:rPr>
              <w:t>počet</w:t>
            </w:r>
          </w:p>
        </w:tc>
        <w:tc>
          <w:tcPr>
            <w:tcW w:w="621" w:type="pct"/>
            <w:shd w:val="clear" w:color="000000" w:fill="DCE6F1"/>
            <w:noWrap/>
            <w:vAlign w:val="center"/>
            <w:hideMark/>
          </w:tcPr>
          <w:p w:rsidR="00BC337C" w:rsidRPr="00797940" w:rsidRDefault="00BC337C" w:rsidP="000A36D9">
            <w:pPr>
              <w:jc w:val="center"/>
              <w:rPr>
                <w:b/>
                <w:bCs/>
                <w:color w:val="000000"/>
                <w:sz w:val="18"/>
                <w:szCs w:val="18"/>
              </w:rPr>
            </w:pPr>
            <w:r w:rsidRPr="00797940">
              <w:rPr>
                <w:b/>
                <w:bCs/>
                <w:color w:val="000000"/>
                <w:sz w:val="18"/>
                <w:szCs w:val="18"/>
              </w:rPr>
              <w:t>objem</w:t>
            </w:r>
          </w:p>
        </w:tc>
      </w:tr>
      <w:tr w:rsidR="00BC337C" w:rsidRPr="00797940" w:rsidTr="00D737D8">
        <w:trPr>
          <w:trHeight w:val="300"/>
        </w:trPr>
        <w:tc>
          <w:tcPr>
            <w:tcW w:w="576" w:type="pct"/>
            <w:shd w:val="clear" w:color="auto" w:fill="auto"/>
            <w:noWrap/>
            <w:vAlign w:val="bottom"/>
            <w:hideMark/>
          </w:tcPr>
          <w:p w:rsidR="00BC337C" w:rsidRPr="00797940" w:rsidRDefault="00BC337C" w:rsidP="000A36D9">
            <w:pPr>
              <w:rPr>
                <w:sz w:val="18"/>
                <w:szCs w:val="18"/>
              </w:rPr>
            </w:pPr>
            <w:r w:rsidRPr="00797940">
              <w:rPr>
                <w:sz w:val="18"/>
                <w:szCs w:val="18"/>
              </w:rPr>
              <w:t>1.1</w:t>
            </w:r>
          </w:p>
        </w:tc>
        <w:tc>
          <w:tcPr>
            <w:tcW w:w="299" w:type="pct"/>
            <w:shd w:val="clear" w:color="auto" w:fill="auto"/>
            <w:noWrap/>
            <w:vAlign w:val="bottom"/>
            <w:hideMark/>
          </w:tcPr>
          <w:p w:rsidR="00BC337C" w:rsidRPr="00797940" w:rsidRDefault="00BC337C" w:rsidP="000A36D9">
            <w:pPr>
              <w:jc w:val="right"/>
              <w:rPr>
                <w:sz w:val="16"/>
                <w:szCs w:val="16"/>
              </w:rPr>
            </w:pPr>
            <w:r w:rsidRPr="00797940">
              <w:rPr>
                <w:sz w:val="16"/>
                <w:szCs w:val="16"/>
              </w:rPr>
              <w:t>2</w:t>
            </w:r>
          </w:p>
        </w:tc>
        <w:tc>
          <w:tcPr>
            <w:tcW w:w="512" w:type="pct"/>
            <w:shd w:val="clear" w:color="auto" w:fill="auto"/>
            <w:noWrap/>
            <w:vAlign w:val="bottom"/>
            <w:hideMark/>
          </w:tcPr>
          <w:p w:rsidR="00BC337C" w:rsidRPr="00797940" w:rsidRDefault="00BC337C" w:rsidP="000A36D9">
            <w:pPr>
              <w:jc w:val="right"/>
              <w:rPr>
                <w:sz w:val="16"/>
                <w:szCs w:val="16"/>
              </w:rPr>
            </w:pPr>
            <w:r w:rsidRPr="00797940">
              <w:rPr>
                <w:sz w:val="16"/>
                <w:szCs w:val="16"/>
              </w:rPr>
              <w:t>4 135 250</w:t>
            </w:r>
          </w:p>
        </w:tc>
        <w:tc>
          <w:tcPr>
            <w:tcW w:w="299" w:type="pct"/>
            <w:shd w:val="clear" w:color="auto" w:fill="auto"/>
            <w:noWrap/>
            <w:vAlign w:val="bottom"/>
            <w:hideMark/>
          </w:tcPr>
          <w:p w:rsidR="00BC337C" w:rsidRPr="00797940" w:rsidRDefault="00BC337C" w:rsidP="000A36D9">
            <w:pPr>
              <w:jc w:val="right"/>
              <w:rPr>
                <w:sz w:val="16"/>
                <w:szCs w:val="16"/>
              </w:rPr>
            </w:pPr>
            <w:r w:rsidRPr="00797940">
              <w:rPr>
                <w:sz w:val="16"/>
                <w:szCs w:val="16"/>
              </w:rPr>
              <w:t>0</w:t>
            </w:r>
          </w:p>
        </w:tc>
        <w:tc>
          <w:tcPr>
            <w:tcW w:w="575" w:type="pct"/>
            <w:shd w:val="clear" w:color="auto" w:fill="auto"/>
            <w:noWrap/>
            <w:vAlign w:val="bottom"/>
            <w:hideMark/>
          </w:tcPr>
          <w:p w:rsidR="00BC337C" w:rsidRPr="00797940" w:rsidRDefault="00BC337C" w:rsidP="000A36D9">
            <w:pPr>
              <w:jc w:val="right"/>
              <w:rPr>
                <w:sz w:val="16"/>
                <w:szCs w:val="16"/>
              </w:rPr>
            </w:pPr>
            <w:r w:rsidRPr="00797940">
              <w:rPr>
                <w:sz w:val="16"/>
                <w:szCs w:val="16"/>
              </w:rPr>
              <w:t>0</w:t>
            </w:r>
          </w:p>
        </w:tc>
        <w:tc>
          <w:tcPr>
            <w:tcW w:w="299" w:type="pct"/>
            <w:shd w:val="clear" w:color="auto" w:fill="auto"/>
            <w:noWrap/>
            <w:vAlign w:val="bottom"/>
            <w:hideMark/>
          </w:tcPr>
          <w:p w:rsidR="00BC337C" w:rsidRPr="00797940" w:rsidRDefault="00BC337C" w:rsidP="000A36D9">
            <w:pPr>
              <w:jc w:val="right"/>
              <w:rPr>
                <w:sz w:val="16"/>
                <w:szCs w:val="16"/>
              </w:rPr>
            </w:pPr>
            <w:r w:rsidRPr="00797940">
              <w:rPr>
                <w:sz w:val="16"/>
                <w:szCs w:val="16"/>
              </w:rPr>
              <w:t>22</w:t>
            </w:r>
          </w:p>
        </w:tc>
        <w:tc>
          <w:tcPr>
            <w:tcW w:w="589" w:type="pct"/>
            <w:shd w:val="clear" w:color="auto" w:fill="auto"/>
            <w:noWrap/>
            <w:vAlign w:val="bottom"/>
            <w:hideMark/>
          </w:tcPr>
          <w:p w:rsidR="00BC337C" w:rsidRPr="00797940" w:rsidRDefault="00BC337C" w:rsidP="000A36D9">
            <w:pPr>
              <w:jc w:val="right"/>
              <w:rPr>
                <w:sz w:val="16"/>
                <w:szCs w:val="16"/>
              </w:rPr>
            </w:pPr>
            <w:r w:rsidRPr="00797940">
              <w:rPr>
                <w:sz w:val="16"/>
                <w:szCs w:val="16"/>
              </w:rPr>
              <w:t>1 660 708 538</w:t>
            </w:r>
          </w:p>
        </w:tc>
        <w:tc>
          <w:tcPr>
            <w:tcW w:w="299" w:type="pct"/>
            <w:shd w:val="clear" w:color="auto" w:fill="auto"/>
            <w:noWrap/>
            <w:vAlign w:val="bottom"/>
            <w:hideMark/>
          </w:tcPr>
          <w:p w:rsidR="00BC337C" w:rsidRPr="00797940" w:rsidRDefault="00BC337C" w:rsidP="000A36D9">
            <w:pPr>
              <w:jc w:val="right"/>
              <w:rPr>
                <w:sz w:val="16"/>
                <w:szCs w:val="16"/>
              </w:rPr>
            </w:pPr>
            <w:r w:rsidRPr="00797940">
              <w:rPr>
                <w:sz w:val="16"/>
                <w:szCs w:val="16"/>
              </w:rPr>
              <w:t>1</w:t>
            </w:r>
          </w:p>
        </w:tc>
        <w:tc>
          <w:tcPr>
            <w:tcW w:w="632" w:type="pct"/>
            <w:shd w:val="clear" w:color="auto" w:fill="auto"/>
            <w:noWrap/>
            <w:vAlign w:val="bottom"/>
            <w:hideMark/>
          </w:tcPr>
          <w:p w:rsidR="00BC337C" w:rsidRPr="00797940" w:rsidRDefault="00BC337C" w:rsidP="000A36D9">
            <w:pPr>
              <w:jc w:val="right"/>
              <w:rPr>
                <w:sz w:val="16"/>
                <w:szCs w:val="16"/>
              </w:rPr>
            </w:pPr>
            <w:r w:rsidRPr="00797940">
              <w:rPr>
                <w:sz w:val="16"/>
                <w:szCs w:val="16"/>
              </w:rPr>
              <w:t>106 758 832</w:t>
            </w:r>
          </w:p>
        </w:tc>
        <w:tc>
          <w:tcPr>
            <w:tcW w:w="299" w:type="pct"/>
            <w:shd w:val="clear" w:color="auto" w:fill="auto"/>
            <w:noWrap/>
            <w:vAlign w:val="bottom"/>
            <w:hideMark/>
          </w:tcPr>
          <w:p w:rsidR="00BC337C" w:rsidRPr="00797940" w:rsidRDefault="00BC337C" w:rsidP="000A36D9">
            <w:pPr>
              <w:jc w:val="right"/>
              <w:rPr>
                <w:sz w:val="16"/>
                <w:szCs w:val="16"/>
              </w:rPr>
            </w:pPr>
            <w:r w:rsidRPr="00797940">
              <w:rPr>
                <w:sz w:val="16"/>
                <w:szCs w:val="16"/>
              </w:rPr>
              <w:t>25</w:t>
            </w:r>
          </w:p>
        </w:tc>
        <w:tc>
          <w:tcPr>
            <w:tcW w:w="621" w:type="pct"/>
            <w:shd w:val="clear" w:color="auto" w:fill="auto"/>
            <w:noWrap/>
            <w:vAlign w:val="bottom"/>
            <w:hideMark/>
          </w:tcPr>
          <w:p w:rsidR="00BC337C" w:rsidRPr="00797940" w:rsidRDefault="00BC337C" w:rsidP="000A36D9">
            <w:pPr>
              <w:jc w:val="right"/>
              <w:rPr>
                <w:sz w:val="16"/>
                <w:szCs w:val="16"/>
              </w:rPr>
            </w:pPr>
            <w:r w:rsidRPr="00797940">
              <w:rPr>
                <w:sz w:val="16"/>
                <w:szCs w:val="16"/>
              </w:rPr>
              <w:t>1 771 602 620</w:t>
            </w:r>
          </w:p>
        </w:tc>
      </w:tr>
      <w:tr w:rsidR="00BC337C" w:rsidRPr="00797940" w:rsidTr="00D737D8">
        <w:trPr>
          <w:trHeight w:val="300"/>
        </w:trPr>
        <w:tc>
          <w:tcPr>
            <w:tcW w:w="576" w:type="pct"/>
            <w:shd w:val="clear" w:color="auto" w:fill="auto"/>
            <w:noWrap/>
            <w:vAlign w:val="bottom"/>
            <w:hideMark/>
          </w:tcPr>
          <w:p w:rsidR="00BC337C" w:rsidRPr="00797940" w:rsidRDefault="00BC337C" w:rsidP="000A36D9">
            <w:pPr>
              <w:rPr>
                <w:sz w:val="18"/>
                <w:szCs w:val="18"/>
              </w:rPr>
            </w:pPr>
            <w:r w:rsidRPr="00797940">
              <w:rPr>
                <w:sz w:val="18"/>
                <w:szCs w:val="18"/>
              </w:rPr>
              <w:t>2.1</w:t>
            </w:r>
          </w:p>
        </w:tc>
        <w:tc>
          <w:tcPr>
            <w:tcW w:w="299" w:type="pct"/>
            <w:shd w:val="clear" w:color="auto" w:fill="auto"/>
            <w:noWrap/>
            <w:vAlign w:val="bottom"/>
            <w:hideMark/>
          </w:tcPr>
          <w:p w:rsidR="00BC337C" w:rsidRPr="00797940" w:rsidRDefault="00BC337C" w:rsidP="000A36D9">
            <w:pPr>
              <w:jc w:val="right"/>
              <w:rPr>
                <w:sz w:val="16"/>
                <w:szCs w:val="16"/>
              </w:rPr>
            </w:pPr>
            <w:r w:rsidRPr="00797940">
              <w:rPr>
                <w:sz w:val="16"/>
                <w:szCs w:val="16"/>
              </w:rPr>
              <w:t>27</w:t>
            </w:r>
          </w:p>
        </w:tc>
        <w:tc>
          <w:tcPr>
            <w:tcW w:w="512" w:type="pct"/>
            <w:shd w:val="clear" w:color="auto" w:fill="auto"/>
            <w:noWrap/>
            <w:vAlign w:val="bottom"/>
            <w:hideMark/>
          </w:tcPr>
          <w:p w:rsidR="00BC337C" w:rsidRPr="00797940" w:rsidRDefault="00BC337C" w:rsidP="000A36D9">
            <w:pPr>
              <w:jc w:val="right"/>
              <w:rPr>
                <w:sz w:val="16"/>
                <w:szCs w:val="16"/>
              </w:rPr>
            </w:pPr>
            <w:r w:rsidRPr="00797940">
              <w:rPr>
                <w:sz w:val="16"/>
                <w:szCs w:val="16"/>
              </w:rPr>
              <w:t>130 123 887</w:t>
            </w:r>
          </w:p>
        </w:tc>
        <w:tc>
          <w:tcPr>
            <w:tcW w:w="299" w:type="pct"/>
            <w:shd w:val="clear" w:color="auto" w:fill="auto"/>
            <w:noWrap/>
            <w:vAlign w:val="bottom"/>
            <w:hideMark/>
          </w:tcPr>
          <w:p w:rsidR="00BC337C" w:rsidRPr="00797940" w:rsidRDefault="00BC337C" w:rsidP="000A36D9">
            <w:pPr>
              <w:jc w:val="right"/>
              <w:rPr>
                <w:sz w:val="16"/>
                <w:szCs w:val="16"/>
              </w:rPr>
            </w:pPr>
            <w:r w:rsidRPr="00797940">
              <w:rPr>
                <w:sz w:val="16"/>
                <w:szCs w:val="16"/>
              </w:rPr>
              <w:t>24</w:t>
            </w:r>
          </w:p>
        </w:tc>
        <w:tc>
          <w:tcPr>
            <w:tcW w:w="575" w:type="pct"/>
            <w:shd w:val="clear" w:color="auto" w:fill="auto"/>
            <w:noWrap/>
            <w:vAlign w:val="bottom"/>
            <w:hideMark/>
          </w:tcPr>
          <w:p w:rsidR="00BC337C" w:rsidRPr="00797940" w:rsidRDefault="00BC337C" w:rsidP="000A36D9">
            <w:pPr>
              <w:jc w:val="right"/>
              <w:rPr>
                <w:sz w:val="16"/>
                <w:szCs w:val="16"/>
              </w:rPr>
            </w:pPr>
            <w:r w:rsidRPr="00797940">
              <w:rPr>
                <w:sz w:val="16"/>
                <w:szCs w:val="16"/>
              </w:rPr>
              <w:t>110 727 617</w:t>
            </w:r>
          </w:p>
        </w:tc>
        <w:tc>
          <w:tcPr>
            <w:tcW w:w="299" w:type="pct"/>
            <w:shd w:val="clear" w:color="auto" w:fill="auto"/>
            <w:noWrap/>
            <w:vAlign w:val="bottom"/>
            <w:hideMark/>
          </w:tcPr>
          <w:p w:rsidR="00BC337C" w:rsidRPr="00797940" w:rsidRDefault="00BC337C" w:rsidP="000A36D9">
            <w:pPr>
              <w:jc w:val="right"/>
              <w:rPr>
                <w:sz w:val="16"/>
                <w:szCs w:val="16"/>
              </w:rPr>
            </w:pPr>
            <w:r w:rsidRPr="00797940">
              <w:rPr>
                <w:sz w:val="16"/>
                <w:szCs w:val="16"/>
              </w:rPr>
              <w:t>109</w:t>
            </w:r>
          </w:p>
        </w:tc>
        <w:tc>
          <w:tcPr>
            <w:tcW w:w="589" w:type="pct"/>
            <w:shd w:val="clear" w:color="auto" w:fill="auto"/>
            <w:noWrap/>
            <w:vAlign w:val="bottom"/>
            <w:hideMark/>
          </w:tcPr>
          <w:p w:rsidR="00BC337C" w:rsidRPr="00797940" w:rsidRDefault="00BC337C" w:rsidP="000A36D9">
            <w:pPr>
              <w:jc w:val="right"/>
              <w:rPr>
                <w:sz w:val="16"/>
                <w:szCs w:val="16"/>
              </w:rPr>
            </w:pPr>
            <w:r w:rsidRPr="00797940">
              <w:rPr>
                <w:sz w:val="16"/>
                <w:szCs w:val="16"/>
              </w:rPr>
              <w:t>567 315 665</w:t>
            </w:r>
          </w:p>
        </w:tc>
        <w:tc>
          <w:tcPr>
            <w:tcW w:w="299" w:type="pct"/>
            <w:shd w:val="clear" w:color="auto" w:fill="auto"/>
            <w:noWrap/>
            <w:vAlign w:val="bottom"/>
            <w:hideMark/>
          </w:tcPr>
          <w:p w:rsidR="00BC337C" w:rsidRPr="00797940" w:rsidRDefault="00BC337C" w:rsidP="000A36D9">
            <w:pPr>
              <w:jc w:val="right"/>
              <w:rPr>
                <w:sz w:val="16"/>
                <w:szCs w:val="16"/>
              </w:rPr>
            </w:pPr>
            <w:r w:rsidRPr="00797940">
              <w:rPr>
                <w:sz w:val="16"/>
                <w:szCs w:val="16"/>
              </w:rPr>
              <w:t>0</w:t>
            </w:r>
          </w:p>
        </w:tc>
        <w:tc>
          <w:tcPr>
            <w:tcW w:w="632" w:type="pct"/>
            <w:shd w:val="clear" w:color="auto" w:fill="auto"/>
            <w:noWrap/>
            <w:vAlign w:val="bottom"/>
            <w:hideMark/>
          </w:tcPr>
          <w:p w:rsidR="00BC337C" w:rsidRPr="00797940" w:rsidRDefault="00BC337C" w:rsidP="000A36D9">
            <w:pPr>
              <w:jc w:val="right"/>
              <w:rPr>
                <w:sz w:val="16"/>
                <w:szCs w:val="16"/>
              </w:rPr>
            </w:pPr>
            <w:r w:rsidRPr="00797940">
              <w:rPr>
                <w:sz w:val="16"/>
                <w:szCs w:val="16"/>
              </w:rPr>
              <w:t>0</w:t>
            </w:r>
          </w:p>
        </w:tc>
        <w:tc>
          <w:tcPr>
            <w:tcW w:w="299" w:type="pct"/>
            <w:shd w:val="clear" w:color="auto" w:fill="auto"/>
            <w:noWrap/>
            <w:vAlign w:val="bottom"/>
            <w:hideMark/>
          </w:tcPr>
          <w:p w:rsidR="00BC337C" w:rsidRPr="00797940" w:rsidRDefault="00BC337C" w:rsidP="000A36D9">
            <w:pPr>
              <w:jc w:val="right"/>
              <w:rPr>
                <w:sz w:val="16"/>
                <w:szCs w:val="16"/>
              </w:rPr>
            </w:pPr>
            <w:r w:rsidRPr="00797940">
              <w:rPr>
                <w:sz w:val="16"/>
                <w:szCs w:val="16"/>
              </w:rPr>
              <w:t>160</w:t>
            </w:r>
          </w:p>
        </w:tc>
        <w:tc>
          <w:tcPr>
            <w:tcW w:w="621" w:type="pct"/>
            <w:shd w:val="clear" w:color="auto" w:fill="auto"/>
            <w:noWrap/>
            <w:vAlign w:val="bottom"/>
            <w:hideMark/>
          </w:tcPr>
          <w:p w:rsidR="00BC337C" w:rsidRPr="00797940" w:rsidRDefault="00BC337C" w:rsidP="000A36D9">
            <w:pPr>
              <w:jc w:val="right"/>
              <w:rPr>
                <w:sz w:val="16"/>
                <w:szCs w:val="16"/>
              </w:rPr>
            </w:pPr>
            <w:r w:rsidRPr="00797940">
              <w:rPr>
                <w:sz w:val="16"/>
                <w:szCs w:val="16"/>
              </w:rPr>
              <w:t>808 167 169</w:t>
            </w:r>
          </w:p>
        </w:tc>
      </w:tr>
      <w:tr w:rsidR="00BC337C" w:rsidRPr="00797940" w:rsidTr="00D737D8">
        <w:trPr>
          <w:trHeight w:val="300"/>
        </w:trPr>
        <w:tc>
          <w:tcPr>
            <w:tcW w:w="576" w:type="pct"/>
            <w:shd w:val="clear" w:color="auto" w:fill="auto"/>
            <w:noWrap/>
            <w:vAlign w:val="bottom"/>
            <w:hideMark/>
          </w:tcPr>
          <w:p w:rsidR="00BC337C" w:rsidRPr="00797940" w:rsidRDefault="00BC337C" w:rsidP="000A36D9">
            <w:pPr>
              <w:rPr>
                <w:sz w:val="18"/>
                <w:szCs w:val="18"/>
              </w:rPr>
            </w:pPr>
            <w:r w:rsidRPr="00797940">
              <w:rPr>
                <w:sz w:val="18"/>
                <w:szCs w:val="18"/>
              </w:rPr>
              <w:t>3.1</w:t>
            </w:r>
          </w:p>
        </w:tc>
        <w:tc>
          <w:tcPr>
            <w:tcW w:w="299" w:type="pct"/>
            <w:shd w:val="clear" w:color="auto" w:fill="auto"/>
            <w:noWrap/>
            <w:vAlign w:val="bottom"/>
            <w:hideMark/>
          </w:tcPr>
          <w:p w:rsidR="00BC337C" w:rsidRPr="00797940" w:rsidRDefault="00BC337C" w:rsidP="000A36D9">
            <w:pPr>
              <w:jc w:val="right"/>
              <w:rPr>
                <w:sz w:val="16"/>
                <w:szCs w:val="16"/>
              </w:rPr>
            </w:pPr>
            <w:r w:rsidRPr="00797940">
              <w:rPr>
                <w:sz w:val="16"/>
                <w:szCs w:val="16"/>
              </w:rPr>
              <w:t>3</w:t>
            </w:r>
          </w:p>
        </w:tc>
        <w:tc>
          <w:tcPr>
            <w:tcW w:w="512" w:type="pct"/>
            <w:shd w:val="clear" w:color="auto" w:fill="auto"/>
            <w:noWrap/>
            <w:vAlign w:val="bottom"/>
            <w:hideMark/>
          </w:tcPr>
          <w:p w:rsidR="00BC337C" w:rsidRPr="00797940" w:rsidRDefault="00BC337C" w:rsidP="000A36D9">
            <w:pPr>
              <w:jc w:val="right"/>
              <w:rPr>
                <w:sz w:val="16"/>
                <w:szCs w:val="16"/>
              </w:rPr>
            </w:pPr>
            <w:r w:rsidRPr="00797940">
              <w:rPr>
                <w:sz w:val="16"/>
                <w:szCs w:val="16"/>
              </w:rPr>
              <w:t>34 380 201</w:t>
            </w:r>
          </w:p>
        </w:tc>
        <w:tc>
          <w:tcPr>
            <w:tcW w:w="299" w:type="pct"/>
            <w:shd w:val="clear" w:color="auto" w:fill="auto"/>
            <w:noWrap/>
            <w:vAlign w:val="bottom"/>
            <w:hideMark/>
          </w:tcPr>
          <w:p w:rsidR="00BC337C" w:rsidRPr="00797940" w:rsidRDefault="00BC337C" w:rsidP="000A36D9">
            <w:pPr>
              <w:jc w:val="right"/>
              <w:rPr>
                <w:sz w:val="16"/>
                <w:szCs w:val="16"/>
              </w:rPr>
            </w:pPr>
            <w:r w:rsidRPr="00797940">
              <w:rPr>
                <w:sz w:val="16"/>
                <w:szCs w:val="16"/>
              </w:rPr>
              <w:t>2</w:t>
            </w:r>
          </w:p>
        </w:tc>
        <w:tc>
          <w:tcPr>
            <w:tcW w:w="575" w:type="pct"/>
            <w:shd w:val="clear" w:color="auto" w:fill="auto"/>
            <w:noWrap/>
            <w:vAlign w:val="bottom"/>
            <w:hideMark/>
          </w:tcPr>
          <w:p w:rsidR="00BC337C" w:rsidRPr="00797940" w:rsidRDefault="00BC337C" w:rsidP="000A36D9">
            <w:pPr>
              <w:jc w:val="right"/>
              <w:rPr>
                <w:sz w:val="16"/>
                <w:szCs w:val="16"/>
              </w:rPr>
            </w:pPr>
            <w:r w:rsidRPr="00797940">
              <w:rPr>
                <w:sz w:val="16"/>
                <w:szCs w:val="16"/>
              </w:rPr>
              <w:t>54 617 584</w:t>
            </w:r>
          </w:p>
        </w:tc>
        <w:tc>
          <w:tcPr>
            <w:tcW w:w="299" w:type="pct"/>
            <w:shd w:val="clear" w:color="auto" w:fill="auto"/>
            <w:noWrap/>
            <w:vAlign w:val="bottom"/>
            <w:hideMark/>
          </w:tcPr>
          <w:p w:rsidR="00BC337C" w:rsidRPr="00797940" w:rsidRDefault="00BC337C" w:rsidP="000A36D9">
            <w:pPr>
              <w:jc w:val="right"/>
              <w:rPr>
                <w:sz w:val="16"/>
                <w:szCs w:val="16"/>
              </w:rPr>
            </w:pPr>
            <w:r w:rsidRPr="00797940">
              <w:rPr>
                <w:sz w:val="16"/>
                <w:szCs w:val="16"/>
              </w:rPr>
              <w:t>12</w:t>
            </w:r>
          </w:p>
        </w:tc>
        <w:tc>
          <w:tcPr>
            <w:tcW w:w="589" w:type="pct"/>
            <w:shd w:val="clear" w:color="auto" w:fill="auto"/>
            <w:noWrap/>
            <w:vAlign w:val="bottom"/>
            <w:hideMark/>
          </w:tcPr>
          <w:p w:rsidR="00BC337C" w:rsidRPr="00797940" w:rsidRDefault="00BC337C" w:rsidP="000A36D9">
            <w:pPr>
              <w:jc w:val="right"/>
              <w:rPr>
                <w:sz w:val="16"/>
                <w:szCs w:val="16"/>
              </w:rPr>
            </w:pPr>
            <w:r w:rsidRPr="00797940">
              <w:rPr>
                <w:sz w:val="16"/>
                <w:szCs w:val="16"/>
              </w:rPr>
              <w:t>183 267 764</w:t>
            </w:r>
          </w:p>
        </w:tc>
        <w:tc>
          <w:tcPr>
            <w:tcW w:w="299" w:type="pct"/>
            <w:shd w:val="clear" w:color="auto" w:fill="auto"/>
            <w:noWrap/>
            <w:vAlign w:val="bottom"/>
            <w:hideMark/>
          </w:tcPr>
          <w:p w:rsidR="00BC337C" w:rsidRPr="00797940" w:rsidRDefault="00BC337C" w:rsidP="000A36D9">
            <w:pPr>
              <w:jc w:val="right"/>
              <w:rPr>
                <w:sz w:val="16"/>
                <w:szCs w:val="16"/>
              </w:rPr>
            </w:pPr>
            <w:r w:rsidRPr="00797940">
              <w:rPr>
                <w:sz w:val="16"/>
                <w:szCs w:val="16"/>
              </w:rPr>
              <w:t>0</w:t>
            </w:r>
          </w:p>
        </w:tc>
        <w:tc>
          <w:tcPr>
            <w:tcW w:w="632" w:type="pct"/>
            <w:shd w:val="clear" w:color="auto" w:fill="auto"/>
            <w:noWrap/>
            <w:vAlign w:val="bottom"/>
            <w:hideMark/>
          </w:tcPr>
          <w:p w:rsidR="00BC337C" w:rsidRPr="00797940" w:rsidRDefault="00BC337C" w:rsidP="000A36D9">
            <w:pPr>
              <w:jc w:val="right"/>
              <w:rPr>
                <w:sz w:val="16"/>
                <w:szCs w:val="16"/>
              </w:rPr>
            </w:pPr>
            <w:r w:rsidRPr="00797940">
              <w:rPr>
                <w:sz w:val="16"/>
                <w:szCs w:val="16"/>
              </w:rPr>
              <w:t>0</w:t>
            </w:r>
          </w:p>
        </w:tc>
        <w:tc>
          <w:tcPr>
            <w:tcW w:w="299" w:type="pct"/>
            <w:shd w:val="clear" w:color="auto" w:fill="auto"/>
            <w:noWrap/>
            <w:vAlign w:val="bottom"/>
            <w:hideMark/>
          </w:tcPr>
          <w:p w:rsidR="00BC337C" w:rsidRPr="00797940" w:rsidRDefault="00BC337C" w:rsidP="000A36D9">
            <w:pPr>
              <w:jc w:val="right"/>
              <w:rPr>
                <w:sz w:val="16"/>
                <w:szCs w:val="16"/>
              </w:rPr>
            </w:pPr>
            <w:r w:rsidRPr="00797940">
              <w:rPr>
                <w:sz w:val="16"/>
                <w:szCs w:val="16"/>
              </w:rPr>
              <w:t>17</w:t>
            </w:r>
          </w:p>
        </w:tc>
        <w:tc>
          <w:tcPr>
            <w:tcW w:w="621" w:type="pct"/>
            <w:shd w:val="clear" w:color="auto" w:fill="auto"/>
            <w:noWrap/>
            <w:vAlign w:val="bottom"/>
            <w:hideMark/>
          </w:tcPr>
          <w:p w:rsidR="00BC337C" w:rsidRPr="00797940" w:rsidRDefault="00BC337C" w:rsidP="000A36D9">
            <w:pPr>
              <w:jc w:val="right"/>
              <w:rPr>
                <w:sz w:val="16"/>
                <w:szCs w:val="16"/>
              </w:rPr>
            </w:pPr>
            <w:r w:rsidRPr="00797940">
              <w:rPr>
                <w:sz w:val="16"/>
                <w:szCs w:val="16"/>
              </w:rPr>
              <w:t>272 265 549</w:t>
            </w:r>
          </w:p>
        </w:tc>
      </w:tr>
      <w:tr w:rsidR="00BC337C" w:rsidRPr="00797940" w:rsidTr="00D737D8">
        <w:trPr>
          <w:trHeight w:val="300"/>
        </w:trPr>
        <w:tc>
          <w:tcPr>
            <w:tcW w:w="576" w:type="pct"/>
            <w:shd w:val="clear" w:color="auto" w:fill="auto"/>
            <w:noWrap/>
            <w:vAlign w:val="bottom"/>
            <w:hideMark/>
          </w:tcPr>
          <w:p w:rsidR="00BC337C" w:rsidRPr="00797940" w:rsidRDefault="00BC337C" w:rsidP="000A36D9">
            <w:pPr>
              <w:rPr>
                <w:sz w:val="18"/>
                <w:szCs w:val="18"/>
              </w:rPr>
            </w:pPr>
            <w:r w:rsidRPr="00797940">
              <w:rPr>
                <w:sz w:val="18"/>
                <w:szCs w:val="18"/>
              </w:rPr>
              <w:t>3.2</w:t>
            </w:r>
          </w:p>
        </w:tc>
        <w:tc>
          <w:tcPr>
            <w:tcW w:w="299" w:type="pct"/>
            <w:shd w:val="clear" w:color="auto" w:fill="auto"/>
            <w:noWrap/>
            <w:vAlign w:val="bottom"/>
            <w:hideMark/>
          </w:tcPr>
          <w:p w:rsidR="00BC337C" w:rsidRPr="00797940" w:rsidRDefault="00BC337C" w:rsidP="000A36D9">
            <w:pPr>
              <w:jc w:val="right"/>
              <w:rPr>
                <w:sz w:val="16"/>
                <w:szCs w:val="16"/>
              </w:rPr>
            </w:pPr>
            <w:r w:rsidRPr="00797940">
              <w:rPr>
                <w:sz w:val="16"/>
                <w:szCs w:val="16"/>
              </w:rPr>
              <w:t>2</w:t>
            </w:r>
          </w:p>
        </w:tc>
        <w:tc>
          <w:tcPr>
            <w:tcW w:w="512" w:type="pct"/>
            <w:shd w:val="clear" w:color="auto" w:fill="auto"/>
            <w:noWrap/>
            <w:vAlign w:val="bottom"/>
            <w:hideMark/>
          </w:tcPr>
          <w:p w:rsidR="00BC337C" w:rsidRPr="00797940" w:rsidRDefault="00BC337C" w:rsidP="000A36D9">
            <w:pPr>
              <w:jc w:val="right"/>
              <w:rPr>
                <w:sz w:val="16"/>
                <w:szCs w:val="16"/>
              </w:rPr>
            </w:pPr>
            <w:r w:rsidRPr="00797940">
              <w:rPr>
                <w:sz w:val="16"/>
                <w:szCs w:val="16"/>
              </w:rPr>
              <w:t>35 678 964</w:t>
            </w:r>
          </w:p>
        </w:tc>
        <w:tc>
          <w:tcPr>
            <w:tcW w:w="299" w:type="pct"/>
            <w:shd w:val="clear" w:color="auto" w:fill="auto"/>
            <w:noWrap/>
            <w:vAlign w:val="bottom"/>
            <w:hideMark/>
          </w:tcPr>
          <w:p w:rsidR="00BC337C" w:rsidRPr="00797940" w:rsidRDefault="00BC337C" w:rsidP="000A36D9">
            <w:pPr>
              <w:jc w:val="right"/>
              <w:rPr>
                <w:sz w:val="16"/>
                <w:szCs w:val="16"/>
              </w:rPr>
            </w:pPr>
            <w:r w:rsidRPr="00797940">
              <w:rPr>
                <w:sz w:val="16"/>
                <w:szCs w:val="16"/>
              </w:rPr>
              <w:t>6</w:t>
            </w:r>
          </w:p>
        </w:tc>
        <w:tc>
          <w:tcPr>
            <w:tcW w:w="575" w:type="pct"/>
            <w:shd w:val="clear" w:color="auto" w:fill="auto"/>
            <w:noWrap/>
            <w:vAlign w:val="bottom"/>
            <w:hideMark/>
          </w:tcPr>
          <w:p w:rsidR="00BC337C" w:rsidRPr="00797940" w:rsidRDefault="00BC337C" w:rsidP="000A36D9">
            <w:pPr>
              <w:jc w:val="right"/>
              <w:rPr>
                <w:sz w:val="16"/>
                <w:szCs w:val="16"/>
              </w:rPr>
            </w:pPr>
            <w:r w:rsidRPr="00797940">
              <w:rPr>
                <w:sz w:val="16"/>
                <w:szCs w:val="16"/>
              </w:rPr>
              <w:t>439 393 903</w:t>
            </w:r>
          </w:p>
        </w:tc>
        <w:tc>
          <w:tcPr>
            <w:tcW w:w="299" w:type="pct"/>
            <w:shd w:val="clear" w:color="auto" w:fill="auto"/>
            <w:noWrap/>
            <w:vAlign w:val="bottom"/>
            <w:hideMark/>
          </w:tcPr>
          <w:p w:rsidR="00BC337C" w:rsidRPr="00797940" w:rsidRDefault="00BC337C" w:rsidP="000A36D9">
            <w:pPr>
              <w:jc w:val="right"/>
              <w:rPr>
                <w:sz w:val="16"/>
                <w:szCs w:val="16"/>
              </w:rPr>
            </w:pPr>
            <w:r w:rsidRPr="00797940">
              <w:rPr>
                <w:sz w:val="16"/>
                <w:szCs w:val="16"/>
              </w:rPr>
              <w:t>4</w:t>
            </w:r>
          </w:p>
        </w:tc>
        <w:tc>
          <w:tcPr>
            <w:tcW w:w="589" w:type="pct"/>
            <w:shd w:val="clear" w:color="auto" w:fill="auto"/>
            <w:noWrap/>
            <w:vAlign w:val="bottom"/>
            <w:hideMark/>
          </w:tcPr>
          <w:p w:rsidR="00BC337C" w:rsidRPr="00797940" w:rsidRDefault="00BC337C" w:rsidP="000A36D9">
            <w:pPr>
              <w:jc w:val="right"/>
              <w:rPr>
                <w:sz w:val="16"/>
                <w:szCs w:val="16"/>
              </w:rPr>
            </w:pPr>
            <w:r w:rsidRPr="00797940">
              <w:rPr>
                <w:sz w:val="16"/>
                <w:szCs w:val="16"/>
              </w:rPr>
              <w:t>116 265 391</w:t>
            </w:r>
          </w:p>
        </w:tc>
        <w:tc>
          <w:tcPr>
            <w:tcW w:w="299" w:type="pct"/>
            <w:shd w:val="clear" w:color="auto" w:fill="auto"/>
            <w:noWrap/>
            <w:vAlign w:val="bottom"/>
            <w:hideMark/>
          </w:tcPr>
          <w:p w:rsidR="00BC337C" w:rsidRPr="00797940" w:rsidRDefault="00BC337C" w:rsidP="000A36D9">
            <w:pPr>
              <w:jc w:val="right"/>
              <w:rPr>
                <w:sz w:val="16"/>
                <w:szCs w:val="16"/>
              </w:rPr>
            </w:pPr>
            <w:r w:rsidRPr="00797940">
              <w:rPr>
                <w:sz w:val="16"/>
                <w:szCs w:val="16"/>
              </w:rPr>
              <w:t>25</w:t>
            </w:r>
          </w:p>
        </w:tc>
        <w:tc>
          <w:tcPr>
            <w:tcW w:w="632" w:type="pct"/>
            <w:shd w:val="clear" w:color="auto" w:fill="auto"/>
            <w:noWrap/>
            <w:vAlign w:val="bottom"/>
            <w:hideMark/>
          </w:tcPr>
          <w:p w:rsidR="00BC337C" w:rsidRPr="00797940" w:rsidRDefault="00BC337C" w:rsidP="000A36D9">
            <w:pPr>
              <w:jc w:val="right"/>
              <w:rPr>
                <w:sz w:val="16"/>
                <w:szCs w:val="16"/>
              </w:rPr>
            </w:pPr>
            <w:r w:rsidRPr="00797940">
              <w:rPr>
                <w:sz w:val="16"/>
                <w:szCs w:val="16"/>
              </w:rPr>
              <w:t>1 788 619 365</w:t>
            </w:r>
          </w:p>
        </w:tc>
        <w:tc>
          <w:tcPr>
            <w:tcW w:w="299" w:type="pct"/>
            <w:shd w:val="clear" w:color="auto" w:fill="auto"/>
            <w:noWrap/>
            <w:vAlign w:val="bottom"/>
            <w:hideMark/>
          </w:tcPr>
          <w:p w:rsidR="00BC337C" w:rsidRPr="00797940" w:rsidRDefault="00BC337C" w:rsidP="000A36D9">
            <w:pPr>
              <w:jc w:val="right"/>
              <w:rPr>
                <w:sz w:val="16"/>
                <w:szCs w:val="16"/>
              </w:rPr>
            </w:pPr>
            <w:r w:rsidRPr="00797940">
              <w:rPr>
                <w:sz w:val="16"/>
                <w:szCs w:val="16"/>
              </w:rPr>
              <w:t>37</w:t>
            </w:r>
          </w:p>
        </w:tc>
        <w:tc>
          <w:tcPr>
            <w:tcW w:w="621" w:type="pct"/>
            <w:shd w:val="clear" w:color="auto" w:fill="auto"/>
            <w:noWrap/>
            <w:vAlign w:val="bottom"/>
            <w:hideMark/>
          </w:tcPr>
          <w:p w:rsidR="00BC337C" w:rsidRPr="00797940" w:rsidRDefault="00BC337C" w:rsidP="000A36D9">
            <w:pPr>
              <w:jc w:val="right"/>
              <w:rPr>
                <w:sz w:val="16"/>
                <w:szCs w:val="16"/>
              </w:rPr>
            </w:pPr>
            <w:r w:rsidRPr="00797940">
              <w:rPr>
                <w:sz w:val="16"/>
                <w:szCs w:val="16"/>
              </w:rPr>
              <w:t>2 379 957 623</w:t>
            </w:r>
          </w:p>
        </w:tc>
      </w:tr>
      <w:tr w:rsidR="00BC337C" w:rsidRPr="00797940" w:rsidTr="00D737D8">
        <w:trPr>
          <w:trHeight w:val="300"/>
        </w:trPr>
        <w:tc>
          <w:tcPr>
            <w:tcW w:w="576" w:type="pct"/>
            <w:shd w:val="clear" w:color="auto" w:fill="auto"/>
            <w:noWrap/>
            <w:vAlign w:val="bottom"/>
            <w:hideMark/>
          </w:tcPr>
          <w:p w:rsidR="00BC337C" w:rsidRPr="00797940" w:rsidRDefault="00BC337C" w:rsidP="000A36D9">
            <w:pPr>
              <w:rPr>
                <w:sz w:val="18"/>
                <w:szCs w:val="18"/>
              </w:rPr>
            </w:pPr>
            <w:r w:rsidRPr="00797940">
              <w:rPr>
                <w:sz w:val="18"/>
                <w:szCs w:val="18"/>
              </w:rPr>
              <w:lastRenderedPageBreak/>
              <w:t>3.3</w:t>
            </w:r>
          </w:p>
        </w:tc>
        <w:tc>
          <w:tcPr>
            <w:tcW w:w="299" w:type="pct"/>
            <w:shd w:val="clear" w:color="auto" w:fill="auto"/>
            <w:noWrap/>
            <w:vAlign w:val="bottom"/>
            <w:hideMark/>
          </w:tcPr>
          <w:p w:rsidR="00BC337C" w:rsidRPr="00797940" w:rsidRDefault="00BC337C" w:rsidP="000A36D9">
            <w:pPr>
              <w:jc w:val="right"/>
              <w:rPr>
                <w:sz w:val="16"/>
                <w:szCs w:val="16"/>
              </w:rPr>
            </w:pPr>
            <w:r w:rsidRPr="00797940">
              <w:rPr>
                <w:sz w:val="16"/>
                <w:szCs w:val="16"/>
              </w:rPr>
              <w:t>1</w:t>
            </w:r>
          </w:p>
        </w:tc>
        <w:tc>
          <w:tcPr>
            <w:tcW w:w="512" w:type="pct"/>
            <w:shd w:val="clear" w:color="auto" w:fill="auto"/>
            <w:noWrap/>
            <w:vAlign w:val="bottom"/>
            <w:hideMark/>
          </w:tcPr>
          <w:p w:rsidR="00BC337C" w:rsidRPr="00797940" w:rsidRDefault="00BC337C" w:rsidP="000A36D9">
            <w:pPr>
              <w:jc w:val="right"/>
              <w:rPr>
                <w:sz w:val="16"/>
                <w:szCs w:val="16"/>
              </w:rPr>
            </w:pPr>
            <w:r w:rsidRPr="00797940">
              <w:rPr>
                <w:sz w:val="16"/>
                <w:szCs w:val="16"/>
              </w:rPr>
              <w:t>9 498 557</w:t>
            </w:r>
          </w:p>
        </w:tc>
        <w:tc>
          <w:tcPr>
            <w:tcW w:w="299" w:type="pct"/>
            <w:shd w:val="clear" w:color="auto" w:fill="auto"/>
            <w:noWrap/>
            <w:vAlign w:val="bottom"/>
            <w:hideMark/>
          </w:tcPr>
          <w:p w:rsidR="00BC337C" w:rsidRPr="00797940" w:rsidRDefault="00BC337C" w:rsidP="000A36D9">
            <w:pPr>
              <w:jc w:val="right"/>
              <w:rPr>
                <w:sz w:val="16"/>
                <w:szCs w:val="16"/>
              </w:rPr>
            </w:pPr>
            <w:r w:rsidRPr="00797940">
              <w:rPr>
                <w:sz w:val="16"/>
                <w:szCs w:val="16"/>
              </w:rPr>
              <w:t>1</w:t>
            </w:r>
          </w:p>
        </w:tc>
        <w:tc>
          <w:tcPr>
            <w:tcW w:w="575" w:type="pct"/>
            <w:shd w:val="clear" w:color="auto" w:fill="auto"/>
            <w:noWrap/>
            <w:vAlign w:val="bottom"/>
            <w:hideMark/>
          </w:tcPr>
          <w:p w:rsidR="00BC337C" w:rsidRPr="00797940" w:rsidRDefault="00BC337C" w:rsidP="000A36D9">
            <w:pPr>
              <w:jc w:val="right"/>
              <w:rPr>
                <w:sz w:val="16"/>
                <w:szCs w:val="16"/>
              </w:rPr>
            </w:pPr>
            <w:r w:rsidRPr="00797940">
              <w:rPr>
                <w:sz w:val="16"/>
                <w:szCs w:val="16"/>
              </w:rPr>
              <w:t>15 653 968</w:t>
            </w:r>
          </w:p>
        </w:tc>
        <w:tc>
          <w:tcPr>
            <w:tcW w:w="299" w:type="pct"/>
            <w:shd w:val="clear" w:color="auto" w:fill="auto"/>
            <w:noWrap/>
            <w:vAlign w:val="bottom"/>
            <w:hideMark/>
          </w:tcPr>
          <w:p w:rsidR="00BC337C" w:rsidRPr="00797940" w:rsidRDefault="00BC337C" w:rsidP="000A36D9">
            <w:pPr>
              <w:jc w:val="right"/>
              <w:rPr>
                <w:sz w:val="16"/>
                <w:szCs w:val="16"/>
              </w:rPr>
            </w:pPr>
            <w:r w:rsidRPr="00797940">
              <w:rPr>
                <w:sz w:val="16"/>
                <w:szCs w:val="16"/>
              </w:rPr>
              <w:t>7</w:t>
            </w:r>
          </w:p>
        </w:tc>
        <w:tc>
          <w:tcPr>
            <w:tcW w:w="589" w:type="pct"/>
            <w:shd w:val="clear" w:color="auto" w:fill="auto"/>
            <w:noWrap/>
            <w:vAlign w:val="bottom"/>
            <w:hideMark/>
          </w:tcPr>
          <w:p w:rsidR="00BC337C" w:rsidRPr="00797940" w:rsidRDefault="00BC337C" w:rsidP="000A36D9">
            <w:pPr>
              <w:jc w:val="right"/>
              <w:rPr>
                <w:sz w:val="16"/>
                <w:szCs w:val="16"/>
              </w:rPr>
            </w:pPr>
            <w:r w:rsidRPr="00797940">
              <w:rPr>
                <w:sz w:val="16"/>
                <w:szCs w:val="16"/>
              </w:rPr>
              <w:t>243 178 574</w:t>
            </w:r>
          </w:p>
        </w:tc>
        <w:tc>
          <w:tcPr>
            <w:tcW w:w="299" w:type="pct"/>
            <w:shd w:val="clear" w:color="auto" w:fill="auto"/>
            <w:noWrap/>
            <w:vAlign w:val="bottom"/>
            <w:hideMark/>
          </w:tcPr>
          <w:p w:rsidR="00BC337C" w:rsidRPr="00797940" w:rsidRDefault="00BC337C" w:rsidP="000A36D9">
            <w:pPr>
              <w:jc w:val="right"/>
              <w:rPr>
                <w:sz w:val="16"/>
                <w:szCs w:val="16"/>
              </w:rPr>
            </w:pPr>
            <w:r w:rsidRPr="00797940">
              <w:rPr>
                <w:sz w:val="16"/>
                <w:szCs w:val="16"/>
              </w:rPr>
              <w:t>0</w:t>
            </w:r>
          </w:p>
        </w:tc>
        <w:tc>
          <w:tcPr>
            <w:tcW w:w="632" w:type="pct"/>
            <w:shd w:val="clear" w:color="auto" w:fill="auto"/>
            <w:noWrap/>
            <w:vAlign w:val="bottom"/>
            <w:hideMark/>
          </w:tcPr>
          <w:p w:rsidR="00BC337C" w:rsidRPr="00797940" w:rsidRDefault="00BC337C" w:rsidP="000A36D9">
            <w:pPr>
              <w:jc w:val="right"/>
              <w:rPr>
                <w:sz w:val="16"/>
                <w:szCs w:val="16"/>
              </w:rPr>
            </w:pPr>
            <w:r w:rsidRPr="00797940">
              <w:rPr>
                <w:sz w:val="16"/>
                <w:szCs w:val="16"/>
              </w:rPr>
              <w:t>0</w:t>
            </w:r>
          </w:p>
        </w:tc>
        <w:tc>
          <w:tcPr>
            <w:tcW w:w="299" w:type="pct"/>
            <w:shd w:val="clear" w:color="auto" w:fill="auto"/>
            <w:noWrap/>
            <w:vAlign w:val="bottom"/>
            <w:hideMark/>
          </w:tcPr>
          <w:p w:rsidR="00BC337C" w:rsidRPr="00797940" w:rsidRDefault="00BC337C" w:rsidP="000A36D9">
            <w:pPr>
              <w:jc w:val="right"/>
              <w:rPr>
                <w:sz w:val="16"/>
                <w:szCs w:val="16"/>
              </w:rPr>
            </w:pPr>
            <w:r w:rsidRPr="00797940">
              <w:rPr>
                <w:sz w:val="16"/>
                <w:szCs w:val="16"/>
              </w:rPr>
              <w:t>9</w:t>
            </w:r>
          </w:p>
        </w:tc>
        <w:tc>
          <w:tcPr>
            <w:tcW w:w="621" w:type="pct"/>
            <w:shd w:val="clear" w:color="auto" w:fill="auto"/>
            <w:noWrap/>
            <w:vAlign w:val="bottom"/>
            <w:hideMark/>
          </w:tcPr>
          <w:p w:rsidR="00BC337C" w:rsidRPr="00797940" w:rsidRDefault="00BC337C" w:rsidP="000A36D9">
            <w:pPr>
              <w:jc w:val="right"/>
              <w:rPr>
                <w:sz w:val="16"/>
                <w:szCs w:val="16"/>
              </w:rPr>
            </w:pPr>
            <w:r w:rsidRPr="00797940">
              <w:rPr>
                <w:sz w:val="16"/>
                <w:szCs w:val="16"/>
              </w:rPr>
              <w:t>268 331 099</w:t>
            </w:r>
          </w:p>
        </w:tc>
      </w:tr>
      <w:tr w:rsidR="00BC337C" w:rsidRPr="00797940" w:rsidTr="00D737D8">
        <w:trPr>
          <w:trHeight w:val="300"/>
        </w:trPr>
        <w:tc>
          <w:tcPr>
            <w:tcW w:w="576" w:type="pct"/>
            <w:shd w:val="clear" w:color="auto" w:fill="auto"/>
            <w:noWrap/>
            <w:vAlign w:val="bottom"/>
            <w:hideMark/>
          </w:tcPr>
          <w:p w:rsidR="00BC337C" w:rsidRPr="00797940" w:rsidRDefault="00BC337C" w:rsidP="000A36D9">
            <w:pPr>
              <w:rPr>
                <w:sz w:val="18"/>
                <w:szCs w:val="18"/>
              </w:rPr>
            </w:pPr>
            <w:r w:rsidRPr="00797940">
              <w:rPr>
                <w:sz w:val="18"/>
                <w:szCs w:val="18"/>
              </w:rPr>
              <w:t>3.4</w:t>
            </w:r>
          </w:p>
        </w:tc>
        <w:tc>
          <w:tcPr>
            <w:tcW w:w="299" w:type="pct"/>
            <w:shd w:val="clear" w:color="auto" w:fill="auto"/>
            <w:noWrap/>
            <w:vAlign w:val="bottom"/>
            <w:hideMark/>
          </w:tcPr>
          <w:p w:rsidR="00BC337C" w:rsidRPr="00797940" w:rsidRDefault="00BC337C" w:rsidP="000A36D9">
            <w:pPr>
              <w:jc w:val="right"/>
              <w:rPr>
                <w:sz w:val="16"/>
                <w:szCs w:val="16"/>
              </w:rPr>
            </w:pPr>
            <w:r w:rsidRPr="00797940">
              <w:rPr>
                <w:sz w:val="16"/>
                <w:szCs w:val="16"/>
              </w:rPr>
              <w:t>3</w:t>
            </w:r>
          </w:p>
        </w:tc>
        <w:tc>
          <w:tcPr>
            <w:tcW w:w="512" w:type="pct"/>
            <w:shd w:val="clear" w:color="auto" w:fill="auto"/>
            <w:noWrap/>
            <w:vAlign w:val="bottom"/>
            <w:hideMark/>
          </w:tcPr>
          <w:p w:rsidR="00BC337C" w:rsidRPr="00797940" w:rsidRDefault="00BC337C" w:rsidP="000A36D9">
            <w:pPr>
              <w:jc w:val="right"/>
              <w:rPr>
                <w:sz w:val="16"/>
                <w:szCs w:val="16"/>
              </w:rPr>
            </w:pPr>
            <w:r w:rsidRPr="00797940">
              <w:rPr>
                <w:sz w:val="16"/>
                <w:szCs w:val="16"/>
              </w:rPr>
              <w:t>90 843 110</w:t>
            </w:r>
          </w:p>
        </w:tc>
        <w:tc>
          <w:tcPr>
            <w:tcW w:w="299" w:type="pct"/>
            <w:shd w:val="clear" w:color="auto" w:fill="auto"/>
            <w:noWrap/>
            <w:vAlign w:val="bottom"/>
            <w:hideMark/>
          </w:tcPr>
          <w:p w:rsidR="00BC337C" w:rsidRPr="00797940" w:rsidRDefault="00BC337C" w:rsidP="000A36D9">
            <w:pPr>
              <w:jc w:val="right"/>
              <w:rPr>
                <w:sz w:val="16"/>
                <w:szCs w:val="16"/>
              </w:rPr>
            </w:pPr>
            <w:r w:rsidRPr="00797940">
              <w:rPr>
                <w:sz w:val="16"/>
                <w:szCs w:val="16"/>
              </w:rPr>
              <w:t>1</w:t>
            </w:r>
          </w:p>
        </w:tc>
        <w:tc>
          <w:tcPr>
            <w:tcW w:w="575" w:type="pct"/>
            <w:shd w:val="clear" w:color="auto" w:fill="auto"/>
            <w:noWrap/>
            <w:vAlign w:val="bottom"/>
            <w:hideMark/>
          </w:tcPr>
          <w:p w:rsidR="00BC337C" w:rsidRPr="00797940" w:rsidRDefault="00BC337C" w:rsidP="000A36D9">
            <w:pPr>
              <w:jc w:val="right"/>
              <w:rPr>
                <w:sz w:val="16"/>
                <w:szCs w:val="16"/>
              </w:rPr>
            </w:pPr>
            <w:r w:rsidRPr="00797940">
              <w:rPr>
                <w:sz w:val="16"/>
                <w:szCs w:val="16"/>
              </w:rPr>
              <w:t>649 069 615</w:t>
            </w:r>
          </w:p>
        </w:tc>
        <w:tc>
          <w:tcPr>
            <w:tcW w:w="299" w:type="pct"/>
            <w:shd w:val="clear" w:color="auto" w:fill="auto"/>
            <w:noWrap/>
            <w:vAlign w:val="bottom"/>
            <w:hideMark/>
          </w:tcPr>
          <w:p w:rsidR="00BC337C" w:rsidRPr="00797940" w:rsidRDefault="00BC337C" w:rsidP="000A36D9">
            <w:pPr>
              <w:jc w:val="right"/>
              <w:rPr>
                <w:sz w:val="16"/>
                <w:szCs w:val="16"/>
              </w:rPr>
            </w:pPr>
            <w:r w:rsidRPr="00797940">
              <w:rPr>
                <w:sz w:val="16"/>
                <w:szCs w:val="16"/>
              </w:rPr>
              <w:t>83</w:t>
            </w:r>
          </w:p>
        </w:tc>
        <w:tc>
          <w:tcPr>
            <w:tcW w:w="589" w:type="pct"/>
            <w:shd w:val="clear" w:color="auto" w:fill="auto"/>
            <w:noWrap/>
            <w:vAlign w:val="bottom"/>
            <w:hideMark/>
          </w:tcPr>
          <w:p w:rsidR="00BC337C" w:rsidRPr="00797940" w:rsidRDefault="00BC337C" w:rsidP="000A36D9">
            <w:pPr>
              <w:jc w:val="right"/>
              <w:rPr>
                <w:sz w:val="16"/>
                <w:szCs w:val="16"/>
              </w:rPr>
            </w:pPr>
            <w:r w:rsidRPr="00797940">
              <w:rPr>
                <w:sz w:val="16"/>
                <w:szCs w:val="16"/>
              </w:rPr>
              <w:t>1 717 518 858</w:t>
            </w:r>
          </w:p>
        </w:tc>
        <w:tc>
          <w:tcPr>
            <w:tcW w:w="299" w:type="pct"/>
            <w:shd w:val="clear" w:color="auto" w:fill="auto"/>
            <w:noWrap/>
            <w:vAlign w:val="bottom"/>
            <w:hideMark/>
          </w:tcPr>
          <w:p w:rsidR="00BC337C" w:rsidRPr="00797940" w:rsidRDefault="00BC337C" w:rsidP="000A36D9">
            <w:pPr>
              <w:jc w:val="right"/>
              <w:rPr>
                <w:sz w:val="16"/>
                <w:szCs w:val="16"/>
              </w:rPr>
            </w:pPr>
            <w:r w:rsidRPr="00797940">
              <w:rPr>
                <w:sz w:val="16"/>
                <w:szCs w:val="16"/>
              </w:rPr>
              <w:t>4</w:t>
            </w:r>
          </w:p>
        </w:tc>
        <w:tc>
          <w:tcPr>
            <w:tcW w:w="632" w:type="pct"/>
            <w:shd w:val="clear" w:color="auto" w:fill="auto"/>
            <w:noWrap/>
            <w:vAlign w:val="bottom"/>
            <w:hideMark/>
          </w:tcPr>
          <w:p w:rsidR="00BC337C" w:rsidRPr="00797940" w:rsidRDefault="00BC337C" w:rsidP="000A36D9">
            <w:pPr>
              <w:jc w:val="right"/>
              <w:rPr>
                <w:sz w:val="16"/>
                <w:szCs w:val="16"/>
              </w:rPr>
            </w:pPr>
            <w:r w:rsidRPr="00797940">
              <w:rPr>
                <w:sz w:val="16"/>
                <w:szCs w:val="16"/>
              </w:rPr>
              <w:t>1 985 931 699</w:t>
            </w:r>
          </w:p>
        </w:tc>
        <w:tc>
          <w:tcPr>
            <w:tcW w:w="299" w:type="pct"/>
            <w:shd w:val="clear" w:color="auto" w:fill="auto"/>
            <w:noWrap/>
            <w:vAlign w:val="bottom"/>
            <w:hideMark/>
          </w:tcPr>
          <w:p w:rsidR="00BC337C" w:rsidRPr="00797940" w:rsidRDefault="00BC337C" w:rsidP="000A36D9">
            <w:pPr>
              <w:jc w:val="right"/>
              <w:rPr>
                <w:sz w:val="16"/>
                <w:szCs w:val="16"/>
              </w:rPr>
            </w:pPr>
            <w:r w:rsidRPr="00797940">
              <w:rPr>
                <w:sz w:val="16"/>
                <w:szCs w:val="16"/>
              </w:rPr>
              <w:t>91</w:t>
            </w:r>
          </w:p>
        </w:tc>
        <w:tc>
          <w:tcPr>
            <w:tcW w:w="621" w:type="pct"/>
            <w:shd w:val="clear" w:color="auto" w:fill="auto"/>
            <w:noWrap/>
            <w:vAlign w:val="bottom"/>
            <w:hideMark/>
          </w:tcPr>
          <w:p w:rsidR="00BC337C" w:rsidRPr="00797940" w:rsidRDefault="00BC337C" w:rsidP="000A36D9">
            <w:pPr>
              <w:jc w:val="right"/>
              <w:rPr>
                <w:sz w:val="16"/>
                <w:szCs w:val="16"/>
              </w:rPr>
            </w:pPr>
            <w:r w:rsidRPr="00797940">
              <w:rPr>
                <w:sz w:val="16"/>
                <w:szCs w:val="16"/>
              </w:rPr>
              <w:t>4 443 363 281</w:t>
            </w:r>
          </w:p>
        </w:tc>
      </w:tr>
      <w:tr w:rsidR="00BC337C" w:rsidRPr="00797940" w:rsidTr="00D737D8">
        <w:trPr>
          <w:trHeight w:val="300"/>
        </w:trPr>
        <w:tc>
          <w:tcPr>
            <w:tcW w:w="576" w:type="pct"/>
            <w:shd w:val="clear" w:color="auto" w:fill="auto"/>
            <w:noWrap/>
            <w:vAlign w:val="bottom"/>
            <w:hideMark/>
          </w:tcPr>
          <w:p w:rsidR="00BC337C" w:rsidRPr="00797940" w:rsidRDefault="00BC337C" w:rsidP="000A36D9">
            <w:pPr>
              <w:rPr>
                <w:sz w:val="18"/>
                <w:szCs w:val="18"/>
              </w:rPr>
            </w:pPr>
            <w:r w:rsidRPr="00797940">
              <w:rPr>
                <w:sz w:val="18"/>
                <w:szCs w:val="18"/>
              </w:rPr>
              <w:t>4.1a</w:t>
            </w:r>
          </w:p>
        </w:tc>
        <w:tc>
          <w:tcPr>
            <w:tcW w:w="299" w:type="pct"/>
            <w:shd w:val="clear" w:color="auto" w:fill="auto"/>
            <w:noWrap/>
            <w:vAlign w:val="bottom"/>
            <w:hideMark/>
          </w:tcPr>
          <w:p w:rsidR="00BC337C" w:rsidRPr="00797940" w:rsidRDefault="00BC337C" w:rsidP="000A36D9">
            <w:pPr>
              <w:jc w:val="right"/>
              <w:rPr>
                <w:sz w:val="16"/>
                <w:szCs w:val="16"/>
              </w:rPr>
            </w:pPr>
            <w:r w:rsidRPr="00797940">
              <w:rPr>
                <w:sz w:val="16"/>
                <w:szCs w:val="16"/>
              </w:rPr>
              <w:t>3</w:t>
            </w:r>
          </w:p>
        </w:tc>
        <w:tc>
          <w:tcPr>
            <w:tcW w:w="512" w:type="pct"/>
            <w:shd w:val="clear" w:color="auto" w:fill="auto"/>
            <w:noWrap/>
            <w:vAlign w:val="bottom"/>
            <w:hideMark/>
          </w:tcPr>
          <w:p w:rsidR="00BC337C" w:rsidRPr="00797940" w:rsidRDefault="00BC337C" w:rsidP="000A36D9">
            <w:pPr>
              <w:jc w:val="right"/>
              <w:rPr>
                <w:sz w:val="16"/>
                <w:szCs w:val="16"/>
              </w:rPr>
            </w:pPr>
            <w:r w:rsidRPr="00797940">
              <w:rPr>
                <w:sz w:val="16"/>
                <w:szCs w:val="16"/>
              </w:rPr>
              <w:t>24 364 925</w:t>
            </w:r>
          </w:p>
        </w:tc>
        <w:tc>
          <w:tcPr>
            <w:tcW w:w="299" w:type="pct"/>
            <w:shd w:val="clear" w:color="auto" w:fill="auto"/>
            <w:noWrap/>
            <w:vAlign w:val="bottom"/>
            <w:hideMark/>
          </w:tcPr>
          <w:p w:rsidR="00BC337C" w:rsidRPr="00797940" w:rsidRDefault="00BC337C" w:rsidP="000A36D9">
            <w:pPr>
              <w:jc w:val="right"/>
              <w:rPr>
                <w:sz w:val="16"/>
                <w:szCs w:val="16"/>
              </w:rPr>
            </w:pPr>
            <w:r w:rsidRPr="00797940">
              <w:rPr>
                <w:sz w:val="16"/>
                <w:szCs w:val="16"/>
              </w:rPr>
              <w:t>0</w:t>
            </w:r>
          </w:p>
        </w:tc>
        <w:tc>
          <w:tcPr>
            <w:tcW w:w="575" w:type="pct"/>
            <w:shd w:val="clear" w:color="auto" w:fill="auto"/>
            <w:noWrap/>
            <w:vAlign w:val="bottom"/>
            <w:hideMark/>
          </w:tcPr>
          <w:p w:rsidR="00BC337C" w:rsidRPr="00797940" w:rsidRDefault="00BC337C" w:rsidP="000A36D9">
            <w:pPr>
              <w:jc w:val="right"/>
              <w:rPr>
                <w:sz w:val="16"/>
                <w:szCs w:val="16"/>
              </w:rPr>
            </w:pPr>
            <w:r w:rsidRPr="00797940">
              <w:rPr>
                <w:sz w:val="16"/>
                <w:szCs w:val="16"/>
              </w:rPr>
              <w:t>0</w:t>
            </w:r>
          </w:p>
        </w:tc>
        <w:tc>
          <w:tcPr>
            <w:tcW w:w="299" w:type="pct"/>
            <w:shd w:val="clear" w:color="auto" w:fill="auto"/>
            <w:noWrap/>
            <w:vAlign w:val="bottom"/>
            <w:hideMark/>
          </w:tcPr>
          <w:p w:rsidR="00BC337C" w:rsidRPr="00797940" w:rsidRDefault="00BC337C" w:rsidP="000A36D9">
            <w:pPr>
              <w:jc w:val="right"/>
              <w:rPr>
                <w:sz w:val="16"/>
                <w:szCs w:val="16"/>
              </w:rPr>
            </w:pPr>
            <w:r w:rsidRPr="00797940">
              <w:rPr>
                <w:sz w:val="16"/>
                <w:szCs w:val="16"/>
              </w:rPr>
              <w:t>0</w:t>
            </w:r>
          </w:p>
        </w:tc>
        <w:tc>
          <w:tcPr>
            <w:tcW w:w="589" w:type="pct"/>
            <w:shd w:val="clear" w:color="auto" w:fill="auto"/>
            <w:noWrap/>
            <w:vAlign w:val="bottom"/>
            <w:hideMark/>
          </w:tcPr>
          <w:p w:rsidR="00BC337C" w:rsidRPr="00797940" w:rsidRDefault="00BC337C" w:rsidP="000A36D9">
            <w:pPr>
              <w:jc w:val="right"/>
              <w:rPr>
                <w:sz w:val="16"/>
                <w:szCs w:val="16"/>
              </w:rPr>
            </w:pPr>
            <w:r w:rsidRPr="00797940">
              <w:rPr>
                <w:sz w:val="16"/>
                <w:szCs w:val="16"/>
              </w:rPr>
              <w:t>0</w:t>
            </w:r>
          </w:p>
        </w:tc>
        <w:tc>
          <w:tcPr>
            <w:tcW w:w="299" w:type="pct"/>
            <w:shd w:val="clear" w:color="auto" w:fill="auto"/>
            <w:noWrap/>
            <w:vAlign w:val="bottom"/>
            <w:hideMark/>
          </w:tcPr>
          <w:p w:rsidR="00BC337C" w:rsidRPr="00797940" w:rsidRDefault="00BC337C" w:rsidP="000A36D9">
            <w:pPr>
              <w:jc w:val="right"/>
              <w:rPr>
                <w:sz w:val="16"/>
                <w:szCs w:val="16"/>
              </w:rPr>
            </w:pPr>
            <w:r w:rsidRPr="00797940">
              <w:rPr>
                <w:sz w:val="16"/>
                <w:szCs w:val="16"/>
              </w:rPr>
              <w:t>9</w:t>
            </w:r>
          </w:p>
        </w:tc>
        <w:tc>
          <w:tcPr>
            <w:tcW w:w="632" w:type="pct"/>
            <w:shd w:val="clear" w:color="auto" w:fill="auto"/>
            <w:noWrap/>
            <w:vAlign w:val="bottom"/>
            <w:hideMark/>
          </w:tcPr>
          <w:p w:rsidR="00BC337C" w:rsidRPr="00797940" w:rsidRDefault="00BC337C" w:rsidP="000A36D9">
            <w:pPr>
              <w:jc w:val="right"/>
              <w:rPr>
                <w:sz w:val="16"/>
                <w:szCs w:val="16"/>
              </w:rPr>
            </w:pPr>
            <w:r w:rsidRPr="00797940">
              <w:rPr>
                <w:sz w:val="16"/>
                <w:szCs w:val="16"/>
              </w:rPr>
              <w:t>122 887 365</w:t>
            </w:r>
          </w:p>
        </w:tc>
        <w:tc>
          <w:tcPr>
            <w:tcW w:w="299" w:type="pct"/>
            <w:shd w:val="clear" w:color="auto" w:fill="auto"/>
            <w:noWrap/>
            <w:vAlign w:val="bottom"/>
            <w:hideMark/>
          </w:tcPr>
          <w:p w:rsidR="00BC337C" w:rsidRPr="00797940" w:rsidRDefault="00BC337C" w:rsidP="000A36D9">
            <w:pPr>
              <w:jc w:val="right"/>
              <w:rPr>
                <w:sz w:val="16"/>
                <w:szCs w:val="16"/>
              </w:rPr>
            </w:pPr>
            <w:r w:rsidRPr="00797940">
              <w:rPr>
                <w:sz w:val="16"/>
                <w:szCs w:val="16"/>
              </w:rPr>
              <w:t>12</w:t>
            </w:r>
          </w:p>
        </w:tc>
        <w:tc>
          <w:tcPr>
            <w:tcW w:w="621" w:type="pct"/>
            <w:shd w:val="clear" w:color="auto" w:fill="auto"/>
            <w:noWrap/>
            <w:vAlign w:val="bottom"/>
            <w:hideMark/>
          </w:tcPr>
          <w:p w:rsidR="00BC337C" w:rsidRPr="00797940" w:rsidRDefault="00BC337C" w:rsidP="000A36D9">
            <w:pPr>
              <w:jc w:val="right"/>
              <w:rPr>
                <w:sz w:val="16"/>
                <w:szCs w:val="16"/>
              </w:rPr>
            </w:pPr>
            <w:r w:rsidRPr="00797940">
              <w:rPr>
                <w:sz w:val="16"/>
                <w:szCs w:val="16"/>
              </w:rPr>
              <w:t>147 252 291</w:t>
            </w:r>
          </w:p>
        </w:tc>
      </w:tr>
      <w:tr w:rsidR="00BC337C" w:rsidRPr="00797940" w:rsidTr="00D737D8">
        <w:trPr>
          <w:trHeight w:val="300"/>
        </w:trPr>
        <w:tc>
          <w:tcPr>
            <w:tcW w:w="576" w:type="pct"/>
            <w:shd w:val="clear" w:color="auto" w:fill="auto"/>
            <w:noWrap/>
            <w:vAlign w:val="bottom"/>
            <w:hideMark/>
          </w:tcPr>
          <w:p w:rsidR="00BC337C" w:rsidRPr="00797940" w:rsidRDefault="00BC337C" w:rsidP="000A36D9">
            <w:pPr>
              <w:rPr>
                <w:sz w:val="18"/>
                <w:szCs w:val="18"/>
              </w:rPr>
            </w:pPr>
            <w:r w:rsidRPr="00797940">
              <w:rPr>
                <w:sz w:val="18"/>
                <w:szCs w:val="18"/>
              </w:rPr>
              <w:t>4.1b</w:t>
            </w:r>
          </w:p>
        </w:tc>
        <w:tc>
          <w:tcPr>
            <w:tcW w:w="299" w:type="pct"/>
            <w:shd w:val="clear" w:color="auto" w:fill="auto"/>
            <w:noWrap/>
            <w:vAlign w:val="bottom"/>
            <w:hideMark/>
          </w:tcPr>
          <w:p w:rsidR="00BC337C" w:rsidRPr="00797940" w:rsidRDefault="00BC337C" w:rsidP="000A36D9">
            <w:pPr>
              <w:jc w:val="right"/>
              <w:rPr>
                <w:sz w:val="16"/>
                <w:szCs w:val="16"/>
              </w:rPr>
            </w:pPr>
            <w:r w:rsidRPr="00797940">
              <w:rPr>
                <w:sz w:val="16"/>
                <w:szCs w:val="16"/>
              </w:rPr>
              <w:t>3</w:t>
            </w:r>
          </w:p>
        </w:tc>
        <w:tc>
          <w:tcPr>
            <w:tcW w:w="512" w:type="pct"/>
            <w:shd w:val="clear" w:color="auto" w:fill="auto"/>
            <w:noWrap/>
            <w:vAlign w:val="bottom"/>
            <w:hideMark/>
          </w:tcPr>
          <w:p w:rsidR="00BC337C" w:rsidRPr="00797940" w:rsidRDefault="00BC337C" w:rsidP="000A36D9">
            <w:pPr>
              <w:jc w:val="right"/>
              <w:rPr>
                <w:sz w:val="16"/>
                <w:szCs w:val="16"/>
              </w:rPr>
            </w:pPr>
            <w:r w:rsidRPr="00797940">
              <w:rPr>
                <w:sz w:val="16"/>
                <w:szCs w:val="16"/>
              </w:rPr>
              <w:t>1 874 224</w:t>
            </w:r>
          </w:p>
        </w:tc>
        <w:tc>
          <w:tcPr>
            <w:tcW w:w="299" w:type="pct"/>
            <w:shd w:val="clear" w:color="auto" w:fill="auto"/>
            <w:noWrap/>
            <w:vAlign w:val="bottom"/>
            <w:hideMark/>
          </w:tcPr>
          <w:p w:rsidR="00BC337C" w:rsidRPr="00797940" w:rsidRDefault="00BC337C" w:rsidP="000A36D9">
            <w:pPr>
              <w:jc w:val="right"/>
              <w:rPr>
                <w:sz w:val="16"/>
                <w:szCs w:val="16"/>
              </w:rPr>
            </w:pPr>
            <w:r w:rsidRPr="00797940">
              <w:rPr>
                <w:sz w:val="16"/>
                <w:szCs w:val="16"/>
              </w:rPr>
              <w:t>0</w:t>
            </w:r>
          </w:p>
        </w:tc>
        <w:tc>
          <w:tcPr>
            <w:tcW w:w="575" w:type="pct"/>
            <w:shd w:val="clear" w:color="auto" w:fill="auto"/>
            <w:noWrap/>
            <w:vAlign w:val="bottom"/>
            <w:hideMark/>
          </w:tcPr>
          <w:p w:rsidR="00BC337C" w:rsidRPr="00797940" w:rsidRDefault="00BC337C" w:rsidP="000A36D9">
            <w:pPr>
              <w:jc w:val="right"/>
              <w:rPr>
                <w:sz w:val="16"/>
                <w:szCs w:val="16"/>
              </w:rPr>
            </w:pPr>
            <w:r w:rsidRPr="00797940">
              <w:rPr>
                <w:sz w:val="16"/>
                <w:szCs w:val="16"/>
              </w:rPr>
              <w:t>0</w:t>
            </w:r>
          </w:p>
        </w:tc>
        <w:tc>
          <w:tcPr>
            <w:tcW w:w="299" w:type="pct"/>
            <w:shd w:val="clear" w:color="auto" w:fill="auto"/>
            <w:noWrap/>
            <w:vAlign w:val="bottom"/>
            <w:hideMark/>
          </w:tcPr>
          <w:p w:rsidR="00BC337C" w:rsidRPr="00797940" w:rsidRDefault="00BC337C" w:rsidP="000A36D9">
            <w:pPr>
              <w:jc w:val="right"/>
              <w:rPr>
                <w:sz w:val="16"/>
                <w:szCs w:val="16"/>
              </w:rPr>
            </w:pPr>
            <w:r w:rsidRPr="00797940">
              <w:rPr>
                <w:sz w:val="16"/>
                <w:szCs w:val="16"/>
              </w:rPr>
              <w:t>0</w:t>
            </w:r>
          </w:p>
        </w:tc>
        <w:tc>
          <w:tcPr>
            <w:tcW w:w="589" w:type="pct"/>
            <w:shd w:val="clear" w:color="auto" w:fill="auto"/>
            <w:noWrap/>
            <w:vAlign w:val="bottom"/>
            <w:hideMark/>
          </w:tcPr>
          <w:p w:rsidR="00BC337C" w:rsidRPr="00797940" w:rsidRDefault="00BC337C" w:rsidP="000A36D9">
            <w:pPr>
              <w:jc w:val="right"/>
              <w:rPr>
                <w:sz w:val="16"/>
                <w:szCs w:val="16"/>
              </w:rPr>
            </w:pPr>
            <w:r w:rsidRPr="00797940">
              <w:rPr>
                <w:sz w:val="16"/>
                <w:szCs w:val="16"/>
              </w:rPr>
              <w:t>0</w:t>
            </w:r>
          </w:p>
        </w:tc>
        <w:tc>
          <w:tcPr>
            <w:tcW w:w="299" w:type="pct"/>
            <w:shd w:val="clear" w:color="auto" w:fill="auto"/>
            <w:noWrap/>
            <w:vAlign w:val="bottom"/>
            <w:hideMark/>
          </w:tcPr>
          <w:p w:rsidR="00BC337C" w:rsidRPr="00797940" w:rsidRDefault="00BC337C" w:rsidP="000A36D9">
            <w:pPr>
              <w:jc w:val="right"/>
              <w:rPr>
                <w:sz w:val="16"/>
                <w:szCs w:val="16"/>
              </w:rPr>
            </w:pPr>
            <w:r w:rsidRPr="00797940">
              <w:rPr>
                <w:sz w:val="16"/>
                <w:szCs w:val="16"/>
              </w:rPr>
              <w:t>9</w:t>
            </w:r>
          </w:p>
        </w:tc>
        <w:tc>
          <w:tcPr>
            <w:tcW w:w="632" w:type="pct"/>
            <w:shd w:val="clear" w:color="auto" w:fill="auto"/>
            <w:noWrap/>
            <w:vAlign w:val="bottom"/>
            <w:hideMark/>
          </w:tcPr>
          <w:p w:rsidR="00BC337C" w:rsidRPr="00797940" w:rsidRDefault="00BC337C" w:rsidP="000A36D9">
            <w:pPr>
              <w:jc w:val="right"/>
              <w:rPr>
                <w:sz w:val="16"/>
                <w:szCs w:val="16"/>
              </w:rPr>
            </w:pPr>
            <w:r w:rsidRPr="00797940">
              <w:rPr>
                <w:sz w:val="16"/>
                <w:szCs w:val="16"/>
              </w:rPr>
              <w:t>9 452 577</w:t>
            </w:r>
          </w:p>
        </w:tc>
        <w:tc>
          <w:tcPr>
            <w:tcW w:w="299" w:type="pct"/>
            <w:shd w:val="clear" w:color="auto" w:fill="auto"/>
            <w:noWrap/>
            <w:vAlign w:val="bottom"/>
            <w:hideMark/>
          </w:tcPr>
          <w:p w:rsidR="00BC337C" w:rsidRPr="00797940" w:rsidRDefault="00BC337C" w:rsidP="000A36D9">
            <w:pPr>
              <w:jc w:val="right"/>
              <w:rPr>
                <w:sz w:val="16"/>
                <w:szCs w:val="16"/>
              </w:rPr>
            </w:pPr>
            <w:r w:rsidRPr="00797940">
              <w:rPr>
                <w:sz w:val="16"/>
                <w:szCs w:val="16"/>
              </w:rPr>
              <w:t>12</w:t>
            </w:r>
          </w:p>
        </w:tc>
        <w:tc>
          <w:tcPr>
            <w:tcW w:w="621" w:type="pct"/>
            <w:shd w:val="clear" w:color="auto" w:fill="auto"/>
            <w:noWrap/>
            <w:vAlign w:val="bottom"/>
            <w:hideMark/>
          </w:tcPr>
          <w:p w:rsidR="00BC337C" w:rsidRPr="00797940" w:rsidRDefault="00BC337C" w:rsidP="000A36D9">
            <w:pPr>
              <w:jc w:val="right"/>
              <w:rPr>
                <w:sz w:val="16"/>
                <w:szCs w:val="16"/>
              </w:rPr>
            </w:pPr>
            <w:r w:rsidRPr="00797940">
              <w:rPr>
                <w:sz w:val="16"/>
                <w:szCs w:val="16"/>
              </w:rPr>
              <w:t>11 326 801</w:t>
            </w:r>
          </w:p>
        </w:tc>
      </w:tr>
      <w:tr w:rsidR="00BC337C" w:rsidRPr="00797940" w:rsidTr="00D737D8">
        <w:trPr>
          <w:trHeight w:val="300"/>
        </w:trPr>
        <w:tc>
          <w:tcPr>
            <w:tcW w:w="576" w:type="pct"/>
            <w:shd w:val="clear" w:color="auto" w:fill="auto"/>
            <w:noWrap/>
            <w:vAlign w:val="bottom"/>
            <w:hideMark/>
          </w:tcPr>
          <w:p w:rsidR="00BC337C" w:rsidRPr="00797940" w:rsidRDefault="00BC337C" w:rsidP="000A36D9">
            <w:pPr>
              <w:rPr>
                <w:sz w:val="18"/>
                <w:szCs w:val="18"/>
              </w:rPr>
            </w:pPr>
            <w:r w:rsidRPr="00797940">
              <w:rPr>
                <w:sz w:val="18"/>
                <w:szCs w:val="18"/>
              </w:rPr>
              <w:t>5.1</w:t>
            </w:r>
          </w:p>
        </w:tc>
        <w:tc>
          <w:tcPr>
            <w:tcW w:w="299" w:type="pct"/>
            <w:shd w:val="clear" w:color="auto" w:fill="auto"/>
            <w:noWrap/>
            <w:vAlign w:val="bottom"/>
            <w:hideMark/>
          </w:tcPr>
          <w:p w:rsidR="00BC337C" w:rsidRPr="00797940" w:rsidRDefault="00BC337C" w:rsidP="000A36D9">
            <w:pPr>
              <w:jc w:val="right"/>
              <w:rPr>
                <w:sz w:val="16"/>
                <w:szCs w:val="16"/>
              </w:rPr>
            </w:pPr>
            <w:r w:rsidRPr="00797940">
              <w:rPr>
                <w:sz w:val="16"/>
                <w:szCs w:val="16"/>
              </w:rPr>
              <w:t>2</w:t>
            </w:r>
          </w:p>
        </w:tc>
        <w:tc>
          <w:tcPr>
            <w:tcW w:w="512" w:type="pct"/>
            <w:shd w:val="clear" w:color="auto" w:fill="auto"/>
            <w:noWrap/>
            <w:vAlign w:val="bottom"/>
            <w:hideMark/>
          </w:tcPr>
          <w:p w:rsidR="00BC337C" w:rsidRPr="00797940" w:rsidRDefault="00BC337C" w:rsidP="000A36D9">
            <w:pPr>
              <w:jc w:val="right"/>
              <w:rPr>
                <w:sz w:val="16"/>
                <w:szCs w:val="16"/>
              </w:rPr>
            </w:pPr>
            <w:r w:rsidRPr="00797940">
              <w:rPr>
                <w:sz w:val="16"/>
                <w:szCs w:val="16"/>
              </w:rPr>
              <w:t>180 887 604</w:t>
            </w:r>
          </w:p>
        </w:tc>
        <w:tc>
          <w:tcPr>
            <w:tcW w:w="299" w:type="pct"/>
            <w:shd w:val="clear" w:color="auto" w:fill="auto"/>
            <w:noWrap/>
            <w:vAlign w:val="bottom"/>
            <w:hideMark/>
          </w:tcPr>
          <w:p w:rsidR="00BC337C" w:rsidRPr="00797940" w:rsidRDefault="00BC337C" w:rsidP="000A36D9">
            <w:pPr>
              <w:jc w:val="right"/>
              <w:rPr>
                <w:sz w:val="16"/>
                <w:szCs w:val="16"/>
              </w:rPr>
            </w:pPr>
            <w:r w:rsidRPr="00797940">
              <w:rPr>
                <w:sz w:val="16"/>
                <w:szCs w:val="16"/>
              </w:rPr>
              <w:t>1</w:t>
            </w:r>
          </w:p>
        </w:tc>
        <w:tc>
          <w:tcPr>
            <w:tcW w:w="575" w:type="pct"/>
            <w:shd w:val="clear" w:color="auto" w:fill="auto"/>
            <w:noWrap/>
            <w:vAlign w:val="bottom"/>
            <w:hideMark/>
          </w:tcPr>
          <w:p w:rsidR="00BC337C" w:rsidRPr="00797940" w:rsidRDefault="00BC337C" w:rsidP="000A36D9">
            <w:pPr>
              <w:jc w:val="right"/>
              <w:rPr>
                <w:sz w:val="16"/>
                <w:szCs w:val="16"/>
              </w:rPr>
            </w:pPr>
            <w:r w:rsidRPr="00797940">
              <w:rPr>
                <w:sz w:val="16"/>
                <w:szCs w:val="16"/>
              </w:rPr>
              <w:t>81 882 483</w:t>
            </w:r>
          </w:p>
        </w:tc>
        <w:tc>
          <w:tcPr>
            <w:tcW w:w="299" w:type="pct"/>
            <w:shd w:val="clear" w:color="auto" w:fill="auto"/>
            <w:noWrap/>
            <w:vAlign w:val="bottom"/>
            <w:hideMark/>
          </w:tcPr>
          <w:p w:rsidR="00BC337C" w:rsidRPr="00797940" w:rsidRDefault="00BC337C" w:rsidP="000A36D9">
            <w:pPr>
              <w:jc w:val="right"/>
              <w:rPr>
                <w:sz w:val="16"/>
                <w:szCs w:val="16"/>
              </w:rPr>
            </w:pPr>
            <w:r w:rsidRPr="00797940">
              <w:rPr>
                <w:sz w:val="16"/>
                <w:szCs w:val="16"/>
              </w:rPr>
              <w:t>0</w:t>
            </w:r>
          </w:p>
        </w:tc>
        <w:tc>
          <w:tcPr>
            <w:tcW w:w="589" w:type="pct"/>
            <w:shd w:val="clear" w:color="auto" w:fill="auto"/>
            <w:noWrap/>
            <w:vAlign w:val="bottom"/>
            <w:hideMark/>
          </w:tcPr>
          <w:p w:rsidR="00BC337C" w:rsidRPr="00797940" w:rsidRDefault="00BC337C" w:rsidP="000A36D9">
            <w:pPr>
              <w:jc w:val="right"/>
              <w:rPr>
                <w:sz w:val="16"/>
                <w:szCs w:val="16"/>
              </w:rPr>
            </w:pPr>
            <w:r w:rsidRPr="00797940">
              <w:rPr>
                <w:sz w:val="16"/>
                <w:szCs w:val="16"/>
              </w:rPr>
              <w:t>0</w:t>
            </w:r>
          </w:p>
        </w:tc>
        <w:tc>
          <w:tcPr>
            <w:tcW w:w="299" w:type="pct"/>
            <w:shd w:val="clear" w:color="auto" w:fill="auto"/>
            <w:noWrap/>
            <w:vAlign w:val="bottom"/>
            <w:hideMark/>
          </w:tcPr>
          <w:p w:rsidR="00BC337C" w:rsidRPr="00797940" w:rsidRDefault="00BC337C" w:rsidP="000A36D9">
            <w:pPr>
              <w:jc w:val="right"/>
              <w:rPr>
                <w:sz w:val="16"/>
                <w:szCs w:val="16"/>
              </w:rPr>
            </w:pPr>
            <w:r w:rsidRPr="00797940">
              <w:rPr>
                <w:sz w:val="16"/>
                <w:szCs w:val="16"/>
              </w:rPr>
              <w:t>5</w:t>
            </w:r>
          </w:p>
        </w:tc>
        <w:tc>
          <w:tcPr>
            <w:tcW w:w="632" w:type="pct"/>
            <w:shd w:val="clear" w:color="auto" w:fill="auto"/>
            <w:noWrap/>
            <w:vAlign w:val="bottom"/>
            <w:hideMark/>
          </w:tcPr>
          <w:p w:rsidR="00BC337C" w:rsidRPr="00797940" w:rsidRDefault="00BC337C" w:rsidP="000A36D9">
            <w:pPr>
              <w:jc w:val="right"/>
              <w:rPr>
                <w:sz w:val="16"/>
                <w:szCs w:val="16"/>
              </w:rPr>
            </w:pPr>
            <w:r w:rsidRPr="00797940">
              <w:rPr>
                <w:sz w:val="16"/>
                <w:szCs w:val="16"/>
              </w:rPr>
              <w:t>358 210 358</w:t>
            </w:r>
          </w:p>
        </w:tc>
        <w:tc>
          <w:tcPr>
            <w:tcW w:w="299" w:type="pct"/>
            <w:shd w:val="clear" w:color="auto" w:fill="auto"/>
            <w:noWrap/>
            <w:vAlign w:val="bottom"/>
            <w:hideMark/>
          </w:tcPr>
          <w:p w:rsidR="00BC337C" w:rsidRPr="00797940" w:rsidRDefault="00BC337C" w:rsidP="000A36D9">
            <w:pPr>
              <w:jc w:val="right"/>
              <w:rPr>
                <w:sz w:val="16"/>
                <w:szCs w:val="16"/>
              </w:rPr>
            </w:pPr>
            <w:r w:rsidRPr="00797940">
              <w:rPr>
                <w:sz w:val="16"/>
                <w:szCs w:val="16"/>
              </w:rPr>
              <w:t>8</w:t>
            </w:r>
          </w:p>
        </w:tc>
        <w:tc>
          <w:tcPr>
            <w:tcW w:w="621" w:type="pct"/>
            <w:shd w:val="clear" w:color="auto" w:fill="auto"/>
            <w:noWrap/>
            <w:vAlign w:val="bottom"/>
            <w:hideMark/>
          </w:tcPr>
          <w:p w:rsidR="00BC337C" w:rsidRPr="00797940" w:rsidRDefault="00BC337C" w:rsidP="000A36D9">
            <w:pPr>
              <w:jc w:val="right"/>
              <w:rPr>
                <w:sz w:val="16"/>
                <w:szCs w:val="16"/>
              </w:rPr>
            </w:pPr>
            <w:r w:rsidRPr="00797940">
              <w:rPr>
                <w:sz w:val="16"/>
                <w:szCs w:val="16"/>
              </w:rPr>
              <w:t>620 980 445</w:t>
            </w:r>
          </w:p>
        </w:tc>
      </w:tr>
      <w:tr w:rsidR="00BC337C" w:rsidRPr="00797940" w:rsidTr="00D737D8">
        <w:trPr>
          <w:trHeight w:val="300"/>
        </w:trPr>
        <w:tc>
          <w:tcPr>
            <w:tcW w:w="576" w:type="pct"/>
            <w:shd w:val="clear" w:color="auto" w:fill="auto"/>
            <w:noWrap/>
            <w:vAlign w:val="bottom"/>
            <w:hideMark/>
          </w:tcPr>
          <w:p w:rsidR="00BC337C" w:rsidRPr="00797940" w:rsidRDefault="00BC337C" w:rsidP="000A36D9">
            <w:pPr>
              <w:rPr>
                <w:sz w:val="18"/>
                <w:szCs w:val="18"/>
              </w:rPr>
            </w:pPr>
            <w:r w:rsidRPr="00797940">
              <w:rPr>
                <w:sz w:val="18"/>
                <w:szCs w:val="18"/>
              </w:rPr>
              <w:t>5.2</w:t>
            </w:r>
          </w:p>
        </w:tc>
        <w:tc>
          <w:tcPr>
            <w:tcW w:w="299" w:type="pct"/>
            <w:shd w:val="clear" w:color="auto" w:fill="auto"/>
            <w:noWrap/>
            <w:vAlign w:val="bottom"/>
            <w:hideMark/>
          </w:tcPr>
          <w:p w:rsidR="00BC337C" w:rsidRPr="00797940" w:rsidRDefault="00BC337C" w:rsidP="000A36D9">
            <w:pPr>
              <w:jc w:val="right"/>
              <w:rPr>
                <w:sz w:val="16"/>
                <w:szCs w:val="16"/>
              </w:rPr>
            </w:pPr>
            <w:r w:rsidRPr="00797940">
              <w:rPr>
                <w:sz w:val="16"/>
                <w:szCs w:val="16"/>
              </w:rPr>
              <w:t>10</w:t>
            </w:r>
          </w:p>
        </w:tc>
        <w:tc>
          <w:tcPr>
            <w:tcW w:w="512" w:type="pct"/>
            <w:shd w:val="clear" w:color="auto" w:fill="auto"/>
            <w:noWrap/>
            <w:vAlign w:val="bottom"/>
            <w:hideMark/>
          </w:tcPr>
          <w:p w:rsidR="00BC337C" w:rsidRPr="00797940" w:rsidRDefault="00BC337C" w:rsidP="000A36D9">
            <w:pPr>
              <w:jc w:val="right"/>
              <w:rPr>
                <w:sz w:val="16"/>
                <w:szCs w:val="16"/>
              </w:rPr>
            </w:pPr>
            <w:r w:rsidRPr="00797940">
              <w:rPr>
                <w:sz w:val="16"/>
                <w:szCs w:val="16"/>
              </w:rPr>
              <w:t>145 742 184</w:t>
            </w:r>
          </w:p>
        </w:tc>
        <w:tc>
          <w:tcPr>
            <w:tcW w:w="299" w:type="pct"/>
            <w:shd w:val="clear" w:color="auto" w:fill="auto"/>
            <w:noWrap/>
            <w:vAlign w:val="bottom"/>
            <w:hideMark/>
          </w:tcPr>
          <w:p w:rsidR="00BC337C" w:rsidRPr="00797940" w:rsidRDefault="00BC337C" w:rsidP="000A36D9">
            <w:pPr>
              <w:jc w:val="right"/>
              <w:rPr>
                <w:sz w:val="16"/>
                <w:szCs w:val="16"/>
              </w:rPr>
            </w:pPr>
            <w:r w:rsidRPr="00797940">
              <w:rPr>
                <w:sz w:val="16"/>
                <w:szCs w:val="16"/>
              </w:rPr>
              <w:t>23</w:t>
            </w:r>
          </w:p>
        </w:tc>
        <w:tc>
          <w:tcPr>
            <w:tcW w:w="575" w:type="pct"/>
            <w:shd w:val="clear" w:color="auto" w:fill="auto"/>
            <w:noWrap/>
            <w:vAlign w:val="bottom"/>
            <w:hideMark/>
          </w:tcPr>
          <w:p w:rsidR="00BC337C" w:rsidRPr="00797940" w:rsidRDefault="00BC337C" w:rsidP="000A36D9">
            <w:pPr>
              <w:jc w:val="right"/>
              <w:rPr>
                <w:sz w:val="16"/>
                <w:szCs w:val="16"/>
              </w:rPr>
            </w:pPr>
            <w:r w:rsidRPr="00797940">
              <w:rPr>
                <w:sz w:val="16"/>
                <w:szCs w:val="16"/>
              </w:rPr>
              <w:t>185 335 530</w:t>
            </w:r>
          </w:p>
        </w:tc>
        <w:tc>
          <w:tcPr>
            <w:tcW w:w="299" w:type="pct"/>
            <w:shd w:val="clear" w:color="auto" w:fill="auto"/>
            <w:noWrap/>
            <w:vAlign w:val="bottom"/>
            <w:hideMark/>
          </w:tcPr>
          <w:p w:rsidR="00BC337C" w:rsidRPr="00797940" w:rsidRDefault="00BC337C" w:rsidP="000A36D9">
            <w:pPr>
              <w:jc w:val="right"/>
              <w:rPr>
                <w:sz w:val="16"/>
                <w:szCs w:val="16"/>
              </w:rPr>
            </w:pPr>
            <w:r w:rsidRPr="00797940">
              <w:rPr>
                <w:sz w:val="16"/>
                <w:szCs w:val="16"/>
              </w:rPr>
              <w:t>35</w:t>
            </w:r>
          </w:p>
        </w:tc>
        <w:tc>
          <w:tcPr>
            <w:tcW w:w="589" w:type="pct"/>
            <w:shd w:val="clear" w:color="auto" w:fill="auto"/>
            <w:noWrap/>
            <w:vAlign w:val="bottom"/>
            <w:hideMark/>
          </w:tcPr>
          <w:p w:rsidR="00BC337C" w:rsidRPr="00797940" w:rsidRDefault="00BC337C" w:rsidP="000A36D9">
            <w:pPr>
              <w:jc w:val="right"/>
              <w:rPr>
                <w:sz w:val="16"/>
                <w:szCs w:val="16"/>
              </w:rPr>
            </w:pPr>
            <w:r w:rsidRPr="00797940">
              <w:rPr>
                <w:sz w:val="16"/>
                <w:szCs w:val="16"/>
              </w:rPr>
              <w:t>323 652 864</w:t>
            </w:r>
          </w:p>
        </w:tc>
        <w:tc>
          <w:tcPr>
            <w:tcW w:w="299" w:type="pct"/>
            <w:shd w:val="clear" w:color="auto" w:fill="auto"/>
            <w:noWrap/>
            <w:vAlign w:val="bottom"/>
            <w:hideMark/>
          </w:tcPr>
          <w:p w:rsidR="00BC337C" w:rsidRPr="00797940" w:rsidRDefault="00BC337C" w:rsidP="000A36D9">
            <w:pPr>
              <w:jc w:val="right"/>
              <w:rPr>
                <w:sz w:val="16"/>
                <w:szCs w:val="16"/>
              </w:rPr>
            </w:pPr>
            <w:r w:rsidRPr="00797940">
              <w:rPr>
                <w:sz w:val="16"/>
                <w:szCs w:val="16"/>
              </w:rPr>
              <w:t>0</w:t>
            </w:r>
          </w:p>
        </w:tc>
        <w:tc>
          <w:tcPr>
            <w:tcW w:w="632" w:type="pct"/>
            <w:shd w:val="clear" w:color="auto" w:fill="auto"/>
            <w:noWrap/>
            <w:vAlign w:val="bottom"/>
            <w:hideMark/>
          </w:tcPr>
          <w:p w:rsidR="00BC337C" w:rsidRPr="00797940" w:rsidRDefault="00BC337C" w:rsidP="000A36D9">
            <w:pPr>
              <w:jc w:val="right"/>
              <w:rPr>
                <w:sz w:val="16"/>
                <w:szCs w:val="16"/>
              </w:rPr>
            </w:pPr>
            <w:r w:rsidRPr="00797940">
              <w:rPr>
                <w:sz w:val="16"/>
                <w:szCs w:val="16"/>
              </w:rPr>
              <w:t>0</w:t>
            </w:r>
          </w:p>
        </w:tc>
        <w:tc>
          <w:tcPr>
            <w:tcW w:w="299" w:type="pct"/>
            <w:shd w:val="clear" w:color="auto" w:fill="auto"/>
            <w:noWrap/>
            <w:vAlign w:val="bottom"/>
            <w:hideMark/>
          </w:tcPr>
          <w:p w:rsidR="00BC337C" w:rsidRPr="00797940" w:rsidRDefault="00BC337C" w:rsidP="000A36D9">
            <w:pPr>
              <w:jc w:val="right"/>
              <w:rPr>
                <w:sz w:val="16"/>
                <w:szCs w:val="16"/>
              </w:rPr>
            </w:pPr>
            <w:r w:rsidRPr="00797940">
              <w:rPr>
                <w:sz w:val="16"/>
                <w:szCs w:val="16"/>
              </w:rPr>
              <w:t>68</w:t>
            </w:r>
          </w:p>
        </w:tc>
        <w:tc>
          <w:tcPr>
            <w:tcW w:w="621" w:type="pct"/>
            <w:shd w:val="clear" w:color="auto" w:fill="auto"/>
            <w:noWrap/>
            <w:vAlign w:val="bottom"/>
            <w:hideMark/>
          </w:tcPr>
          <w:p w:rsidR="00BC337C" w:rsidRPr="00797940" w:rsidRDefault="00BC337C" w:rsidP="000A36D9">
            <w:pPr>
              <w:jc w:val="right"/>
              <w:rPr>
                <w:sz w:val="16"/>
                <w:szCs w:val="16"/>
              </w:rPr>
            </w:pPr>
            <w:r w:rsidRPr="00797940">
              <w:rPr>
                <w:sz w:val="16"/>
                <w:szCs w:val="16"/>
              </w:rPr>
              <w:t>654 730 578</w:t>
            </w:r>
          </w:p>
        </w:tc>
      </w:tr>
      <w:tr w:rsidR="00BC337C" w:rsidRPr="00797940" w:rsidTr="00D737D8">
        <w:trPr>
          <w:trHeight w:val="300"/>
        </w:trPr>
        <w:tc>
          <w:tcPr>
            <w:tcW w:w="576" w:type="pct"/>
            <w:shd w:val="clear" w:color="auto" w:fill="auto"/>
            <w:noWrap/>
            <w:vAlign w:val="bottom"/>
            <w:hideMark/>
          </w:tcPr>
          <w:p w:rsidR="00BC337C" w:rsidRPr="00797940" w:rsidRDefault="00BC337C" w:rsidP="000A36D9">
            <w:pPr>
              <w:rPr>
                <w:sz w:val="18"/>
                <w:szCs w:val="18"/>
              </w:rPr>
            </w:pPr>
            <w:r w:rsidRPr="00797940">
              <w:rPr>
                <w:sz w:val="18"/>
                <w:szCs w:val="18"/>
              </w:rPr>
              <w:t>5.3</w:t>
            </w:r>
          </w:p>
        </w:tc>
        <w:tc>
          <w:tcPr>
            <w:tcW w:w="299" w:type="pct"/>
            <w:shd w:val="clear" w:color="auto" w:fill="auto"/>
            <w:noWrap/>
            <w:vAlign w:val="bottom"/>
            <w:hideMark/>
          </w:tcPr>
          <w:p w:rsidR="00BC337C" w:rsidRPr="00797940" w:rsidRDefault="00BC337C" w:rsidP="000A36D9">
            <w:pPr>
              <w:jc w:val="right"/>
              <w:rPr>
                <w:sz w:val="16"/>
                <w:szCs w:val="16"/>
              </w:rPr>
            </w:pPr>
            <w:r w:rsidRPr="00797940">
              <w:rPr>
                <w:sz w:val="16"/>
                <w:szCs w:val="16"/>
              </w:rPr>
              <w:t>0</w:t>
            </w:r>
          </w:p>
        </w:tc>
        <w:tc>
          <w:tcPr>
            <w:tcW w:w="512" w:type="pct"/>
            <w:shd w:val="clear" w:color="auto" w:fill="auto"/>
            <w:noWrap/>
            <w:vAlign w:val="bottom"/>
            <w:hideMark/>
          </w:tcPr>
          <w:p w:rsidR="00BC337C" w:rsidRPr="00797940" w:rsidRDefault="00BC337C" w:rsidP="000A36D9">
            <w:pPr>
              <w:jc w:val="right"/>
              <w:rPr>
                <w:sz w:val="16"/>
                <w:szCs w:val="16"/>
              </w:rPr>
            </w:pPr>
            <w:r w:rsidRPr="00797940">
              <w:rPr>
                <w:sz w:val="16"/>
                <w:szCs w:val="16"/>
              </w:rPr>
              <w:t>0</w:t>
            </w:r>
          </w:p>
        </w:tc>
        <w:tc>
          <w:tcPr>
            <w:tcW w:w="299" w:type="pct"/>
            <w:shd w:val="clear" w:color="auto" w:fill="auto"/>
            <w:noWrap/>
            <w:vAlign w:val="bottom"/>
            <w:hideMark/>
          </w:tcPr>
          <w:p w:rsidR="00BC337C" w:rsidRPr="00797940" w:rsidRDefault="00BC337C" w:rsidP="000A36D9">
            <w:pPr>
              <w:jc w:val="right"/>
              <w:rPr>
                <w:sz w:val="16"/>
                <w:szCs w:val="16"/>
              </w:rPr>
            </w:pPr>
            <w:r w:rsidRPr="00797940">
              <w:rPr>
                <w:sz w:val="16"/>
                <w:szCs w:val="16"/>
              </w:rPr>
              <w:t>0</w:t>
            </w:r>
          </w:p>
        </w:tc>
        <w:tc>
          <w:tcPr>
            <w:tcW w:w="575" w:type="pct"/>
            <w:shd w:val="clear" w:color="auto" w:fill="auto"/>
            <w:noWrap/>
            <w:vAlign w:val="bottom"/>
            <w:hideMark/>
          </w:tcPr>
          <w:p w:rsidR="00BC337C" w:rsidRPr="00797940" w:rsidRDefault="00BC337C" w:rsidP="000A36D9">
            <w:pPr>
              <w:jc w:val="right"/>
              <w:rPr>
                <w:sz w:val="16"/>
                <w:szCs w:val="16"/>
              </w:rPr>
            </w:pPr>
            <w:r w:rsidRPr="00797940">
              <w:rPr>
                <w:sz w:val="16"/>
                <w:szCs w:val="16"/>
              </w:rPr>
              <w:t>0</w:t>
            </w:r>
          </w:p>
        </w:tc>
        <w:tc>
          <w:tcPr>
            <w:tcW w:w="299" w:type="pct"/>
            <w:shd w:val="clear" w:color="auto" w:fill="auto"/>
            <w:noWrap/>
            <w:vAlign w:val="bottom"/>
            <w:hideMark/>
          </w:tcPr>
          <w:p w:rsidR="00BC337C" w:rsidRPr="00797940" w:rsidRDefault="00BC337C" w:rsidP="000A36D9">
            <w:pPr>
              <w:jc w:val="right"/>
              <w:rPr>
                <w:sz w:val="16"/>
                <w:szCs w:val="16"/>
              </w:rPr>
            </w:pPr>
            <w:r w:rsidRPr="00797940">
              <w:rPr>
                <w:sz w:val="16"/>
                <w:szCs w:val="16"/>
              </w:rPr>
              <w:t>0</w:t>
            </w:r>
          </w:p>
        </w:tc>
        <w:tc>
          <w:tcPr>
            <w:tcW w:w="589" w:type="pct"/>
            <w:shd w:val="clear" w:color="auto" w:fill="auto"/>
            <w:noWrap/>
            <w:vAlign w:val="bottom"/>
            <w:hideMark/>
          </w:tcPr>
          <w:p w:rsidR="00BC337C" w:rsidRPr="00797940" w:rsidRDefault="00BC337C" w:rsidP="000A36D9">
            <w:pPr>
              <w:jc w:val="right"/>
              <w:rPr>
                <w:sz w:val="16"/>
                <w:szCs w:val="16"/>
              </w:rPr>
            </w:pPr>
            <w:r w:rsidRPr="00797940">
              <w:rPr>
                <w:sz w:val="16"/>
                <w:szCs w:val="16"/>
              </w:rPr>
              <w:t>0</w:t>
            </w:r>
          </w:p>
        </w:tc>
        <w:tc>
          <w:tcPr>
            <w:tcW w:w="299" w:type="pct"/>
            <w:shd w:val="clear" w:color="auto" w:fill="auto"/>
            <w:noWrap/>
            <w:vAlign w:val="bottom"/>
            <w:hideMark/>
          </w:tcPr>
          <w:p w:rsidR="00BC337C" w:rsidRPr="00797940" w:rsidRDefault="00BC337C" w:rsidP="000A36D9">
            <w:pPr>
              <w:jc w:val="right"/>
              <w:rPr>
                <w:sz w:val="16"/>
                <w:szCs w:val="16"/>
              </w:rPr>
            </w:pPr>
            <w:r w:rsidRPr="00797940">
              <w:rPr>
                <w:sz w:val="16"/>
                <w:szCs w:val="16"/>
              </w:rPr>
              <w:t>0</w:t>
            </w:r>
          </w:p>
        </w:tc>
        <w:tc>
          <w:tcPr>
            <w:tcW w:w="632" w:type="pct"/>
            <w:shd w:val="clear" w:color="auto" w:fill="auto"/>
            <w:noWrap/>
            <w:vAlign w:val="bottom"/>
            <w:hideMark/>
          </w:tcPr>
          <w:p w:rsidR="00BC337C" w:rsidRPr="00797940" w:rsidRDefault="00BC337C" w:rsidP="000A36D9">
            <w:pPr>
              <w:jc w:val="right"/>
              <w:rPr>
                <w:sz w:val="16"/>
                <w:szCs w:val="16"/>
              </w:rPr>
            </w:pPr>
            <w:r w:rsidRPr="00797940">
              <w:rPr>
                <w:sz w:val="16"/>
                <w:szCs w:val="16"/>
              </w:rPr>
              <w:t>0</w:t>
            </w:r>
          </w:p>
        </w:tc>
        <w:tc>
          <w:tcPr>
            <w:tcW w:w="299" w:type="pct"/>
            <w:shd w:val="clear" w:color="auto" w:fill="auto"/>
            <w:noWrap/>
            <w:vAlign w:val="bottom"/>
            <w:hideMark/>
          </w:tcPr>
          <w:p w:rsidR="00BC337C" w:rsidRPr="00797940" w:rsidRDefault="00BC337C" w:rsidP="000A36D9">
            <w:pPr>
              <w:jc w:val="right"/>
              <w:rPr>
                <w:sz w:val="16"/>
                <w:szCs w:val="16"/>
              </w:rPr>
            </w:pPr>
            <w:r w:rsidRPr="00797940">
              <w:rPr>
                <w:sz w:val="16"/>
                <w:szCs w:val="16"/>
              </w:rPr>
              <w:t>0</w:t>
            </w:r>
          </w:p>
        </w:tc>
        <w:tc>
          <w:tcPr>
            <w:tcW w:w="621" w:type="pct"/>
            <w:shd w:val="clear" w:color="auto" w:fill="auto"/>
            <w:noWrap/>
            <w:vAlign w:val="bottom"/>
            <w:hideMark/>
          </w:tcPr>
          <w:p w:rsidR="00BC337C" w:rsidRPr="00797940" w:rsidRDefault="00BC337C" w:rsidP="000A36D9">
            <w:pPr>
              <w:jc w:val="right"/>
              <w:rPr>
                <w:sz w:val="16"/>
                <w:szCs w:val="16"/>
              </w:rPr>
            </w:pPr>
            <w:r w:rsidRPr="00797940">
              <w:rPr>
                <w:sz w:val="16"/>
                <w:szCs w:val="16"/>
              </w:rPr>
              <w:t>0</w:t>
            </w:r>
          </w:p>
        </w:tc>
      </w:tr>
      <w:tr w:rsidR="00BC337C" w:rsidRPr="00797940" w:rsidTr="00D737D8">
        <w:trPr>
          <w:trHeight w:val="300"/>
        </w:trPr>
        <w:tc>
          <w:tcPr>
            <w:tcW w:w="576" w:type="pct"/>
            <w:shd w:val="clear" w:color="auto" w:fill="auto"/>
            <w:noWrap/>
            <w:vAlign w:val="bottom"/>
            <w:hideMark/>
          </w:tcPr>
          <w:p w:rsidR="00BC337C" w:rsidRPr="00797940" w:rsidRDefault="00BC337C" w:rsidP="000A36D9">
            <w:pPr>
              <w:rPr>
                <w:sz w:val="18"/>
                <w:szCs w:val="18"/>
              </w:rPr>
            </w:pPr>
            <w:r w:rsidRPr="00797940">
              <w:rPr>
                <w:sz w:val="18"/>
                <w:szCs w:val="18"/>
              </w:rPr>
              <w:t>6.1</w:t>
            </w:r>
          </w:p>
        </w:tc>
        <w:tc>
          <w:tcPr>
            <w:tcW w:w="299" w:type="pct"/>
            <w:shd w:val="clear" w:color="auto" w:fill="auto"/>
            <w:noWrap/>
            <w:vAlign w:val="bottom"/>
            <w:hideMark/>
          </w:tcPr>
          <w:p w:rsidR="00BC337C" w:rsidRPr="00797940" w:rsidRDefault="00BC337C" w:rsidP="000A36D9">
            <w:pPr>
              <w:jc w:val="right"/>
              <w:rPr>
                <w:sz w:val="16"/>
                <w:szCs w:val="16"/>
              </w:rPr>
            </w:pPr>
            <w:r w:rsidRPr="00797940">
              <w:rPr>
                <w:sz w:val="16"/>
                <w:szCs w:val="16"/>
              </w:rPr>
              <w:t>1</w:t>
            </w:r>
          </w:p>
        </w:tc>
        <w:tc>
          <w:tcPr>
            <w:tcW w:w="512" w:type="pct"/>
            <w:shd w:val="clear" w:color="auto" w:fill="auto"/>
            <w:noWrap/>
            <w:vAlign w:val="bottom"/>
            <w:hideMark/>
          </w:tcPr>
          <w:p w:rsidR="00BC337C" w:rsidRPr="00797940" w:rsidRDefault="00BC337C" w:rsidP="000A36D9">
            <w:pPr>
              <w:jc w:val="right"/>
              <w:rPr>
                <w:sz w:val="16"/>
                <w:szCs w:val="16"/>
              </w:rPr>
            </w:pPr>
            <w:r w:rsidRPr="00797940">
              <w:rPr>
                <w:sz w:val="16"/>
                <w:szCs w:val="16"/>
              </w:rPr>
              <w:t>16 268 870</w:t>
            </w:r>
          </w:p>
        </w:tc>
        <w:tc>
          <w:tcPr>
            <w:tcW w:w="299" w:type="pct"/>
            <w:shd w:val="clear" w:color="auto" w:fill="auto"/>
            <w:noWrap/>
            <w:vAlign w:val="bottom"/>
            <w:hideMark/>
          </w:tcPr>
          <w:p w:rsidR="00BC337C" w:rsidRPr="00797940" w:rsidRDefault="00BC337C" w:rsidP="000A36D9">
            <w:pPr>
              <w:jc w:val="right"/>
              <w:rPr>
                <w:sz w:val="16"/>
                <w:szCs w:val="16"/>
              </w:rPr>
            </w:pPr>
            <w:r w:rsidRPr="00797940">
              <w:rPr>
                <w:sz w:val="16"/>
                <w:szCs w:val="16"/>
              </w:rPr>
              <w:t>1</w:t>
            </w:r>
          </w:p>
        </w:tc>
        <w:tc>
          <w:tcPr>
            <w:tcW w:w="575" w:type="pct"/>
            <w:shd w:val="clear" w:color="auto" w:fill="auto"/>
            <w:noWrap/>
            <w:vAlign w:val="bottom"/>
            <w:hideMark/>
          </w:tcPr>
          <w:p w:rsidR="00BC337C" w:rsidRPr="00797940" w:rsidRDefault="00BC337C" w:rsidP="000A36D9">
            <w:pPr>
              <w:jc w:val="right"/>
              <w:rPr>
                <w:sz w:val="16"/>
                <w:szCs w:val="16"/>
              </w:rPr>
            </w:pPr>
            <w:r w:rsidRPr="00797940">
              <w:rPr>
                <w:sz w:val="16"/>
                <w:szCs w:val="16"/>
              </w:rPr>
              <w:t>586 656</w:t>
            </w:r>
          </w:p>
        </w:tc>
        <w:tc>
          <w:tcPr>
            <w:tcW w:w="299" w:type="pct"/>
            <w:shd w:val="clear" w:color="auto" w:fill="auto"/>
            <w:noWrap/>
            <w:vAlign w:val="bottom"/>
            <w:hideMark/>
          </w:tcPr>
          <w:p w:rsidR="00BC337C" w:rsidRPr="00797940" w:rsidRDefault="00BC337C" w:rsidP="000A36D9">
            <w:pPr>
              <w:jc w:val="right"/>
              <w:rPr>
                <w:sz w:val="16"/>
                <w:szCs w:val="16"/>
              </w:rPr>
            </w:pPr>
            <w:r w:rsidRPr="00797940">
              <w:rPr>
                <w:sz w:val="16"/>
                <w:szCs w:val="16"/>
              </w:rPr>
              <w:t>8</w:t>
            </w:r>
          </w:p>
        </w:tc>
        <w:tc>
          <w:tcPr>
            <w:tcW w:w="589" w:type="pct"/>
            <w:shd w:val="clear" w:color="auto" w:fill="auto"/>
            <w:noWrap/>
            <w:vAlign w:val="bottom"/>
            <w:hideMark/>
          </w:tcPr>
          <w:p w:rsidR="00BC337C" w:rsidRPr="00797940" w:rsidRDefault="00BC337C" w:rsidP="000A36D9">
            <w:pPr>
              <w:jc w:val="right"/>
              <w:rPr>
                <w:sz w:val="16"/>
                <w:szCs w:val="16"/>
              </w:rPr>
            </w:pPr>
            <w:r w:rsidRPr="00797940">
              <w:rPr>
                <w:sz w:val="16"/>
                <w:szCs w:val="16"/>
              </w:rPr>
              <w:t>35 615 943</w:t>
            </w:r>
          </w:p>
        </w:tc>
        <w:tc>
          <w:tcPr>
            <w:tcW w:w="299" w:type="pct"/>
            <w:shd w:val="clear" w:color="auto" w:fill="auto"/>
            <w:noWrap/>
            <w:vAlign w:val="bottom"/>
            <w:hideMark/>
          </w:tcPr>
          <w:p w:rsidR="00BC337C" w:rsidRPr="00797940" w:rsidRDefault="00BC337C" w:rsidP="000A36D9">
            <w:pPr>
              <w:jc w:val="right"/>
              <w:rPr>
                <w:sz w:val="16"/>
                <w:szCs w:val="16"/>
              </w:rPr>
            </w:pPr>
            <w:r w:rsidRPr="00797940">
              <w:rPr>
                <w:sz w:val="16"/>
                <w:szCs w:val="16"/>
              </w:rPr>
              <w:t>4</w:t>
            </w:r>
          </w:p>
        </w:tc>
        <w:tc>
          <w:tcPr>
            <w:tcW w:w="632" w:type="pct"/>
            <w:shd w:val="clear" w:color="auto" w:fill="auto"/>
            <w:noWrap/>
            <w:vAlign w:val="bottom"/>
            <w:hideMark/>
          </w:tcPr>
          <w:p w:rsidR="00BC337C" w:rsidRPr="00797940" w:rsidRDefault="00BC337C" w:rsidP="000A36D9">
            <w:pPr>
              <w:jc w:val="right"/>
              <w:rPr>
                <w:sz w:val="16"/>
                <w:szCs w:val="16"/>
              </w:rPr>
            </w:pPr>
            <w:r w:rsidRPr="00797940">
              <w:rPr>
                <w:sz w:val="16"/>
                <w:szCs w:val="16"/>
              </w:rPr>
              <w:t>62 342 439</w:t>
            </w:r>
          </w:p>
        </w:tc>
        <w:tc>
          <w:tcPr>
            <w:tcW w:w="299" w:type="pct"/>
            <w:shd w:val="clear" w:color="auto" w:fill="auto"/>
            <w:noWrap/>
            <w:vAlign w:val="bottom"/>
            <w:hideMark/>
          </w:tcPr>
          <w:p w:rsidR="00BC337C" w:rsidRPr="00797940" w:rsidRDefault="00BC337C" w:rsidP="000A36D9">
            <w:pPr>
              <w:jc w:val="right"/>
              <w:rPr>
                <w:sz w:val="16"/>
                <w:szCs w:val="16"/>
              </w:rPr>
            </w:pPr>
            <w:r w:rsidRPr="00797940">
              <w:rPr>
                <w:sz w:val="16"/>
                <w:szCs w:val="16"/>
              </w:rPr>
              <w:t>14</w:t>
            </w:r>
          </w:p>
        </w:tc>
        <w:tc>
          <w:tcPr>
            <w:tcW w:w="621" w:type="pct"/>
            <w:shd w:val="clear" w:color="auto" w:fill="auto"/>
            <w:noWrap/>
            <w:vAlign w:val="bottom"/>
            <w:hideMark/>
          </w:tcPr>
          <w:p w:rsidR="00BC337C" w:rsidRPr="00797940" w:rsidRDefault="00BC337C" w:rsidP="000A36D9">
            <w:pPr>
              <w:jc w:val="right"/>
              <w:rPr>
                <w:sz w:val="16"/>
                <w:szCs w:val="16"/>
              </w:rPr>
            </w:pPr>
            <w:r w:rsidRPr="00797940">
              <w:rPr>
                <w:sz w:val="16"/>
                <w:szCs w:val="16"/>
              </w:rPr>
              <w:t>114 813 908</w:t>
            </w:r>
          </w:p>
        </w:tc>
      </w:tr>
      <w:tr w:rsidR="00BC337C" w:rsidRPr="00797940" w:rsidTr="00D737D8">
        <w:trPr>
          <w:trHeight w:val="300"/>
        </w:trPr>
        <w:tc>
          <w:tcPr>
            <w:tcW w:w="576" w:type="pct"/>
            <w:shd w:val="clear" w:color="auto" w:fill="auto"/>
            <w:noWrap/>
            <w:vAlign w:val="bottom"/>
            <w:hideMark/>
          </w:tcPr>
          <w:p w:rsidR="00BC337C" w:rsidRPr="00797940" w:rsidRDefault="00BC337C" w:rsidP="000A36D9">
            <w:pPr>
              <w:rPr>
                <w:sz w:val="18"/>
                <w:szCs w:val="18"/>
              </w:rPr>
            </w:pPr>
            <w:r w:rsidRPr="00797940">
              <w:rPr>
                <w:sz w:val="18"/>
                <w:szCs w:val="18"/>
              </w:rPr>
              <w:t>6.2</w:t>
            </w:r>
          </w:p>
        </w:tc>
        <w:tc>
          <w:tcPr>
            <w:tcW w:w="299" w:type="pct"/>
            <w:shd w:val="clear" w:color="auto" w:fill="auto"/>
            <w:noWrap/>
            <w:vAlign w:val="bottom"/>
            <w:hideMark/>
          </w:tcPr>
          <w:p w:rsidR="00BC337C" w:rsidRPr="00797940" w:rsidRDefault="00BC337C" w:rsidP="000A36D9">
            <w:pPr>
              <w:jc w:val="right"/>
              <w:rPr>
                <w:sz w:val="16"/>
                <w:szCs w:val="16"/>
              </w:rPr>
            </w:pPr>
            <w:r w:rsidRPr="00797940">
              <w:rPr>
                <w:sz w:val="16"/>
                <w:szCs w:val="16"/>
              </w:rPr>
              <w:t>0</w:t>
            </w:r>
          </w:p>
        </w:tc>
        <w:tc>
          <w:tcPr>
            <w:tcW w:w="512" w:type="pct"/>
            <w:shd w:val="clear" w:color="auto" w:fill="auto"/>
            <w:noWrap/>
            <w:vAlign w:val="bottom"/>
            <w:hideMark/>
          </w:tcPr>
          <w:p w:rsidR="00BC337C" w:rsidRPr="00797940" w:rsidRDefault="00BC337C" w:rsidP="000A36D9">
            <w:pPr>
              <w:jc w:val="right"/>
              <w:rPr>
                <w:sz w:val="16"/>
                <w:szCs w:val="16"/>
              </w:rPr>
            </w:pPr>
            <w:r w:rsidRPr="00797940">
              <w:rPr>
                <w:sz w:val="16"/>
                <w:szCs w:val="16"/>
              </w:rPr>
              <w:t>0</w:t>
            </w:r>
          </w:p>
        </w:tc>
        <w:tc>
          <w:tcPr>
            <w:tcW w:w="299" w:type="pct"/>
            <w:shd w:val="clear" w:color="auto" w:fill="auto"/>
            <w:noWrap/>
            <w:vAlign w:val="bottom"/>
            <w:hideMark/>
          </w:tcPr>
          <w:p w:rsidR="00BC337C" w:rsidRPr="00797940" w:rsidRDefault="00BC337C" w:rsidP="000A36D9">
            <w:pPr>
              <w:jc w:val="right"/>
              <w:rPr>
                <w:sz w:val="16"/>
                <w:szCs w:val="16"/>
              </w:rPr>
            </w:pPr>
            <w:r w:rsidRPr="00797940">
              <w:rPr>
                <w:sz w:val="16"/>
                <w:szCs w:val="16"/>
              </w:rPr>
              <w:t>1</w:t>
            </w:r>
          </w:p>
        </w:tc>
        <w:tc>
          <w:tcPr>
            <w:tcW w:w="575" w:type="pct"/>
            <w:shd w:val="clear" w:color="auto" w:fill="auto"/>
            <w:noWrap/>
            <w:vAlign w:val="bottom"/>
            <w:hideMark/>
          </w:tcPr>
          <w:p w:rsidR="00BC337C" w:rsidRPr="00797940" w:rsidRDefault="00BC337C" w:rsidP="000A36D9">
            <w:pPr>
              <w:jc w:val="right"/>
              <w:rPr>
                <w:sz w:val="16"/>
                <w:szCs w:val="16"/>
              </w:rPr>
            </w:pPr>
            <w:r w:rsidRPr="00797940">
              <w:rPr>
                <w:sz w:val="16"/>
                <w:szCs w:val="16"/>
              </w:rPr>
              <w:t>104 527</w:t>
            </w:r>
          </w:p>
        </w:tc>
        <w:tc>
          <w:tcPr>
            <w:tcW w:w="299" w:type="pct"/>
            <w:shd w:val="clear" w:color="auto" w:fill="auto"/>
            <w:noWrap/>
            <w:vAlign w:val="bottom"/>
            <w:hideMark/>
          </w:tcPr>
          <w:p w:rsidR="00BC337C" w:rsidRPr="00797940" w:rsidRDefault="00BC337C" w:rsidP="000A36D9">
            <w:pPr>
              <w:jc w:val="right"/>
              <w:rPr>
                <w:sz w:val="16"/>
                <w:szCs w:val="16"/>
              </w:rPr>
            </w:pPr>
            <w:r w:rsidRPr="00797940">
              <w:rPr>
                <w:sz w:val="16"/>
                <w:szCs w:val="16"/>
              </w:rPr>
              <w:t>9</w:t>
            </w:r>
          </w:p>
        </w:tc>
        <w:tc>
          <w:tcPr>
            <w:tcW w:w="589" w:type="pct"/>
            <w:shd w:val="clear" w:color="auto" w:fill="auto"/>
            <w:noWrap/>
            <w:vAlign w:val="bottom"/>
            <w:hideMark/>
          </w:tcPr>
          <w:p w:rsidR="00BC337C" w:rsidRPr="00797940" w:rsidRDefault="00BC337C" w:rsidP="000A36D9">
            <w:pPr>
              <w:jc w:val="right"/>
              <w:rPr>
                <w:sz w:val="16"/>
                <w:szCs w:val="16"/>
              </w:rPr>
            </w:pPr>
            <w:r w:rsidRPr="00797940">
              <w:rPr>
                <w:sz w:val="16"/>
                <w:szCs w:val="16"/>
              </w:rPr>
              <w:t>14 949 079</w:t>
            </w:r>
          </w:p>
        </w:tc>
        <w:tc>
          <w:tcPr>
            <w:tcW w:w="299" w:type="pct"/>
            <w:shd w:val="clear" w:color="auto" w:fill="auto"/>
            <w:noWrap/>
            <w:vAlign w:val="bottom"/>
            <w:hideMark/>
          </w:tcPr>
          <w:p w:rsidR="00BC337C" w:rsidRPr="00797940" w:rsidRDefault="00BC337C" w:rsidP="000A36D9">
            <w:pPr>
              <w:jc w:val="right"/>
              <w:rPr>
                <w:sz w:val="16"/>
                <w:szCs w:val="16"/>
              </w:rPr>
            </w:pPr>
            <w:r w:rsidRPr="00797940">
              <w:rPr>
                <w:sz w:val="16"/>
                <w:szCs w:val="16"/>
              </w:rPr>
              <w:t>3</w:t>
            </w:r>
          </w:p>
        </w:tc>
        <w:tc>
          <w:tcPr>
            <w:tcW w:w="632" w:type="pct"/>
            <w:shd w:val="clear" w:color="auto" w:fill="auto"/>
            <w:noWrap/>
            <w:vAlign w:val="bottom"/>
            <w:hideMark/>
          </w:tcPr>
          <w:p w:rsidR="00BC337C" w:rsidRPr="00797940" w:rsidRDefault="00BC337C" w:rsidP="000A36D9">
            <w:pPr>
              <w:jc w:val="right"/>
              <w:rPr>
                <w:sz w:val="16"/>
                <w:szCs w:val="16"/>
              </w:rPr>
            </w:pPr>
            <w:r w:rsidRPr="00797940">
              <w:rPr>
                <w:sz w:val="16"/>
                <w:szCs w:val="16"/>
              </w:rPr>
              <w:t>29 655 995</w:t>
            </w:r>
          </w:p>
        </w:tc>
        <w:tc>
          <w:tcPr>
            <w:tcW w:w="299" w:type="pct"/>
            <w:shd w:val="clear" w:color="auto" w:fill="auto"/>
            <w:noWrap/>
            <w:vAlign w:val="bottom"/>
            <w:hideMark/>
          </w:tcPr>
          <w:p w:rsidR="00BC337C" w:rsidRPr="00797940" w:rsidRDefault="00BC337C" w:rsidP="000A36D9">
            <w:pPr>
              <w:jc w:val="right"/>
              <w:rPr>
                <w:sz w:val="16"/>
                <w:szCs w:val="16"/>
              </w:rPr>
            </w:pPr>
            <w:r w:rsidRPr="00797940">
              <w:rPr>
                <w:sz w:val="16"/>
                <w:szCs w:val="16"/>
              </w:rPr>
              <w:t>13</w:t>
            </w:r>
          </w:p>
        </w:tc>
        <w:tc>
          <w:tcPr>
            <w:tcW w:w="621" w:type="pct"/>
            <w:shd w:val="clear" w:color="auto" w:fill="auto"/>
            <w:noWrap/>
            <w:vAlign w:val="bottom"/>
            <w:hideMark/>
          </w:tcPr>
          <w:p w:rsidR="00BC337C" w:rsidRPr="00797940" w:rsidRDefault="00BC337C" w:rsidP="000A36D9">
            <w:pPr>
              <w:jc w:val="right"/>
              <w:rPr>
                <w:sz w:val="16"/>
                <w:szCs w:val="16"/>
              </w:rPr>
            </w:pPr>
            <w:r w:rsidRPr="00797940">
              <w:rPr>
                <w:sz w:val="16"/>
                <w:szCs w:val="16"/>
              </w:rPr>
              <w:t>44 709 601</w:t>
            </w:r>
          </w:p>
        </w:tc>
      </w:tr>
      <w:tr w:rsidR="008865EB" w:rsidRPr="00797940" w:rsidTr="008865EB">
        <w:trPr>
          <w:trHeight w:val="420"/>
        </w:trPr>
        <w:tc>
          <w:tcPr>
            <w:tcW w:w="576" w:type="pct"/>
            <w:shd w:val="clear" w:color="auto" w:fill="DBE5F1" w:themeFill="accent1" w:themeFillTint="33"/>
            <w:vAlign w:val="center"/>
            <w:hideMark/>
          </w:tcPr>
          <w:p w:rsidR="00BC337C" w:rsidRPr="00797940" w:rsidRDefault="00BC337C" w:rsidP="000A36D9">
            <w:pPr>
              <w:rPr>
                <w:b/>
                <w:bCs/>
                <w:sz w:val="18"/>
                <w:szCs w:val="18"/>
              </w:rPr>
            </w:pPr>
            <w:r w:rsidRPr="00797940">
              <w:rPr>
                <w:b/>
                <w:bCs/>
                <w:sz w:val="18"/>
                <w:szCs w:val="18"/>
              </w:rPr>
              <w:t>IOP celkem</w:t>
            </w:r>
          </w:p>
        </w:tc>
        <w:tc>
          <w:tcPr>
            <w:tcW w:w="299" w:type="pct"/>
            <w:shd w:val="clear" w:color="auto" w:fill="DBE5F1" w:themeFill="accent1" w:themeFillTint="33"/>
            <w:noWrap/>
            <w:vAlign w:val="center"/>
            <w:hideMark/>
          </w:tcPr>
          <w:p w:rsidR="00BC337C" w:rsidRPr="00797940" w:rsidRDefault="00BC337C" w:rsidP="000A36D9">
            <w:pPr>
              <w:jc w:val="right"/>
              <w:rPr>
                <w:b/>
                <w:bCs/>
                <w:sz w:val="16"/>
                <w:szCs w:val="16"/>
              </w:rPr>
            </w:pPr>
            <w:r w:rsidRPr="00797940">
              <w:rPr>
                <w:b/>
                <w:bCs/>
                <w:sz w:val="16"/>
                <w:szCs w:val="16"/>
              </w:rPr>
              <w:t>57</w:t>
            </w:r>
          </w:p>
        </w:tc>
        <w:tc>
          <w:tcPr>
            <w:tcW w:w="512" w:type="pct"/>
            <w:shd w:val="clear" w:color="auto" w:fill="DBE5F1" w:themeFill="accent1" w:themeFillTint="33"/>
            <w:noWrap/>
            <w:vAlign w:val="center"/>
            <w:hideMark/>
          </w:tcPr>
          <w:p w:rsidR="00BC337C" w:rsidRPr="00797940" w:rsidRDefault="00BC337C" w:rsidP="000A36D9">
            <w:pPr>
              <w:jc w:val="right"/>
              <w:rPr>
                <w:b/>
                <w:bCs/>
                <w:sz w:val="16"/>
                <w:szCs w:val="16"/>
              </w:rPr>
            </w:pPr>
            <w:r w:rsidRPr="00797940">
              <w:rPr>
                <w:b/>
                <w:bCs/>
                <w:sz w:val="16"/>
                <w:szCs w:val="16"/>
              </w:rPr>
              <w:t>673 797 775</w:t>
            </w:r>
          </w:p>
        </w:tc>
        <w:tc>
          <w:tcPr>
            <w:tcW w:w="299" w:type="pct"/>
            <w:shd w:val="clear" w:color="auto" w:fill="DBE5F1" w:themeFill="accent1" w:themeFillTint="33"/>
            <w:noWrap/>
            <w:vAlign w:val="center"/>
            <w:hideMark/>
          </w:tcPr>
          <w:p w:rsidR="00BC337C" w:rsidRPr="00797940" w:rsidRDefault="00BC337C" w:rsidP="000A36D9">
            <w:pPr>
              <w:jc w:val="right"/>
              <w:rPr>
                <w:b/>
                <w:bCs/>
                <w:sz w:val="16"/>
                <w:szCs w:val="16"/>
              </w:rPr>
            </w:pPr>
            <w:r w:rsidRPr="00797940">
              <w:rPr>
                <w:b/>
                <w:bCs/>
                <w:sz w:val="16"/>
                <w:szCs w:val="16"/>
              </w:rPr>
              <w:t>60</w:t>
            </w:r>
          </w:p>
        </w:tc>
        <w:tc>
          <w:tcPr>
            <w:tcW w:w="575" w:type="pct"/>
            <w:shd w:val="clear" w:color="auto" w:fill="DBE5F1" w:themeFill="accent1" w:themeFillTint="33"/>
            <w:noWrap/>
            <w:vAlign w:val="center"/>
            <w:hideMark/>
          </w:tcPr>
          <w:p w:rsidR="00BC337C" w:rsidRPr="00797940" w:rsidRDefault="00BC337C" w:rsidP="000A36D9">
            <w:pPr>
              <w:jc w:val="right"/>
              <w:rPr>
                <w:b/>
                <w:bCs/>
                <w:sz w:val="16"/>
                <w:szCs w:val="16"/>
              </w:rPr>
            </w:pPr>
            <w:r w:rsidRPr="00797940">
              <w:rPr>
                <w:b/>
                <w:bCs/>
                <w:sz w:val="16"/>
                <w:szCs w:val="16"/>
              </w:rPr>
              <w:t>1 537 371 883</w:t>
            </w:r>
          </w:p>
        </w:tc>
        <w:tc>
          <w:tcPr>
            <w:tcW w:w="299" w:type="pct"/>
            <w:shd w:val="clear" w:color="auto" w:fill="DBE5F1" w:themeFill="accent1" w:themeFillTint="33"/>
            <w:noWrap/>
            <w:vAlign w:val="center"/>
            <w:hideMark/>
          </w:tcPr>
          <w:p w:rsidR="00BC337C" w:rsidRPr="00797940" w:rsidRDefault="00BC337C" w:rsidP="000A36D9">
            <w:pPr>
              <w:jc w:val="right"/>
              <w:rPr>
                <w:b/>
                <w:bCs/>
                <w:sz w:val="16"/>
                <w:szCs w:val="16"/>
              </w:rPr>
            </w:pPr>
            <w:r w:rsidRPr="00797940">
              <w:rPr>
                <w:b/>
                <w:bCs/>
                <w:sz w:val="16"/>
                <w:szCs w:val="16"/>
              </w:rPr>
              <w:t>289</w:t>
            </w:r>
          </w:p>
        </w:tc>
        <w:tc>
          <w:tcPr>
            <w:tcW w:w="589" w:type="pct"/>
            <w:shd w:val="clear" w:color="auto" w:fill="DBE5F1" w:themeFill="accent1" w:themeFillTint="33"/>
            <w:noWrap/>
            <w:vAlign w:val="center"/>
            <w:hideMark/>
          </w:tcPr>
          <w:p w:rsidR="00BC337C" w:rsidRPr="00797940" w:rsidRDefault="00BC337C" w:rsidP="000A36D9">
            <w:pPr>
              <w:jc w:val="right"/>
              <w:rPr>
                <w:b/>
                <w:bCs/>
                <w:sz w:val="16"/>
                <w:szCs w:val="16"/>
              </w:rPr>
            </w:pPr>
            <w:r w:rsidRPr="00797940">
              <w:rPr>
                <w:b/>
                <w:bCs/>
                <w:sz w:val="16"/>
                <w:szCs w:val="16"/>
              </w:rPr>
              <w:t>4 862 472 676</w:t>
            </w:r>
          </w:p>
        </w:tc>
        <w:tc>
          <w:tcPr>
            <w:tcW w:w="299" w:type="pct"/>
            <w:shd w:val="clear" w:color="auto" w:fill="DBE5F1" w:themeFill="accent1" w:themeFillTint="33"/>
            <w:noWrap/>
            <w:vAlign w:val="center"/>
            <w:hideMark/>
          </w:tcPr>
          <w:p w:rsidR="00BC337C" w:rsidRPr="00797940" w:rsidRDefault="00BC337C" w:rsidP="000A36D9">
            <w:pPr>
              <w:jc w:val="right"/>
              <w:rPr>
                <w:b/>
                <w:bCs/>
                <w:sz w:val="16"/>
                <w:szCs w:val="16"/>
              </w:rPr>
            </w:pPr>
            <w:r w:rsidRPr="00797940">
              <w:rPr>
                <w:b/>
                <w:bCs/>
                <w:sz w:val="16"/>
                <w:szCs w:val="16"/>
              </w:rPr>
              <w:t>60</w:t>
            </w:r>
          </w:p>
        </w:tc>
        <w:tc>
          <w:tcPr>
            <w:tcW w:w="632" w:type="pct"/>
            <w:shd w:val="clear" w:color="auto" w:fill="DBE5F1" w:themeFill="accent1" w:themeFillTint="33"/>
            <w:noWrap/>
            <w:vAlign w:val="center"/>
            <w:hideMark/>
          </w:tcPr>
          <w:p w:rsidR="00BC337C" w:rsidRPr="00797940" w:rsidRDefault="00BC337C" w:rsidP="000A36D9">
            <w:pPr>
              <w:jc w:val="right"/>
              <w:rPr>
                <w:b/>
                <w:bCs/>
                <w:sz w:val="16"/>
                <w:szCs w:val="16"/>
              </w:rPr>
            </w:pPr>
            <w:r w:rsidRPr="00797940">
              <w:rPr>
                <w:b/>
                <w:bCs/>
                <w:sz w:val="16"/>
                <w:szCs w:val="16"/>
              </w:rPr>
              <w:t>4 463 858 630</w:t>
            </w:r>
          </w:p>
        </w:tc>
        <w:tc>
          <w:tcPr>
            <w:tcW w:w="299" w:type="pct"/>
            <w:shd w:val="clear" w:color="auto" w:fill="DBE5F1" w:themeFill="accent1" w:themeFillTint="33"/>
            <w:noWrap/>
            <w:vAlign w:val="center"/>
            <w:hideMark/>
          </w:tcPr>
          <w:p w:rsidR="00BC337C" w:rsidRPr="00797940" w:rsidRDefault="00BC337C" w:rsidP="000A36D9">
            <w:pPr>
              <w:jc w:val="right"/>
              <w:rPr>
                <w:b/>
                <w:bCs/>
                <w:color w:val="000000"/>
                <w:sz w:val="16"/>
                <w:szCs w:val="16"/>
              </w:rPr>
            </w:pPr>
            <w:r w:rsidRPr="00797940">
              <w:rPr>
                <w:b/>
                <w:bCs/>
                <w:color w:val="000000"/>
                <w:sz w:val="16"/>
                <w:szCs w:val="16"/>
              </w:rPr>
              <w:t>466</w:t>
            </w:r>
          </w:p>
        </w:tc>
        <w:tc>
          <w:tcPr>
            <w:tcW w:w="621" w:type="pct"/>
            <w:shd w:val="clear" w:color="auto" w:fill="DBE5F1" w:themeFill="accent1" w:themeFillTint="33"/>
            <w:noWrap/>
            <w:vAlign w:val="center"/>
            <w:hideMark/>
          </w:tcPr>
          <w:p w:rsidR="00BC337C" w:rsidRPr="00797940" w:rsidRDefault="00BC337C" w:rsidP="000A36D9">
            <w:pPr>
              <w:jc w:val="right"/>
              <w:rPr>
                <w:b/>
                <w:bCs/>
                <w:color w:val="000000"/>
                <w:sz w:val="16"/>
                <w:szCs w:val="16"/>
              </w:rPr>
            </w:pPr>
            <w:r w:rsidRPr="00797940">
              <w:rPr>
                <w:b/>
                <w:bCs/>
                <w:color w:val="000000"/>
                <w:sz w:val="16"/>
                <w:szCs w:val="16"/>
              </w:rPr>
              <w:t>11 537 500 965</w:t>
            </w:r>
          </w:p>
        </w:tc>
      </w:tr>
      <w:tr w:rsidR="00BC337C" w:rsidRPr="00797940" w:rsidTr="008865EB">
        <w:trPr>
          <w:trHeight w:val="300"/>
        </w:trPr>
        <w:tc>
          <w:tcPr>
            <w:tcW w:w="576" w:type="pct"/>
            <w:shd w:val="clear" w:color="auto" w:fill="DBE5F1" w:themeFill="accent1" w:themeFillTint="33"/>
            <w:noWrap/>
            <w:vAlign w:val="bottom"/>
            <w:hideMark/>
          </w:tcPr>
          <w:p w:rsidR="00BC337C" w:rsidRPr="00797940" w:rsidRDefault="00BC337C" w:rsidP="000A36D9">
            <w:pPr>
              <w:rPr>
                <w:i/>
                <w:iCs/>
                <w:sz w:val="18"/>
                <w:szCs w:val="18"/>
              </w:rPr>
            </w:pPr>
            <w:r w:rsidRPr="00797940">
              <w:rPr>
                <w:i/>
                <w:iCs/>
                <w:sz w:val="18"/>
                <w:szCs w:val="18"/>
              </w:rPr>
              <w:t>MMR</w:t>
            </w:r>
          </w:p>
        </w:tc>
        <w:tc>
          <w:tcPr>
            <w:tcW w:w="299" w:type="pct"/>
            <w:shd w:val="clear" w:color="auto" w:fill="DBE5F1" w:themeFill="accent1" w:themeFillTint="33"/>
            <w:noWrap/>
            <w:vAlign w:val="bottom"/>
            <w:hideMark/>
          </w:tcPr>
          <w:p w:rsidR="00BC337C" w:rsidRPr="00797940" w:rsidRDefault="00BC337C" w:rsidP="000A36D9">
            <w:pPr>
              <w:jc w:val="right"/>
              <w:rPr>
                <w:i/>
                <w:iCs/>
                <w:sz w:val="16"/>
                <w:szCs w:val="16"/>
              </w:rPr>
            </w:pPr>
            <w:r w:rsidRPr="00797940">
              <w:rPr>
                <w:i/>
                <w:iCs/>
                <w:sz w:val="16"/>
                <w:szCs w:val="16"/>
              </w:rPr>
              <w:t>49</w:t>
            </w:r>
          </w:p>
        </w:tc>
        <w:tc>
          <w:tcPr>
            <w:tcW w:w="512" w:type="pct"/>
            <w:shd w:val="clear" w:color="auto" w:fill="DBE5F1" w:themeFill="accent1" w:themeFillTint="33"/>
            <w:noWrap/>
            <w:vAlign w:val="bottom"/>
            <w:hideMark/>
          </w:tcPr>
          <w:p w:rsidR="00BC337C" w:rsidRPr="00797940" w:rsidRDefault="00BC337C" w:rsidP="000A36D9">
            <w:pPr>
              <w:jc w:val="right"/>
              <w:rPr>
                <w:i/>
                <w:iCs/>
                <w:sz w:val="16"/>
                <w:szCs w:val="16"/>
              </w:rPr>
            </w:pPr>
            <w:r w:rsidRPr="00797940">
              <w:rPr>
                <w:i/>
                <w:iCs/>
                <w:sz w:val="16"/>
                <w:szCs w:val="16"/>
              </w:rPr>
              <w:t>590 104 803</w:t>
            </w:r>
          </w:p>
        </w:tc>
        <w:tc>
          <w:tcPr>
            <w:tcW w:w="299" w:type="pct"/>
            <w:shd w:val="clear" w:color="auto" w:fill="DBE5F1" w:themeFill="accent1" w:themeFillTint="33"/>
            <w:noWrap/>
            <w:vAlign w:val="bottom"/>
            <w:hideMark/>
          </w:tcPr>
          <w:p w:rsidR="00BC337C" w:rsidRPr="00797940" w:rsidRDefault="00BC337C" w:rsidP="000A36D9">
            <w:pPr>
              <w:jc w:val="right"/>
              <w:rPr>
                <w:i/>
                <w:iCs/>
                <w:sz w:val="16"/>
                <w:szCs w:val="16"/>
              </w:rPr>
            </w:pPr>
            <w:r w:rsidRPr="00797940">
              <w:rPr>
                <w:i/>
                <w:iCs/>
                <w:sz w:val="16"/>
                <w:szCs w:val="16"/>
              </w:rPr>
              <w:t>51</w:t>
            </w:r>
          </w:p>
        </w:tc>
        <w:tc>
          <w:tcPr>
            <w:tcW w:w="575" w:type="pct"/>
            <w:shd w:val="clear" w:color="auto" w:fill="DBE5F1" w:themeFill="accent1" w:themeFillTint="33"/>
            <w:noWrap/>
            <w:vAlign w:val="bottom"/>
            <w:hideMark/>
          </w:tcPr>
          <w:p w:rsidR="00BC337C" w:rsidRPr="00797940" w:rsidRDefault="00BC337C" w:rsidP="000A36D9">
            <w:pPr>
              <w:jc w:val="right"/>
              <w:rPr>
                <w:i/>
                <w:iCs/>
                <w:sz w:val="16"/>
                <w:szCs w:val="16"/>
              </w:rPr>
            </w:pPr>
            <w:r w:rsidRPr="00797940">
              <w:rPr>
                <w:i/>
                <w:iCs/>
                <w:sz w:val="16"/>
                <w:szCs w:val="16"/>
              </w:rPr>
              <w:t>1 027 706 428</w:t>
            </w:r>
          </w:p>
        </w:tc>
        <w:tc>
          <w:tcPr>
            <w:tcW w:w="299" w:type="pct"/>
            <w:shd w:val="clear" w:color="auto" w:fill="DBE5F1" w:themeFill="accent1" w:themeFillTint="33"/>
            <w:noWrap/>
            <w:vAlign w:val="bottom"/>
            <w:hideMark/>
          </w:tcPr>
          <w:p w:rsidR="00BC337C" w:rsidRPr="00797940" w:rsidRDefault="00BC337C" w:rsidP="000A36D9">
            <w:pPr>
              <w:jc w:val="right"/>
              <w:rPr>
                <w:i/>
                <w:iCs/>
                <w:sz w:val="16"/>
                <w:szCs w:val="16"/>
              </w:rPr>
            </w:pPr>
            <w:r w:rsidRPr="00797940">
              <w:rPr>
                <w:i/>
                <w:iCs/>
                <w:sz w:val="16"/>
                <w:szCs w:val="16"/>
              </w:rPr>
              <w:t>244</w:t>
            </w:r>
          </w:p>
        </w:tc>
        <w:tc>
          <w:tcPr>
            <w:tcW w:w="589" w:type="pct"/>
            <w:shd w:val="clear" w:color="auto" w:fill="DBE5F1" w:themeFill="accent1" w:themeFillTint="33"/>
            <w:noWrap/>
            <w:vAlign w:val="bottom"/>
            <w:hideMark/>
          </w:tcPr>
          <w:p w:rsidR="00BC337C" w:rsidRPr="00797940" w:rsidRDefault="00BC337C" w:rsidP="000A36D9">
            <w:pPr>
              <w:jc w:val="right"/>
              <w:rPr>
                <w:i/>
                <w:iCs/>
                <w:sz w:val="16"/>
                <w:szCs w:val="16"/>
              </w:rPr>
            </w:pPr>
            <w:r w:rsidRPr="00797940">
              <w:rPr>
                <w:i/>
                <w:iCs/>
                <w:sz w:val="16"/>
                <w:szCs w:val="16"/>
              </w:rPr>
              <w:t>2 659 052 409</w:t>
            </w:r>
          </w:p>
        </w:tc>
        <w:tc>
          <w:tcPr>
            <w:tcW w:w="299" w:type="pct"/>
            <w:shd w:val="clear" w:color="auto" w:fill="DBE5F1" w:themeFill="accent1" w:themeFillTint="33"/>
            <w:noWrap/>
            <w:vAlign w:val="bottom"/>
            <w:hideMark/>
          </w:tcPr>
          <w:p w:rsidR="00BC337C" w:rsidRPr="00797940" w:rsidRDefault="00BC337C" w:rsidP="000A36D9">
            <w:pPr>
              <w:jc w:val="right"/>
              <w:rPr>
                <w:i/>
                <w:iCs/>
                <w:sz w:val="16"/>
                <w:szCs w:val="16"/>
              </w:rPr>
            </w:pPr>
            <w:r w:rsidRPr="00797940">
              <w:rPr>
                <w:i/>
                <w:iCs/>
                <w:sz w:val="16"/>
                <w:szCs w:val="16"/>
              </w:rPr>
              <w:t>34</w:t>
            </w:r>
          </w:p>
        </w:tc>
        <w:tc>
          <w:tcPr>
            <w:tcW w:w="632" w:type="pct"/>
            <w:shd w:val="clear" w:color="auto" w:fill="DBE5F1" w:themeFill="accent1" w:themeFillTint="33"/>
            <w:noWrap/>
            <w:vAlign w:val="bottom"/>
            <w:hideMark/>
          </w:tcPr>
          <w:p w:rsidR="00BC337C" w:rsidRPr="00797940" w:rsidRDefault="00BC337C" w:rsidP="000A36D9">
            <w:pPr>
              <w:jc w:val="right"/>
              <w:rPr>
                <w:i/>
                <w:iCs/>
                <w:sz w:val="16"/>
                <w:szCs w:val="16"/>
              </w:rPr>
            </w:pPr>
            <w:r w:rsidRPr="00797940">
              <w:rPr>
                <w:i/>
                <w:iCs/>
                <w:sz w:val="16"/>
                <w:szCs w:val="16"/>
              </w:rPr>
              <w:t>2 568 480 433</w:t>
            </w:r>
          </w:p>
        </w:tc>
        <w:tc>
          <w:tcPr>
            <w:tcW w:w="299" w:type="pct"/>
            <w:shd w:val="clear" w:color="auto" w:fill="DBE5F1" w:themeFill="accent1" w:themeFillTint="33"/>
            <w:noWrap/>
            <w:vAlign w:val="bottom"/>
            <w:hideMark/>
          </w:tcPr>
          <w:p w:rsidR="00BC337C" w:rsidRPr="00797940" w:rsidRDefault="00BC337C" w:rsidP="000A36D9">
            <w:pPr>
              <w:jc w:val="right"/>
              <w:rPr>
                <w:color w:val="000000"/>
                <w:sz w:val="16"/>
                <w:szCs w:val="16"/>
              </w:rPr>
            </w:pPr>
            <w:r w:rsidRPr="00797940">
              <w:rPr>
                <w:color w:val="000000"/>
                <w:sz w:val="16"/>
                <w:szCs w:val="16"/>
              </w:rPr>
              <w:t>378</w:t>
            </w:r>
          </w:p>
        </w:tc>
        <w:tc>
          <w:tcPr>
            <w:tcW w:w="621" w:type="pct"/>
            <w:shd w:val="clear" w:color="auto" w:fill="DBE5F1" w:themeFill="accent1" w:themeFillTint="33"/>
            <w:noWrap/>
            <w:vAlign w:val="bottom"/>
            <w:hideMark/>
          </w:tcPr>
          <w:p w:rsidR="00BC337C" w:rsidRPr="00797940" w:rsidRDefault="00BC337C" w:rsidP="000A36D9">
            <w:pPr>
              <w:jc w:val="right"/>
              <w:rPr>
                <w:color w:val="000000"/>
                <w:sz w:val="16"/>
                <w:szCs w:val="16"/>
              </w:rPr>
            </w:pPr>
            <w:r w:rsidRPr="00797940">
              <w:rPr>
                <w:color w:val="000000"/>
                <w:sz w:val="16"/>
                <w:szCs w:val="16"/>
              </w:rPr>
              <w:t>6 845 344 073</w:t>
            </w:r>
          </w:p>
        </w:tc>
      </w:tr>
      <w:tr w:rsidR="00BC337C" w:rsidRPr="00797940" w:rsidTr="008865EB">
        <w:trPr>
          <w:trHeight w:val="300"/>
        </w:trPr>
        <w:tc>
          <w:tcPr>
            <w:tcW w:w="576" w:type="pct"/>
            <w:shd w:val="clear" w:color="auto" w:fill="DBE5F1" w:themeFill="accent1" w:themeFillTint="33"/>
            <w:noWrap/>
            <w:vAlign w:val="bottom"/>
            <w:hideMark/>
          </w:tcPr>
          <w:p w:rsidR="00BC337C" w:rsidRPr="00797940" w:rsidRDefault="00BC337C" w:rsidP="000A36D9">
            <w:pPr>
              <w:rPr>
                <w:i/>
                <w:iCs/>
                <w:sz w:val="18"/>
                <w:szCs w:val="18"/>
              </w:rPr>
            </w:pPr>
            <w:r w:rsidRPr="00797940">
              <w:rPr>
                <w:i/>
                <w:iCs/>
                <w:sz w:val="18"/>
                <w:szCs w:val="18"/>
              </w:rPr>
              <w:t>MV</w:t>
            </w:r>
          </w:p>
        </w:tc>
        <w:tc>
          <w:tcPr>
            <w:tcW w:w="299" w:type="pct"/>
            <w:shd w:val="clear" w:color="auto" w:fill="DBE5F1" w:themeFill="accent1" w:themeFillTint="33"/>
            <w:noWrap/>
            <w:vAlign w:val="bottom"/>
            <w:hideMark/>
          </w:tcPr>
          <w:p w:rsidR="00BC337C" w:rsidRPr="00797940" w:rsidRDefault="00BC337C" w:rsidP="000A36D9">
            <w:pPr>
              <w:jc w:val="right"/>
              <w:rPr>
                <w:i/>
                <w:iCs/>
                <w:sz w:val="16"/>
                <w:szCs w:val="16"/>
              </w:rPr>
            </w:pPr>
            <w:r w:rsidRPr="00797940">
              <w:rPr>
                <w:i/>
                <w:iCs/>
                <w:sz w:val="16"/>
                <w:szCs w:val="16"/>
              </w:rPr>
              <w:t>2</w:t>
            </w:r>
          </w:p>
        </w:tc>
        <w:tc>
          <w:tcPr>
            <w:tcW w:w="512" w:type="pct"/>
            <w:shd w:val="clear" w:color="auto" w:fill="DBE5F1" w:themeFill="accent1" w:themeFillTint="33"/>
            <w:noWrap/>
            <w:vAlign w:val="bottom"/>
            <w:hideMark/>
          </w:tcPr>
          <w:p w:rsidR="00BC337C" w:rsidRPr="00797940" w:rsidRDefault="00BC337C" w:rsidP="000A36D9">
            <w:pPr>
              <w:jc w:val="right"/>
              <w:rPr>
                <w:i/>
                <w:iCs/>
                <w:sz w:val="16"/>
                <w:szCs w:val="16"/>
              </w:rPr>
            </w:pPr>
            <w:r w:rsidRPr="00797940">
              <w:rPr>
                <w:i/>
                <w:iCs/>
                <w:sz w:val="16"/>
                <w:szCs w:val="16"/>
              </w:rPr>
              <w:t>4 135 250</w:t>
            </w:r>
          </w:p>
        </w:tc>
        <w:tc>
          <w:tcPr>
            <w:tcW w:w="299" w:type="pct"/>
            <w:shd w:val="clear" w:color="auto" w:fill="DBE5F1" w:themeFill="accent1" w:themeFillTint="33"/>
            <w:noWrap/>
            <w:vAlign w:val="bottom"/>
            <w:hideMark/>
          </w:tcPr>
          <w:p w:rsidR="00BC337C" w:rsidRPr="00797940" w:rsidRDefault="00BC337C" w:rsidP="000A36D9">
            <w:pPr>
              <w:jc w:val="right"/>
              <w:rPr>
                <w:i/>
                <w:iCs/>
                <w:sz w:val="16"/>
                <w:szCs w:val="16"/>
              </w:rPr>
            </w:pPr>
            <w:r w:rsidRPr="00797940">
              <w:rPr>
                <w:i/>
                <w:iCs/>
                <w:sz w:val="16"/>
                <w:szCs w:val="16"/>
              </w:rPr>
              <w:t>0</w:t>
            </w:r>
          </w:p>
        </w:tc>
        <w:tc>
          <w:tcPr>
            <w:tcW w:w="575" w:type="pct"/>
            <w:shd w:val="clear" w:color="auto" w:fill="DBE5F1" w:themeFill="accent1" w:themeFillTint="33"/>
            <w:noWrap/>
            <w:vAlign w:val="bottom"/>
            <w:hideMark/>
          </w:tcPr>
          <w:p w:rsidR="00BC337C" w:rsidRPr="00797940" w:rsidRDefault="00BC337C" w:rsidP="000A36D9">
            <w:pPr>
              <w:jc w:val="right"/>
              <w:rPr>
                <w:i/>
                <w:iCs/>
                <w:sz w:val="16"/>
                <w:szCs w:val="16"/>
              </w:rPr>
            </w:pPr>
            <w:r w:rsidRPr="00797940">
              <w:rPr>
                <w:i/>
                <w:iCs/>
                <w:sz w:val="16"/>
                <w:szCs w:val="16"/>
              </w:rPr>
              <w:t>0</w:t>
            </w:r>
          </w:p>
        </w:tc>
        <w:tc>
          <w:tcPr>
            <w:tcW w:w="299" w:type="pct"/>
            <w:shd w:val="clear" w:color="auto" w:fill="DBE5F1" w:themeFill="accent1" w:themeFillTint="33"/>
            <w:noWrap/>
            <w:vAlign w:val="bottom"/>
            <w:hideMark/>
          </w:tcPr>
          <w:p w:rsidR="00BC337C" w:rsidRPr="00797940" w:rsidRDefault="00BC337C" w:rsidP="000A36D9">
            <w:pPr>
              <w:jc w:val="right"/>
              <w:rPr>
                <w:i/>
                <w:iCs/>
                <w:sz w:val="16"/>
                <w:szCs w:val="16"/>
              </w:rPr>
            </w:pPr>
            <w:r w:rsidRPr="00797940">
              <w:rPr>
                <w:i/>
                <w:iCs/>
                <w:sz w:val="16"/>
                <w:szCs w:val="16"/>
              </w:rPr>
              <w:t>22</w:t>
            </w:r>
          </w:p>
        </w:tc>
        <w:tc>
          <w:tcPr>
            <w:tcW w:w="589" w:type="pct"/>
            <w:shd w:val="clear" w:color="auto" w:fill="DBE5F1" w:themeFill="accent1" w:themeFillTint="33"/>
            <w:noWrap/>
            <w:vAlign w:val="bottom"/>
            <w:hideMark/>
          </w:tcPr>
          <w:p w:rsidR="00BC337C" w:rsidRPr="00797940" w:rsidRDefault="00BC337C" w:rsidP="000A36D9">
            <w:pPr>
              <w:jc w:val="right"/>
              <w:rPr>
                <w:i/>
                <w:iCs/>
                <w:sz w:val="16"/>
                <w:szCs w:val="16"/>
              </w:rPr>
            </w:pPr>
            <w:r w:rsidRPr="00797940">
              <w:rPr>
                <w:i/>
                <w:iCs/>
                <w:sz w:val="16"/>
                <w:szCs w:val="16"/>
              </w:rPr>
              <w:t>1 660 708 538</w:t>
            </w:r>
          </w:p>
        </w:tc>
        <w:tc>
          <w:tcPr>
            <w:tcW w:w="299" w:type="pct"/>
            <w:shd w:val="clear" w:color="auto" w:fill="DBE5F1" w:themeFill="accent1" w:themeFillTint="33"/>
            <w:noWrap/>
            <w:vAlign w:val="bottom"/>
            <w:hideMark/>
          </w:tcPr>
          <w:p w:rsidR="00BC337C" w:rsidRPr="00797940" w:rsidRDefault="00BC337C" w:rsidP="000A36D9">
            <w:pPr>
              <w:jc w:val="right"/>
              <w:rPr>
                <w:i/>
                <w:iCs/>
                <w:sz w:val="16"/>
                <w:szCs w:val="16"/>
              </w:rPr>
            </w:pPr>
            <w:r w:rsidRPr="00797940">
              <w:rPr>
                <w:i/>
                <w:iCs/>
                <w:sz w:val="16"/>
                <w:szCs w:val="16"/>
              </w:rPr>
              <w:t>1</w:t>
            </w:r>
          </w:p>
        </w:tc>
        <w:tc>
          <w:tcPr>
            <w:tcW w:w="632" w:type="pct"/>
            <w:shd w:val="clear" w:color="auto" w:fill="DBE5F1" w:themeFill="accent1" w:themeFillTint="33"/>
            <w:noWrap/>
            <w:vAlign w:val="bottom"/>
            <w:hideMark/>
          </w:tcPr>
          <w:p w:rsidR="00BC337C" w:rsidRPr="00797940" w:rsidRDefault="00BC337C" w:rsidP="000A36D9">
            <w:pPr>
              <w:jc w:val="right"/>
              <w:rPr>
                <w:i/>
                <w:iCs/>
                <w:sz w:val="16"/>
                <w:szCs w:val="16"/>
              </w:rPr>
            </w:pPr>
            <w:r w:rsidRPr="00797940">
              <w:rPr>
                <w:i/>
                <w:iCs/>
                <w:sz w:val="16"/>
                <w:szCs w:val="16"/>
              </w:rPr>
              <w:t>106 758 832</w:t>
            </w:r>
          </w:p>
        </w:tc>
        <w:tc>
          <w:tcPr>
            <w:tcW w:w="299" w:type="pct"/>
            <w:shd w:val="clear" w:color="auto" w:fill="DBE5F1" w:themeFill="accent1" w:themeFillTint="33"/>
            <w:noWrap/>
            <w:vAlign w:val="bottom"/>
            <w:hideMark/>
          </w:tcPr>
          <w:p w:rsidR="00BC337C" w:rsidRPr="00797940" w:rsidRDefault="00BC337C" w:rsidP="000A36D9">
            <w:pPr>
              <w:jc w:val="right"/>
              <w:rPr>
                <w:color w:val="000000"/>
                <w:sz w:val="16"/>
                <w:szCs w:val="16"/>
              </w:rPr>
            </w:pPr>
            <w:r w:rsidRPr="00797940">
              <w:rPr>
                <w:color w:val="000000"/>
                <w:sz w:val="16"/>
                <w:szCs w:val="16"/>
              </w:rPr>
              <w:t>25</w:t>
            </w:r>
          </w:p>
        </w:tc>
        <w:tc>
          <w:tcPr>
            <w:tcW w:w="621" w:type="pct"/>
            <w:shd w:val="clear" w:color="auto" w:fill="DBE5F1" w:themeFill="accent1" w:themeFillTint="33"/>
            <w:noWrap/>
            <w:vAlign w:val="bottom"/>
            <w:hideMark/>
          </w:tcPr>
          <w:p w:rsidR="00BC337C" w:rsidRPr="00797940" w:rsidRDefault="00BC337C" w:rsidP="000A36D9">
            <w:pPr>
              <w:jc w:val="right"/>
              <w:rPr>
                <w:color w:val="000000"/>
                <w:sz w:val="16"/>
                <w:szCs w:val="16"/>
              </w:rPr>
            </w:pPr>
            <w:r w:rsidRPr="00797940">
              <w:rPr>
                <w:color w:val="000000"/>
                <w:sz w:val="16"/>
                <w:szCs w:val="16"/>
              </w:rPr>
              <w:t>1 771 602 620</w:t>
            </w:r>
          </w:p>
        </w:tc>
      </w:tr>
      <w:tr w:rsidR="00BC337C" w:rsidRPr="00797940" w:rsidTr="008865EB">
        <w:trPr>
          <w:trHeight w:val="300"/>
        </w:trPr>
        <w:tc>
          <w:tcPr>
            <w:tcW w:w="576" w:type="pct"/>
            <w:shd w:val="clear" w:color="auto" w:fill="DBE5F1" w:themeFill="accent1" w:themeFillTint="33"/>
            <w:noWrap/>
            <w:vAlign w:val="bottom"/>
            <w:hideMark/>
          </w:tcPr>
          <w:p w:rsidR="00BC337C" w:rsidRPr="00797940" w:rsidRDefault="00BC337C" w:rsidP="000A36D9">
            <w:pPr>
              <w:rPr>
                <w:i/>
                <w:iCs/>
                <w:sz w:val="18"/>
                <w:szCs w:val="18"/>
              </w:rPr>
            </w:pPr>
            <w:r w:rsidRPr="00797940">
              <w:rPr>
                <w:i/>
                <w:iCs/>
                <w:sz w:val="18"/>
                <w:szCs w:val="18"/>
              </w:rPr>
              <w:t>MPSV</w:t>
            </w:r>
          </w:p>
        </w:tc>
        <w:tc>
          <w:tcPr>
            <w:tcW w:w="299" w:type="pct"/>
            <w:shd w:val="clear" w:color="auto" w:fill="DBE5F1" w:themeFill="accent1" w:themeFillTint="33"/>
            <w:noWrap/>
            <w:vAlign w:val="bottom"/>
            <w:hideMark/>
          </w:tcPr>
          <w:p w:rsidR="00BC337C" w:rsidRPr="00797940" w:rsidRDefault="00BC337C" w:rsidP="000A36D9">
            <w:pPr>
              <w:jc w:val="right"/>
              <w:rPr>
                <w:i/>
                <w:iCs/>
                <w:sz w:val="16"/>
                <w:szCs w:val="16"/>
              </w:rPr>
            </w:pPr>
            <w:r w:rsidRPr="00797940">
              <w:rPr>
                <w:i/>
                <w:iCs/>
                <w:sz w:val="16"/>
                <w:szCs w:val="16"/>
              </w:rPr>
              <w:t>4</w:t>
            </w:r>
          </w:p>
        </w:tc>
        <w:tc>
          <w:tcPr>
            <w:tcW w:w="512" w:type="pct"/>
            <w:shd w:val="clear" w:color="auto" w:fill="DBE5F1" w:themeFill="accent1" w:themeFillTint="33"/>
            <w:noWrap/>
            <w:vAlign w:val="bottom"/>
            <w:hideMark/>
          </w:tcPr>
          <w:p w:rsidR="00BC337C" w:rsidRPr="00797940" w:rsidRDefault="00BC337C" w:rsidP="000A36D9">
            <w:pPr>
              <w:jc w:val="right"/>
              <w:rPr>
                <w:i/>
                <w:iCs/>
                <w:sz w:val="16"/>
                <w:szCs w:val="16"/>
              </w:rPr>
            </w:pPr>
            <w:r w:rsidRPr="00797940">
              <w:rPr>
                <w:i/>
                <w:iCs/>
                <w:sz w:val="16"/>
                <w:szCs w:val="16"/>
              </w:rPr>
              <w:t>43 878 758</w:t>
            </w:r>
          </w:p>
        </w:tc>
        <w:tc>
          <w:tcPr>
            <w:tcW w:w="299" w:type="pct"/>
            <w:shd w:val="clear" w:color="auto" w:fill="DBE5F1" w:themeFill="accent1" w:themeFillTint="33"/>
            <w:noWrap/>
            <w:vAlign w:val="bottom"/>
            <w:hideMark/>
          </w:tcPr>
          <w:p w:rsidR="00BC337C" w:rsidRPr="00797940" w:rsidRDefault="00BC337C" w:rsidP="000A36D9">
            <w:pPr>
              <w:jc w:val="right"/>
              <w:rPr>
                <w:i/>
                <w:iCs/>
                <w:sz w:val="16"/>
                <w:szCs w:val="16"/>
              </w:rPr>
            </w:pPr>
            <w:r w:rsidRPr="00797940">
              <w:rPr>
                <w:i/>
                <w:iCs/>
                <w:sz w:val="16"/>
                <w:szCs w:val="16"/>
              </w:rPr>
              <w:t>3</w:t>
            </w:r>
          </w:p>
        </w:tc>
        <w:tc>
          <w:tcPr>
            <w:tcW w:w="575" w:type="pct"/>
            <w:shd w:val="clear" w:color="auto" w:fill="DBE5F1" w:themeFill="accent1" w:themeFillTint="33"/>
            <w:noWrap/>
            <w:vAlign w:val="bottom"/>
            <w:hideMark/>
          </w:tcPr>
          <w:p w:rsidR="00BC337C" w:rsidRPr="00797940" w:rsidRDefault="00BC337C" w:rsidP="000A36D9">
            <w:pPr>
              <w:jc w:val="right"/>
              <w:rPr>
                <w:i/>
                <w:iCs/>
                <w:sz w:val="16"/>
                <w:szCs w:val="16"/>
              </w:rPr>
            </w:pPr>
            <w:r w:rsidRPr="00797940">
              <w:rPr>
                <w:i/>
                <w:iCs/>
                <w:sz w:val="16"/>
                <w:szCs w:val="16"/>
              </w:rPr>
              <w:t>70 271 552</w:t>
            </w:r>
          </w:p>
        </w:tc>
        <w:tc>
          <w:tcPr>
            <w:tcW w:w="299" w:type="pct"/>
            <w:shd w:val="clear" w:color="auto" w:fill="DBE5F1" w:themeFill="accent1" w:themeFillTint="33"/>
            <w:noWrap/>
            <w:vAlign w:val="bottom"/>
            <w:hideMark/>
          </w:tcPr>
          <w:p w:rsidR="00BC337C" w:rsidRPr="00797940" w:rsidRDefault="00BC337C" w:rsidP="000A36D9">
            <w:pPr>
              <w:jc w:val="right"/>
              <w:rPr>
                <w:i/>
                <w:iCs/>
                <w:sz w:val="16"/>
                <w:szCs w:val="16"/>
              </w:rPr>
            </w:pPr>
            <w:r w:rsidRPr="00797940">
              <w:rPr>
                <w:i/>
                <w:iCs/>
                <w:sz w:val="16"/>
                <w:szCs w:val="16"/>
              </w:rPr>
              <w:t>19</w:t>
            </w:r>
          </w:p>
        </w:tc>
        <w:tc>
          <w:tcPr>
            <w:tcW w:w="589" w:type="pct"/>
            <w:shd w:val="clear" w:color="auto" w:fill="DBE5F1" w:themeFill="accent1" w:themeFillTint="33"/>
            <w:noWrap/>
            <w:vAlign w:val="bottom"/>
            <w:hideMark/>
          </w:tcPr>
          <w:p w:rsidR="00BC337C" w:rsidRPr="00797940" w:rsidRDefault="00BC337C" w:rsidP="000A36D9">
            <w:pPr>
              <w:jc w:val="right"/>
              <w:rPr>
                <w:i/>
                <w:iCs/>
                <w:sz w:val="16"/>
                <w:szCs w:val="16"/>
              </w:rPr>
            </w:pPr>
            <w:r w:rsidRPr="00797940">
              <w:rPr>
                <w:i/>
                <w:iCs/>
                <w:sz w:val="16"/>
                <w:szCs w:val="16"/>
              </w:rPr>
              <w:t>426 446 338</w:t>
            </w:r>
          </w:p>
        </w:tc>
        <w:tc>
          <w:tcPr>
            <w:tcW w:w="299" w:type="pct"/>
            <w:shd w:val="clear" w:color="auto" w:fill="DBE5F1" w:themeFill="accent1" w:themeFillTint="33"/>
            <w:noWrap/>
            <w:vAlign w:val="bottom"/>
            <w:hideMark/>
          </w:tcPr>
          <w:p w:rsidR="00BC337C" w:rsidRPr="00797940" w:rsidRDefault="00BC337C" w:rsidP="000A36D9">
            <w:pPr>
              <w:jc w:val="right"/>
              <w:rPr>
                <w:i/>
                <w:iCs/>
                <w:sz w:val="16"/>
                <w:szCs w:val="16"/>
              </w:rPr>
            </w:pPr>
            <w:r w:rsidRPr="00797940">
              <w:rPr>
                <w:i/>
                <w:iCs/>
                <w:sz w:val="16"/>
                <w:szCs w:val="16"/>
              </w:rPr>
              <w:t>0</w:t>
            </w:r>
          </w:p>
        </w:tc>
        <w:tc>
          <w:tcPr>
            <w:tcW w:w="632" w:type="pct"/>
            <w:shd w:val="clear" w:color="auto" w:fill="DBE5F1" w:themeFill="accent1" w:themeFillTint="33"/>
            <w:noWrap/>
            <w:vAlign w:val="bottom"/>
            <w:hideMark/>
          </w:tcPr>
          <w:p w:rsidR="00BC337C" w:rsidRPr="00797940" w:rsidRDefault="00BC337C" w:rsidP="000A36D9">
            <w:pPr>
              <w:jc w:val="right"/>
              <w:rPr>
                <w:i/>
                <w:iCs/>
                <w:sz w:val="16"/>
                <w:szCs w:val="16"/>
              </w:rPr>
            </w:pPr>
            <w:r w:rsidRPr="00797940">
              <w:rPr>
                <w:i/>
                <w:iCs/>
                <w:sz w:val="16"/>
                <w:szCs w:val="16"/>
              </w:rPr>
              <w:t>0</w:t>
            </w:r>
          </w:p>
        </w:tc>
        <w:tc>
          <w:tcPr>
            <w:tcW w:w="299" w:type="pct"/>
            <w:shd w:val="clear" w:color="auto" w:fill="DBE5F1" w:themeFill="accent1" w:themeFillTint="33"/>
            <w:noWrap/>
            <w:vAlign w:val="bottom"/>
            <w:hideMark/>
          </w:tcPr>
          <w:p w:rsidR="00BC337C" w:rsidRPr="00797940" w:rsidRDefault="00BC337C" w:rsidP="000A36D9">
            <w:pPr>
              <w:jc w:val="right"/>
              <w:rPr>
                <w:color w:val="000000"/>
                <w:sz w:val="16"/>
                <w:szCs w:val="16"/>
              </w:rPr>
            </w:pPr>
            <w:r w:rsidRPr="00797940">
              <w:rPr>
                <w:color w:val="000000"/>
                <w:sz w:val="16"/>
                <w:szCs w:val="16"/>
              </w:rPr>
              <w:t>26</w:t>
            </w:r>
          </w:p>
        </w:tc>
        <w:tc>
          <w:tcPr>
            <w:tcW w:w="621" w:type="pct"/>
            <w:shd w:val="clear" w:color="auto" w:fill="DBE5F1" w:themeFill="accent1" w:themeFillTint="33"/>
            <w:noWrap/>
            <w:vAlign w:val="bottom"/>
            <w:hideMark/>
          </w:tcPr>
          <w:p w:rsidR="00BC337C" w:rsidRPr="00797940" w:rsidRDefault="00BC337C" w:rsidP="000A36D9">
            <w:pPr>
              <w:jc w:val="right"/>
              <w:rPr>
                <w:color w:val="000000"/>
                <w:sz w:val="16"/>
                <w:szCs w:val="16"/>
              </w:rPr>
            </w:pPr>
            <w:r w:rsidRPr="00797940">
              <w:rPr>
                <w:color w:val="000000"/>
                <w:sz w:val="16"/>
                <w:szCs w:val="16"/>
              </w:rPr>
              <w:t>540 596 648</w:t>
            </w:r>
          </w:p>
        </w:tc>
      </w:tr>
      <w:tr w:rsidR="00BC337C" w:rsidRPr="00797940" w:rsidTr="008865EB">
        <w:trPr>
          <w:trHeight w:val="300"/>
        </w:trPr>
        <w:tc>
          <w:tcPr>
            <w:tcW w:w="576" w:type="pct"/>
            <w:shd w:val="clear" w:color="auto" w:fill="DBE5F1" w:themeFill="accent1" w:themeFillTint="33"/>
            <w:noWrap/>
            <w:vAlign w:val="bottom"/>
            <w:hideMark/>
          </w:tcPr>
          <w:p w:rsidR="00BC337C" w:rsidRPr="00797940" w:rsidRDefault="00BC337C" w:rsidP="000A36D9">
            <w:pPr>
              <w:rPr>
                <w:i/>
                <w:iCs/>
                <w:sz w:val="18"/>
                <w:szCs w:val="18"/>
              </w:rPr>
            </w:pPr>
            <w:proofErr w:type="spellStart"/>
            <w:r w:rsidRPr="00797940">
              <w:rPr>
                <w:i/>
                <w:iCs/>
                <w:sz w:val="18"/>
                <w:szCs w:val="18"/>
              </w:rPr>
              <w:t>MZd</w:t>
            </w:r>
            <w:proofErr w:type="spellEnd"/>
          </w:p>
        </w:tc>
        <w:tc>
          <w:tcPr>
            <w:tcW w:w="299" w:type="pct"/>
            <w:shd w:val="clear" w:color="auto" w:fill="DBE5F1" w:themeFill="accent1" w:themeFillTint="33"/>
            <w:noWrap/>
            <w:vAlign w:val="bottom"/>
            <w:hideMark/>
          </w:tcPr>
          <w:p w:rsidR="00BC337C" w:rsidRPr="00797940" w:rsidRDefault="00BC337C" w:rsidP="000A36D9">
            <w:pPr>
              <w:jc w:val="right"/>
              <w:rPr>
                <w:i/>
                <w:iCs/>
                <w:sz w:val="16"/>
                <w:szCs w:val="16"/>
              </w:rPr>
            </w:pPr>
            <w:r w:rsidRPr="00797940">
              <w:rPr>
                <w:i/>
                <w:iCs/>
                <w:sz w:val="16"/>
                <w:szCs w:val="16"/>
              </w:rPr>
              <w:t>2</w:t>
            </w:r>
          </w:p>
        </w:tc>
        <w:tc>
          <w:tcPr>
            <w:tcW w:w="512" w:type="pct"/>
            <w:shd w:val="clear" w:color="auto" w:fill="DBE5F1" w:themeFill="accent1" w:themeFillTint="33"/>
            <w:noWrap/>
            <w:vAlign w:val="bottom"/>
            <w:hideMark/>
          </w:tcPr>
          <w:p w:rsidR="00BC337C" w:rsidRPr="00797940" w:rsidRDefault="00BC337C" w:rsidP="000A36D9">
            <w:pPr>
              <w:jc w:val="right"/>
              <w:rPr>
                <w:i/>
                <w:iCs/>
                <w:sz w:val="16"/>
                <w:szCs w:val="16"/>
              </w:rPr>
            </w:pPr>
            <w:r w:rsidRPr="00797940">
              <w:rPr>
                <w:i/>
                <w:iCs/>
                <w:sz w:val="16"/>
                <w:szCs w:val="16"/>
              </w:rPr>
              <w:t>35 678 964</w:t>
            </w:r>
          </w:p>
        </w:tc>
        <w:tc>
          <w:tcPr>
            <w:tcW w:w="299" w:type="pct"/>
            <w:shd w:val="clear" w:color="auto" w:fill="DBE5F1" w:themeFill="accent1" w:themeFillTint="33"/>
            <w:noWrap/>
            <w:vAlign w:val="bottom"/>
            <w:hideMark/>
          </w:tcPr>
          <w:p w:rsidR="00BC337C" w:rsidRPr="00797940" w:rsidRDefault="00BC337C" w:rsidP="000A36D9">
            <w:pPr>
              <w:jc w:val="right"/>
              <w:rPr>
                <w:i/>
                <w:iCs/>
                <w:sz w:val="16"/>
                <w:szCs w:val="16"/>
              </w:rPr>
            </w:pPr>
            <w:r w:rsidRPr="00797940">
              <w:rPr>
                <w:i/>
                <w:iCs/>
                <w:sz w:val="16"/>
                <w:szCs w:val="16"/>
              </w:rPr>
              <w:t>6</w:t>
            </w:r>
          </w:p>
        </w:tc>
        <w:tc>
          <w:tcPr>
            <w:tcW w:w="575" w:type="pct"/>
            <w:shd w:val="clear" w:color="auto" w:fill="DBE5F1" w:themeFill="accent1" w:themeFillTint="33"/>
            <w:noWrap/>
            <w:vAlign w:val="bottom"/>
            <w:hideMark/>
          </w:tcPr>
          <w:p w:rsidR="00BC337C" w:rsidRPr="00797940" w:rsidRDefault="00BC337C" w:rsidP="000A36D9">
            <w:pPr>
              <w:jc w:val="right"/>
              <w:rPr>
                <w:i/>
                <w:iCs/>
                <w:sz w:val="16"/>
                <w:szCs w:val="16"/>
              </w:rPr>
            </w:pPr>
            <w:r w:rsidRPr="00797940">
              <w:rPr>
                <w:i/>
                <w:iCs/>
                <w:sz w:val="16"/>
                <w:szCs w:val="16"/>
              </w:rPr>
              <w:t>439 393 903</w:t>
            </w:r>
          </w:p>
        </w:tc>
        <w:tc>
          <w:tcPr>
            <w:tcW w:w="299" w:type="pct"/>
            <w:shd w:val="clear" w:color="auto" w:fill="DBE5F1" w:themeFill="accent1" w:themeFillTint="33"/>
            <w:noWrap/>
            <w:vAlign w:val="bottom"/>
            <w:hideMark/>
          </w:tcPr>
          <w:p w:rsidR="00BC337C" w:rsidRPr="00797940" w:rsidRDefault="00BC337C" w:rsidP="000A36D9">
            <w:pPr>
              <w:jc w:val="right"/>
              <w:rPr>
                <w:i/>
                <w:iCs/>
                <w:sz w:val="16"/>
                <w:szCs w:val="16"/>
              </w:rPr>
            </w:pPr>
            <w:r w:rsidRPr="00797940">
              <w:rPr>
                <w:i/>
                <w:iCs/>
                <w:sz w:val="16"/>
                <w:szCs w:val="16"/>
              </w:rPr>
              <w:t>4</w:t>
            </w:r>
          </w:p>
        </w:tc>
        <w:tc>
          <w:tcPr>
            <w:tcW w:w="589" w:type="pct"/>
            <w:shd w:val="clear" w:color="auto" w:fill="DBE5F1" w:themeFill="accent1" w:themeFillTint="33"/>
            <w:noWrap/>
            <w:vAlign w:val="bottom"/>
            <w:hideMark/>
          </w:tcPr>
          <w:p w:rsidR="00BC337C" w:rsidRPr="00797940" w:rsidRDefault="00BC337C" w:rsidP="000A36D9">
            <w:pPr>
              <w:jc w:val="right"/>
              <w:rPr>
                <w:i/>
                <w:iCs/>
                <w:sz w:val="16"/>
                <w:szCs w:val="16"/>
              </w:rPr>
            </w:pPr>
            <w:r w:rsidRPr="00797940">
              <w:rPr>
                <w:i/>
                <w:iCs/>
                <w:sz w:val="16"/>
                <w:szCs w:val="16"/>
              </w:rPr>
              <w:t>116 265 391</w:t>
            </w:r>
          </w:p>
        </w:tc>
        <w:tc>
          <w:tcPr>
            <w:tcW w:w="299" w:type="pct"/>
            <w:shd w:val="clear" w:color="auto" w:fill="DBE5F1" w:themeFill="accent1" w:themeFillTint="33"/>
            <w:noWrap/>
            <w:vAlign w:val="bottom"/>
            <w:hideMark/>
          </w:tcPr>
          <w:p w:rsidR="00BC337C" w:rsidRPr="00797940" w:rsidRDefault="00BC337C" w:rsidP="000A36D9">
            <w:pPr>
              <w:jc w:val="right"/>
              <w:rPr>
                <w:i/>
                <w:iCs/>
                <w:sz w:val="16"/>
                <w:szCs w:val="16"/>
              </w:rPr>
            </w:pPr>
            <w:r w:rsidRPr="00797940">
              <w:rPr>
                <w:i/>
                <w:iCs/>
                <w:sz w:val="16"/>
                <w:szCs w:val="16"/>
              </w:rPr>
              <w:t>25</w:t>
            </w:r>
          </w:p>
        </w:tc>
        <w:tc>
          <w:tcPr>
            <w:tcW w:w="632" w:type="pct"/>
            <w:shd w:val="clear" w:color="auto" w:fill="DBE5F1" w:themeFill="accent1" w:themeFillTint="33"/>
            <w:noWrap/>
            <w:vAlign w:val="bottom"/>
            <w:hideMark/>
          </w:tcPr>
          <w:p w:rsidR="00BC337C" w:rsidRPr="00797940" w:rsidRDefault="00BC337C" w:rsidP="000A36D9">
            <w:pPr>
              <w:jc w:val="right"/>
              <w:rPr>
                <w:i/>
                <w:iCs/>
                <w:sz w:val="16"/>
                <w:szCs w:val="16"/>
              </w:rPr>
            </w:pPr>
            <w:r w:rsidRPr="00797940">
              <w:rPr>
                <w:i/>
                <w:iCs/>
                <w:sz w:val="16"/>
                <w:szCs w:val="16"/>
              </w:rPr>
              <w:t>1 788 619 365</w:t>
            </w:r>
          </w:p>
        </w:tc>
        <w:tc>
          <w:tcPr>
            <w:tcW w:w="299" w:type="pct"/>
            <w:shd w:val="clear" w:color="auto" w:fill="DBE5F1" w:themeFill="accent1" w:themeFillTint="33"/>
            <w:noWrap/>
            <w:vAlign w:val="bottom"/>
            <w:hideMark/>
          </w:tcPr>
          <w:p w:rsidR="00BC337C" w:rsidRPr="00797940" w:rsidRDefault="00BC337C" w:rsidP="000A36D9">
            <w:pPr>
              <w:jc w:val="right"/>
              <w:rPr>
                <w:color w:val="000000"/>
                <w:sz w:val="16"/>
                <w:szCs w:val="16"/>
              </w:rPr>
            </w:pPr>
            <w:r w:rsidRPr="00797940">
              <w:rPr>
                <w:color w:val="000000"/>
                <w:sz w:val="16"/>
                <w:szCs w:val="16"/>
              </w:rPr>
              <w:t>37</w:t>
            </w:r>
          </w:p>
        </w:tc>
        <w:tc>
          <w:tcPr>
            <w:tcW w:w="621" w:type="pct"/>
            <w:shd w:val="clear" w:color="auto" w:fill="DBE5F1" w:themeFill="accent1" w:themeFillTint="33"/>
            <w:noWrap/>
            <w:vAlign w:val="bottom"/>
            <w:hideMark/>
          </w:tcPr>
          <w:p w:rsidR="00BC337C" w:rsidRPr="00797940" w:rsidRDefault="00BC337C" w:rsidP="000A36D9">
            <w:pPr>
              <w:jc w:val="right"/>
              <w:rPr>
                <w:color w:val="000000"/>
                <w:sz w:val="16"/>
                <w:szCs w:val="16"/>
              </w:rPr>
            </w:pPr>
            <w:r w:rsidRPr="00797940">
              <w:rPr>
                <w:color w:val="000000"/>
                <w:sz w:val="16"/>
                <w:szCs w:val="16"/>
              </w:rPr>
              <w:t>2 379 957 623</w:t>
            </w:r>
          </w:p>
        </w:tc>
      </w:tr>
    </w:tbl>
    <w:p w:rsidR="00BC337C" w:rsidRPr="00BC337C" w:rsidRDefault="00BC337C" w:rsidP="00BC337C">
      <w:pPr>
        <w:rPr>
          <w:i/>
          <w:sz w:val="18"/>
          <w:szCs w:val="18"/>
        </w:rPr>
      </w:pPr>
      <w:r w:rsidRPr="00BC337C">
        <w:rPr>
          <w:i/>
          <w:sz w:val="18"/>
          <w:szCs w:val="18"/>
        </w:rPr>
        <w:t xml:space="preserve">Zdroj: IS Monit7+ k </w:t>
      </w:r>
      <w:r w:rsidR="000E3B83">
        <w:rPr>
          <w:i/>
          <w:sz w:val="18"/>
          <w:szCs w:val="18"/>
        </w:rPr>
        <w:t>30</w:t>
      </w:r>
      <w:r w:rsidRPr="00BC337C">
        <w:rPr>
          <w:i/>
          <w:sz w:val="18"/>
          <w:szCs w:val="18"/>
        </w:rPr>
        <w:t xml:space="preserve">. </w:t>
      </w:r>
      <w:r w:rsidR="000E3B83">
        <w:rPr>
          <w:i/>
          <w:sz w:val="18"/>
          <w:szCs w:val="18"/>
        </w:rPr>
        <w:t>9</w:t>
      </w:r>
      <w:r w:rsidRPr="00BC337C">
        <w:rPr>
          <w:i/>
          <w:sz w:val="18"/>
          <w:szCs w:val="18"/>
        </w:rPr>
        <w:t>. 2015</w:t>
      </w:r>
      <w:r w:rsidRPr="00BC337C">
        <w:rPr>
          <w:i/>
          <w:sz w:val="18"/>
          <w:szCs w:val="18"/>
        </w:rPr>
        <w:tab/>
      </w:r>
      <w:r w:rsidRPr="00BC337C">
        <w:rPr>
          <w:i/>
          <w:sz w:val="18"/>
          <w:szCs w:val="18"/>
        </w:rPr>
        <w:tab/>
      </w:r>
      <w:r w:rsidRPr="00BC337C">
        <w:rPr>
          <w:i/>
          <w:sz w:val="18"/>
          <w:szCs w:val="18"/>
        </w:rPr>
        <w:tab/>
      </w:r>
      <w:r w:rsidRPr="00BC337C">
        <w:rPr>
          <w:i/>
          <w:sz w:val="18"/>
          <w:szCs w:val="18"/>
        </w:rPr>
        <w:tab/>
      </w:r>
      <w:r w:rsidRPr="00BC337C">
        <w:rPr>
          <w:i/>
          <w:sz w:val="18"/>
          <w:szCs w:val="18"/>
        </w:rPr>
        <w:tab/>
      </w:r>
      <w:r w:rsidRPr="00BC337C">
        <w:rPr>
          <w:i/>
          <w:sz w:val="18"/>
          <w:szCs w:val="18"/>
        </w:rPr>
        <w:tab/>
      </w:r>
      <w:r w:rsidRPr="00BC337C">
        <w:rPr>
          <w:i/>
          <w:sz w:val="18"/>
          <w:szCs w:val="18"/>
        </w:rPr>
        <w:tab/>
      </w:r>
      <w:r w:rsidRPr="00BC337C">
        <w:rPr>
          <w:i/>
          <w:sz w:val="18"/>
          <w:szCs w:val="18"/>
        </w:rPr>
        <w:tab/>
      </w:r>
      <w:r w:rsidRPr="00BC337C">
        <w:rPr>
          <w:i/>
          <w:sz w:val="18"/>
          <w:szCs w:val="18"/>
        </w:rPr>
        <w:tab/>
      </w:r>
    </w:p>
    <w:p w:rsidR="00BC337C" w:rsidRPr="00BC337C" w:rsidRDefault="00BC337C" w:rsidP="00BC337C">
      <w:pPr>
        <w:rPr>
          <w:i/>
          <w:sz w:val="18"/>
          <w:szCs w:val="18"/>
        </w:rPr>
      </w:pPr>
      <w:r w:rsidRPr="00BC337C">
        <w:rPr>
          <w:i/>
          <w:sz w:val="18"/>
          <w:szCs w:val="18"/>
        </w:rPr>
        <w:t>Zdroj financování: EU podíl, měna: Kč</w:t>
      </w:r>
      <w:r w:rsidRPr="00BC337C">
        <w:rPr>
          <w:i/>
          <w:sz w:val="18"/>
          <w:szCs w:val="18"/>
        </w:rPr>
        <w:tab/>
      </w:r>
      <w:r w:rsidRPr="00BC337C">
        <w:rPr>
          <w:i/>
          <w:sz w:val="18"/>
          <w:szCs w:val="18"/>
        </w:rPr>
        <w:tab/>
      </w:r>
      <w:r w:rsidRPr="00BC337C">
        <w:rPr>
          <w:i/>
          <w:sz w:val="18"/>
          <w:szCs w:val="18"/>
        </w:rPr>
        <w:tab/>
      </w:r>
      <w:r w:rsidRPr="00BC337C">
        <w:rPr>
          <w:i/>
          <w:sz w:val="18"/>
          <w:szCs w:val="18"/>
        </w:rPr>
        <w:tab/>
      </w:r>
      <w:r w:rsidRPr="00BC337C">
        <w:rPr>
          <w:i/>
          <w:sz w:val="18"/>
          <w:szCs w:val="18"/>
        </w:rPr>
        <w:tab/>
      </w:r>
      <w:r w:rsidRPr="00BC337C">
        <w:rPr>
          <w:i/>
          <w:sz w:val="18"/>
          <w:szCs w:val="18"/>
        </w:rPr>
        <w:tab/>
      </w:r>
      <w:r w:rsidRPr="00BC337C">
        <w:rPr>
          <w:i/>
          <w:sz w:val="18"/>
          <w:szCs w:val="18"/>
        </w:rPr>
        <w:tab/>
      </w:r>
    </w:p>
    <w:p w:rsidR="00BC337C" w:rsidRDefault="00BC337C" w:rsidP="00BC337C">
      <w:pPr>
        <w:rPr>
          <w:i/>
          <w:sz w:val="18"/>
          <w:szCs w:val="18"/>
        </w:rPr>
      </w:pPr>
      <w:r w:rsidRPr="00BC337C">
        <w:rPr>
          <w:i/>
          <w:sz w:val="18"/>
          <w:szCs w:val="18"/>
        </w:rPr>
        <w:t>Poznámka: Jedná se o plán předložen</w:t>
      </w:r>
      <w:r>
        <w:rPr>
          <w:i/>
          <w:sz w:val="18"/>
          <w:szCs w:val="18"/>
        </w:rPr>
        <w:t>ý</w:t>
      </w:r>
      <w:r w:rsidRPr="00BC337C">
        <w:rPr>
          <w:i/>
          <w:sz w:val="18"/>
          <w:szCs w:val="18"/>
        </w:rPr>
        <w:t xml:space="preserve">ch </w:t>
      </w:r>
      <w:proofErr w:type="spellStart"/>
      <w:r w:rsidRPr="00BC337C">
        <w:rPr>
          <w:i/>
          <w:sz w:val="18"/>
          <w:szCs w:val="18"/>
        </w:rPr>
        <w:t>ŽoP</w:t>
      </w:r>
      <w:proofErr w:type="spellEnd"/>
      <w:r w:rsidRPr="00BC337C">
        <w:rPr>
          <w:i/>
          <w:sz w:val="18"/>
          <w:szCs w:val="18"/>
        </w:rPr>
        <w:t xml:space="preserve"> na základě dat z IS Monit7+. </w:t>
      </w:r>
    </w:p>
    <w:p w:rsidR="00D32BAA" w:rsidRDefault="00BC337C" w:rsidP="00BC337C">
      <w:r w:rsidRPr="00BC337C">
        <w:rPr>
          <w:i/>
          <w:sz w:val="18"/>
          <w:szCs w:val="18"/>
        </w:rPr>
        <w:t>.</w:t>
      </w:r>
    </w:p>
    <w:p w:rsidR="00D32BAA" w:rsidRDefault="00D32BAA" w:rsidP="00D32BAA"/>
    <w:p w:rsidR="00A56EFD" w:rsidRPr="00A56EFD" w:rsidRDefault="002413CD" w:rsidP="002413CD">
      <w:pPr>
        <w:jc w:val="both"/>
        <w:rPr>
          <w:sz w:val="22"/>
          <w:szCs w:val="22"/>
        </w:rPr>
      </w:pPr>
      <w:r>
        <w:rPr>
          <w:sz w:val="22"/>
          <w:szCs w:val="22"/>
          <w:u w:val="single"/>
        </w:rPr>
        <w:t>G</w:t>
      </w:r>
      <w:r w:rsidR="00A56EFD" w:rsidRPr="00A56EFD">
        <w:rPr>
          <w:sz w:val="22"/>
          <w:szCs w:val="22"/>
          <w:u w:val="single"/>
        </w:rPr>
        <w:t xml:space="preserve">rafy č. </w:t>
      </w:r>
      <w:r w:rsidR="005D5AA7">
        <w:rPr>
          <w:sz w:val="22"/>
          <w:szCs w:val="22"/>
          <w:u w:val="single"/>
        </w:rPr>
        <w:t>2</w:t>
      </w:r>
      <w:r w:rsidR="00A56EFD" w:rsidRPr="00A56EFD">
        <w:rPr>
          <w:sz w:val="22"/>
          <w:szCs w:val="22"/>
          <w:u w:val="single"/>
        </w:rPr>
        <w:t xml:space="preserve"> a </w:t>
      </w:r>
      <w:r w:rsidR="005D5AA7">
        <w:rPr>
          <w:sz w:val="22"/>
          <w:szCs w:val="22"/>
          <w:u w:val="single"/>
        </w:rPr>
        <w:t>3</w:t>
      </w:r>
      <w:r w:rsidR="00A56EFD" w:rsidRPr="00A56EFD">
        <w:rPr>
          <w:sz w:val="22"/>
          <w:szCs w:val="22"/>
        </w:rPr>
        <w:t xml:space="preserve"> zachycují plnění predikcí objemu a počtu předložených </w:t>
      </w:r>
      <w:proofErr w:type="spellStart"/>
      <w:r w:rsidR="00A56EFD" w:rsidRPr="00A56EFD">
        <w:rPr>
          <w:sz w:val="22"/>
          <w:szCs w:val="22"/>
        </w:rPr>
        <w:t>Ž</w:t>
      </w:r>
      <w:r w:rsidR="004A56BD">
        <w:rPr>
          <w:sz w:val="22"/>
          <w:szCs w:val="22"/>
        </w:rPr>
        <w:t>o</w:t>
      </w:r>
      <w:r w:rsidR="00A56EFD" w:rsidRPr="00A56EFD">
        <w:rPr>
          <w:sz w:val="22"/>
          <w:szCs w:val="22"/>
        </w:rPr>
        <w:t>P</w:t>
      </w:r>
      <w:proofErr w:type="spellEnd"/>
      <w:r w:rsidR="00A56EFD" w:rsidRPr="00A56EFD">
        <w:rPr>
          <w:sz w:val="22"/>
          <w:szCs w:val="22"/>
        </w:rPr>
        <w:t xml:space="preserve"> v roce 2015 </w:t>
      </w:r>
      <w:r w:rsidR="005D5AA7">
        <w:rPr>
          <w:sz w:val="22"/>
          <w:szCs w:val="22"/>
        </w:rPr>
        <w:br/>
      </w:r>
      <w:r w:rsidR="00A56EFD" w:rsidRPr="00A56EFD">
        <w:rPr>
          <w:sz w:val="22"/>
          <w:szCs w:val="22"/>
        </w:rPr>
        <w:t xml:space="preserve">a lednu 2016. Predikce vychází z plánovaných harmonogramů projektů. Aby byla vyčerpána celková alokace IOP, musí objem předložených </w:t>
      </w:r>
      <w:proofErr w:type="spellStart"/>
      <w:r w:rsidR="00A56EFD" w:rsidRPr="00A56EFD">
        <w:rPr>
          <w:sz w:val="22"/>
          <w:szCs w:val="22"/>
        </w:rPr>
        <w:t>Ž</w:t>
      </w:r>
      <w:r w:rsidR="004A56BD">
        <w:rPr>
          <w:sz w:val="22"/>
          <w:szCs w:val="22"/>
        </w:rPr>
        <w:t>o</w:t>
      </w:r>
      <w:r w:rsidR="00A56EFD" w:rsidRPr="00A56EFD">
        <w:rPr>
          <w:sz w:val="22"/>
          <w:szCs w:val="22"/>
        </w:rPr>
        <w:t>P</w:t>
      </w:r>
      <w:proofErr w:type="spellEnd"/>
      <w:r w:rsidR="00A56EFD" w:rsidRPr="00A56EFD">
        <w:rPr>
          <w:sz w:val="22"/>
          <w:szCs w:val="22"/>
        </w:rPr>
        <w:t xml:space="preserve"> do konce ledna 2016 dosáhnout 15,4 mld. Kč. Plánovaný objem </w:t>
      </w:r>
      <w:proofErr w:type="spellStart"/>
      <w:r w:rsidR="00A56EFD" w:rsidRPr="00A56EFD">
        <w:rPr>
          <w:sz w:val="22"/>
          <w:szCs w:val="22"/>
        </w:rPr>
        <w:t>Ž</w:t>
      </w:r>
      <w:r w:rsidR="004A56BD">
        <w:rPr>
          <w:sz w:val="22"/>
          <w:szCs w:val="22"/>
        </w:rPr>
        <w:t>o</w:t>
      </w:r>
      <w:r w:rsidR="00A56EFD" w:rsidRPr="00A56EFD">
        <w:rPr>
          <w:sz w:val="22"/>
          <w:szCs w:val="22"/>
        </w:rPr>
        <w:t>P</w:t>
      </w:r>
      <w:proofErr w:type="spellEnd"/>
      <w:r w:rsidR="00A56EFD" w:rsidRPr="00A56EFD">
        <w:rPr>
          <w:sz w:val="22"/>
          <w:szCs w:val="22"/>
        </w:rPr>
        <w:t xml:space="preserve"> z února 2015 tento limit dokonce</w:t>
      </w:r>
      <w:r>
        <w:rPr>
          <w:sz w:val="22"/>
          <w:szCs w:val="22"/>
        </w:rPr>
        <w:t xml:space="preserve"> </w:t>
      </w:r>
      <w:r w:rsidR="00A56EFD" w:rsidRPr="00A56EFD">
        <w:rPr>
          <w:sz w:val="22"/>
          <w:szCs w:val="22"/>
        </w:rPr>
        <w:t xml:space="preserve">o 1 mld. Kč </w:t>
      </w:r>
      <w:r w:rsidR="00D43F00">
        <w:rPr>
          <w:sz w:val="22"/>
          <w:szCs w:val="22"/>
        </w:rPr>
        <w:t>převyšoval</w:t>
      </w:r>
      <w:r w:rsidR="00A56EFD" w:rsidRPr="00A56EFD">
        <w:rPr>
          <w:sz w:val="22"/>
          <w:szCs w:val="22"/>
        </w:rPr>
        <w:t xml:space="preserve">. V predikcích předložených </w:t>
      </w:r>
      <w:proofErr w:type="spellStart"/>
      <w:r w:rsidR="00A56EFD" w:rsidRPr="00A56EFD">
        <w:rPr>
          <w:sz w:val="22"/>
          <w:szCs w:val="22"/>
        </w:rPr>
        <w:t>Ž</w:t>
      </w:r>
      <w:r w:rsidR="004A56BD">
        <w:rPr>
          <w:sz w:val="22"/>
          <w:szCs w:val="22"/>
        </w:rPr>
        <w:t>o</w:t>
      </w:r>
      <w:r w:rsidR="00A56EFD" w:rsidRPr="00A56EFD">
        <w:rPr>
          <w:sz w:val="22"/>
          <w:szCs w:val="22"/>
        </w:rPr>
        <w:t>P</w:t>
      </w:r>
      <w:proofErr w:type="spellEnd"/>
      <w:r w:rsidR="00A56EFD" w:rsidRPr="00A56EFD">
        <w:rPr>
          <w:sz w:val="22"/>
          <w:szCs w:val="22"/>
        </w:rPr>
        <w:t xml:space="preserve"> nejsou zohledněné úspory z výběrových řízení a žádostí o platbu, ke kterým </w:t>
      </w:r>
      <w:r>
        <w:rPr>
          <w:sz w:val="22"/>
          <w:szCs w:val="22"/>
        </w:rPr>
        <w:t>po</w:t>
      </w:r>
      <w:r w:rsidR="00A56EFD" w:rsidRPr="00A56EFD">
        <w:rPr>
          <w:sz w:val="22"/>
          <w:szCs w:val="22"/>
        </w:rPr>
        <w:t xml:space="preserve">dle zkušeností z předchozích let dochází, a problémové projekty, které přinášejí potřebu většího objemu </w:t>
      </w:r>
      <w:proofErr w:type="spellStart"/>
      <w:r w:rsidR="00A56EFD" w:rsidRPr="00A56EFD">
        <w:rPr>
          <w:sz w:val="22"/>
          <w:szCs w:val="22"/>
        </w:rPr>
        <w:t>Ž</w:t>
      </w:r>
      <w:r w:rsidR="004A56BD">
        <w:rPr>
          <w:sz w:val="22"/>
          <w:szCs w:val="22"/>
        </w:rPr>
        <w:t>o</w:t>
      </w:r>
      <w:r w:rsidR="00A56EFD" w:rsidRPr="00A56EFD">
        <w:rPr>
          <w:sz w:val="22"/>
          <w:szCs w:val="22"/>
        </w:rPr>
        <w:t>P</w:t>
      </w:r>
      <w:proofErr w:type="spellEnd"/>
      <w:r w:rsidR="00A56EFD" w:rsidRPr="00A56EFD">
        <w:rPr>
          <w:sz w:val="22"/>
          <w:szCs w:val="22"/>
        </w:rPr>
        <w:t xml:space="preserve"> pro krytí výpadků z nedokončených projektů. </w:t>
      </w:r>
      <w:r>
        <w:rPr>
          <w:sz w:val="22"/>
          <w:szCs w:val="22"/>
        </w:rPr>
        <w:t xml:space="preserve">Proto k </w:t>
      </w:r>
      <w:r w:rsidR="00A56EFD" w:rsidRPr="00A56EFD">
        <w:rPr>
          <w:sz w:val="22"/>
          <w:szCs w:val="22"/>
        </w:rPr>
        <w:t xml:space="preserve">dosažení limitu nedojde. </w:t>
      </w:r>
    </w:p>
    <w:p w:rsidR="00A56EFD" w:rsidRDefault="00A56EFD" w:rsidP="002413CD">
      <w:pPr>
        <w:jc w:val="both"/>
        <w:rPr>
          <w:sz w:val="22"/>
          <w:szCs w:val="22"/>
        </w:rPr>
      </w:pPr>
      <w:r w:rsidRPr="00A56EFD">
        <w:rPr>
          <w:sz w:val="22"/>
          <w:szCs w:val="22"/>
        </w:rPr>
        <w:t>V grafu je přerušovanou čarou zanesena aktuální předpokládaná výše nedočerpání ve střední variantě (2,3 mld. Kč). Kromě predikcí</w:t>
      </w:r>
      <w:r w:rsidR="002413CD">
        <w:rPr>
          <w:sz w:val="22"/>
          <w:szCs w:val="22"/>
        </w:rPr>
        <w:t>,</w:t>
      </w:r>
      <w:r w:rsidRPr="00A56EFD">
        <w:rPr>
          <w:sz w:val="22"/>
          <w:szCs w:val="22"/>
        </w:rPr>
        <w:t xml:space="preserve"> stanovených v únoru 2015</w:t>
      </w:r>
      <w:r w:rsidR="002413CD">
        <w:rPr>
          <w:sz w:val="22"/>
          <w:szCs w:val="22"/>
        </w:rPr>
        <w:t>,</w:t>
      </w:r>
      <w:r w:rsidRPr="00A56EFD">
        <w:rPr>
          <w:sz w:val="22"/>
          <w:szCs w:val="22"/>
        </w:rPr>
        <w:t xml:space="preserve"> v grafu vidíme plán aktuální ze </w:t>
      </w:r>
      <w:r w:rsidR="005D5AA7">
        <w:rPr>
          <w:sz w:val="22"/>
          <w:szCs w:val="22"/>
        </w:rPr>
        <w:br/>
      </w:r>
      <w:r w:rsidR="005D5AA7" w:rsidRPr="00A56EFD">
        <w:rPr>
          <w:sz w:val="22"/>
          <w:szCs w:val="22"/>
        </w:rPr>
        <w:t>7. 10. 2015</w:t>
      </w:r>
      <w:r w:rsidRPr="00A56EFD">
        <w:rPr>
          <w:sz w:val="22"/>
          <w:szCs w:val="22"/>
        </w:rPr>
        <w:t xml:space="preserve">, který plynule navazuje na </w:t>
      </w:r>
      <w:r w:rsidR="00D43F00">
        <w:rPr>
          <w:sz w:val="22"/>
          <w:szCs w:val="22"/>
        </w:rPr>
        <w:t>křivku</w:t>
      </w:r>
      <w:r w:rsidR="00D43F00" w:rsidRPr="00A56EFD">
        <w:rPr>
          <w:sz w:val="22"/>
          <w:szCs w:val="22"/>
        </w:rPr>
        <w:t xml:space="preserve"> </w:t>
      </w:r>
      <w:r w:rsidRPr="00A56EFD">
        <w:rPr>
          <w:sz w:val="22"/>
          <w:szCs w:val="22"/>
        </w:rPr>
        <w:t xml:space="preserve">skutečně předložených </w:t>
      </w:r>
      <w:proofErr w:type="spellStart"/>
      <w:r w:rsidRPr="00A56EFD">
        <w:rPr>
          <w:sz w:val="22"/>
          <w:szCs w:val="22"/>
        </w:rPr>
        <w:t>Ž</w:t>
      </w:r>
      <w:r w:rsidR="004A56BD">
        <w:rPr>
          <w:sz w:val="22"/>
          <w:szCs w:val="22"/>
        </w:rPr>
        <w:t>o</w:t>
      </w:r>
      <w:r w:rsidRPr="00A56EFD">
        <w:rPr>
          <w:sz w:val="22"/>
          <w:szCs w:val="22"/>
        </w:rPr>
        <w:t>P</w:t>
      </w:r>
      <w:proofErr w:type="spellEnd"/>
      <w:r w:rsidRPr="00A56EFD">
        <w:rPr>
          <w:sz w:val="22"/>
          <w:szCs w:val="22"/>
        </w:rPr>
        <w:t xml:space="preserve">. </w:t>
      </w:r>
      <w:r w:rsidR="00813015">
        <w:rPr>
          <w:sz w:val="22"/>
          <w:szCs w:val="22"/>
        </w:rPr>
        <w:t>J</w:t>
      </w:r>
      <w:r w:rsidRPr="00A56EFD">
        <w:rPr>
          <w:sz w:val="22"/>
          <w:szCs w:val="22"/>
        </w:rPr>
        <w:t>e patrné, že dochází k výraznému p</w:t>
      </w:r>
      <w:r w:rsidR="00D43F00">
        <w:rPr>
          <w:sz w:val="22"/>
          <w:szCs w:val="22"/>
        </w:rPr>
        <w:t>osu</w:t>
      </w:r>
      <w:r w:rsidRPr="00A56EFD">
        <w:rPr>
          <w:sz w:val="22"/>
          <w:szCs w:val="22"/>
        </w:rPr>
        <w:t>nu v</w:t>
      </w:r>
      <w:r w:rsidR="00813015">
        <w:rPr>
          <w:sz w:val="22"/>
          <w:szCs w:val="22"/>
        </w:rPr>
        <w:t> ukončování realizace</w:t>
      </w:r>
      <w:r w:rsidRPr="00A56EFD">
        <w:rPr>
          <w:sz w:val="22"/>
          <w:szCs w:val="22"/>
        </w:rPr>
        <w:t xml:space="preserve"> projektů především na prosinec 2015 a leden 2016, tedy na konec programového období. Ani do těchto aktuálních predikcí nejsou započítány předpokládané úspory</w:t>
      </w:r>
      <w:r w:rsidR="00850D48">
        <w:rPr>
          <w:sz w:val="22"/>
          <w:szCs w:val="22"/>
        </w:rPr>
        <w:t xml:space="preserve"> a riziko nedokončení některých problémových projektů</w:t>
      </w:r>
      <w:r w:rsidRPr="00A56EFD">
        <w:rPr>
          <w:sz w:val="22"/>
          <w:szCs w:val="22"/>
        </w:rPr>
        <w:t xml:space="preserve">, </w:t>
      </w:r>
      <w:r w:rsidR="00850D48">
        <w:rPr>
          <w:sz w:val="22"/>
          <w:szCs w:val="22"/>
        </w:rPr>
        <w:t>skutečnost bude tedy nižší.</w:t>
      </w:r>
      <w:r w:rsidRPr="00A56EFD">
        <w:rPr>
          <w:sz w:val="22"/>
          <w:szCs w:val="22"/>
        </w:rPr>
        <w:t xml:space="preserve"> Křivka grafu č. </w:t>
      </w:r>
      <w:r w:rsidR="00850D48">
        <w:rPr>
          <w:sz w:val="22"/>
          <w:szCs w:val="22"/>
        </w:rPr>
        <w:t>3</w:t>
      </w:r>
      <w:r w:rsidRPr="00A56EFD">
        <w:rPr>
          <w:sz w:val="22"/>
          <w:szCs w:val="22"/>
        </w:rPr>
        <w:t xml:space="preserve"> s počty předložených </w:t>
      </w:r>
      <w:proofErr w:type="spellStart"/>
      <w:r w:rsidRPr="00A56EFD">
        <w:rPr>
          <w:sz w:val="22"/>
          <w:szCs w:val="22"/>
        </w:rPr>
        <w:t>Ž</w:t>
      </w:r>
      <w:r w:rsidR="004A56BD">
        <w:rPr>
          <w:sz w:val="22"/>
          <w:szCs w:val="22"/>
        </w:rPr>
        <w:t>o</w:t>
      </w:r>
      <w:r w:rsidRPr="00A56EFD">
        <w:rPr>
          <w:sz w:val="22"/>
          <w:szCs w:val="22"/>
        </w:rPr>
        <w:t>P</w:t>
      </w:r>
      <w:proofErr w:type="spellEnd"/>
      <w:r w:rsidRPr="00A56EFD">
        <w:rPr>
          <w:sz w:val="22"/>
          <w:szCs w:val="22"/>
        </w:rPr>
        <w:t xml:space="preserve"> má obdobný tvar jako </w:t>
      </w:r>
      <w:r w:rsidR="00850D48">
        <w:rPr>
          <w:sz w:val="22"/>
          <w:szCs w:val="22"/>
        </w:rPr>
        <w:t>v grafu č. 2</w:t>
      </w:r>
      <w:r w:rsidR="00850D48" w:rsidRPr="00A56EFD">
        <w:rPr>
          <w:sz w:val="22"/>
          <w:szCs w:val="22"/>
        </w:rPr>
        <w:t xml:space="preserve"> </w:t>
      </w:r>
      <w:r w:rsidRPr="00A56EFD">
        <w:rPr>
          <w:sz w:val="22"/>
          <w:szCs w:val="22"/>
        </w:rPr>
        <w:t xml:space="preserve">s objemy. I zde dochází především k posunu </w:t>
      </w:r>
      <w:proofErr w:type="spellStart"/>
      <w:r w:rsidRPr="00A56EFD">
        <w:rPr>
          <w:sz w:val="22"/>
          <w:szCs w:val="22"/>
        </w:rPr>
        <w:t>Ž</w:t>
      </w:r>
      <w:r w:rsidR="004A56BD">
        <w:rPr>
          <w:sz w:val="22"/>
          <w:szCs w:val="22"/>
        </w:rPr>
        <w:t>o</w:t>
      </w:r>
      <w:r w:rsidRPr="00A56EFD">
        <w:rPr>
          <w:sz w:val="22"/>
          <w:szCs w:val="22"/>
        </w:rPr>
        <w:t>P</w:t>
      </w:r>
      <w:proofErr w:type="spellEnd"/>
      <w:r w:rsidRPr="00A56EFD">
        <w:rPr>
          <w:sz w:val="22"/>
          <w:szCs w:val="22"/>
        </w:rPr>
        <w:t xml:space="preserve"> do pozdějších měsíců.</w:t>
      </w:r>
    </w:p>
    <w:p w:rsidR="006E7C29" w:rsidRPr="00A56EFD" w:rsidRDefault="006E7C29" w:rsidP="00A56EFD">
      <w:pPr>
        <w:jc w:val="both"/>
        <w:rPr>
          <w:sz w:val="22"/>
          <w:szCs w:val="22"/>
        </w:rPr>
      </w:pPr>
    </w:p>
    <w:p w:rsidR="00A56EFD" w:rsidRPr="00A56EFD" w:rsidRDefault="00A56EFD" w:rsidP="00A56EFD">
      <w:pPr>
        <w:rPr>
          <w:color w:val="000000" w:themeColor="text1"/>
          <w:sz w:val="22"/>
          <w:szCs w:val="22"/>
        </w:rPr>
      </w:pPr>
      <w:r w:rsidRPr="00A56EFD">
        <w:rPr>
          <w:color w:val="000000" w:themeColor="text1"/>
          <w:sz w:val="22"/>
          <w:szCs w:val="22"/>
        </w:rPr>
        <w:t>Nejvíce k rozdílům mezi plánem a skutečností přispívají:</w:t>
      </w:r>
    </w:p>
    <w:p w:rsidR="00A56EFD" w:rsidRPr="00A56EFD" w:rsidRDefault="00A56EFD" w:rsidP="00A56EFD">
      <w:pPr>
        <w:pStyle w:val="Odstavecseseznamem"/>
        <w:numPr>
          <w:ilvl w:val="0"/>
          <w:numId w:val="49"/>
        </w:numPr>
        <w:spacing w:after="0" w:line="240" w:lineRule="auto"/>
        <w:rPr>
          <w:rFonts w:ascii="Times New Roman" w:hAnsi="Times New Roman"/>
          <w:color w:val="000000" w:themeColor="text1"/>
        </w:rPr>
      </w:pPr>
      <w:r w:rsidRPr="00A56EFD">
        <w:rPr>
          <w:rFonts w:ascii="Times New Roman" w:hAnsi="Times New Roman"/>
          <w:color w:val="000000" w:themeColor="text1"/>
        </w:rPr>
        <w:t>posuny v harmonogramech projektů</w:t>
      </w:r>
      <w:r w:rsidR="00813015">
        <w:rPr>
          <w:rFonts w:ascii="Times New Roman" w:hAnsi="Times New Roman"/>
          <w:color w:val="000000" w:themeColor="text1"/>
        </w:rPr>
        <w:t>,</w:t>
      </w:r>
      <w:r w:rsidRPr="00A56EFD">
        <w:rPr>
          <w:rFonts w:ascii="Times New Roman" w:hAnsi="Times New Roman"/>
          <w:color w:val="000000" w:themeColor="text1"/>
        </w:rPr>
        <w:t xml:space="preserve"> </w:t>
      </w:r>
    </w:p>
    <w:p w:rsidR="00A56EFD" w:rsidRPr="00A56EFD" w:rsidRDefault="00A56EFD" w:rsidP="00A56EFD">
      <w:pPr>
        <w:pStyle w:val="Odstavecseseznamem"/>
        <w:numPr>
          <w:ilvl w:val="0"/>
          <w:numId w:val="49"/>
        </w:numPr>
        <w:spacing w:after="0" w:line="240" w:lineRule="auto"/>
        <w:rPr>
          <w:rFonts w:ascii="Times New Roman" w:hAnsi="Times New Roman"/>
          <w:color w:val="000000" w:themeColor="text1"/>
        </w:rPr>
      </w:pPr>
      <w:r w:rsidRPr="00A56EFD">
        <w:rPr>
          <w:rFonts w:ascii="Times New Roman" w:hAnsi="Times New Roman"/>
          <w:color w:val="000000" w:themeColor="text1"/>
        </w:rPr>
        <w:t>úspory ve VŘ a žádostech o platbu</w:t>
      </w:r>
      <w:r w:rsidR="00813015">
        <w:rPr>
          <w:rFonts w:ascii="Times New Roman" w:hAnsi="Times New Roman"/>
          <w:color w:val="000000" w:themeColor="text1"/>
        </w:rPr>
        <w:t>.</w:t>
      </w:r>
    </w:p>
    <w:p w:rsidR="005B375E" w:rsidRDefault="005B375E" w:rsidP="00BE195C">
      <w:pPr>
        <w:rPr>
          <w:i/>
          <w:sz w:val="18"/>
          <w:szCs w:val="18"/>
        </w:rPr>
      </w:pPr>
    </w:p>
    <w:p w:rsidR="0089079C" w:rsidRDefault="0089079C" w:rsidP="00BE195C">
      <w:pPr>
        <w:rPr>
          <w:i/>
          <w:sz w:val="18"/>
          <w:szCs w:val="18"/>
        </w:rPr>
      </w:pPr>
    </w:p>
    <w:p w:rsidR="0089079C" w:rsidRDefault="0089079C" w:rsidP="00BE195C">
      <w:pPr>
        <w:rPr>
          <w:i/>
          <w:sz w:val="18"/>
          <w:szCs w:val="18"/>
        </w:rPr>
      </w:pPr>
    </w:p>
    <w:p w:rsidR="0089079C" w:rsidRDefault="0089079C" w:rsidP="00BE195C">
      <w:pPr>
        <w:rPr>
          <w:i/>
          <w:sz w:val="18"/>
          <w:szCs w:val="18"/>
        </w:rPr>
      </w:pPr>
    </w:p>
    <w:p w:rsidR="0089079C" w:rsidRDefault="0089079C" w:rsidP="00BE195C">
      <w:pPr>
        <w:rPr>
          <w:i/>
          <w:sz w:val="18"/>
          <w:szCs w:val="18"/>
        </w:rPr>
      </w:pPr>
    </w:p>
    <w:p w:rsidR="0089079C" w:rsidRDefault="0089079C" w:rsidP="00BE195C">
      <w:pPr>
        <w:rPr>
          <w:i/>
          <w:sz w:val="18"/>
          <w:szCs w:val="18"/>
        </w:rPr>
      </w:pPr>
    </w:p>
    <w:p w:rsidR="0089079C" w:rsidRDefault="0089079C" w:rsidP="00BE195C">
      <w:pPr>
        <w:rPr>
          <w:i/>
          <w:sz w:val="18"/>
          <w:szCs w:val="18"/>
        </w:rPr>
      </w:pPr>
    </w:p>
    <w:p w:rsidR="0089079C" w:rsidRDefault="0089079C" w:rsidP="00BE195C">
      <w:pPr>
        <w:rPr>
          <w:i/>
          <w:sz w:val="18"/>
          <w:szCs w:val="18"/>
        </w:rPr>
      </w:pPr>
    </w:p>
    <w:p w:rsidR="0089079C" w:rsidRDefault="0089079C" w:rsidP="00BE195C">
      <w:pPr>
        <w:rPr>
          <w:i/>
          <w:sz w:val="18"/>
          <w:szCs w:val="18"/>
        </w:rPr>
      </w:pPr>
    </w:p>
    <w:p w:rsidR="0089079C" w:rsidRDefault="0089079C" w:rsidP="00BE195C">
      <w:pPr>
        <w:rPr>
          <w:i/>
          <w:sz w:val="18"/>
          <w:szCs w:val="18"/>
        </w:rPr>
      </w:pPr>
    </w:p>
    <w:p w:rsidR="0089079C" w:rsidRDefault="0089079C" w:rsidP="00BE195C">
      <w:pPr>
        <w:rPr>
          <w:i/>
          <w:sz w:val="18"/>
          <w:szCs w:val="18"/>
        </w:rPr>
      </w:pPr>
    </w:p>
    <w:p w:rsidR="0089079C" w:rsidRDefault="0089079C" w:rsidP="00BE195C">
      <w:pPr>
        <w:rPr>
          <w:i/>
          <w:sz w:val="18"/>
          <w:szCs w:val="18"/>
        </w:rPr>
      </w:pPr>
    </w:p>
    <w:p w:rsidR="00DE023A" w:rsidRDefault="00DE023A" w:rsidP="00BE195C"/>
    <w:p w:rsidR="00D737D8" w:rsidRPr="005E2F76" w:rsidRDefault="005C180E" w:rsidP="00D737D8">
      <w:pPr>
        <w:pStyle w:val="Graf"/>
        <w:rPr>
          <w:b w:val="0"/>
        </w:rPr>
      </w:pPr>
      <w:bookmarkStart w:id="55" w:name="_Toc433873583"/>
      <w:r>
        <w:rPr>
          <w:b w:val="0"/>
        </w:rPr>
        <w:lastRenderedPageBreak/>
        <w:t xml:space="preserve">Plnění plánu objemu předložených </w:t>
      </w:r>
      <w:proofErr w:type="spellStart"/>
      <w:r>
        <w:rPr>
          <w:b w:val="0"/>
        </w:rPr>
        <w:t>Ž</w:t>
      </w:r>
      <w:r w:rsidR="004A56BD">
        <w:rPr>
          <w:b w:val="0"/>
        </w:rPr>
        <w:t>o</w:t>
      </w:r>
      <w:r>
        <w:rPr>
          <w:b w:val="0"/>
        </w:rPr>
        <w:t>P</w:t>
      </w:r>
      <w:bookmarkEnd w:id="55"/>
      <w:proofErr w:type="spellEnd"/>
      <w:r>
        <w:rPr>
          <w:b w:val="0"/>
        </w:rPr>
        <w:t xml:space="preserve"> </w:t>
      </w:r>
    </w:p>
    <w:p w:rsidR="00D737D8" w:rsidRDefault="00A56EFD" w:rsidP="00D737D8">
      <w:pPr>
        <w:jc w:val="both"/>
        <w:rPr>
          <w:sz w:val="22"/>
          <w:szCs w:val="22"/>
        </w:rPr>
      </w:pPr>
      <w:r>
        <w:rPr>
          <w:noProof/>
        </w:rPr>
        <w:drawing>
          <wp:inline distT="0" distB="0" distL="0" distR="0" wp14:anchorId="59C0F4DE" wp14:editId="5A7ED871">
            <wp:extent cx="5488493" cy="323850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9872" cy="3239314"/>
                    </a:xfrm>
                    <a:prstGeom prst="rect">
                      <a:avLst/>
                    </a:prstGeom>
                    <a:noFill/>
                  </pic:spPr>
                </pic:pic>
              </a:graphicData>
            </a:graphic>
          </wp:inline>
        </w:drawing>
      </w:r>
    </w:p>
    <w:p w:rsidR="00A56EFD" w:rsidRPr="00A56EFD" w:rsidRDefault="00A56EFD" w:rsidP="00A56EFD">
      <w:pPr>
        <w:jc w:val="both"/>
        <w:rPr>
          <w:i/>
          <w:sz w:val="18"/>
          <w:szCs w:val="18"/>
        </w:rPr>
      </w:pPr>
      <w:r w:rsidRPr="00A56EFD">
        <w:rPr>
          <w:i/>
          <w:sz w:val="18"/>
          <w:szCs w:val="18"/>
        </w:rPr>
        <w:t xml:space="preserve">Zdroj: </w:t>
      </w:r>
      <w:r w:rsidRPr="00A56EFD">
        <w:rPr>
          <w:i/>
          <w:sz w:val="18"/>
          <w:szCs w:val="18"/>
        </w:rPr>
        <w:tab/>
        <w:t xml:space="preserve">predikce: </w:t>
      </w:r>
      <w:r w:rsidR="009F31B0">
        <w:rPr>
          <w:i/>
          <w:sz w:val="18"/>
          <w:szCs w:val="18"/>
        </w:rPr>
        <w:t xml:space="preserve">IS </w:t>
      </w:r>
      <w:proofErr w:type="spellStart"/>
      <w:r w:rsidRPr="00A56EFD">
        <w:rPr>
          <w:i/>
          <w:sz w:val="18"/>
          <w:szCs w:val="18"/>
        </w:rPr>
        <w:t>Monit</w:t>
      </w:r>
      <w:proofErr w:type="spellEnd"/>
      <w:r w:rsidRPr="00A56EFD">
        <w:rPr>
          <w:i/>
          <w:sz w:val="18"/>
          <w:szCs w:val="18"/>
        </w:rPr>
        <w:t xml:space="preserve"> 7+ IOP k 10. 2. 2015</w:t>
      </w:r>
    </w:p>
    <w:p w:rsidR="00A56EFD" w:rsidRPr="00A56EFD" w:rsidRDefault="00A56EFD" w:rsidP="00A56EFD">
      <w:pPr>
        <w:jc w:val="both"/>
        <w:rPr>
          <w:i/>
          <w:sz w:val="18"/>
          <w:szCs w:val="18"/>
        </w:rPr>
      </w:pPr>
      <w:r w:rsidRPr="00A56EFD">
        <w:rPr>
          <w:i/>
          <w:sz w:val="18"/>
          <w:szCs w:val="18"/>
        </w:rPr>
        <w:tab/>
        <w:t xml:space="preserve">skutečnost a aktuální predikce: </w:t>
      </w:r>
      <w:r w:rsidR="009F31B0">
        <w:rPr>
          <w:i/>
          <w:sz w:val="18"/>
          <w:szCs w:val="18"/>
        </w:rPr>
        <w:t xml:space="preserve">IS </w:t>
      </w:r>
      <w:proofErr w:type="spellStart"/>
      <w:r w:rsidRPr="00A56EFD">
        <w:rPr>
          <w:i/>
          <w:sz w:val="18"/>
          <w:szCs w:val="18"/>
        </w:rPr>
        <w:t>Monit</w:t>
      </w:r>
      <w:proofErr w:type="spellEnd"/>
      <w:r w:rsidRPr="00A56EFD">
        <w:rPr>
          <w:i/>
          <w:sz w:val="18"/>
          <w:szCs w:val="18"/>
        </w:rPr>
        <w:t xml:space="preserve"> 7+ IOP k 7. 10. 2015</w:t>
      </w:r>
    </w:p>
    <w:p w:rsidR="00A56EFD" w:rsidRDefault="00A56EFD" w:rsidP="00A56EFD">
      <w:pPr>
        <w:jc w:val="both"/>
        <w:rPr>
          <w:i/>
          <w:sz w:val="18"/>
          <w:szCs w:val="18"/>
        </w:rPr>
      </w:pPr>
      <w:r w:rsidRPr="00A56EFD">
        <w:rPr>
          <w:i/>
          <w:sz w:val="18"/>
          <w:szCs w:val="18"/>
        </w:rPr>
        <w:t xml:space="preserve">Pozn.: </w:t>
      </w:r>
      <w:r w:rsidRPr="00A56EFD">
        <w:rPr>
          <w:i/>
          <w:sz w:val="18"/>
          <w:szCs w:val="18"/>
        </w:rPr>
        <w:tab/>
        <w:t>do predikcí započtena nová výzva ve 3.2 za 1,6 mld. Kč a dopočítáno plné vyčerpání alokace v OI 5.2</w:t>
      </w:r>
    </w:p>
    <w:p w:rsidR="005C180E" w:rsidRDefault="005C180E" w:rsidP="00A56EFD">
      <w:pPr>
        <w:jc w:val="both"/>
        <w:rPr>
          <w:i/>
          <w:sz w:val="18"/>
          <w:szCs w:val="18"/>
        </w:rPr>
      </w:pPr>
    </w:p>
    <w:p w:rsidR="005C180E" w:rsidRPr="00A56EFD" w:rsidRDefault="005C180E" w:rsidP="00A56EFD">
      <w:pPr>
        <w:jc w:val="both"/>
        <w:rPr>
          <w:i/>
          <w:sz w:val="18"/>
          <w:szCs w:val="18"/>
        </w:rPr>
      </w:pPr>
    </w:p>
    <w:p w:rsidR="00DE023A" w:rsidRPr="005C180E" w:rsidRDefault="005C180E" w:rsidP="005C180E">
      <w:pPr>
        <w:pStyle w:val="Graf"/>
        <w:rPr>
          <w:b w:val="0"/>
        </w:rPr>
      </w:pPr>
      <w:bookmarkStart w:id="56" w:name="_Toc433873584"/>
      <w:r>
        <w:rPr>
          <w:b w:val="0"/>
        </w:rPr>
        <w:t xml:space="preserve">Plnění plánu počtu předložených </w:t>
      </w:r>
      <w:proofErr w:type="spellStart"/>
      <w:r>
        <w:rPr>
          <w:b w:val="0"/>
        </w:rPr>
        <w:t>Ž</w:t>
      </w:r>
      <w:r w:rsidR="004A56BD">
        <w:rPr>
          <w:b w:val="0"/>
        </w:rPr>
        <w:t>o</w:t>
      </w:r>
      <w:r>
        <w:rPr>
          <w:b w:val="0"/>
        </w:rPr>
        <w:t>P</w:t>
      </w:r>
      <w:bookmarkEnd w:id="56"/>
      <w:proofErr w:type="spellEnd"/>
      <w:r>
        <w:rPr>
          <w:b w:val="0"/>
        </w:rPr>
        <w:t xml:space="preserve"> </w:t>
      </w:r>
    </w:p>
    <w:p w:rsidR="00DE023A" w:rsidRDefault="005C180E" w:rsidP="00DE023A">
      <w:pPr>
        <w:jc w:val="both"/>
        <w:rPr>
          <w:sz w:val="22"/>
          <w:szCs w:val="22"/>
        </w:rPr>
      </w:pPr>
      <w:r>
        <w:rPr>
          <w:noProof/>
          <w:sz w:val="16"/>
          <w:szCs w:val="16"/>
        </w:rPr>
        <w:drawing>
          <wp:inline distT="0" distB="0" distL="0" distR="0" wp14:anchorId="4F424130" wp14:editId="3BCBBBFC">
            <wp:extent cx="5534025" cy="3143921"/>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36023" cy="3145056"/>
                    </a:xfrm>
                    <a:prstGeom prst="rect">
                      <a:avLst/>
                    </a:prstGeom>
                    <a:noFill/>
                  </pic:spPr>
                </pic:pic>
              </a:graphicData>
            </a:graphic>
          </wp:inline>
        </w:drawing>
      </w:r>
    </w:p>
    <w:p w:rsidR="005C180E" w:rsidRPr="005C180E" w:rsidRDefault="005C180E" w:rsidP="005C180E">
      <w:pPr>
        <w:jc w:val="both"/>
        <w:rPr>
          <w:i/>
          <w:sz w:val="16"/>
          <w:szCs w:val="16"/>
        </w:rPr>
      </w:pPr>
      <w:r w:rsidRPr="005C180E">
        <w:rPr>
          <w:i/>
          <w:sz w:val="16"/>
          <w:szCs w:val="16"/>
        </w:rPr>
        <w:t xml:space="preserve">Zdroj: </w:t>
      </w:r>
      <w:r w:rsidRPr="005C180E">
        <w:rPr>
          <w:i/>
          <w:sz w:val="16"/>
          <w:szCs w:val="16"/>
        </w:rPr>
        <w:tab/>
        <w:t xml:space="preserve">predikce: </w:t>
      </w:r>
      <w:r w:rsidR="009F31B0">
        <w:rPr>
          <w:i/>
          <w:sz w:val="16"/>
          <w:szCs w:val="16"/>
        </w:rPr>
        <w:t xml:space="preserve">IS </w:t>
      </w:r>
      <w:proofErr w:type="spellStart"/>
      <w:r w:rsidRPr="005C180E">
        <w:rPr>
          <w:i/>
          <w:sz w:val="16"/>
          <w:szCs w:val="16"/>
        </w:rPr>
        <w:t>Monit</w:t>
      </w:r>
      <w:proofErr w:type="spellEnd"/>
      <w:r w:rsidRPr="005C180E">
        <w:rPr>
          <w:i/>
          <w:sz w:val="16"/>
          <w:szCs w:val="16"/>
        </w:rPr>
        <w:t xml:space="preserve"> 7+ IOP k 10. 2. 2015</w:t>
      </w:r>
    </w:p>
    <w:p w:rsidR="005C180E" w:rsidRPr="005C180E" w:rsidRDefault="005C180E" w:rsidP="005C180E">
      <w:pPr>
        <w:jc w:val="both"/>
        <w:rPr>
          <w:i/>
          <w:sz w:val="16"/>
          <w:szCs w:val="16"/>
        </w:rPr>
      </w:pPr>
      <w:r w:rsidRPr="005C180E">
        <w:rPr>
          <w:i/>
          <w:sz w:val="16"/>
          <w:szCs w:val="16"/>
        </w:rPr>
        <w:tab/>
        <w:t xml:space="preserve">skutečnost a aktuální predikce: </w:t>
      </w:r>
      <w:r w:rsidR="009F31B0">
        <w:rPr>
          <w:i/>
          <w:sz w:val="16"/>
          <w:szCs w:val="16"/>
        </w:rPr>
        <w:t xml:space="preserve">IS </w:t>
      </w:r>
      <w:proofErr w:type="spellStart"/>
      <w:r w:rsidRPr="005C180E">
        <w:rPr>
          <w:i/>
          <w:sz w:val="16"/>
          <w:szCs w:val="16"/>
        </w:rPr>
        <w:t>Monit</w:t>
      </w:r>
      <w:proofErr w:type="spellEnd"/>
      <w:r w:rsidRPr="005C180E">
        <w:rPr>
          <w:i/>
          <w:sz w:val="16"/>
          <w:szCs w:val="16"/>
        </w:rPr>
        <w:t xml:space="preserve"> 7+ IOP k 7. 10. 2015</w:t>
      </w:r>
    </w:p>
    <w:p w:rsidR="005C180E" w:rsidRPr="005C180E" w:rsidRDefault="005C180E" w:rsidP="005C180E">
      <w:pPr>
        <w:jc w:val="both"/>
        <w:rPr>
          <w:i/>
          <w:sz w:val="16"/>
          <w:szCs w:val="16"/>
        </w:rPr>
      </w:pPr>
      <w:r w:rsidRPr="005C180E">
        <w:rPr>
          <w:i/>
          <w:sz w:val="16"/>
          <w:szCs w:val="16"/>
        </w:rPr>
        <w:t xml:space="preserve">Pozn.: </w:t>
      </w:r>
      <w:r w:rsidRPr="005C180E">
        <w:rPr>
          <w:i/>
          <w:sz w:val="16"/>
          <w:szCs w:val="16"/>
        </w:rPr>
        <w:tab/>
        <w:t xml:space="preserve">do predikcí </w:t>
      </w:r>
      <w:r w:rsidR="00813015">
        <w:rPr>
          <w:i/>
          <w:sz w:val="16"/>
          <w:szCs w:val="16"/>
        </w:rPr>
        <w:t xml:space="preserve">je </w:t>
      </w:r>
      <w:r w:rsidRPr="005C180E">
        <w:rPr>
          <w:i/>
          <w:sz w:val="16"/>
          <w:szCs w:val="16"/>
        </w:rPr>
        <w:t>započtena výzva ve 3.2 za 1,6 mld. Kč a dopočítáno plné vyčerpání alokace v OI 5.2</w:t>
      </w:r>
    </w:p>
    <w:p w:rsidR="00BF5858" w:rsidRDefault="00BF5858" w:rsidP="002754EE">
      <w:pPr>
        <w:jc w:val="both"/>
        <w:rPr>
          <w:b/>
          <w:sz w:val="22"/>
          <w:szCs w:val="22"/>
        </w:rPr>
      </w:pPr>
    </w:p>
    <w:p w:rsidR="005C180E" w:rsidRPr="00C86ECC" w:rsidRDefault="005C180E" w:rsidP="006C5A1C">
      <w:pPr>
        <w:jc w:val="both"/>
        <w:rPr>
          <w:sz w:val="22"/>
          <w:szCs w:val="22"/>
        </w:rPr>
      </w:pPr>
      <w:r w:rsidRPr="00C86ECC">
        <w:rPr>
          <w:sz w:val="22"/>
          <w:szCs w:val="22"/>
        </w:rPr>
        <w:t>V</w:t>
      </w:r>
      <w:r w:rsidR="005F0B80">
        <w:rPr>
          <w:sz w:val="22"/>
          <w:szCs w:val="22"/>
        </w:rPr>
        <w:t xml:space="preserve"> období od dubna do konce září </w:t>
      </w:r>
      <w:r w:rsidRPr="00C86ECC">
        <w:rPr>
          <w:sz w:val="22"/>
          <w:szCs w:val="22"/>
        </w:rPr>
        <w:t xml:space="preserve">mělo být dle predikcí z února 2015 předloženo </w:t>
      </w:r>
      <w:r w:rsidR="005F0B80">
        <w:rPr>
          <w:sz w:val="22"/>
          <w:szCs w:val="22"/>
        </w:rPr>
        <w:t>507</w:t>
      </w:r>
      <w:r w:rsidRPr="00C86ECC">
        <w:rPr>
          <w:sz w:val="22"/>
          <w:szCs w:val="22"/>
        </w:rPr>
        <w:t xml:space="preserve"> </w:t>
      </w:r>
      <w:proofErr w:type="spellStart"/>
      <w:r w:rsidRPr="00C86ECC">
        <w:rPr>
          <w:sz w:val="22"/>
          <w:szCs w:val="22"/>
        </w:rPr>
        <w:t>Ž</w:t>
      </w:r>
      <w:r w:rsidR="004A56BD">
        <w:rPr>
          <w:sz w:val="22"/>
          <w:szCs w:val="22"/>
        </w:rPr>
        <w:t>o</w:t>
      </w:r>
      <w:r w:rsidRPr="00C86ECC">
        <w:rPr>
          <w:sz w:val="22"/>
          <w:szCs w:val="22"/>
        </w:rPr>
        <w:t>P</w:t>
      </w:r>
      <w:proofErr w:type="spellEnd"/>
      <w:r w:rsidRPr="00C86ECC">
        <w:rPr>
          <w:sz w:val="22"/>
          <w:szCs w:val="22"/>
        </w:rPr>
        <w:t xml:space="preserve"> v objemu </w:t>
      </w:r>
      <w:r w:rsidR="005F0B80">
        <w:rPr>
          <w:sz w:val="22"/>
          <w:szCs w:val="22"/>
        </w:rPr>
        <w:t xml:space="preserve">6 795 769 968 </w:t>
      </w:r>
      <w:r w:rsidRPr="00C86ECC">
        <w:rPr>
          <w:sz w:val="22"/>
          <w:szCs w:val="22"/>
        </w:rPr>
        <w:t>Kč</w:t>
      </w:r>
      <w:r w:rsidR="00813015">
        <w:rPr>
          <w:sz w:val="22"/>
          <w:szCs w:val="22"/>
        </w:rPr>
        <w:t>.</w:t>
      </w:r>
      <w:r w:rsidRPr="00C86ECC">
        <w:rPr>
          <w:sz w:val="22"/>
          <w:szCs w:val="22"/>
        </w:rPr>
        <w:t xml:space="preserve"> </w:t>
      </w:r>
      <w:r w:rsidR="00813015">
        <w:rPr>
          <w:sz w:val="22"/>
          <w:szCs w:val="22"/>
        </w:rPr>
        <w:t>Po</w:t>
      </w:r>
      <w:r w:rsidRPr="00C86ECC">
        <w:rPr>
          <w:sz w:val="22"/>
          <w:szCs w:val="22"/>
        </w:rPr>
        <w:t xml:space="preserve">dle dat z IS Monit7+ ze 7. 10. 2015 bylo předloženo </w:t>
      </w:r>
      <w:r w:rsidR="005F0B80">
        <w:rPr>
          <w:sz w:val="22"/>
          <w:szCs w:val="22"/>
        </w:rPr>
        <w:t>315</w:t>
      </w:r>
      <w:r w:rsidRPr="00C86ECC">
        <w:rPr>
          <w:sz w:val="22"/>
          <w:szCs w:val="22"/>
        </w:rPr>
        <w:t xml:space="preserve"> </w:t>
      </w:r>
      <w:proofErr w:type="spellStart"/>
      <w:r w:rsidRPr="00C86ECC">
        <w:rPr>
          <w:sz w:val="22"/>
          <w:szCs w:val="22"/>
        </w:rPr>
        <w:t>Ž</w:t>
      </w:r>
      <w:r w:rsidR="004A56BD">
        <w:rPr>
          <w:sz w:val="22"/>
          <w:szCs w:val="22"/>
        </w:rPr>
        <w:t>o</w:t>
      </w:r>
      <w:r w:rsidRPr="00C86ECC">
        <w:rPr>
          <w:sz w:val="22"/>
          <w:szCs w:val="22"/>
        </w:rPr>
        <w:t>P</w:t>
      </w:r>
      <w:proofErr w:type="spellEnd"/>
      <w:r w:rsidRPr="00C86ECC">
        <w:rPr>
          <w:sz w:val="22"/>
          <w:szCs w:val="22"/>
        </w:rPr>
        <w:t xml:space="preserve"> v objemu </w:t>
      </w:r>
      <w:r w:rsidR="005F0B80">
        <w:rPr>
          <w:sz w:val="22"/>
          <w:szCs w:val="22"/>
        </w:rPr>
        <w:t>3 166 177 412</w:t>
      </w:r>
      <w:r w:rsidRPr="00C86ECC">
        <w:rPr>
          <w:sz w:val="22"/>
          <w:szCs w:val="22"/>
        </w:rPr>
        <w:t xml:space="preserve"> Kč. </w:t>
      </w:r>
      <w:r w:rsidR="00C37DC0">
        <w:rPr>
          <w:sz w:val="22"/>
          <w:szCs w:val="22"/>
        </w:rPr>
        <w:t xml:space="preserve">Predikce počtu a objemu předložených </w:t>
      </w:r>
      <w:proofErr w:type="spellStart"/>
      <w:r w:rsidR="00C37DC0">
        <w:rPr>
          <w:sz w:val="22"/>
          <w:szCs w:val="22"/>
        </w:rPr>
        <w:t>ŽoP</w:t>
      </w:r>
      <w:proofErr w:type="spellEnd"/>
      <w:r w:rsidR="00C37DC0">
        <w:rPr>
          <w:sz w:val="22"/>
          <w:szCs w:val="22"/>
        </w:rPr>
        <w:t xml:space="preserve"> tak nejsou naplněny. </w:t>
      </w:r>
    </w:p>
    <w:p w:rsidR="00D644B0" w:rsidRDefault="00CB364E">
      <w:pPr>
        <w:pStyle w:val="Nadpis2"/>
        <w:rPr>
          <w:b w:val="0"/>
        </w:rPr>
      </w:pPr>
      <w:bookmarkStart w:id="57" w:name="_Toc433873483"/>
      <w:r w:rsidRPr="006266F5">
        <w:rPr>
          <w:rFonts w:ascii="Times New Roman" w:hAnsi="Times New Roman"/>
          <w:i w:val="0"/>
        </w:rPr>
        <w:lastRenderedPageBreak/>
        <w:t>2</w:t>
      </w:r>
      <w:r w:rsidR="00D644B0" w:rsidRPr="006266F5">
        <w:rPr>
          <w:rFonts w:ascii="Times New Roman" w:hAnsi="Times New Roman"/>
          <w:i w:val="0"/>
        </w:rPr>
        <w:t>.</w:t>
      </w:r>
      <w:r w:rsidR="00674032">
        <w:rPr>
          <w:rFonts w:ascii="Times New Roman" w:hAnsi="Times New Roman"/>
          <w:i w:val="0"/>
        </w:rPr>
        <w:t>8</w:t>
      </w:r>
      <w:r w:rsidR="00D644B0" w:rsidRPr="006266F5">
        <w:rPr>
          <w:rFonts w:ascii="Times New Roman" w:hAnsi="Times New Roman"/>
          <w:i w:val="0"/>
        </w:rPr>
        <w:t xml:space="preserve"> Analýza rizik ve vztahu k budoucímu pokroku implementace programu</w:t>
      </w:r>
      <w:bookmarkEnd w:id="57"/>
    </w:p>
    <w:p w:rsidR="007916FA" w:rsidRPr="00AE6842" w:rsidRDefault="007916FA" w:rsidP="007916FA">
      <w:pPr>
        <w:jc w:val="both"/>
        <w:rPr>
          <w:sz w:val="22"/>
          <w:szCs w:val="22"/>
        </w:rPr>
      </w:pPr>
      <w:r w:rsidRPr="00AE6842">
        <w:rPr>
          <w:sz w:val="22"/>
          <w:szCs w:val="22"/>
        </w:rPr>
        <w:t xml:space="preserve">ŘO IOP koordinuje řízení rizik při realizaci IOP. </w:t>
      </w:r>
      <w:r w:rsidR="00490410">
        <w:rPr>
          <w:sz w:val="22"/>
          <w:szCs w:val="22"/>
        </w:rPr>
        <w:t>S</w:t>
      </w:r>
      <w:r w:rsidR="00490410" w:rsidRPr="00AE6842">
        <w:rPr>
          <w:sz w:val="22"/>
          <w:szCs w:val="22"/>
        </w:rPr>
        <w:t>ouhrnn</w:t>
      </w:r>
      <w:r w:rsidR="00490410">
        <w:rPr>
          <w:sz w:val="22"/>
          <w:szCs w:val="22"/>
        </w:rPr>
        <w:t>ou</w:t>
      </w:r>
      <w:r w:rsidR="00490410" w:rsidRPr="00AE6842">
        <w:rPr>
          <w:sz w:val="22"/>
          <w:szCs w:val="22"/>
        </w:rPr>
        <w:t xml:space="preserve"> zpráv</w:t>
      </w:r>
      <w:r w:rsidR="00490410">
        <w:rPr>
          <w:sz w:val="22"/>
          <w:szCs w:val="22"/>
        </w:rPr>
        <w:t>u</w:t>
      </w:r>
      <w:r w:rsidR="00490410" w:rsidRPr="00AE6842">
        <w:rPr>
          <w:sz w:val="22"/>
          <w:szCs w:val="22"/>
        </w:rPr>
        <w:t xml:space="preserve"> o řízení rizik IOP </w:t>
      </w:r>
      <w:r w:rsidRPr="00AE6842">
        <w:rPr>
          <w:sz w:val="22"/>
          <w:szCs w:val="22"/>
        </w:rPr>
        <w:t xml:space="preserve">předává NOK </w:t>
      </w:r>
      <w:r>
        <w:rPr>
          <w:sz w:val="22"/>
          <w:szCs w:val="22"/>
        </w:rPr>
        <w:t>po schválení katalogu rizik IOP</w:t>
      </w:r>
      <w:r w:rsidRPr="00AE6842">
        <w:rPr>
          <w:sz w:val="22"/>
          <w:szCs w:val="22"/>
        </w:rPr>
        <w:t>. Průběžně sled</w:t>
      </w:r>
      <w:r>
        <w:rPr>
          <w:sz w:val="22"/>
          <w:szCs w:val="22"/>
        </w:rPr>
        <w:t>uje</w:t>
      </w:r>
      <w:r w:rsidRPr="00AE6842">
        <w:rPr>
          <w:sz w:val="22"/>
          <w:szCs w:val="22"/>
        </w:rPr>
        <w:t xml:space="preserve"> opatření</w:t>
      </w:r>
      <w:r w:rsidR="00625C54">
        <w:rPr>
          <w:sz w:val="22"/>
          <w:szCs w:val="22"/>
        </w:rPr>
        <w:t>,</w:t>
      </w:r>
      <w:r w:rsidRPr="00AE6842">
        <w:rPr>
          <w:sz w:val="22"/>
          <w:szCs w:val="22"/>
        </w:rPr>
        <w:t xml:space="preserve"> přijatá k eliminaci rizik</w:t>
      </w:r>
      <w:r w:rsidR="00625C54">
        <w:rPr>
          <w:sz w:val="22"/>
          <w:szCs w:val="22"/>
        </w:rPr>
        <w:t>,</w:t>
      </w:r>
      <w:r w:rsidRPr="00AE6842">
        <w:rPr>
          <w:sz w:val="22"/>
          <w:szCs w:val="22"/>
        </w:rPr>
        <w:t xml:space="preserve"> </w:t>
      </w:r>
      <w:r w:rsidR="00445CBB">
        <w:rPr>
          <w:sz w:val="22"/>
          <w:szCs w:val="22"/>
        </w:rPr>
        <w:br/>
      </w:r>
      <w:r w:rsidRPr="00AE6842">
        <w:rPr>
          <w:sz w:val="22"/>
          <w:szCs w:val="22"/>
        </w:rPr>
        <w:t xml:space="preserve">a jejich účinnost. </w:t>
      </w:r>
    </w:p>
    <w:p w:rsidR="007916FA" w:rsidRDefault="007916FA" w:rsidP="007916FA">
      <w:pPr>
        <w:tabs>
          <w:tab w:val="left" w:pos="2303"/>
          <w:tab w:val="left" w:pos="4606"/>
          <w:tab w:val="left" w:pos="6924"/>
        </w:tabs>
        <w:rPr>
          <w:rFonts w:eastAsia="Calibri"/>
          <w:b/>
          <w:bCs/>
          <w:noProof/>
          <w:color w:val="000000"/>
          <w:sz w:val="18"/>
          <w:szCs w:val="18"/>
        </w:rPr>
      </w:pPr>
    </w:p>
    <w:tbl>
      <w:tblPr>
        <w:tblW w:w="0" w:type="auto"/>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Look w:val="04A0" w:firstRow="1" w:lastRow="0" w:firstColumn="1" w:lastColumn="0" w:noHBand="0" w:noVBand="1"/>
      </w:tblPr>
      <w:tblGrid>
        <w:gridCol w:w="2093"/>
        <w:gridCol w:w="2693"/>
        <w:gridCol w:w="2120"/>
        <w:gridCol w:w="2302"/>
      </w:tblGrid>
      <w:tr w:rsidR="00BC085D" w:rsidRPr="00D86C8A" w:rsidTr="00BC085D">
        <w:trPr>
          <w:tblHeader/>
        </w:trPr>
        <w:tc>
          <w:tcPr>
            <w:tcW w:w="2093" w:type="dxa"/>
            <w:shd w:val="clear" w:color="auto" w:fill="B8CCE4" w:themeFill="accent1" w:themeFillTint="66"/>
            <w:vAlign w:val="center"/>
            <w:hideMark/>
          </w:tcPr>
          <w:p w:rsidR="00BC085D" w:rsidRPr="00D86C8A" w:rsidRDefault="00BC085D" w:rsidP="00337668">
            <w:pPr>
              <w:jc w:val="center"/>
              <w:rPr>
                <w:sz w:val="18"/>
                <w:szCs w:val="18"/>
              </w:rPr>
            </w:pPr>
            <w:r w:rsidRPr="00D86C8A">
              <w:rPr>
                <w:rFonts w:eastAsia="Calibri"/>
                <w:b/>
                <w:bCs/>
                <w:noProof/>
                <w:color w:val="000000"/>
                <w:sz w:val="18"/>
                <w:szCs w:val="18"/>
              </w:rPr>
              <w:t>Název rizika</w:t>
            </w:r>
          </w:p>
        </w:tc>
        <w:tc>
          <w:tcPr>
            <w:tcW w:w="2693" w:type="dxa"/>
            <w:shd w:val="clear" w:color="auto" w:fill="B8CCE4" w:themeFill="accent1" w:themeFillTint="66"/>
            <w:vAlign w:val="center"/>
            <w:hideMark/>
          </w:tcPr>
          <w:p w:rsidR="00BC085D" w:rsidRPr="00D86C8A" w:rsidRDefault="00BC085D" w:rsidP="00337668">
            <w:pPr>
              <w:jc w:val="center"/>
              <w:rPr>
                <w:sz w:val="18"/>
                <w:szCs w:val="18"/>
              </w:rPr>
            </w:pPr>
            <w:r w:rsidRPr="00D86C8A">
              <w:rPr>
                <w:rFonts w:eastAsia="Calibri"/>
                <w:b/>
                <w:bCs/>
                <w:noProof/>
                <w:color w:val="000000"/>
                <w:sz w:val="18"/>
                <w:szCs w:val="18"/>
              </w:rPr>
              <w:t>Popis rizika</w:t>
            </w:r>
          </w:p>
        </w:tc>
        <w:tc>
          <w:tcPr>
            <w:tcW w:w="2120" w:type="dxa"/>
            <w:shd w:val="clear" w:color="auto" w:fill="B8CCE4" w:themeFill="accent1" w:themeFillTint="66"/>
            <w:vAlign w:val="center"/>
            <w:hideMark/>
          </w:tcPr>
          <w:p w:rsidR="00BC085D" w:rsidRPr="00D86C8A" w:rsidRDefault="00BC085D" w:rsidP="00337668">
            <w:pPr>
              <w:jc w:val="center"/>
              <w:rPr>
                <w:sz w:val="18"/>
                <w:szCs w:val="18"/>
              </w:rPr>
            </w:pPr>
            <w:r w:rsidRPr="00D86C8A">
              <w:rPr>
                <w:rFonts w:eastAsia="Calibri"/>
                <w:b/>
                <w:bCs/>
                <w:noProof/>
                <w:color w:val="000000"/>
                <w:sz w:val="18"/>
                <w:szCs w:val="18"/>
              </w:rPr>
              <w:t>Dosud realizovaná opatření k eliminaci rizika a vývoj rizika</w:t>
            </w:r>
          </w:p>
        </w:tc>
        <w:tc>
          <w:tcPr>
            <w:tcW w:w="2302" w:type="dxa"/>
            <w:shd w:val="clear" w:color="auto" w:fill="B8CCE4" w:themeFill="accent1" w:themeFillTint="66"/>
            <w:vAlign w:val="center"/>
            <w:hideMark/>
          </w:tcPr>
          <w:p w:rsidR="00BC085D" w:rsidRPr="00D86C8A" w:rsidRDefault="00BC085D" w:rsidP="00337668">
            <w:pPr>
              <w:jc w:val="center"/>
              <w:rPr>
                <w:sz w:val="18"/>
                <w:szCs w:val="18"/>
              </w:rPr>
            </w:pPr>
            <w:r w:rsidRPr="00D86C8A">
              <w:rPr>
                <w:rFonts w:eastAsia="Calibri"/>
                <w:b/>
                <w:bCs/>
                <w:noProof/>
                <w:color w:val="000000"/>
                <w:sz w:val="18"/>
                <w:szCs w:val="18"/>
              </w:rPr>
              <w:t xml:space="preserve">Navrhovaná opatření </w:t>
            </w:r>
            <w:r w:rsidR="005B360C">
              <w:rPr>
                <w:rFonts w:eastAsia="Calibri"/>
                <w:b/>
                <w:bCs/>
                <w:noProof/>
                <w:color w:val="000000"/>
                <w:sz w:val="18"/>
                <w:szCs w:val="18"/>
              </w:rPr>
              <w:br/>
            </w:r>
            <w:r w:rsidRPr="00D86C8A">
              <w:rPr>
                <w:rFonts w:eastAsia="Calibri"/>
                <w:b/>
                <w:bCs/>
                <w:noProof/>
                <w:color w:val="000000"/>
                <w:sz w:val="18"/>
                <w:szCs w:val="18"/>
              </w:rPr>
              <w:t xml:space="preserve">k eliminaci rizik </w:t>
            </w:r>
            <w:r w:rsidR="005B360C">
              <w:rPr>
                <w:rFonts w:eastAsia="Calibri"/>
                <w:b/>
                <w:bCs/>
                <w:noProof/>
                <w:color w:val="000000"/>
                <w:sz w:val="18"/>
                <w:szCs w:val="18"/>
              </w:rPr>
              <w:br/>
            </w:r>
            <w:r w:rsidRPr="00D86C8A">
              <w:rPr>
                <w:rFonts w:eastAsia="Calibri"/>
                <w:b/>
                <w:bCs/>
                <w:noProof/>
                <w:color w:val="000000"/>
                <w:sz w:val="18"/>
                <w:szCs w:val="18"/>
              </w:rPr>
              <w:t>v budoucnu</w:t>
            </w:r>
          </w:p>
        </w:tc>
      </w:tr>
      <w:tr w:rsidR="00BC085D" w:rsidRPr="00D56C3E" w:rsidTr="00337668">
        <w:trPr>
          <w:trHeight w:val="855"/>
        </w:trPr>
        <w:tc>
          <w:tcPr>
            <w:tcW w:w="2093" w:type="dxa"/>
            <w:vMerge w:val="restart"/>
            <w:hideMark/>
          </w:tcPr>
          <w:p w:rsidR="00BC085D" w:rsidRPr="00D56C3E" w:rsidRDefault="00BC085D" w:rsidP="00337668">
            <w:pPr>
              <w:rPr>
                <w:sz w:val="18"/>
                <w:szCs w:val="18"/>
              </w:rPr>
            </w:pPr>
            <w:r w:rsidRPr="00D56C3E">
              <w:rPr>
                <w:rFonts w:eastAsia="Calibri"/>
                <w:b/>
                <w:bCs/>
                <w:noProof/>
                <w:color w:val="000000"/>
                <w:sz w:val="18"/>
                <w:szCs w:val="18"/>
              </w:rPr>
              <w:t xml:space="preserve">Nedodržování Dohod </w:t>
            </w:r>
            <w:r w:rsidR="00147EA6">
              <w:rPr>
                <w:rFonts w:eastAsia="Calibri"/>
                <w:b/>
                <w:bCs/>
                <w:noProof/>
                <w:color w:val="000000"/>
                <w:sz w:val="18"/>
                <w:szCs w:val="18"/>
              </w:rPr>
              <w:br/>
            </w:r>
            <w:r w:rsidRPr="00D56C3E">
              <w:rPr>
                <w:rFonts w:eastAsia="Calibri"/>
                <w:b/>
                <w:bCs/>
                <w:noProof/>
                <w:color w:val="000000"/>
                <w:sz w:val="18"/>
                <w:szCs w:val="18"/>
              </w:rPr>
              <w:t>o delegování činností na ZS a závazných postupů dle OM IOP a manuálů ZS. Nedodržování lhůt stanovených v dokumentech řízení</w:t>
            </w:r>
          </w:p>
        </w:tc>
        <w:tc>
          <w:tcPr>
            <w:tcW w:w="2693" w:type="dxa"/>
            <w:vMerge w:val="restart"/>
            <w:hideMark/>
          </w:tcPr>
          <w:p w:rsidR="00BC085D" w:rsidRPr="00D56C3E" w:rsidRDefault="00BC085D" w:rsidP="00337668">
            <w:pPr>
              <w:rPr>
                <w:sz w:val="18"/>
                <w:szCs w:val="18"/>
              </w:rPr>
            </w:pPr>
            <w:r w:rsidRPr="00D56C3E">
              <w:rPr>
                <w:noProof/>
                <w:sz w:val="18"/>
                <w:szCs w:val="18"/>
              </w:rPr>
              <w:t xml:space="preserve">Nedodržování stanovených postupů ŘO může mít závažné důsledky na realizaci programu. Může vést k nesprávným rozhodnutím, sporům a stížnostem. Nedodržování stanovených postupů znemožňuje plánovat navazující činnosti a komplikuje finanční řízení programu, důsledkem je chybovost programu  a neplnění plánů predikcí. Může znamenat dodatečné náklady u příjemců.  </w:t>
            </w:r>
          </w:p>
        </w:tc>
        <w:tc>
          <w:tcPr>
            <w:tcW w:w="2120" w:type="dxa"/>
            <w:hideMark/>
          </w:tcPr>
          <w:p w:rsidR="00BC085D" w:rsidRPr="00D56C3E" w:rsidRDefault="00BC085D" w:rsidP="00337668">
            <w:pPr>
              <w:rPr>
                <w:sz w:val="18"/>
                <w:szCs w:val="18"/>
              </w:rPr>
            </w:pPr>
            <w:r w:rsidRPr="00D56C3E">
              <w:rPr>
                <w:sz w:val="18"/>
                <w:szCs w:val="18"/>
              </w:rPr>
              <w:t>V roce 2015 ŘO IOP zahájil 28 kontrol delegovaných činností, z toho ukončeno 20.</w:t>
            </w:r>
          </w:p>
          <w:p w:rsidR="00BC085D" w:rsidRPr="00D56C3E" w:rsidRDefault="00BC085D" w:rsidP="00337668">
            <w:pPr>
              <w:rPr>
                <w:sz w:val="18"/>
                <w:szCs w:val="18"/>
              </w:rPr>
            </w:pPr>
          </w:p>
          <w:p w:rsidR="00BC085D" w:rsidRPr="00D56C3E" w:rsidRDefault="00BC085D" w:rsidP="00337668">
            <w:pPr>
              <w:rPr>
                <w:color w:val="FF0000"/>
                <w:sz w:val="18"/>
                <w:szCs w:val="18"/>
              </w:rPr>
            </w:pPr>
          </w:p>
          <w:p w:rsidR="00BC085D" w:rsidRPr="00D56C3E" w:rsidRDefault="00BC085D" w:rsidP="00337668">
            <w:pPr>
              <w:rPr>
                <w:color w:val="FF0000"/>
                <w:sz w:val="18"/>
                <w:szCs w:val="18"/>
              </w:rPr>
            </w:pPr>
          </w:p>
          <w:p w:rsidR="00BC085D" w:rsidRPr="00D56C3E" w:rsidRDefault="00BC085D" w:rsidP="00337668">
            <w:pPr>
              <w:rPr>
                <w:color w:val="FF0000"/>
                <w:sz w:val="18"/>
                <w:szCs w:val="18"/>
              </w:rPr>
            </w:pPr>
          </w:p>
          <w:p w:rsidR="00BC085D" w:rsidRPr="00D56C3E" w:rsidRDefault="00BC085D" w:rsidP="00337668">
            <w:pPr>
              <w:rPr>
                <w:color w:val="FF0000"/>
                <w:sz w:val="18"/>
                <w:szCs w:val="18"/>
              </w:rPr>
            </w:pPr>
          </w:p>
          <w:p w:rsidR="00BC085D" w:rsidRPr="00D56C3E" w:rsidRDefault="00BC085D" w:rsidP="00337668">
            <w:pPr>
              <w:rPr>
                <w:rFonts w:eastAsia="Calibri"/>
                <w:noProof/>
                <w:color w:val="FF0000"/>
                <w:sz w:val="18"/>
                <w:szCs w:val="18"/>
              </w:rPr>
            </w:pPr>
          </w:p>
          <w:p w:rsidR="00BC085D" w:rsidRPr="00D56C3E" w:rsidRDefault="00BC085D" w:rsidP="00337668">
            <w:pPr>
              <w:rPr>
                <w:sz w:val="18"/>
                <w:szCs w:val="18"/>
              </w:rPr>
            </w:pPr>
          </w:p>
        </w:tc>
        <w:tc>
          <w:tcPr>
            <w:tcW w:w="2302" w:type="dxa"/>
            <w:vAlign w:val="center"/>
          </w:tcPr>
          <w:p w:rsidR="00BC085D" w:rsidRPr="00D56C3E" w:rsidRDefault="00BC085D" w:rsidP="006071C5">
            <w:pPr>
              <w:rPr>
                <w:sz w:val="18"/>
                <w:szCs w:val="18"/>
              </w:rPr>
            </w:pPr>
            <w:r w:rsidRPr="00D56C3E">
              <w:rPr>
                <w:rFonts w:eastAsia="Calibri"/>
                <w:noProof/>
                <w:color w:val="000000"/>
                <w:sz w:val="18"/>
                <w:szCs w:val="18"/>
              </w:rPr>
              <w:t xml:space="preserve">Kontrolovat dodržování dohod a provádění delegovaných činností ZS, ukládat nápravná opatření </w:t>
            </w:r>
            <w:r w:rsidR="00256490">
              <w:rPr>
                <w:rFonts w:eastAsia="Calibri"/>
                <w:noProof/>
                <w:color w:val="000000"/>
                <w:sz w:val="18"/>
                <w:szCs w:val="18"/>
              </w:rPr>
              <w:br/>
            </w:r>
            <w:r w:rsidRPr="00D56C3E">
              <w:rPr>
                <w:rFonts w:eastAsia="Calibri"/>
                <w:noProof/>
                <w:color w:val="000000"/>
                <w:sz w:val="18"/>
                <w:szCs w:val="18"/>
              </w:rPr>
              <w:t xml:space="preserve">a sledovat jejich plnění. </w:t>
            </w:r>
            <w:r w:rsidR="00256490">
              <w:rPr>
                <w:rFonts w:eastAsia="Calibri"/>
                <w:noProof/>
                <w:color w:val="000000"/>
                <w:sz w:val="18"/>
                <w:szCs w:val="18"/>
              </w:rPr>
              <w:br/>
            </w:r>
            <w:r w:rsidR="006071C5">
              <w:rPr>
                <w:rFonts w:eastAsia="Calibri"/>
                <w:noProof/>
                <w:color w:val="000000"/>
                <w:sz w:val="18"/>
                <w:szCs w:val="18"/>
              </w:rPr>
              <w:t>R</w:t>
            </w:r>
            <w:r w:rsidRPr="00D56C3E">
              <w:rPr>
                <w:rFonts w:eastAsia="Calibri"/>
                <w:noProof/>
                <w:color w:val="000000"/>
                <w:sz w:val="18"/>
                <w:szCs w:val="18"/>
              </w:rPr>
              <w:t xml:space="preserve">ealizovat u každého ZS min. 4 kontroly delegovaných činností </w:t>
            </w:r>
            <w:r w:rsidR="006071C5">
              <w:rPr>
                <w:rFonts w:eastAsia="Calibri"/>
                <w:noProof/>
                <w:color w:val="000000"/>
                <w:sz w:val="18"/>
                <w:szCs w:val="18"/>
              </w:rPr>
              <w:t>po</w:t>
            </w:r>
            <w:r w:rsidRPr="00D56C3E">
              <w:rPr>
                <w:rFonts w:eastAsia="Calibri"/>
                <w:noProof/>
                <w:color w:val="000000"/>
                <w:sz w:val="18"/>
                <w:szCs w:val="18"/>
              </w:rPr>
              <w:t xml:space="preserve">dle zaměření v Ročním plánu kontrol ŘO IOP.  Využívat externí výpomoci v oblasti kontrol realizace projektů na základě smlouvy s firmou Cautor. </w:t>
            </w:r>
          </w:p>
        </w:tc>
      </w:tr>
      <w:tr w:rsidR="00BC085D" w:rsidRPr="00D56C3E" w:rsidTr="00337668">
        <w:trPr>
          <w:trHeight w:val="855"/>
        </w:trPr>
        <w:tc>
          <w:tcPr>
            <w:tcW w:w="2093" w:type="dxa"/>
            <w:vMerge/>
            <w:vAlign w:val="center"/>
            <w:hideMark/>
          </w:tcPr>
          <w:p w:rsidR="00BC085D" w:rsidRPr="00D56C3E" w:rsidRDefault="00BC085D" w:rsidP="00337668">
            <w:pPr>
              <w:rPr>
                <w:sz w:val="18"/>
                <w:szCs w:val="18"/>
              </w:rPr>
            </w:pPr>
          </w:p>
        </w:tc>
        <w:tc>
          <w:tcPr>
            <w:tcW w:w="2693" w:type="dxa"/>
            <w:vMerge/>
            <w:vAlign w:val="center"/>
            <w:hideMark/>
          </w:tcPr>
          <w:p w:rsidR="00BC085D" w:rsidRPr="00D56C3E" w:rsidRDefault="00BC085D" w:rsidP="00337668">
            <w:pPr>
              <w:rPr>
                <w:sz w:val="18"/>
                <w:szCs w:val="18"/>
              </w:rPr>
            </w:pPr>
          </w:p>
        </w:tc>
        <w:tc>
          <w:tcPr>
            <w:tcW w:w="2120" w:type="dxa"/>
            <w:vAlign w:val="center"/>
            <w:hideMark/>
          </w:tcPr>
          <w:p w:rsidR="00BC085D" w:rsidRPr="00D56C3E" w:rsidRDefault="00BC085D" w:rsidP="00337668">
            <w:pPr>
              <w:rPr>
                <w:rFonts w:eastAsia="Calibri"/>
                <w:noProof/>
                <w:color w:val="000000"/>
                <w:sz w:val="18"/>
                <w:szCs w:val="18"/>
              </w:rPr>
            </w:pPr>
            <w:r w:rsidRPr="00D56C3E">
              <w:rPr>
                <w:rFonts w:eastAsia="Calibri"/>
                <w:noProof/>
                <w:color w:val="000000"/>
                <w:sz w:val="18"/>
                <w:szCs w:val="18"/>
              </w:rPr>
              <w:t>Měsíční monitorovací zprávy ZS jsou využívány především jako podklad pro jednání se ZS.</w:t>
            </w:r>
          </w:p>
        </w:tc>
        <w:tc>
          <w:tcPr>
            <w:tcW w:w="2302" w:type="dxa"/>
            <w:vAlign w:val="center"/>
            <w:hideMark/>
          </w:tcPr>
          <w:p w:rsidR="00BC085D" w:rsidRPr="00D56C3E" w:rsidRDefault="00BC085D" w:rsidP="00337668">
            <w:pPr>
              <w:rPr>
                <w:sz w:val="18"/>
                <w:szCs w:val="18"/>
              </w:rPr>
            </w:pPr>
            <w:r w:rsidRPr="00D56C3E">
              <w:rPr>
                <w:sz w:val="18"/>
                <w:szCs w:val="18"/>
              </w:rPr>
              <w:t xml:space="preserve">Důsledně využívat Měsíční monitorovací zprávy ZS pro hodnocení, jak jsou dodržovány postupy </w:t>
            </w:r>
            <w:r w:rsidR="00B75EF3">
              <w:rPr>
                <w:sz w:val="18"/>
                <w:szCs w:val="18"/>
              </w:rPr>
              <w:br/>
            </w:r>
            <w:r w:rsidRPr="00D56C3E">
              <w:rPr>
                <w:sz w:val="18"/>
                <w:szCs w:val="18"/>
              </w:rPr>
              <w:t>v dokumentech řízení.</w:t>
            </w:r>
          </w:p>
        </w:tc>
      </w:tr>
      <w:tr w:rsidR="00BC085D" w:rsidRPr="00D56C3E" w:rsidTr="00337668">
        <w:trPr>
          <w:trHeight w:val="3519"/>
        </w:trPr>
        <w:tc>
          <w:tcPr>
            <w:tcW w:w="2093" w:type="dxa"/>
            <w:hideMark/>
          </w:tcPr>
          <w:p w:rsidR="00BC085D" w:rsidRPr="00D56C3E" w:rsidRDefault="00BC085D" w:rsidP="00337668">
            <w:pPr>
              <w:rPr>
                <w:sz w:val="18"/>
                <w:szCs w:val="18"/>
              </w:rPr>
            </w:pPr>
            <w:r w:rsidRPr="00D56C3E">
              <w:rPr>
                <w:rFonts w:eastAsia="Calibri"/>
                <w:b/>
                <w:bCs/>
                <w:noProof/>
                <w:color w:val="000000"/>
                <w:sz w:val="18"/>
                <w:szCs w:val="18"/>
              </w:rPr>
              <w:t>Nedostatečný audit trail</w:t>
            </w:r>
          </w:p>
        </w:tc>
        <w:tc>
          <w:tcPr>
            <w:tcW w:w="2693" w:type="dxa"/>
            <w:hideMark/>
          </w:tcPr>
          <w:p w:rsidR="00BC085D" w:rsidRPr="00D56C3E" w:rsidRDefault="00BC085D" w:rsidP="00337668">
            <w:pPr>
              <w:rPr>
                <w:rFonts w:eastAsia="Calibri"/>
                <w:noProof/>
                <w:color w:val="000000"/>
                <w:sz w:val="18"/>
                <w:szCs w:val="18"/>
              </w:rPr>
            </w:pPr>
            <w:r w:rsidRPr="00D56C3E">
              <w:rPr>
                <w:rFonts w:eastAsia="Calibri"/>
                <w:noProof/>
                <w:color w:val="000000"/>
                <w:sz w:val="18"/>
                <w:szCs w:val="18"/>
              </w:rPr>
              <w:t>Neúplné postupy uchovávání informací a dokumentace, absence či nedodržování závazných postupů archivace dokumentů a auditní stopy, nezadávání údajů do informačních systémů. Nedostatečné zdokumentování předávací agendy mezi pracovníky a stejně tak i mezi subjekty implementace.</w:t>
            </w:r>
          </w:p>
          <w:p w:rsidR="00BC085D" w:rsidRPr="00D56C3E" w:rsidRDefault="00BC085D" w:rsidP="00337668">
            <w:pPr>
              <w:rPr>
                <w:sz w:val="18"/>
                <w:szCs w:val="18"/>
              </w:rPr>
            </w:pPr>
            <w:r w:rsidRPr="00D56C3E">
              <w:rPr>
                <w:rFonts w:eastAsia="Calibri"/>
                <w:noProof/>
                <w:color w:val="000000"/>
                <w:sz w:val="18"/>
                <w:szCs w:val="18"/>
              </w:rPr>
              <w:t>E – mailová korespondence nedostatečně archivována. Riziko ztráty důležitých dokumentů. Toto riziko souvisí s rizikem navýšení chybovosti.</w:t>
            </w:r>
          </w:p>
        </w:tc>
        <w:tc>
          <w:tcPr>
            <w:tcW w:w="2120" w:type="dxa"/>
            <w:vAlign w:val="center"/>
            <w:hideMark/>
          </w:tcPr>
          <w:p w:rsidR="00BC085D" w:rsidRPr="00D56C3E" w:rsidRDefault="00BC085D" w:rsidP="00337668">
            <w:pPr>
              <w:rPr>
                <w:sz w:val="18"/>
                <w:szCs w:val="18"/>
              </w:rPr>
            </w:pPr>
            <w:r w:rsidRPr="00D56C3E">
              <w:rPr>
                <w:rFonts w:eastAsia="Calibri"/>
                <w:noProof/>
                <w:color w:val="000000"/>
                <w:sz w:val="18"/>
                <w:szCs w:val="18"/>
              </w:rPr>
              <w:t>Dodržování postupů archivace a zajištění auditní stopy bylo kontrolováno jako součást kontroly delegovaných činností.</w:t>
            </w:r>
          </w:p>
        </w:tc>
        <w:tc>
          <w:tcPr>
            <w:tcW w:w="2302" w:type="dxa"/>
            <w:vAlign w:val="center"/>
          </w:tcPr>
          <w:p w:rsidR="00BC085D" w:rsidRPr="00D56C3E" w:rsidRDefault="00BC085D" w:rsidP="00337668">
            <w:pPr>
              <w:rPr>
                <w:sz w:val="18"/>
                <w:szCs w:val="18"/>
              </w:rPr>
            </w:pPr>
            <w:r w:rsidRPr="00D56C3E">
              <w:rPr>
                <w:sz w:val="18"/>
                <w:szCs w:val="18"/>
              </w:rPr>
              <w:t xml:space="preserve">Kontrolovat dodržování postupů archivace a zajištění auditní stopy jako součást kontroly delegovaných činností na místě přiměřeně k předmětu kontroly. Kontrolu úplnosti, správnosti a včasnosti údajů zadávaných do IS </w:t>
            </w:r>
            <w:proofErr w:type="spellStart"/>
            <w:r w:rsidRPr="00D56C3E">
              <w:rPr>
                <w:sz w:val="18"/>
                <w:szCs w:val="18"/>
              </w:rPr>
              <w:t>Monit</w:t>
            </w:r>
            <w:proofErr w:type="spellEnd"/>
            <w:r w:rsidRPr="00D56C3E">
              <w:rPr>
                <w:sz w:val="18"/>
                <w:szCs w:val="18"/>
              </w:rPr>
              <w:t xml:space="preserve"> zahrnout do kontrol delegovaných činností obligatorně.</w:t>
            </w:r>
          </w:p>
        </w:tc>
      </w:tr>
      <w:tr w:rsidR="00BC085D" w:rsidRPr="00D56C3E" w:rsidTr="00337668">
        <w:trPr>
          <w:trHeight w:val="706"/>
        </w:trPr>
        <w:tc>
          <w:tcPr>
            <w:tcW w:w="2093" w:type="dxa"/>
            <w:vMerge w:val="restart"/>
            <w:hideMark/>
          </w:tcPr>
          <w:p w:rsidR="00BC085D" w:rsidRPr="00D56C3E" w:rsidRDefault="00BC085D" w:rsidP="00337668">
            <w:pPr>
              <w:rPr>
                <w:sz w:val="18"/>
                <w:szCs w:val="18"/>
              </w:rPr>
            </w:pPr>
            <w:r w:rsidRPr="00D56C3E">
              <w:rPr>
                <w:rFonts w:eastAsia="Calibri"/>
                <w:b/>
                <w:bCs/>
                <w:noProof/>
                <w:color w:val="000000"/>
                <w:sz w:val="18"/>
                <w:szCs w:val="18"/>
              </w:rPr>
              <w:t>Nedostatek kvalitních předkládaných projektů</w:t>
            </w:r>
          </w:p>
        </w:tc>
        <w:tc>
          <w:tcPr>
            <w:tcW w:w="2693" w:type="dxa"/>
            <w:vMerge w:val="restart"/>
            <w:hideMark/>
          </w:tcPr>
          <w:p w:rsidR="00BC085D" w:rsidRPr="00D56C3E" w:rsidRDefault="00BC085D" w:rsidP="00337668">
            <w:pPr>
              <w:rPr>
                <w:rFonts w:eastAsia="Calibri"/>
                <w:noProof/>
                <w:color w:val="000000"/>
                <w:sz w:val="18"/>
                <w:szCs w:val="18"/>
              </w:rPr>
            </w:pPr>
            <w:r w:rsidRPr="00D56C3E">
              <w:rPr>
                <w:rFonts w:eastAsia="Calibri"/>
                <w:noProof/>
                <w:color w:val="000000"/>
                <w:sz w:val="18"/>
                <w:szCs w:val="18"/>
              </w:rPr>
              <w:t>Nedočerpání je jedním z hlavních rizik programu, které může být důsledkem celé řady dalších rizik:</w:t>
            </w:r>
          </w:p>
          <w:p w:rsidR="00BC085D" w:rsidRPr="008967E2" w:rsidRDefault="00BC085D" w:rsidP="008967E2">
            <w:pPr>
              <w:pStyle w:val="Odstavecseseznamem"/>
              <w:numPr>
                <w:ilvl w:val="0"/>
                <w:numId w:val="51"/>
              </w:numPr>
              <w:ind w:left="317" w:hanging="283"/>
              <w:rPr>
                <w:noProof/>
                <w:color w:val="000000"/>
                <w:sz w:val="18"/>
                <w:szCs w:val="18"/>
              </w:rPr>
            </w:pPr>
            <w:r w:rsidRPr="008967E2">
              <w:rPr>
                <w:rFonts w:ascii="Times New Roman" w:hAnsi="Times New Roman"/>
                <w:noProof/>
                <w:color w:val="000000"/>
                <w:sz w:val="18"/>
                <w:szCs w:val="18"/>
              </w:rPr>
              <w:t>zpoždění při vyhlašování výzev,</w:t>
            </w:r>
          </w:p>
          <w:p w:rsidR="00BC085D" w:rsidRPr="008967E2" w:rsidRDefault="00BC085D" w:rsidP="008967E2">
            <w:pPr>
              <w:pStyle w:val="Odstavecseseznamem"/>
              <w:numPr>
                <w:ilvl w:val="0"/>
                <w:numId w:val="51"/>
              </w:numPr>
              <w:ind w:left="317" w:hanging="283"/>
              <w:rPr>
                <w:noProof/>
                <w:color w:val="000000"/>
                <w:sz w:val="18"/>
                <w:szCs w:val="18"/>
              </w:rPr>
            </w:pPr>
            <w:r w:rsidRPr="008967E2">
              <w:rPr>
                <w:rFonts w:ascii="Times New Roman" w:hAnsi="Times New Roman"/>
                <w:noProof/>
                <w:color w:val="000000"/>
                <w:sz w:val="18"/>
                <w:szCs w:val="18"/>
              </w:rPr>
              <w:t xml:space="preserve">zpoždění při realizaci projektů (odkládání etap a ukončování projektů), </w:t>
            </w:r>
          </w:p>
          <w:p w:rsidR="00BC085D" w:rsidRPr="008967E2" w:rsidRDefault="00BC085D" w:rsidP="008967E2">
            <w:pPr>
              <w:pStyle w:val="Odstavecseseznamem"/>
              <w:numPr>
                <w:ilvl w:val="0"/>
                <w:numId w:val="51"/>
              </w:numPr>
              <w:ind w:left="317" w:hanging="283"/>
              <w:rPr>
                <w:noProof/>
                <w:color w:val="000000"/>
                <w:sz w:val="18"/>
                <w:szCs w:val="18"/>
              </w:rPr>
            </w:pPr>
            <w:r w:rsidRPr="008967E2">
              <w:rPr>
                <w:rFonts w:ascii="Times New Roman" w:hAnsi="Times New Roman"/>
                <w:noProof/>
                <w:color w:val="000000"/>
                <w:sz w:val="18"/>
                <w:szCs w:val="18"/>
              </w:rPr>
              <w:t>problémová řízení rizikových a spících projektů,</w:t>
            </w:r>
          </w:p>
          <w:p w:rsidR="00BC085D" w:rsidRPr="008967E2" w:rsidRDefault="00BC085D" w:rsidP="008967E2">
            <w:pPr>
              <w:pStyle w:val="Odstavecseseznamem"/>
              <w:numPr>
                <w:ilvl w:val="0"/>
                <w:numId w:val="51"/>
              </w:numPr>
              <w:ind w:left="317" w:hanging="283"/>
              <w:rPr>
                <w:noProof/>
                <w:color w:val="000000"/>
                <w:sz w:val="18"/>
                <w:szCs w:val="18"/>
              </w:rPr>
            </w:pPr>
            <w:r w:rsidRPr="008967E2">
              <w:rPr>
                <w:rFonts w:ascii="Times New Roman" w:hAnsi="Times New Roman"/>
                <w:noProof/>
                <w:color w:val="000000"/>
                <w:sz w:val="18"/>
                <w:szCs w:val="18"/>
              </w:rPr>
              <w:t>nedostatečná administrativní kapacita,</w:t>
            </w:r>
          </w:p>
          <w:p w:rsidR="00BC085D" w:rsidRPr="008967E2" w:rsidRDefault="00BC085D" w:rsidP="008967E2">
            <w:pPr>
              <w:pStyle w:val="Odstavecseseznamem"/>
              <w:numPr>
                <w:ilvl w:val="0"/>
                <w:numId w:val="51"/>
              </w:numPr>
              <w:ind w:left="317" w:hanging="283"/>
              <w:rPr>
                <w:noProof/>
                <w:color w:val="000000"/>
                <w:sz w:val="18"/>
                <w:szCs w:val="18"/>
              </w:rPr>
            </w:pPr>
            <w:r w:rsidRPr="008967E2">
              <w:rPr>
                <w:rFonts w:ascii="Times New Roman" w:hAnsi="Times New Roman"/>
                <w:noProof/>
                <w:color w:val="000000"/>
                <w:sz w:val="18"/>
                <w:szCs w:val="18"/>
              </w:rPr>
              <w:t xml:space="preserve">chyby při realizaci projektů,                   </w:t>
            </w:r>
          </w:p>
          <w:p w:rsidR="00BC085D" w:rsidRPr="008967E2" w:rsidRDefault="00BC085D" w:rsidP="008967E2">
            <w:pPr>
              <w:pStyle w:val="Odstavecseseznamem"/>
              <w:numPr>
                <w:ilvl w:val="0"/>
                <w:numId w:val="51"/>
              </w:numPr>
              <w:ind w:left="317" w:hanging="283"/>
              <w:rPr>
                <w:noProof/>
                <w:color w:val="000000"/>
                <w:sz w:val="18"/>
                <w:szCs w:val="18"/>
              </w:rPr>
            </w:pPr>
            <w:r w:rsidRPr="008967E2">
              <w:rPr>
                <w:rFonts w:ascii="Times New Roman" w:hAnsi="Times New Roman"/>
                <w:noProof/>
                <w:color w:val="000000"/>
                <w:sz w:val="18"/>
                <w:szCs w:val="18"/>
              </w:rPr>
              <w:t xml:space="preserve">nedostatky v projektovém řízení a nedostatky v plnění </w:t>
            </w:r>
            <w:r w:rsidRPr="008967E2">
              <w:rPr>
                <w:rFonts w:ascii="Times New Roman" w:hAnsi="Times New Roman"/>
                <w:noProof/>
                <w:color w:val="000000"/>
                <w:sz w:val="18"/>
                <w:szCs w:val="18"/>
              </w:rPr>
              <w:lastRenderedPageBreak/>
              <w:t xml:space="preserve">harmonogramu,                   </w:t>
            </w:r>
          </w:p>
          <w:p w:rsidR="00BC085D" w:rsidRPr="008967E2" w:rsidRDefault="00BC085D" w:rsidP="008967E2">
            <w:pPr>
              <w:pStyle w:val="Odstavecseseznamem"/>
              <w:numPr>
                <w:ilvl w:val="0"/>
                <w:numId w:val="51"/>
              </w:numPr>
              <w:ind w:left="317" w:hanging="283"/>
              <w:rPr>
                <w:noProof/>
                <w:color w:val="000000"/>
                <w:sz w:val="18"/>
                <w:szCs w:val="18"/>
              </w:rPr>
            </w:pPr>
            <w:r w:rsidRPr="008967E2">
              <w:rPr>
                <w:rFonts w:ascii="Times New Roman" w:hAnsi="Times New Roman"/>
                <w:noProof/>
                <w:color w:val="000000"/>
                <w:sz w:val="18"/>
                <w:szCs w:val="18"/>
              </w:rPr>
              <w:t>riziko plynoucí ze změny kurzu koruny ( špatný odhad absor</w:t>
            </w:r>
            <w:r w:rsidR="00625330">
              <w:rPr>
                <w:rFonts w:ascii="Times New Roman" w:hAnsi="Times New Roman"/>
                <w:noProof/>
                <w:color w:val="000000"/>
                <w:sz w:val="18"/>
                <w:szCs w:val="18"/>
              </w:rPr>
              <w:t>p</w:t>
            </w:r>
            <w:r w:rsidRPr="008967E2">
              <w:rPr>
                <w:rFonts w:ascii="Times New Roman" w:hAnsi="Times New Roman"/>
                <w:noProof/>
                <w:color w:val="000000"/>
                <w:sz w:val="18"/>
                <w:szCs w:val="18"/>
              </w:rPr>
              <w:t>ční kapacity)</w:t>
            </w:r>
          </w:p>
          <w:p w:rsidR="00BC085D" w:rsidRPr="008967E2" w:rsidRDefault="00BC085D" w:rsidP="008967E2">
            <w:pPr>
              <w:pStyle w:val="Odstavecseseznamem"/>
              <w:numPr>
                <w:ilvl w:val="0"/>
                <w:numId w:val="51"/>
              </w:numPr>
              <w:ind w:left="317" w:hanging="283"/>
              <w:rPr>
                <w:noProof/>
                <w:color w:val="000000"/>
                <w:sz w:val="18"/>
                <w:szCs w:val="18"/>
              </w:rPr>
            </w:pPr>
            <w:r w:rsidRPr="008967E2">
              <w:rPr>
                <w:rFonts w:ascii="Times New Roman" w:hAnsi="Times New Roman"/>
                <w:noProof/>
                <w:color w:val="000000"/>
                <w:sz w:val="18"/>
                <w:szCs w:val="18"/>
              </w:rPr>
              <w:t>nesrovnalosti,</w:t>
            </w:r>
          </w:p>
          <w:p w:rsidR="00BC085D" w:rsidRPr="008967E2" w:rsidRDefault="00BC085D" w:rsidP="008967E2">
            <w:pPr>
              <w:pStyle w:val="Odstavecseseznamem"/>
              <w:numPr>
                <w:ilvl w:val="0"/>
                <w:numId w:val="51"/>
              </w:numPr>
              <w:ind w:left="317" w:hanging="283"/>
              <w:rPr>
                <w:noProof/>
                <w:color w:val="000000"/>
                <w:sz w:val="18"/>
                <w:szCs w:val="18"/>
              </w:rPr>
            </w:pPr>
            <w:r w:rsidRPr="008967E2">
              <w:rPr>
                <w:rFonts w:ascii="Times New Roman" w:hAnsi="Times New Roman"/>
                <w:noProof/>
                <w:color w:val="000000"/>
                <w:sz w:val="18"/>
                <w:szCs w:val="18"/>
              </w:rPr>
              <w:t>chyby při administraci projektů</w:t>
            </w:r>
          </w:p>
          <w:p w:rsidR="00BC085D" w:rsidRPr="008967E2" w:rsidRDefault="00BC085D" w:rsidP="008967E2">
            <w:pPr>
              <w:pStyle w:val="Odstavecseseznamem"/>
              <w:numPr>
                <w:ilvl w:val="0"/>
                <w:numId w:val="51"/>
              </w:numPr>
              <w:ind w:left="317" w:hanging="283"/>
              <w:rPr>
                <w:noProof/>
                <w:color w:val="000000"/>
                <w:sz w:val="18"/>
                <w:szCs w:val="18"/>
              </w:rPr>
            </w:pPr>
            <w:r w:rsidRPr="008967E2">
              <w:rPr>
                <w:rFonts w:ascii="Times New Roman" w:hAnsi="Times New Roman"/>
                <w:noProof/>
                <w:color w:val="000000"/>
                <w:sz w:val="18"/>
                <w:szCs w:val="18"/>
              </w:rPr>
              <w:t xml:space="preserve">vznik nezpůsobilých výdajů                                                                                           </w:t>
            </w:r>
          </w:p>
          <w:p w:rsidR="00BC085D" w:rsidRPr="00D56C3E" w:rsidRDefault="00BC085D" w:rsidP="00337668">
            <w:pPr>
              <w:rPr>
                <w:sz w:val="18"/>
                <w:szCs w:val="18"/>
              </w:rPr>
            </w:pPr>
          </w:p>
        </w:tc>
        <w:tc>
          <w:tcPr>
            <w:tcW w:w="2120" w:type="dxa"/>
            <w:hideMark/>
          </w:tcPr>
          <w:p w:rsidR="00BC085D" w:rsidRPr="00D56C3E" w:rsidRDefault="00BC085D" w:rsidP="00625330">
            <w:pPr>
              <w:rPr>
                <w:sz w:val="18"/>
                <w:szCs w:val="18"/>
              </w:rPr>
            </w:pPr>
            <w:r w:rsidRPr="00D56C3E">
              <w:rPr>
                <w:sz w:val="18"/>
                <w:szCs w:val="18"/>
              </w:rPr>
              <w:lastRenderedPageBreak/>
              <w:t>Pro rok 2015 připravil ŘO IOP ve spolupráci se ZS IOP aktualizovanou sadu opatření pro vyčerpání alokace. Jedná se o 23 plošných opatření a dalších 11 opatření pro jednotlivé oblasti intervence. Naplňování opatření ŘO průběžně sleduje a kontroluje. K 10. 3. 2015 bylo splněno 6 plošných opatření a 4 opatření specifická pro jednotlivé oblasti intervence. Ostatní opatření jsou plněna v průběhu roku 2015.</w:t>
            </w:r>
          </w:p>
        </w:tc>
        <w:tc>
          <w:tcPr>
            <w:tcW w:w="2302" w:type="dxa"/>
            <w:vAlign w:val="center"/>
            <w:hideMark/>
          </w:tcPr>
          <w:p w:rsidR="00BC085D" w:rsidRPr="00D56C3E" w:rsidRDefault="00BC085D" w:rsidP="00337668">
            <w:pPr>
              <w:rPr>
                <w:sz w:val="18"/>
                <w:szCs w:val="18"/>
              </w:rPr>
            </w:pPr>
          </w:p>
          <w:p w:rsidR="00BC085D" w:rsidRPr="00D56C3E" w:rsidRDefault="00BC085D" w:rsidP="00337668">
            <w:pPr>
              <w:rPr>
                <w:sz w:val="18"/>
                <w:szCs w:val="18"/>
              </w:rPr>
            </w:pPr>
            <w:r w:rsidRPr="00D56C3E">
              <w:rPr>
                <w:sz w:val="18"/>
                <w:szCs w:val="18"/>
              </w:rPr>
              <w:t xml:space="preserve">Pokračovat v zesíleném dohledu nad spícími a vysoce rizikovými projekty a realizovat opatření, která povede k včasnému ukončení projektů. </w:t>
            </w:r>
          </w:p>
          <w:p w:rsidR="00BC085D" w:rsidRPr="00D56C3E" w:rsidRDefault="00BC085D" w:rsidP="00337668">
            <w:pPr>
              <w:rPr>
                <w:sz w:val="18"/>
                <w:szCs w:val="18"/>
              </w:rPr>
            </w:pPr>
            <w:r w:rsidRPr="00D56C3E">
              <w:rPr>
                <w:sz w:val="18"/>
                <w:szCs w:val="18"/>
              </w:rPr>
              <w:t>Pravidelně informovat vedení MMR a vládu.</w:t>
            </w:r>
          </w:p>
          <w:p w:rsidR="00BC085D" w:rsidRPr="00D56C3E" w:rsidRDefault="00BC085D" w:rsidP="009C2077">
            <w:pPr>
              <w:rPr>
                <w:sz w:val="18"/>
                <w:szCs w:val="18"/>
              </w:rPr>
            </w:pPr>
            <w:r w:rsidRPr="00D56C3E">
              <w:rPr>
                <w:sz w:val="18"/>
                <w:szCs w:val="18"/>
              </w:rPr>
              <w:t xml:space="preserve">ŘO IOP připraví další (již XIII. aktualizaci spících </w:t>
            </w:r>
            <w:r w:rsidR="00147EA6">
              <w:rPr>
                <w:sz w:val="18"/>
                <w:szCs w:val="18"/>
              </w:rPr>
              <w:br/>
            </w:r>
            <w:r w:rsidRPr="00D56C3E">
              <w:rPr>
                <w:sz w:val="18"/>
                <w:szCs w:val="18"/>
              </w:rPr>
              <w:t>a vysoce rizikových projektů za srpen 2015</w:t>
            </w:r>
            <w:r w:rsidRPr="009C2077">
              <w:rPr>
                <w:sz w:val="18"/>
                <w:szCs w:val="18"/>
              </w:rPr>
              <w:t>). V září b</w:t>
            </w:r>
            <w:r w:rsidR="009C2077" w:rsidRPr="009C2077">
              <w:rPr>
                <w:sz w:val="18"/>
                <w:szCs w:val="18"/>
              </w:rPr>
              <w:t>yla</w:t>
            </w:r>
            <w:r w:rsidRPr="00D56C3E">
              <w:rPr>
                <w:sz w:val="18"/>
                <w:szCs w:val="18"/>
              </w:rPr>
              <w:t xml:space="preserve"> pod čj. 31332/2015-26 předložena XII. aktualizace spících a vysoce rizikových projektů.</w:t>
            </w:r>
          </w:p>
        </w:tc>
      </w:tr>
      <w:tr w:rsidR="00BC085D" w:rsidRPr="00D56C3E" w:rsidTr="00B75EF3">
        <w:trPr>
          <w:trHeight w:val="904"/>
        </w:trPr>
        <w:tc>
          <w:tcPr>
            <w:tcW w:w="2093" w:type="dxa"/>
            <w:vMerge/>
            <w:vAlign w:val="center"/>
            <w:hideMark/>
          </w:tcPr>
          <w:p w:rsidR="00BC085D" w:rsidRPr="00D56C3E" w:rsidRDefault="00BC085D" w:rsidP="00337668">
            <w:pPr>
              <w:rPr>
                <w:sz w:val="18"/>
                <w:szCs w:val="18"/>
              </w:rPr>
            </w:pPr>
          </w:p>
        </w:tc>
        <w:tc>
          <w:tcPr>
            <w:tcW w:w="2693" w:type="dxa"/>
            <w:vMerge/>
            <w:vAlign w:val="center"/>
            <w:hideMark/>
          </w:tcPr>
          <w:p w:rsidR="00BC085D" w:rsidRPr="00D56C3E" w:rsidRDefault="00BC085D" w:rsidP="00337668">
            <w:pPr>
              <w:rPr>
                <w:sz w:val="18"/>
                <w:szCs w:val="18"/>
              </w:rPr>
            </w:pPr>
          </w:p>
        </w:tc>
        <w:tc>
          <w:tcPr>
            <w:tcW w:w="2120" w:type="dxa"/>
            <w:vAlign w:val="center"/>
            <w:hideMark/>
          </w:tcPr>
          <w:p w:rsidR="00BC085D" w:rsidRPr="00D56C3E" w:rsidRDefault="00BC085D" w:rsidP="00337668">
            <w:pPr>
              <w:rPr>
                <w:sz w:val="18"/>
                <w:szCs w:val="18"/>
              </w:rPr>
            </w:pPr>
            <w:r w:rsidRPr="00D56C3E">
              <w:rPr>
                <w:sz w:val="18"/>
                <w:szCs w:val="18"/>
              </w:rPr>
              <w:t>Predikce čerpání a jejich plnění je pravidelně sledováno.</w:t>
            </w:r>
          </w:p>
        </w:tc>
        <w:tc>
          <w:tcPr>
            <w:tcW w:w="2302" w:type="dxa"/>
            <w:vAlign w:val="center"/>
            <w:hideMark/>
          </w:tcPr>
          <w:p w:rsidR="00BC085D" w:rsidRPr="00D56C3E" w:rsidRDefault="00BC085D" w:rsidP="00B75EF3">
            <w:pPr>
              <w:rPr>
                <w:sz w:val="18"/>
                <w:szCs w:val="18"/>
              </w:rPr>
            </w:pPr>
            <w:r w:rsidRPr="00D56C3E">
              <w:rPr>
                <w:sz w:val="18"/>
                <w:szCs w:val="18"/>
              </w:rPr>
              <w:t xml:space="preserve">Průběžně sledovat a vyhodnocovat predikce čerpání a jejich plnění (měsíčně). </w:t>
            </w:r>
          </w:p>
        </w:tc>
      </w:tr>
      <w:tr w:rsidR="00BC085D" w:rsidRPr="00D56C3E" w:rsidTr="00337668">
        <w:trPr>
          <w:trHeight w:val="701"/>
        </w:trPr>
        <w:tc>
          <w:tcPr>
            <w:tcW w:w="2093" w:type="dxa"/>
            <w:vMerge/>
            <w:vAlign w:val="center"/>
            <w:hideMark/>
          </w:tcPr>
          <w:p w:rsidR="00BC085D" w:rsidRPr="00D56C3E" w:rsidRDefault="00BC085D" w:rsidP="00337668">
            <w:pPr>
              <w:rPr>
                <w:sz w:val="18"/>
                <w:szCs w:val="18"/>
              </w:rPr>
            </w:pPr>
          </w:p>
        </w:tc>
        <w:tc>
          <w:tcPr>
            <w:tcW w:w="2693" w:type="dxa"/>
            <w:vMerge/>
            <w:vAlign w:val="center"/>
            <w:hideMark/>
          </w:tcPr>
          <w:p w:rsidR="00BC085D" w:rsidRPr="00D56C3E" w:rsidRDefault="00BC085D" w:rsidP="00337668">
            <w:pPr>
              <w:rPr>
                <w:sz w:val="18"/>
                <w:szCs w:val="18"/>
              </w:rPr>
            </w:pPr>
          </w:p>
        </w:tc>
        <w:tc>
          <w:tcPr>
            <w:tcW w:w="2120" w:type="dxa"/>
            <w:vAlign w:val="center"/>
            <w:hideMark/>
          </w:tcPr>
          <w:p w:rsidR="00BC085D" w:rsidRPr="00D56C3E" w:rsidRDefault="00BC085D" w:rsidP="006071C5">
            <w:pPr>
              <w:rPr>
                <w:sz w:val="18"/>
                <w:szCs w:val="18"/>
              </w:rPr>
            </w:pPr>
            <w:r w:rsidRPr="00D56C3E">
              <w:rPr>
                <w:sz w:val="18"/>
                <w:szCs w:val="18"/>
              </w:rPr>
              <w:t xml:space="preserve">Byla připravena, sledována a vyhodnocována opatření k eliminaci ztrát alokace </w:t>
            </w:r>
            <w:r w:rsidR="005562BE">
              <w:rPr>
                <w:sz w:val="18"/>
                <w:szCs w:val="18"/>
              </w:rPr>
              <w:br/>
            </w:r>
            <w:r w:rsidRPr="00D56C3E">
              <w:rPr>
                <w:sz w:val="18"/>
                <w:szCs w:val="18"/>
              </w:rPr>
              <w:t>a vládě předložena dle UV 646/2014 v lednu 2015 prostřednictvím aktualizace „Strategie dočerpání IOP“. Vychází z výsledku čerpání dotací za rok 2014 se zaměřením na max. dočerpání programu v roce 2015</w:t>
            </w:r>
            <w:r w:rsidR="006071C5">
              <w:rPr>
                <w:sz w:val="18"/>
                <w:szCs w:val="18"/>
              </w:rPr>
              <w:t>,</w:t>
            </w:r>
            <w:r w:rsidRPr="00D56C3E">
              <w:rPr>
                <w:sz w:val="18"/>
                <w:szCs w:val="18"/>
              </w:rPr>
              <w:t xml:space="preserve"> resp. 2016</w:t>
            </w:r>
            <w:r w:rsidR="006071C5">
              <w:rPr>
                <w:sz w:val="18"/>
                <w:szCs w:val="18"/>
              </w:rPr>
              <w:t>,</w:t>
            </w:r>
            <w:r w:rsidRPr="00D56C3E">
              <w:rPr>
                <w:sz w:val="18"/>
                <w:szCs w:val="18"/>
              </w:rPr>
              <w:t xml:space="preserve"> </w:t>
            </w:r>
            <w:r w:rsidR="005562BE">
              <w:rPr>
                <w:sz w:val="18"/>
                <w:szCs w:val="18"/>
              </w:rPr>
              <w:br/>
            </w:r>
            <w:r w:rsidRPr="00D56C3E">
              <w:rPr>
                <w:sz w:val="18"/>
                <w:szCs w:val="18"/>
              </w:rPr>
              <w:t>a personální kapacity na ŘO IOP a ZS IOP v roce 2015, resp. 2016.</w:t>
            </w:r>
          </w:p>
        </w:tc>
        <w:tc>
          <w:tcPr>
            <w:tcW w:w="2302" w:type="dxa"/>
            <w:vAlign w:val="center"/>
          </w:tcPr>
          <w:p w:rsidR="00BC085D" w:rsidRPr="00D56C3E" w:rsidRDefault="00BC085D" w:rsidP="00337668">
            <w:pPr>
              <w:rPr>
                <w:sz w:val="18"/>
                <w:szCs w:val="18"/>
              </w:rPr>
            </w:pPr>
            <w:r w:rsidRPr="00D56C3E">
              <w:rPr>
                <w:sz w:val="18"/>
                <w:szCs w:val="18"/>
              </w:rPr>
              <w:t xml:space="preserve">Pokračovat ve vyhodnocování a realizaci opatření </w:t>
            </w:r>
            <w:r w:rsidR="00625330">
              <w:rPr>
                <w:sz w:val="18"/>
                <w:szCs w:val="18"/>
              </w:rPr>
              <w:t>a</w:t>
            </w:r>
            <w:r w:rsidRPr="00D56C3E">
              <w:rPr>
                <w:sz w:val="18"/>
                <w:szCs w:val="18"/>
              </w:rPr>
              <w:t xml:space="preserve"> využí</w:t>
            </w:r>
            <w:r w:rsidR="00625330">
              <w:rPr>
                <w:sz w:val="18"/>
                <w:szCs w:val="18"/>
              </w:rPr>
              <w:t>vat</w:t>
            </w:r>
            <w:r w:rsidRPr="00D56C3E">
              <w:rPr>
                <w:sz w:val="18"/>
                <w:szCs w:val="18"/>
              </w:rPr>
              <w:t xml:space="preserve"> nástroj</w:t>
            </w:r>
            <w:r w:rsidR="00625330">
              <w:rPr>
                <w:sz w:val="18"/>
                <w:szCs w:val="18"/>
              </w:rPr>
              <w:t>e</w:t>
            </w:r>
            <w:r w:rsidRPr="00D56C3E">
              <w:rPr>
                <w:sz w:val="18"/>
                <w:szCs w:val="18"/>
              </w:rPr>
              <w:t xml:space="preserve"> pro dočerpání </w:t>
            </w:r>
            <w:r w:rsidR="00625330">
              <w:rPr>
                <w:sz w:val="18"/>
                <w:szCs w:val="18"/>
              </w:rPr>
              <w:t xml:space="preserve">alokace </w:t>
            </w:r>
            <w:r w:rsidRPr="00D56C3E">
              <w:rPr>
                <w:sz w:val="18"/>
                <w:szCs w:val="18"/>
              </w:rPr>
              <w:t>programu.</w:t>
            </w:r>
          </w:p>
          <w:p w:rsidR="00BC085D" w:rsidRPr="00D56C3E" w:rsidRDefault="00BC085D" w:rsidP="00337668">
            <w:pPr>
              <w:rPr>
                <w:sz w:val="18"/>
                <w:szCs w:val="18"/>
              </w:rPr>
            </w:pPr>
          </w:p>
          <w:p w:rsidR="00BC085D" w:rsidRPr="00D56C3E" w:rsidRDefault="00BC085D" w:rsidP="00337668">
            <w:pPr>
              <w:rPr>
                <w:sz w:val="18"/>
                <w:szCs w:val="18"/>
              </w:rPr>
            </w:pPr>
          </w:p>
        </w:tc>
      </w:tr>
      <w:tr w:rsidR="00BC085D" w:rsidRPr="00D56C3E" w:rsidTr="00337668">
        <w:trPr>
          <w:trHeight w:val="2084"/>
        </w:trPr>
        <w:tc>
          <w:tcPr>
            <w:tcW w:w="2093" w:type="dxa"/>
            <w:hideMark/>
          </w:tcPr>
          <w:p w:rsidR="00BC085D" w:rsidRPr="00D56C3E" w:rsidRDefault="00BC085D" w:rsidP="00337668">
            <w:pPr>
              <w:rPr>
                <w:rFonts w:eastAsia="Calibri"/>
                <w:b/>
                <w:bCs/>
                <w:noProof/>
                <w:color w:val="000000"/>
                <w:sz w:val="18"/>
                <w:szCs w:val="18"/>
              </w:rPr>
            </w:pPr>
            <w:r w:rsidRPr="00D56C3E">
              <w:rPr>
                <w:rFonts w:eastAsia="Calibri"/>
                <w:b/>
                <w:bCs/>
                <w:noProof/>
                <w:color w:val="000000"/>
                <w:sz w:val="18"/>
                <w:szCs w:val="18"/>
              </w:rPr>
              <w:t xml:space="preserve">Nenaplnění monitorovacích indikátorů programu </w:t>
            </w:r>
          </w:p>
          <w:p w:rsidR="00BC085D" w:rsidRPr="00D56C3E" w:rsidRDefault="00BC085D" w:rsidP="00337668">
            <w:pPr>
              <w:rPr>
                <w:rFonts w:eastAsia="Calibri"/>
                <w:b/>
                <w:bCs/>
                <w:noProof/>
                <w:color w:val="000000"/>
                <w:sz w:val="18"/>
                <w:szCs w:val="18"/>
              </w:rPr>
            </w:pPr>
          </w:p>
          <w:p w:rsidR="00BC085D" w:rsidRPr="00D56C3E" w:rsidRDefault="00BC085D" w:rsidP="00337668">
            <w:pPr>
              <w:rPr>
                <w:rFonts w:eastAsia="Calibri"/>
                <w:b/>
                <w:bCs/>
                <w:noProof/>
                <w:color w:val="000000"/>
                <w:sz w:val="18"/>
                <w:szCs w:val="18"/>
              </w:rPr>
            </w:pPr>
            <w:r w:rsidRPr="00D56C3E">
              <w:rPr>
                <w:rFonts w:eastAsia="Calibri"/>
                <w:b/>
                <w:bCs/>
                <w:noProof/>
                <w:color w:val="000000"/>
                <w:sz w:val="18"/>
                <w:szCs w:val="18"/>
              </w:rPr>
              <w:t xml:space="preserve">                                                                                                                                                                                                                                                                                                                                         </w:t>
            </w:r>
          </w:p>
        </w:tc>
        <w:tc>
          <w:tcPr>
            <w:tcW w:w="2693" w:type="dxa"/>
            <w:hideMark/>
          </w:tcPr>
          <w:p w:rsidR="00BC085D" w:rsidRPr="00D56C3E" w:rsidRDefault="00BC085D" w:rsidP="00337668">
            <w:pPr>
              <w:rPr>
                <w:sz w:val="18"/>
                <w:szCs w:val="18"/>
              </w:rPr>
            </w:pPr>
            <w:r w:rsidRPr="00D56C3E">
              <w:rPr>
                <w:sz w:val="18"/>
                <w:szCs w:val="18"/>
              </w:rPr>
              <w:t xml:space="preserve">Nenaplnění plánovaných hodnot monitorovacích indikátorů může vést k finančním korekcím. </w:t>
            </w:r>
          </w:p>
          <w:p w:rsidR="00BC085D" w:rsidRPr="00D56C3E" w:rsidRDefault="00BC085D" w:rsidP="00625330">
            <w:pPr>
              <w:rPr>
                <w:sz w:val="18"/>
                <w:szCs w:val="18"/>
              </w:rPr>
            </w:pPr>
            <w:r w:rsidRPr="00D56C3E">
              <w:rPr>
                <w:sz w:val="18"/>
                <w:szCs w:val="18"/>
              </w:rPr>
              <w:t xml:space="preserve">Nedosažení indikativních cílů měřených indikátory výsledku může vést k problémům při uzavírání programu. </w:t>
            </w:r>
          </w:p>
        </w:tc>
        <w:tc>
          <w:tcPr>
            <w:tcW w:w="2120" w:type="dxa"/>
            <w:vAlign w:val="center"/>
            <w:hideMark/>
          </w:tcPr>
          <w:p w:rsidR="00BC085D" w:rsidRPr="00D56C3E" w:rsidRDefault="00BC085D" w:rsidP="00337668">
            <w:pPr>
              <w:rPr>
                <w:sz w:val="18"/>
                <w:szCs w:val="18"/>
              </w:rPr>
            </w:pPr>
            <w:r w:rsidRPr="00D56C3E">
              <w:rPr>
                <w:sz w:val="18"/>
                <w:szCs w:val="18"/>
              </w:rPr>
              <w:t>Monitorování bylo prováděno v rámci aktualizace „Strategie dočerpání IOP“, poslední aktualizace odeslaná na vládu v únoru 2015 s lednovými daty.</w:t>
            </w:r>
          </w:p>
          <w:p w:rsidR="00BC085D" w:rsidRPr="00D56C3E" w:rsidRDefault="00BC085D" w:rsidP="00B75EF3">
            <w:pPr>
              <w:rPr>
                <w:sz w:val="18"/>
                <w:szCs w:val="18"/>
              </w:rPr>
            </w:pPr>
            <w:r w:rsidRPr="00D56C3E">
              <w:rPr>
                <w:sz w:val="18"/>
                <w:szCs w:val="18"/>
              </w:rPr>
              <w:t>O průběžném stavu je vedení MMR měsíčně informováno prostřednictvím Měsíční monitorovací zprávy IOP.</w:t>
            </w:r>
          </w:p>
        </w:tc>
        <w:tc>
          <w:tcPr>
            <w:tcW w:w="2302" w:type="dxa"/>
            <w:vAlign w:val="center"/>
            <w:hideMark/>
          </w:tcPr>
          <w:p w:rsidR="00BC085D" w:rsidRPr="00D56C3E" w:rsidRDefault="00BC085D" w:rsidP="009C2077">
            <w:pPr>
              <w:rPr>
                <w:sz w:val="18"/>
                <w:szCs w:val="18"/>
              </w:rPr>
            </w:pPr>
            <w:r w:rsidRPr="00C17494">
              <w:rPr>
                <w:sz w:val="18"/>
                <w:szCs w:val="18"/>
              </w:rPr>
              <w:t>Průběžně realizováno, v září ŘO IOP</w:t>
            </w:r>
            <w:r w:rsidR="009C2077">
              <w:rPr>
                <w:sz w:val="18"/>
                <w:szCs w:val="18"/>
              </w:rPr>
              <w:t xml:space="preserve"> předložil</w:t>
            </w:r>
            <w:r w:rsidRPr="00D56C3E">
              <w:rPr>
                <w:sz w:val="18"/>
                <w:szCs w:val="18"/>
              </w:rPr>
              <w:t xml:space="preserve"> vedení MMR Měsíční monitorovací zprávu IOP se srpnovými daty.               </w:t>
            </w:r>
          </w:p>
        </w:tc>
      </w:tr>
      <w:tr w:rsidR="00BC085D" w:rsidRPr="00D56C3E" w:rsidTr="00337668">
        <w:trPr>
          <w:trHeight w:val="439"/>
        </w:trPr>
        <w:tc>
          <w:tcPr>
            <w:tcW w:w="2093" w:type="dxa"/>
            <w:vAlign w:val="center"/>
            <w:hideMark/>
          </w:tcPr>
          <w:p w:rsidR="00BC085D" w:rsidRPr="00D56C3E" w:rsidRDefault="00BC085D" w:rsidP="00337668">
            <w:pPr>
              <w:rPr>
                <w:sz w:val="18"/>
                <w:szCs w:val="18"/>
              </w:rPr>
            </w:pPr>
          </w:p>
          <w:p w:rsidR="00BC085D" w:rsidRPr="00D56C3E" w:rsidRDefault="00BC085D" w:rsidP="00337668">
            <w:pPr>
              <w:rPr>
                <w:sz w:val="18"/>
                <w:szCs w:val="18"/>
              </w:rPr>
            </w:pPr>
          </w:p>
          <w:p w:rsidR="00BC085D" w:rsidRPr="00D56C3E" w:rsidRDefault="00BC085D" w:rsidP="00337668">
            <w:pPr>
              <w:rPr>
                <w:b/>
                <w:sz w:val="18"/>
                <w:szCs w:val="18"/>
              </w:rPr>
            </w:pPr>
            <w:r w:rsidRPr="00D56C3E">
              <w:rPr>
                <w:b/>
                <w:sz w:val="18"/>
                <w:szCs w:val="18"/>
              </w:rPr>
              <w:t xml:space="preserve">Včasné nedokončení projektů </w:t>
            </w:r>
          </w:p>
          <w:p w:rsidR="00BC085D" w:rsidRPr="00D56C3E" w:rsidRDefault="00BC085D" w:rsidP="00337668">
            <w:pPr>
              <w:rPr>
                <w:sz w:val="18"/>
                <w:szCs w:val="18"/>
              </w:rPr>
            </w:pPr>
          </w:p>
          <w:p w:rsidR="00BC085D" w:rsidRPr="00D56C3E" w:rsidRDefault="00BC085D" w:rsidP="00337668">
            <w:pPr>
              <w:rPr>
                <w:sz w:val="18"/>
                <w:szCs w:val="18"/>
              </w:rPr>
            </w:pPr>
          </w:p>
          <w:p w:rsidR="00BC085D" w:rsidRPr="00D56C3E" w:rsidRDefault="00BC085D" w:rsidP="00337668">
            <w:pPr>
              <w:rPr>
                <w:sz w:val="18"/>
                <w:szCs w:val="18"/>
              </w:rPr>
            </w:pPr>
          </w:p>
        </w:tc>
        <w:tc>
          <w:tcPr>
            <w:tcW w:w="2693" w:type="dxa"/>
            <w:vAlign w:val="center"/>
            <w:hideMark/>
          </w:tcPr>
          <w:p w:rsidR="00BC085D" w:rsidRPr="00D56C3E" w:rsidRDefault="00BC085D" w:rsidP="006071C5">
            <w:pPr>
              <w:rPr>
                <w:sz w:val="18"/>
                <w:szCs w:val="18"/>
              </w:rPr>
            </w:pPr>
            <w:r w:rsidRPr="00D56C3E">
              <w:rPr>
                <w:sz w:val="18"/>
                <w:szCs w:val="18"/>
              </w:rPr>
              <w:t xml:space="preserve">S ohledem na konec způsobilosti výdajů 31. prosince 2015 hrozí riziko nedokončení </w:t>
            </w:r>
            <w:r w:rsidR="006071C5">
              <w:rPr>
                <w:sz w:val="18"/>
                <w:szCs w:val="18"/>
              </w:rPr>
              <w:t xml:space="preserve">realizace </w:t>
            </w:r>
            <w:r w:rsidRPr="00D56C3E">
              <w:rPr>
                <w:sz w:val="18"/>
                <w:szCs w:val="18"/>
              </w:rPr>
              <w:t>projektů do tohoto data. Pro projekty, které budou dofinancované ze státního rozpočtu (zejména organizační složk</w:t>
            </w:r>
            <w:r w:rsidR="006071C5">
              <w:rPr>
                <w:sz w:val="18"/>
                <w:szCs w:val="18"/>
              </w:rPr>
              <w:t>y</w:t>
            </w:r>
            <w:r w:rsidRPr="00D56C3E">
              <w:rPr>
                <w:sz w:val="18"/>
                <w:szCs w:val="18"/>
              </w:rPr>
              <w:t xml:space="preserve"> státu či příspěvkov</w:t>
            </w:r>
            <w:r w:rsidR="006071C5">
              <w:rPr>
                <w:sz w:val="18"/>
                <w:szCs w:val="18"/>
              </w:rPr>
              <w:t>é</w:t>
            </w:r>
            <w:r w:rsidRPr="00D56C3E">
              <w:rPr>
                <w:sz w:val="18"/>
                <w:szCs w:val="18"/>
              </w:rPr>
              <w:t xml:space="preserve"> organizace</w:t>
            </w:r>
            <w:r w:rsidR="006071C5">
              <w:rPr>
                <w:sz w:val="18"/>
                <w:szCs w:val="18"/>
              </w:rPr>
              <w:t xml:space="preserve"> OSS</w:t>
            </w:r>
            <w:r w:rsidRPr="00D56C3E">
              <w:rPr>
                <w:sz w:val="18"/>
                <w:szCs w:val="18"/>
              </w:rPr>
              <w:t>) je potřeba zajistit dostatek finančních prostředků.</w:t>
            </w:r>
          </w:p>
        </w:tc>
        <w:tc>
          <w:tcPr>
            <w:tcW w:w="2120" w:type="dxa"/>
            <w:vAlign w:val="center"/>
          </w:tcPr>
          <w:p w:rsidR="00BC085D" w:rsidRPr="00D56C3E" w:rsidRDefault="00BC085D" w:rsidP="00337668">
            <w:pPr>
              <w:rPr>
                <w:sz w:val="18"/>
                <w:szCs w:val="18"/>
              </w:rPr>
            </w:pPr>
            <w:r w:rsidRPr="00D56C3E">
              <w:rPr>
                <w:sz w:val="18"/>
                <w:szCs w:val="18"/>
              </w:rPr>
              <w:t xml:space="preserve">Podstatná je důsledná práce s tímto typem projektů a realizace opatření, která povede </w:t>
            </w:r>
            <w:r w:rsidR="005562BE">
              <w:rPr>
                <w:sz w:val="18"/>
                <w:szCs w:val="18"/>
              </w:rPr>
              <w:br/>
            </w:r>
            <w:r w:rsidRPr="00D56C3E">
              <w:rPr>
                <w:sz w:val="18"/>
                <w:szCs w:val="18"/>
              </w:rPr>
              <w:t>k včasnému ukončení realizace projektů. (využívané aktuální znění materiálu „Analýza dočerpání IOP“, s cílem identifikovat vhodná opatření v jednotlivých oblastech intervence.</w:t>
            </w:r>
          </w:p>
          <w:p w:rsidR="00BC085D" w:rsidRPr="00D56C3E" w:rsidRDefault="00BC085D" w:rsidP="00337668">
            <w:pPr>
              <w:rPr>
                <w:sz w:val="18"/>
                <w:szCs w:val="18"/>
              </w:rPr>
            </w:pPr>
          </w:p>
          <w:p w:rsidR="00BC085D" w:rsidRPr="00D56C3E" w:rsidRDefault="00BC085D" w:rsidP="00337668">
            <w:pPr>
              <w:rPr>
                <w:sz w:val="18"/>
                <w:szCs w:val="18"/>
              </w:rPr>
            </w:pPr>
          </w:p>
          <w:p w:rsidR="00BC085D" w:rsidRPr="00D56C3E" w:rsidRDefault="00625330" w:rsidP="00337668">
            <w:pPr>
              <w:rPr>
                <w:sz w:val="18"/>
                <w:szCs w:val="18"/>
              </w:rPr>
            </w:pPr>
            <w:r>
              <w:rPr>
                <w:sz w:val="18"/>
                <w:szCs w:val="18"/>
              </w:rPr>
              <w:t>M</w:t>
            </w:r>
            <w:r w:rsidR="00BC085D" w:rsidRPr="00D56C3E">
              <w:rPr>
                <w:sz w:val="18"/>
                <w:szCs w:val="18"/>
              </w:rPr>
              <w:t>ožnost financov</w:t>
            </w:r>
            <w:r>
              <w:rPr>
                <w:sz w:val="18"/>
                <w:szCs w:val="18"/>
              </w:rPr>
              <w:t>at</w:t>
            </w:r>
            <w:r w:rsidR="00BC085D" w:rsidRPr="00D56C3E">
              <w:rPr>
                <w:sz w:val="18"/>
                <w:szCs w:val="18"/>
              </w:rPr>
              <w:t xml:space="preserve"> nedokončen</w:t>
            </w:r>
            <w:r>
              <w:rPr>
                <w:sz w:val="18"/>
                <w:szCs w:val="18"/>
              </w:rPr>
              <w:t>é</w:t>
            </w:r>
            <w:r w:rsidR="00BC085D" w:rsidRPr="00D56C3E">
              <w:rPr>
                <w:sz w:val="18"/>
                <w:szCs w:val="18"/>
              </w:rPr>
              <w:t xml:space="preserve"> projekt</w:t>
            </w:r>
            <w:r>
              <w:rPr>
                <w:sz w:val="18"/>
                <w:szCs w:val="18"/>
              </w:rPr>
              <w:t>y</w:t>
            </w:r>
            <w:r w:rsidR="00BC085D" w:rsidRPr="00D56C3E">
              <w:rPr>
                <w:sz w:val="18"/>
                <w:szCs w:val="18"/>
              </w:rPr>
              <w:t xml:space="preserve"> ze zdrojů příjemce. </w:t>
            </w:r>
          </w:p>
          <w:p w:rsidR="00BC085D" w:rsidRPr="00D56C3E" w:rsidRDefault="00BC085D" w:rsidP="00337668">
            <w:pPr>
              <w:rPr>
                <w:sz w:val="18"/>
                <w:szCs w:val="18"/>
              </w:rPr>
            </w:pPr>
          </w:p>
          <w:p w:rsidR="00BC085D" w:rsidRPr="00D56C3E" w:rsidRDefault="00BC085D" w:rsidP="00337668">
            <w:pPr>
              <w:rPr>
                <w:sz w:val="18"/>
                <w:szCs w:val="18"/>
              </w:rPr>
            </w:pPr>
          </w:p>
          <w:p w:rsidR="00BC085D" w:rsidRPr="00D56C3E" w:rsidRDefault="00BC085D" w:rsidP="00337668">
            <w:pPr>
              <w:rPr>
                <w:sz w:val="18"/>
                <w:szCs w:val="18"/>
              </w:rPr>
            </w:pPr>
          </w:p>
          <w:p w:rsidR="00BC085D" w:rsidRPr="00D56C3E" w:rsidRDefault="00BC085D" w:rsidP="00337668">
            <w:pPr>
              <w:rPr>
                <w:sz w:val="18"/>
                <w:szCs w:val="18"/>
              </w:rPr>
            </w:pPr>
          </w:p>
          <w:p w:rsidR="00BC085D" w:rsidRPr="00D56C3E" w:rsidRDefault="00BC085D" w:rsidP="00337668">
            <w:pPr>
              <w:rPr>
                <w:sz w:val="18"/>
                <w:szCs w:val="18"/>
              </w:rPr>
            </w:pPr>
          </w:p>
          <w:p w:rsidR="00BC085D" w:rsidRPr="00D56C3E" w:rsidRDefault="00BC085D" w:rsidP="00337668">
            <w:pPr>
              <w:rPr>
                <w:sz w:val="18"/>
                <w:szCs w:val="18"/>
              </w:rPr>
            </w:pPr>
          </w:p>
          <w:p w:rsidR="00BC085D" w:rsidRPr="00D56C3E" w:rsidRDefault="00BC085D" w:rsidP="00337668">
            <w:pPr>
              <w:rPr>
                <w:sz w:val="18"/>
                <w:szCs w:val="18"/>
              </w:rPr>
            </w:pPr>
          </w:p>
          <w:p w:rsidR="00BC085D" w:rsidRPr="00D56C3E" w:rsidRDefault="00BC085D" w:rsidP="006071C5">
            <w:pPr>
              <w:rPr>
                <w:sz w:val="18"/>
                <w:szCs w:val="18"/>
              </w:rPr>
            </w:pPr>
            <w:r w:rsidRPr="00D56C3E">
              <w:rPr>
                <w:sz w:val="18"/>
                <w:szCs w:val="18"/>
              </w:rPr>
              <w:t>Zohlednění pravidel pro nedokončené projekty do programové dokumentace IOP.</w:t>
            </w:r>
          </w:p>
        </w:tc>
        <w:tc>
          <w:tcPr>
            <w:tcW w:w="2302" w:type="dxa"/>
          </w:tcPr>
          <w:p w:rsidR="00BC085D" w:rsidRPr="00D56C3E" w:rsidRDefault="00BC085D" w:rsidP="00337668">
            <w:pPr>
              <w:rPr>
                <w:sz w:val="18"/>
                <w:szCs w:val="18"/>
              </w:rPr>
            </w:pPr>
            <w:r w:rsidRPr="00D56C3E">
              <w:rPr>
                <w:sz w:val="18"/>
                <w:szCs w:val="18"/>
              </w:rPr>
              <w:t xml:space="preserve">Pokračovat v zesíleném dohledu nad spícími </w:t>
            </w:r>
            <w:r w:rsidR="00256490">
              <w:rPr>
                <w:sz w:val="18"/>
                <w:szCs w:val="18"/>
              </w:rPr>
              <w:br/>
            </w:r>
            <w:r w:rsidRPr="00D56C3E">
              <w:rPr>
                <w:sz w:val="18"/>
                <w:szCs w:val="18"/>
              </w:rPr>
              <w:t>a vysoce rizikovými projekty a realizovat opatření, která povede</w:t>
            </w:r>
            <w:r w:rsidR="00256490">
              <w:rPr>
                <w:sz w:val="18"/>
                <w:szCs w:val="18"/>
              </w:rPr>
              <w:br/>
            </w:r>
            <w:r w:rsidRPr="00D56C3E">
              <w:rPr>
                <w:sz w:val="18"/>
                <w:szCs w:val="18"/>
              </w:rPr>
              <w:t xml:space="preserve">k včasnému ukončení projektů. </w:t>
            </w:r>
          </w:p>
          <w:p w:rsidR="00BC085D" w:rsidRPr="00D56C3E" w:rsidRDefault="00BC085D" w:rsidP="00337668">
            <w:pPr>
              <w:rPr>
                <w:sz w:val="18"/>
                <w:szCs w:val="18"/>
              </w:rPr>
            </w:pPr>
            <w:r w:rsidRPr="00D56C3E">
              <w:rPr>
                <w:sz w:val="18"/>
                <w:szCs w:val="18"/>
              </w:rPr>
              <w:t xml:space="preserve">Pro efektivní řízení tohoto rizika je nezbytné provést mapování projektů, </w:t>
            </w:r>
            <w:r w:rsidR="00256490">
              <w:rPr>
                <w:sz w:val="18"/>
                <w:szCs w:val="18"/>
              </w:rPr>
              <w:br/>
            </w:r>
            <w:r w:rsidRPr="00D56C3E">
              <w:rPr>
                <w:sz w:val="18"/>
                <w:szCs w:val="18"/>
              </w:rPr>
              <w:t xml:space="preserve">u kterých hrozí riziko nedokončení realizace </w:t>
            </w:r>
            <w:r w:rsidR="00256490">
              <w:rPr>
                <w:sz w:val="18"/>
                <w:szCs w:val="18"/>
              </w:rPr>
              <w:br/>
            </w:r>
            <w:r w:rsidRPr="00D56C3E">
              <w:rPr>
                <w:sz w:val="18"/>
                <w:szCs w:val="18"/>
              </w:rPr>
              <w:t xml:space="preserve">v roce 2015, </w:t>
            </w:r>
            <w:r w:rsidR="00625330">
              <w:rPr>
                <w:sz w:val="18"/>
                <w:szCs w:val="18"/>
              </w:rPr>
              <w:t>a</w:t>
            </w:r>
            <w:r w:rsidRPr="00D56C3E">
              <w:rPr>
                <w:sz w:val="18"/>
                <w:szCs w:val="18"/>
              </w:rPr>
              <w:t xml:space="preserve"> vyčísl</w:t>
            </w:r>
            <w:r w:rsidR="00625330">
              <w:rPr>
                <w:sz w:val="18"/>
                <w:szCs w:val="18"/>
              </w:rPr>
              <w:t>it</w:t>
            </w:r>
            <w:r w:rsidRPr="00D56C3E">
              <w:rPr>
                <w:sz w:val="18"/>
                <w:szCs w:val="18"/>
              </w:rPr>
              <w:t xml:space="preserve"> objem prostředků nezbytných na zajištění financování z národních zdrojů. S ohledem na minimalizaci rizika je nutné komunikovat s příjemci </w:t>
            </w:r>
            <w:r w:rsidR="00256490">
              <w:rPr>
                <w:sz w:val="18"/>
                <w:szCs w:val="18"/>
              </w:rPr>
              <w:br/>
            </w:r>
            <w:r w:rsidRPr="00D56C3E">
              <w:rPr>
                <w:sz w:val="18"/>
                <w:szCs w:val="18"/>
              </w:rPr>
              <w:t>o možnosti urychlení realizace projektů a o jejich schopnosti případného dofinancování z vlastních zdrojů</w:t>
            </w:r>
          </w:p>
          <w:p w:rsidR="00BC085D" w:rsidRPr="00D56C3E" w:rsidRDefault="00BC085D" w:rsidP="00337668">
            <w:pPr>
              <w:rPr>
                <w:sz w:val="18"/>
                <w:szCs w:val="18"/>
              </w:rPr>
            </w:pPr>
          </w:p>
          <w:p w:rsidR="009C2077" w:rsidRPr="00D56C3E" w:rsidRDefault="00BC085D" w:rsidP="009C2077">
            <w:pPr>
              <w:rPr>
                <w:sz w:val="18"/>
                <w:szCs w:val="18"/>
              </w:rPr>
            </w:pPr>
            <w:r w:rsidRPr="00D56C3E">
              <w:rPr>
                <w:sz w:val="18"/>
                <w:szCs w:val="18"/>
              </w:rPr>
              <w:t xml:space="preserve">ŘO IOP </w:t>
            </w:r>
            <w:r w:rsidR="00EA2D50">
              <w:rPr>
                <w:sz w:val="18"/>
                <w:szCs w:val="18"/>
              </w:rPr>
              <w:t>p</w:t>
            </w:r>
            <w:r w:rsidRPr="00D56C3E">
              <w:rPr>
                <w:sz w:val="18"/>
                <w:szCs w:val="18"/>
              </w:rPr>
              <w:t>řipravil kritéria IOP pro zařazení projektů mezi nedokončené projekty, resp. kapitolu „Uzavíraní IOP“ do OM IOP.</w:t>
            </w:r>
            <w:r w:rsidR="009C2077" w:rsidRPr="00D56C3E">
              <w:rPr>
                <w:sz w:val="18"/>
                <w:szCs w:val="18"/>
              </w:rPr>
              <w:t xml:space="preserve"> </w:t>
            </w:r>
            <w:r w:rsidR="009C2077">
              <w:rPr>
                <w:sz w:val="18"/>
                <w:szCs w:val="18"/>
              </w:rPr>
              <w:t xml:space="preserve">ŘO IOP </w:t>
            </w:r>
            <w:r w:rsidR="009C2077">
              <w:rPr>
                <w:sz w:val="18"/>
                <w:szCs w:val="18"/>
              </w:rPr>
              <w:lastRenderedPageBreak/>
              <w:t>vydal k uzavírání metodický pokyn.</w:t>
            </w:r>
          </w:p>
          <w:p w:rsidR="00BC085D" w:rsidRPr="00D56C3E" w:rsidRDefault="00BC085D" w:rsidP="00337668">
            <w:pPr>
              <w:rPr>
                <w:sz w:val="18"/>
                <w:szCs w:val="18"/>
              </w:rPr>
            </w:pPr>
          </w:p>
          <w:p w:rsidR="00BC085D" w:rsidRPr="00D56C3E" w:rsidRDefault="00BC085D" w:rsidP="00337668">
            <w:pPr>
              <w:rPr>
                <w:sz w:val="18"/>
                <w:szCs w:val="18"/>
              </w:rPr>
            </w:pPr>
          </w:p>
          <w:p w:rsidR="00BC085D" w:rsidRPr="00D56C3E" w:rsidRDefault="00BC085D" w:rsidP="00337668">
            <w:pPr>
              <w:rPr>
                <w:sz w:val="18"/>
                <w:szCs w:val="18"/>
              </w:rPr>
            </w:pPr>
            <w:r w:rsidRPr="00D56C3E">
              <w:rPr>
                <w:sz w:val="18"/>
                <w:szCs w:val="18"/>
              </w:rPr>
              <w:t>Čtvrtletně informovat vládu do 31. 1. 2016</w:t>
            </w:r>
          </w:p>
          <w:p w:rsidR="00BC085D" w:rsidRPr="00D56C3E" w:rsidRDefault="00BC085D" w:rsidP="00337668">
            <w:pPr>
              <w:rPr>
                <w:sz w:val="18"/>
                <w:szCs w:val="18"/>
              </w:rPr>
            </w:pPr>
          </w:p>
        </w:tc>
      </w:tr>
      <w:tr w:rsidR="00BC085D" w:rsidRPr="00D56C3E" w:rsidTr="00337668">
        <w:trPr>
          <w:trHeight w:val="437"/>
        </w:trPr>
        <w:tc>
          <w:tcPr>
            <w:tcW w:w="2093" w:type="dxa"/>
          </w:tcPr>
          <w:p w:rsidR="00BC085D" w:rsidRPr="00D56C3E" w:rsidRDefault="006071C5" w:rsidP="006071C5">
            <w:pPr>
              <w:rPr>
                <w:sz w:val="18"/>
                <w:szCs w:val="18"/>
              </w:rPr>
            </w:pPr>
            <w:r>
              <w:rPr>
                <w:b/>
                <w:sz w:val="18"/>
                <w:szCs w:val="18"/>
              </w:rPr>
              <w:lastRenderedPageBreak/>
              <w:t>N</w:t>
            </w:r>
            <w:r w:rsidR="00BC085D" w:rsidRPr="00D56C3E">
              <w:rPr>
                <w:b/>
                <w:sz w:val="18"/>
                <w:szCs w:val="18"/>
              </w:rPr>
              <w:t>ezajištění prostředků na personální a finanční kapacity ZS IOP v době ukončování programu.</w:t>
            </w:r>
          </w:p>
        </w:tc>
        <w:tc>
          <w:tcPr>
            <w:tcW w:w="2693" w:type="dxa"/>
          </w:tcPr>
          <w:p w:rsidR="00BC085D" w:rsidRPr="00D56C3E" w:rsidRDefault="00BC085D" w:rsidP="00625330">
            <w:pPr>
              <w:rPr>
                <w:sz w:val="18"/>
                <w:szCs w:val="18"/>
              </w:rPr>
            </w:pPr>
            <w:r w:rsidRPr="00D56C3E">
              <w:rPr>
                <w:sz w:val="18"/>
                <w:szCs w:val="18"/>
              </w:rPr>
              <w:t xml:space="preserve">MVČR, </w:t>
            </w:r>
            <w:proofErr w:type="spellStart"/>
            <w:r w:rsidRPr="00D56C3E">
              <w:rPr>
                <w:sz w:val="18"/>
                <w:szCs w:val="18"/>
              </w:rPr>
              <w:t>MZd</w:t>
            </w:r>
            <w:proofErr w:type="spellEnd"/>
            <w:r w:rsidR="00625330">
              <w:rPr>
                <w:sz w:val="18"/>
                <w:szCs w:val="18"/>
              </w:rPr>
              <w:t xml:space="preserve"> a</w:t>
            </w:r>
            <w:r w:rsidRPr="00D56C3E">
              <w:rPr>
                <w:sz w:val="18"/>
                <w:szCs w:val="18"/>
              </w:rPr>
              <w:t xml:space="preserve"> MPSV nejsou v programovém období 2014-2020 ZS ŘO IROP, ale na základě Dohody o delegování činností je požadováno zajištění dokončení řádného čerpání prostředků a ukončení programu. ZS IOP mají zajištěny zdroje financování administrativních kapacit z TP IOP do 30. listopadu 2015. </w:t>
            </w:r>
            <w:r w:rsidR="00625330">
              <w:rPr>
                <w:sz w:val="18"/>
                <w:szCs w:val="18"/>
              </w:rPr>
              <w:t>Č</w:t>
            </w:r>
            <w:r w:rsidRPr="00D56C3E">
              <w:rPr>
                <w:sz w:val="18"/>
                <w:szCs w:val="18"/>
              </w:rPr>
              <w:t>innost ZS je nezbytná minimálně do poloviny roku 2016.</w:t>
            </w:r>
          </w:p>
        </w:tc>
        <w:tc>
          <w:tcPr>
            <w:tcW w:w="2120" w:type="dxa"/>
            <w:vAlign w:val="center"/>
          </w:tcPr>
          <w:p w:rsidR="00BC085D" w:rsidRPr="00D56C3E" w:rsidRDefault="00BC085D" w:rsidP="00337668">
            <w:pPr>
              <w:rPr>
                <w:sz w:val="18"/>
                <w:szCs w:val="18"/>
              </w:rPr>
            </w:pPr>
            <w:r w:rsidRPr="00D56C3E">
              <w:rPr>
                <w:sz w:val="18"/>
                <w:szCs w:val="18"/>
              </w:rPr>
              <w:t xml:space="preserve">ŘO IOP vypracoval materiál „Informace o nezbytných podmínkách pro řádné dokončení IOP“ (v červenci 2015 schválen Vládou ČR) a ve spolupráci se ZS IOP připravil materiál „Administrativní kapacita na konci programového období IOP“ upravující zajištění administrativních kapacit a zdrojů financování po roce 2015 na jednotlivých ZS IOP do poloviny roku 2016. </w:t>
            </w:r>
          </w:p>
          <w:p w:rsidR="00BC085D" w:rsidRPr="00D56C3E" w:rsidRDefault="00BC085D" w:rsidP="00625330">
            <w:pPr>
              <w:rPr>
                <w:sz w:val="18"/>
                <w:szCs w:val="18"/>
              </w:rPr>
            </w:pPr>
            <w:r w:rsidRPr="00D56C3E">
              <w:rPr>
                <w:sz w:val="18"/>
                <w:szCs w:val="18"/>
              </w:rPr>
              <w:t xml:space="preserve">V květnu 2015 proběhla schůzka </w:t>
            </w:r>
            <w:r w:rsidR="00625330">
              <w:rPr>
                <w:sz w:val="18"/>
                <w:szCs w:val="18"/>
              </w:rPr>
              <w:t>s</w:t>
            </w:r>
            <w:r w:rsidRPr="00D56C3E">
              <w:rPr>
                <w:sz w:val="18"/>
                <w:szCs w:val="18"/>
              </w:rPr>
              <w:t xml:space="preserve"> cílem </w:t>
            </w:r>
            <w:r w:rsidR="00625330">
              <w:rPr>
                <w:sz w:val="18"/>
                <w:szCs w:val="18"/>
              </w:rPr>
              <w:t>z</w:t>
            </w:r>
            <w:r w:rsidRPr="00D56C3E">
              <w:rPr>
                <w:sz w:val="18"/>
                <w:szCs w:val="18"/>
              </w:rPr>
              <w:t xml:space="preserve">výšení systemizace a finančních prostředků na pracovníky pro ukončování IOP do 1/2 roku 2016 zajistily jednotlivé  ZS  ve spolupráci s MF. </w:t>
            </w:r>
          </w:p>
        </w:tc>
        <w:tc>
          <w:tcPr>
            <w:tcW w:w="2302" w:type="dxa"/>
          </w:tcPr>
          <w:p w:rsidR="00BC085D" w:rsidRPr="00D56C3E" w:rsidRDefault="00BC085D" w:rsidP="00337668">
            <w:pPr>
              <w:rPr>
                <w:sz w:val="18"/>
                <w:szCs w:val="18"/>
              </w:rPr>
            </w:pPr>
          </w:p>
          <w:p w:rsidR="00BC085D" w:rsidRPr="00D56C3E" w:rsidRDefault="00582215" w:rsidP="00337668">
            <w:pPr>
              <w:rPr>
                <w:sz w:val="18"/>
                <w:szCs w:val="18"/>
              </w:rPr>
            </w:pPr>
            <w:r w:rsidRPr="00582215">
              <w:rPr>
                <w:sz w:val="18"/>
                <w:szCs w:val="18"/>
              </w:rPr>
              <w:t>Pokračovat v realizaci opatření daných v materiálu typu „Administrativní kapacita na konci programového období IOP“ a materiálu, který připravilo MMR pro schůzi vlády „Informace o nezbytných podmínkách pro řádné dokončení Integrovaného operačního programu 2007- 2013“, který byl vládou schválen dne 29. 8. 2015</w:t>
            </w:r>
          </w:p>
        </w:tc>
      </w:tr>
      <w:tr w:rsidR="00BC085D" w:rsidRPr="00D56C3E" w:rsidTr="00DA04F7">
        <w:trPr>
          <w:trHeight w:val="2569"/>
        </w:trPr>
        <w:tc>
          <w:tcPr>
            <w:tcW w:w="2093" w:type="dxa"/>
            <w:vMerge w:val="restart"/>
            <w:hideMark/>
          </w:tcPr>
          <w:p w:rsidR="00BC085D" w:rsidRPr="00D56C3E" w:rsidRDefault="00BC085D" w:rsidP="00337668">
            <w:pPr>
              <w:rPr>
                <w:sz w:val="18"/>
                <w:szCs w:val="18"/>
              </w:rPr>
            </w:pPr>
            <w:r w:rsidRPr="00D56C3E">
              <w:rPr>
                <w:rFonts w:eastAsia="Calibri"/>
                <w:b/>
                <w:bCs/>
                <w:noProof/>
                <w:color w:val="000000"/>
                <w:sz w:val="18"/>
                <w:szCs w:val="18"/>
              </w:rPr>
              <w:t>Nedostatečně účinná kontrola hospodárnosti a efektivnosti výdajů</w:t>
            </w:r>
          </w:p>
        </w:tc>
        <w:tc>
          <w:tcPr>
            <w:tcW w:w="2693" w:type="dxa"/>
            <w:vMerge w:val="restart"/>
            <w:hideMark/>
          </w:tcPr>
          <w:p w:rsidR="00BC085D" w:rsidRPr="00D56C3E" w:rsidRDefault="00BC085D" w:rsidP="00337668">
            <w:pPr>
              <w:rPr>
                <w:rFonts w:eastAsia="Calibri"/>
                <w:noProof/>
                <w:color w:val="000000"/>
                <w:sz w:val="18"/>
                <w:szCs w:val="18"/>
              </w:rPr>
            </w:pPr>
            <w:r w:rsidRPr="00D56C3E">
              <w:rPr>
                <w:rFonts w:eastAsia="Calibri"/>
                <w:noProof/>
                <w:color w:val="000000"/>
                <w:sz w:val="18"/>
                <w:szCs w:val="18"/>
              </w:rPr>
              <w:t xml:space="preserve">Nedostatečná legislativa a neexistence nebo nejednoznačný způsob kontroly účelnosti, efektivnosti a hospodárnosti výdajů. Obtížné stanovení cen obvyklých pro posouzení hospodárnosti v projektech. </w:t>
            </w:r>
          </w:p>
          <w:p w:rsidR="00BC085D" w:rsidRPr="00D56C3E" w:rsidRDefault="00BC085D" w:rsidP="00337668">
            <w:pPr>
              <w:rPr>
                <w:sz w:val="18"/>
                <w:szCs w:val="18"/>
              </w:rPr>
            </w:pPr>
            <w:r w:rsidRPr="00D56C3E">
              <w:rPr>
                <w:rFonts w:eastAsia="Calibri"/>
                <w:noProof/>
                <w:color w:val="000000"/>
                <w:sz w:val="18"/>
                <w:szCs w:val="18"/>
              </w:rPr>
              <w:t>Nedostatečné využívání informací ze žádosti o dotaci a průběhu realizace k vyhodnocení 3E.</w:t>
            </w:r>
          </w:p>
        </w:tc>
        <w:tc>
          <w:tcPr>
            <w:tcW w:w="2120" w:type="dxa"/>
            <w:vAlign w:val="center"/>
            <w:hideMark/>
          </w:tcPr>
          <w:p w:rsidR="00BC085D" w:rsidRPr="00D56C3E" w:rsidRDefault="00BC085D" w:rsidP="00337668">
            <w:pPr>
              <w:rPr>
                <w:sz w:val="18"/>
                <w:szCs w:val="18"/>
              </w:rPr>
            </w:pPr>
            <w:r w:rsidRPr="00D56C3E">
              <w:rPr>
                <w:sz w:val="18"/>
                <w:szCs w:val="18"/>
              </w:rPr>
              <w:t>Pro hodnocení účelnosti, efektivnosti, hospodárnosti jsou využívány informace ze závěrečných zpráv z evaluací, kontrol a auditů ke kontrole účelnosti, efektivnosti a hospodárnosti nebo ke stanovení postupů a metod pro jejich sledování.</w:t>
            </w:r>
          </w:p>
        </w:tc>
        <w:tc>
          <w:tcPr>
            <w:tcW w:w="2302" w:type="dxa"/>
            <w:vAlign w:val="center"/>
            <w:hideMark/>
          </w:tcPr>
          <w:p w:rsidR="00BC085D" w:rsidRPr="00D56C3E" w:rsidRDefault="00BC085D" w:rsidP="00337668">
            <w:pPr>
              <w:rPr>
                <w:sz w:val="18"/>
                <w:szCs w:val="18"/>
              </w:rPr>
            </w:pPr>
            <w:r w:rsidRPr="00D56C3E">
              <w:rPr>
                <w:sz w:val="18"/>
                <w:szCs w:val="18"/>
              </w:rPr>
              <w:t xml:space="preserve">Hodnocení 3E prioritně zaměřit do etapy posuzování projektových žádostí. Využívat znění kapitoly </w:t>
            </w:r>
            <w:proofErr w:type="gramStart"/>
            <w:r w:rsidRPr="00D56C3E">
              <w:rPr>
                <w:sz w:val="18"/>
                <w:szCs w:val="18"/>
              </w:rPr>
              <w:t>A.1.3.4</w:t>
            </w:r>
            <w:proofErr w:type="gramEnd"/>
            <w:r w:rsidRPr="00D56C3E">
              <w:rPr>
                <w:sz w:val="18"/>
                <w:szCs w:val="18"/>
              </w:rPr>
              <w:t xml:space="preserve"> OM IOP. </w:t>
            </w:r>
          </w:p>
          <w:p w:rsidR="00BC085D" w:rsidRPr="00D56C3E" w:rsidRDefault="00BC085D" w:rsidP="00337668">
            <w:pPr>
              <w:rPr>
                <w:sz w:val="18"/>
                <w:szCs w:val="18"/>
              </w:rPr>
            </w:pPr>
            <w:r w:rsidRPr="00D56C3E">
              <w:rPr>
                <w:sz w:val="18"/>
                <w:szCs w:val="18"/>
              </w:rPr>
              <w:t xml:space="preserve">Hodnocení je prováděno především před uzavíráním smluv. </w:t>
            </w:r>
          </w:p>
          <w:p w:rsidR="00BC085D" w:rsidRPr="00D56C3E" w:rsidRDefault="00BC085D" w:rsidP="00EA2D50">
            <w:pPr>
              <w:rPr>
                <w:sz w:val="18"/>
                <w:szCs w:val="18"/>
              </w:rPr>
            </w:pPr>
            <w:r w:rsidRPr="00D56C3E">
              <w:rPr>
                <w:sz w:val="18"/>
                <w:szCs w:val="18"/>
              </w:rPr>
              <w:t>Využívat MP č. 61, který aktualizuje postupy kontroly VZ a KL v souladu s potřebami IOP.</w:t>
            </w:r>
          </w:p>
        </w:tc>
      </w:tr>
      <w:tr w:rsidR="00BC085D" w:rsidRPr="00D56C3E" w:rsidTr="00337668">
        <w:trPr>
          <w:trHeight w:val="1622"/>
        </w:trPr>
        <w:tc>
          <w:tcPr>
            <w:tcW w:w="2093" w:type="dxa"/>
            <w:vMerge/>
            <w:vAlign w:val="center"/>
            <w:hideMark/>
          </w:tcPr>
          <w:p w:rsidR="00BC085D" w:rsidRPr="00D56C3E" w:rsidRDefault="00BC085D" w:rsidP="00337668">
            <w:pPr>
              <w:rPr>
                <w:sz w:val="18"/>
                <w:szCs w:val="18"/>
              </w:rPr>
            </w:pPr>
          </w:p>
        </w:tc>
        <w:tc>
          <w:tcPr>
            <w:tcW w:w="2693" w:type="dxa"/>
            <w:vMerge/>
            <w:vAlign w:val="center"/>
            <w:hideMark/>
          </w:tcPr>
          <w:p w:rsidR="00BC085D" w:rsidRPr="00D56C3E" w:rsidRDefault="00BC085D" w:rsidP="00337668">
            <w:pPr>
              <w:rPr>
                <w:sz w:val="18"/>
                <w:szCs w:val="18"/>
              </w:rPr>
            </w:pPr>
          </w:p>
        </w:tc>
        <w:tc>
          <w:tcPr>
            <w:tcW w:w="2120" w:type="dxa"/>
            <w:vAlign w:val="center"/>
            <w:hideMark/>
          </w:tcPr>
          <w:p w:rsidR="00BC085D" w:rsidRPr="00D56C3E" w:rsidRDefault="00BC085D" w:rsidP="00EA2D50">
            <w:pPr>
              <w:rPr>
                <w:sz w:val="18"/>
                <w:szCs w:val="18"/>
              </w:rPr>
            </w:pPr>
            <w:r w:rsidRPr="00D56C3E">
              <w:rPr>
                <w:sz w:val="18"/>
                <w:szCs w:val="18"/>
              </w:rPr>
              <w:t>Pro vyhodnocení a návrhy v oblasti 3E jsou využívány externí služby expertů.</w:t>
            </w:r>
          </w:p>
        </w:tc>
        <w:tc>
          <w:tcPr>
            <w:tcW w:w="2302" w:type="dxa"/>
            <w:vAlign w:val="center"/>
            <w:hideMark/>
          </w:tcPr>
          <w:p w:rsidR="00BC085D" w:rsidRPr="00D56C3E" w:rsidRDefault="00BC085D" w:rsidP="00EA2D50">
            <w:pPr>
              <w:rPr>
                <w:sz w:val="18"/>
                <w:szCs w:val="18"/>
              </w:rPr>
            </w:pPr>
            <w:r w:rsidRPr="00D56C3E">
              <w:rPr>
                <w:sz w:val="18"/>
                <w:szCs w:val="18"/>
              </w:rPr>
              <w:t>Informace z vyhodnocení 3E využít při revizi postupů pro kontroly veřejných zakázek a způsobilosti výdajů ve vztahu k účelnosti, efektivnosti a hospodárnosti.</w:t>
            </w:r>
          </w:p>
        </w:tc>
      </w:tr>
      <w:tr w:rsidR="00BC085D" w:rsidRPr="00D56C3E" w:rsidTr="00337668">
        <w:trPr>
          <w:trHeight w:val="915"/>
        </w:trPr>
        <w:tc>
          <w:tcPr>
            <w:tcW w:w="2093" w:type="dxa"/>
            <w:vMerge w:val="restart"/>
            <w:hideMark/>
          </w:tcPr>
          <w:p w:rsidR="00BC085D" w:rsidRPr="00D56C3E" w:rsidRDefault="00BC085D" w:rsidP="00337668">
            <w:pPr>
              <w:rPr>
                <w:sz w:val="18"/>
                <w:szCs w:val="18"/>
              </w:rPr>
            </w:pPr>
            <w:r w:rsidRPr="00D56C3E">
              <w:rPr>
                <w:rFonts w:eastAsia="Calibri"/>
                <w:b/>
                <w:bCs/>
                <w:noProof/>
                <w:color w:val="000000"/>
                <w:sz w:val="18"/>
                <w:szCs w:val="18"/>
              </w:rPr>
              <w:t>Porušení pravidel pro zadávání veřejných zakázek</w:t>
            </w:r>
          </w:p>
        </w:tc>
        <w:tc>
          <w:tcPr>
            <w:tcW w:w="2693" w:type="dxa"/>
            <w:vMerge w:val="restart"/>
            <w:hideMark/>
          </w:tcPr>
          <w:p w:rsidR="00BC085D" w:rsidRPr="00D56C3E" w:rsidRDefault="00BC085D" w:rsidP="00337668">
            <w:pPr>
              <w:rPr>
                <w:rFonts w:eastAsia="Calibri"/>
                <w:noProof/>
                <w:color w:val="000000"/>
                <w:sz w:val="18"/>
                <w:szCs w:val="18"/>
              </w:rPr>
            </w:pPr>
            <w:r w:rsidRPr="00D56C3E">
              <w:rPr>
                <w:rFonts w:eastAsia="Calibri"/>
                <w:noProof/>
                <w:color w:val="000000"/>
                <w:sz w:val="18"/>
                <w:szCs w:val="18"/>
              </w:rPr>
              <w:t xml:space="preserve">Porušení pravidel pro zadávání veřejných zakázek představuje jedno z nejčastějších pochybení v realizaci projektu a největší objem nezpůsobilých výdajů. </w:t>
            </w:r>
          </w:p>
          <w:p w:rsidR="00BC085D" w:rsidRPr="00D56C3E" w:rsidRDefault="00BC085D" w:rsidP="00337668">
            <w:pPr>
              <w:rPr>
                <w:rFonts w:eastAsia="Calibri"/>
                <w:noProof/>
                <w:color w:val="000000"/>
                <w:sz w:val="18"/>
                <w:szCs w:val="18"/>
              </w:rPr>
            </w:pPr>
            <w:r w:rsidRPr="00D56C3E">
              <w:rPr>
                <w:rFonts w:eastAsia="Calibri"/>
                <w:noProof/>
                <w:color w:val="000000"/>
                <w:sz w:val="18"/>
                <w:szCs w:val="18"/>
              </w:rPr>
              <w:t xml:space="preserve">Posuzování správnosti postupu při zadávání veřejné zakázky na Úřadu pro ochranu hospodářské soutěže může představovat </w:t>
            </w:r>
            <w:r w:rsidRPr="00D56C3E">
              <w:rPr>
                <w:rFonts w:eastAsia="Calibri"/>
                <w:noProof/>
                <w:color w:val="000000"/>
                <w:sz w:val="18"/>
                <w:szCs w:val="18"/>
              </w:rPr>
              <w:lastRenderedPageBreak/>
              <w:t xml:space="preserve">významné zdržení realizace projektu, protože vydání stanoviska může trvat několik měsíců. </w:t>
            </w:r>
          </w:p>
          <w:p w:rsidR="00BC085D" w:rsidRPr="00D56C3E" w:rsidRDefault="00BC085D" w:rsidP="00337668">
            <w:pPr>
              <w:rPr>
                <w:sz w:val="18"/>
                <w:szCs w:val="18"/>
              </w:rPr>
            </w:pPr>
            <w:r w:rsidRPr="00D56C3E">
              <w:rPr>
                <w:rFonts w:eastAsia="Calibri"/>
                <w:noProof/>
                <w:color w:val="000000"/>
                <w:sz w:val="18"/>
                <w:szCs w:val="18"/>
              </w:rPr>
              <w:t xml:space="preserve">Před zadáním se neprovádí kontrola všech zakázek, neodhalí se včas nedostatky a nesrovnalosti s dopadem na čerpání a chybovost programu. Podle zjištění auditu systému z roku 2014 je převážná část pochybení v zadávací dokumentaci (diskriminační kritéria, měřitelnost kritérií pro zadání zakázky) a v chybných postupech při hodnocení, případně v neoprávněném zadání v JŘBU. </w:t>
            </w:r>
          </w:p>
        </w:tc>
        <w:tc>
          <w:tcPr>
            <w:tcW w:w="2120" w:type="dxa"/>
            <w:hideMark/>
          </w:tcPr>
          <w:p w:rsidR="00BC085D" w:rsidRPr="00D56C3E" w:rsidRDefault="00BC085D" w:rsidP="00337668">
            <w:pPr>
              <w:rPr>
                <w:rFonts w:eastAsia="Calibri"/>
                <w:noProof/>
                <w:color w:val="000000"/>
                <w:sz w:val="18"/>
                <w:szCs w:val="18"/>
              </w:rPr>
            </w:pPr>
          </w:p>
          <w:p w:rsidR="00BC085D" w:rsidRPr="00D56C3E" w:rsidRDefault="00BC085D" w:rsidP="00625330">
            <w:pPr>
              <w:rPr>
                <w:sz w:val="18"/>
                <w:szCs w:val="18"/>
              </w:rPr>
            </w:pPr>
            <w:r w:rsidRPr="00D56C3E">
              <w:rPr>
                <w:rFonts w:eastAsia="Calibri"/>
                <w:noProof/>
                <w:color w:val="000000"/>
                <w:sz w:val="18"/>
                <w:szCs w:val="18"/>
              </w:rPr>
              <w:t>ŘO IOP kromě kontrol delegovaných činností na VZ realizuje kontroly na projektu, při níž ov</w:t>
            </w:r>
            <w:r w:rsidR="00625330">
              <w:rPr>
                <w:rFonts w:eastAsia="Calibri"/>
                <w:noProof/>
                <w:color w:val="000000"/>
                <w:sz w:val="18"/>
                <w:szCs w:val="18"/>
              </w:rPr>
              <w:t>ě</w:t>
            </w:r>
            <w:r w:rsidRPr="00D56C3E">
              <w:rPr>
                <w:rFonts w:eastAsia="Calibri"/>
                <w:noProof/>
                <w:color w:val="000000"/>
                <w:sz w:val="18"/>
                <w:szCs w:val="18"/>
              </w:rPr>
              <w:t>řuje správnost postupu ZS při hodnocení VZ.</w:t>
            </w:r>
          </w:p>
        </w:tc>
        <w:tc>
          <w:tcPr>
            <w:tcW w:w="2302" w:type="dxa"/>
            <w:vAlign w:val="center"/>
            <w:hideMark/>
          </w:tcPr>
          <w:p w:rsidR="00BC085D" w:rsidRPr="00D56C3E" w:rsidRDefault="00BC085D" w:rsidP="00337668">
            <w:pPr>
              <w:rPr>
                <w:sz w:val="18"/>
                <w:szCs w:val="18"/>
              </w:rPr>
            </w:pPr>
            <w:r w:rsidRPr="00D56C3E">
              <w:rPr>
                <w:sz w:val="18"/>
                <w:szCs w:val="18"/>
              </w:rPr>
              <w:t>Opatření ke snížení rizika se prioritně musí soustředit na schvalování zadávací dokumentace.</w:t>
            </w:r>
          </w:p>
          <w:p w:rsidR="00BC085D" w:rsidRPr="00D56C3E" w:rsidRDefault="00BC085D" w:rsidP="00625330">
            <w:pPr>
              <w:rPr>
                <w:sz w:val="18"/>
                <w:szCs w:val="18"/>
              </w:rPr>
            </w:pPr>
            <w:r w:rsidRPr="00D56C3E">
              <w:rPr>
                <w:sz w:val="18"/>
                <w:szCs w:val="18"/>
              </w:rPr>
              <w:t xml:space="preserve">Kontroly delegovaných činností </w:t>
            </w:r>
            <w:r w:rsidR="00625330">
              <w:rPr>
                <w:sz w:val="18"/>
                <w:szCs w:val="18"/>
              </w:rPr>
              <w:t>na</w:t>
            </w:r>
            <w:r w:rsidRPr="00D56C3E">
              <w:rPr>
                <w:sz w:val="18"/>
                <w:szCs w:val="18"/>
              </w:rPr>
              <w:t xml:space="preserve"> ZS zaměřit na postupy při kontrolách veřejných</w:t>
            </w:r>
            <w:r>
              <w:rPr>
                <w:sz w:val="18"/>
                <w:szCs w:val="18"/>
              </w:rPr>
              <w:t xml:space="preserve"> </w:t>
            </w:r>
            <w:r w:rsidRPr="00D56C3E">
              <w:rPr>
                <w:sz w:val="18"/>
                <w:szCs w:val="18"/>
              </w:rPr>
              <w:t>zakázek a jejich dodržování.</w:t>
            </w:r>
          </w:p>
        </w:tc>
      </w:tr>
      <w:tr w:rsidR="00BC085D" w:rsidRPr="00D56C3E" w:rsidTr="00337668">
        <w:trPr>
          <w:trHeight w:val="1277"/>
        </w:trPr>
        <w:tc>
          <w:tcPr>
            <w:tcW w:w="2093" w:type="dxa"/>
            <w:vMerge/>
            <w:vAlign w:val="center"/>
            <w:hideMark/>
          </w:tcPr>
          <w:p w:rsidR="00BC085D" w:rsidRPr="00D56C3E" w:rsidRDefault="00BC085D" w:rsidP="00337668">
            <w:pPr>
              <w:rPr>
                <w:sz w:val="18"/>
                <w:szCs w:val="18"/>
              </w:rPr>
            </w:pPr>
          </w:p>
        </w:tc>
        <w:tc>
          <w:tcPr>
            <w:tcW w:w="2693" w:type="dxa"/>
            <w:vMerge/>
            <w:vAlign w:val="center"/>
            <w:hideMark/>
          </w:tcPr>
          <w:p w:rsidR="00BC085D" w:rsidRPr="00D56C3E" w:rsidRDefault="00BC085D" w:rsidP="00337668">
            <w:pPr>
              <w:rPr>
                <w:sz w:val="18"/>
                <w:szCs w:val="18"/>
              </w:rPr>
            </w:pPr>
          </w:p>
        </w:tc>
        <w:tc>
          <w:tcPr>
            <w:tcW w:w="2120" w:type="dxa"/>
            <w:vAlign w:val="center"/>
            <w:hideMark/>
          </w:tcPr>
          <w:p w:rsidR="00BC085D" w:rsidRPr="00D56C3E" w:rsidRDefault="00BC085D" w:rsidP="00337668">
            <w:pPr>
              <w:rPr>
                <w:sz w:val="18"/>
                <w:szCs w:val="18"/>
              </w:rPr>
            </w:pPr>
            <w:r w:rsidRPr="00D56C3E">
              <w:rPr>
                <w:sz w:val="18"/>
                <w:szCs w:val="18"/>
              </w:rPr>
              <w:t xml:space="preserve">Na základě UV č. 144 ze dne 5. 3. 2014 ŘO IOP poskytuje čtvrtletně aktuální informace náměstkovi ministryně pro místní rozvoj. </w:t>
            </w:r>
          </w:p>
        </w:tc>
        <w:tc>
          <w:tcPr>
            <w:tcW w:w="2302" w:type="dxa"/>
            <w:vAlign w:val="center"/>
            <w:hideMark/>
          </w:tcPr>
          <w:p w:rsidR="00BC085D" w:rsidRPr="00D56C3E" w:rsidRDefault="00BC085D" w:rsidP="00337668">
            <w:pPr>
              <w:rPr>
                <w:sz w:val="18"/>
                <w:szCs w:val="18"/>
              </w:rPr>
            </w:pPr>
            <w:r w:rsidRPr="00D56C3E">
              <w:rPr>
                <w:sz w:val="18"/>
                <w:szCs w:val="18"/>
              </w:rPr>
              <w:t>Pokračovat v realizaci opatření. (dopis ŘO IOP čj. 31297/2015-26).</w:t>
            </w:r>
          </w:p>
        </w:tc>
      </w:tr>
      <w:tr w:rsidR="00BC085D" w:rsidRPr="00D56C3E" w:rsidTr="00337668">
        <w:trPr>
          <w:trHeight w:val="1693"/>
        </w:trPr>
        <w:tc>
          <w:tcPr>
            <w:tcW w:w="2093" w:type="dxa"/>
            <w:vMerge/>
            <w:vAlign w:val="center"/>
            <w:hideMark/>
          </w:tcPr>
          <w:p w:rsidR="00BC085D" w:rsidRPr="00D56C3E" w:rsidRDefault="00BC085D" w:rsidP="00337668">
            <w:pPr>
              <w:rPr>
                <w:sz w:val="18"/>
                <w:szCs w:val="18"/>
              </w:rPr>
            </w:pPr>
          </w:p>
        </w:tc>
        <w:tc>
          <w:tcPr>
            <w:tcW w:w="2693" w:type="dxa"/>
            <w:vMerge/>
            <w:vAlign w:val="center"/>
            <w:hideMark/>
          </w:tcPr>
          <w:p w:rsidR="00BC085D" w:rsidRPr="00D56C3E" w:rsidRDefault="00BC085D" w:rsidP="00337668">
            <w:pPr>
              <w:rPr>
                <w:sz w:val="18"/>
                <w:szCs w:val="18"/>
              </w:rPr>
            </w:pPr>
          </w:p>
        </w:tc>
        <w:tc>
          <w:tcPr>
            <w:tcW w:w="2120" w:type="dxa"/>
            <w:vAlign w:val="center"/>
            <w:hideMark/>
          </w:tcPr>
          <w:p w:rsidR="00BC085D" w:rsidRPr="00D56C3E" w:rsidRDefault="00BC085D" w:rsidP="00E63AAC">
            <w:pPr>
              <w:rPr>
                <w:sz w:val="18"/>
                <w:szCs w:val="18"/>
              </w:rPr>
            </w:pPr>
            <w:r w:rsidRPr="00D56C3E">
              <w:rPr>
                <w:sz w:val="18"/>
                <w:szCs w:val="18"/>
              </w:rPr>
              <w:t>Databáze rozhodnutí ÚOHS v oblasti veřejných zakázek, aktualizov</w:t>
            </w:r>
            <w:r w:rsidR="00E63AAC">
              <w:rPr>
                <w:sz w:val="18"/>
                <w:szCs w:val="18"/>
              </w:rPr>
              <w:t>a</w:t>
            </w:r>
            <w:r w:rsidRPr="00D56C3E">
              <w:rPr>
                <w:sz w:val="18"/>
                <w:szCs w:val="18"/>
              </w:rPr>
              <w:t>n</w:t>
            </w:r>
            <w:r w:rsidR="00E63AAC">
              <w:rPr>
                <w:sz w:val="18"/>
                <w:szCs w:val="18"/>
              </w:rPr>
              <w:t>á</w:t>
            </w:r>
            <w:r w:rsidRPr="00D56C3E">
              <w:rPr>
                <w:sz w:val="18"/>
                <w:szCs w:val="18"/>
              </w:rPr>
              <w:t xml:space="preserve"> v srpnu 2015, je využívána při kontrolách VZ nebo při poskytování konzultací žadatelům a příjemcům.</w:t>
            </w:r>
          </w:p>
        </w:tc>
        <w:tc>
          <w:tcPr>
            <w:tcW w:w="2302" w:type="dxa"/>
            <w:vAlign w:val="center"/>
            <w:hideMark/>
          </w:tcPr>
          <w:p w:rsidR="00BC085D" w:rsidRPr="00D56C3E" w:rsidRDefault="00BC085D" w:rsidP="00337668">
            <w:pPr>
              <w:rPr>
                <w:sz w:val="18"/>
                <w:szCs w:val="18"/>
              </w:rPr>
            </w:pPr>
            <w:r w:rsidRPr="00D56C3E">
              <w:rPr>
                <w:sz w:val="18"/>
                <w:szCs w:val="18"/>
              </w:rPr>
              <w:t>Využívat zaktualizovanou databázi.</w:t>
            </w:r>
          </w:p>
          <w:p w:rsidR="00BC085D" w:rsidRPr="00D56C3E" w:rsidRDefault="00BC085D" w:rsidP="00337668">
            <w:pPr>
              <w:rPr>
                <w:sz w:val="18"/>
                <w:szCs w:val="18"/>
              </w:rPr>
            </w:pPr>
          </w:p>
        </w:tc>
      </w:tr>
      <w:tr w:rsidR="00BC085D" w:rsidRPr="00D56C3E" w:rsidTr="00C96E3E">
        <w:trPr>
          <w:trHeight w:val="1661"/>
        </w:trPr>
        <w:tc>
          <w:tcPr>
            <w:tcW w:w="2093" w:type="dxa"/>
            <w:vMerge/>
            <w:vAlign w:val="center"/>
            <w:hideMark/>
          </w:tcPr>
          <w:p w:rsidR="00BC085D" w:rsidRPr="00D56C3E" w:rsidRDefault="00BC085D" w:rsidP="00337668">
            <w:pPr>
              <w:rPr>
                <w:sz w:val="18"/>
                <w:szCs w:val="18"/>
              </w:rPr>
            </w:pPr>
          </w:p>
        </w:tc>
        <w:tc>
          <w:tcPr>
            <w:tcW w:w="2693" w:type="dxa"/>
            <w:vMerge/>
            <w:vAlign w:val="center"/>
            <w:hideMark/>
          </w:tcPr>
          <w:p w:rsidR="00BC085D" w:rsidRPr="00D56C3E" w:rsidRDefault="00BC085D" w:rsidP="00337668">
            <w:pPr>
              <w:rPr>
                <w:sz w:val="18"/>
                <w:szCs w:val="18"/>
              </w:rPr>
            </w:pPr>
          </w:p>
        </w:tc>
        <w:tc>
          <w:tcPr>
            <w:tcW w:w="2120" w:type="dxa"/>
            <w:vAlign w:val="center"/>
            <w:hideMark/>
          </w:tcPr>
          <w:p w:rsidR="00BC085D" w:rsidRPr="00D56C3E" w:rsidRDefault="00BC085D" w:rsidP="00337668">
            <w:pPr>
              <w:rPr>
                <w:sz w:val="18"/>
                <w:szCs w:val="18"/>
              </w:rPr>
            </w:pPr>
            <w:r w:rsidRPr="00D56C3E">
              <w:rPr>
                <w:sz w:val="18"/>
                <w:szCs w:val="18"/>
              </w:rPr>
              <w:t>Do systému vzdělávání IOP bylo zařazeno téma aktuálního znění ZVZ a jeho novely. Výměna příkladů dobré praxe, činnost Pracovní skupiny pro veřejné zakázky.</w:t>
            </w:r>
          </w:p>
        </w:tc>
        <w:tc>
          <w:tcPr>
            <w:tcW w:w="2302" w:type="dxa"/>
            <w:vAlign w:val="center"/>
            <w:hideMark/>
          </w:tcPr>
          <w:p w:rsidR="00BC085D" w:rsidRPr="00D56C3E" w:rsidRDefault="00BC085D" w:rsidP="00337668">
            <w:pPr>
              <w:rPr>
                <w:sz w:val="18"/>
                <w:szCs w:val="18"/>
              </w:rPr>
            </w:pPr>
            <w:r w:rsidRPr="00D56C3E">
              <w:rPr>
                <w:sz w:val="18"/>
                <w:szCs w:val="18"/>
              </w:rPr>
              <w:t xml:space="preserve">Pokračovat v realizaci opatření. </w:t>
            </w:r>
          </w:p>
          <w:p w:rsidR="00BC085D" w:rsidRPr="00D56C3E" w:rsidRDefault="00BC085D" w:rsidP="00625330">
            <w:pPr>
              <w:rPr>
                <w:color w:val="FF0000"/>
                <w:sz w:val="18"/>
                <w:szCs w:val="18"/>
              </w:rPr>
            </w:pPr>
            <w:r w:rsidRPr="00D56C3E">
              <w:rPr>
                <w:sz w:val="18"/>
                <w:szCs w:val="18"/>
              </w:rPr>
              <w:t>Do srpna 2015 bylo proškoleno 410 osob, z toho na VZ 20, na kontroly 17 osob.</w:t>
            </w:r>
          </w:p>
        </w:tc>
      </w:tr>
      <w:tr w:rsidR="00BC085D" w:rsidRPr="00D56C3E" w:rsidTr="00337668">
        <w:trPr>
          <w:trHeight w:val="915"/>
        </w:trPr>
        <w:tc>
          <w:tcPr>
            <w:tcW w:w="2093" w:type="dxa"/>
            <w:hideMark/>
          </w:tcPr>
          <w:p w:rsidR="00BC085D" w:rsidRPr="00D56C3E" w:rsidRDefault="00BC085D" w:rsidP="00337668">
            <w:pPr>
              <w:rPr>
                <w:sz w:val="18"/>
                <w:szCs w:val="18"/>
              </w:rPr>
            </w:pPr>
            <w:r w:rsidRPr="00D56C3E">
              <w:rPr>
                <w:rFonts w:eastAsia="Calibri"/>
                <w:b/>
                <w:bCs/>
                <w:noProof/>
                <w:color w:val="000000"/>
                <w:sz w:val="18"/>
                <w:szCs w:val="18"/>
              </w:rPr>
              <w:t>Nevyčerpání alokace na FN JESSICA</w:t>
            </w:r>
          </w:p>
        </w:tc>
        <w:tc>
          <w:tcPr>
            <w:tcW w:w="2693" w:type="dxa"/>
            <w:hideMark/>
          </w:tcPr>
          <w:p w:rsidR="00BC085D" w:rsidRPr="00D56C3E" w:rsidRDefault="00BC085D" w:rsidP="00337668">
            <w:pPr>
              <w:rPr>
                <w:sz w:val="18"/>
                <w:szCs w:val="18"/>
              </w:rPr>
            </w:pPr>
            <w:r w:rsidRPr="00D56C3E">
              <w:rPr>
                <w:sz w:val="18"/>
                <w:szCs w:val="18"/>
              </w:rPr>
              <w:t>Podmínkou pro realizaci FN JESSICA je převedení alokace na účty uživatelů do konce roku 2015. Hrozí riziko včasného neposkytnutí úvěrů v celé částce alokace.</w:t>
            </w:r>
          </w:p>
        </w:tc>
        <w:tc>
          <w:tcPr>
            <w:tcW w:w="2120" w:type="dxa"/>
            <w:vAlign w:val="center"/>
            <w:hideMark/>
          </w:tcPr>
          <w:p w:rsidR="00BC085D" w:rsidRPr="00D56C3E" w:rsidRDefault="00B71BD1" w:rsidP="00337668">
            <w:pPr>
              <w:rPr>
                <w:sz w:val="18"/>
                <w:szCs w:val="18"/>
              </w:rPr>
            </w:pPr>
            <w:r>
              <w:rPr>
                <w:sz w:val="18"/>
                <w:szCs w:val="18"/>
              </w:rPr>
              <w:t>V srpnu</w:t>
            </w:r>
            <w:r w:rsidR="00BC085D" w:rsidRPr="00D56C3E">
              <w:rPr>
                <w:sz w:val="18"/>
                <w:szCs w:val="18"/>
              </w:rPr>
              <w:t xml:space="preserve"> 2015 převedení celé alokované částky na účty konečných uživatelů. </w:t>
            </w:r>
          </w:p>
          <w:p w:rsidR="00BC085D" w:rsidRPr="00D56C3E" w:rsidRDefault="00BC085D" w:rsidP="00B71BD1">
            <w:pPr>
              <w:rPr>
                <w:sz w:val="18"/>
                <w:szCs w:val="18"/>
              </w:rPr>
            </w:pPr>
            <w:r w:rsidRPr="00D56C3E">
              <w:rPr>
                <w:sz w:val="18"/>
                <w:szCs w:val="18"/>
              </w:rPr>
              <w:t xml:space="preserve">ŘO IOP provedl mapování absorpční kapacity, kdy byl zjištěn nízký zájem o další pokračování realizace FN JESSICA v zónách IPRM. O výsledku informoval MMR-NOK v rámci plnění krizového plánu. </w:t>
            </w:r>
          </w:p>
        </w:tc>
        <w:tc>
          <w:tcPr>
            <w:tcW w:w="2302" w:type="dxa"/>
            <w:vAlign w:val="center"/>
            <w:hideMark/>
          </w:tcPr>
          <w:p w:rsidR="00BC085D" w:rsidRPr="00D56C3E" w:rsidRDefault="00BC085D" w:rsidP="00B71BD1">
            <w:pPr>
              <w:rPr>
                <w:sz w:val="18"/>
                <w:szCs w:val="18"/>
              </w:rPr>
            </w:pPr>
            <w:r w:rsidRPr="00D56C3E">
              <w:rPr>
                <w:sz w:val="18"/>
                <w:szCs w:val="18"/>
              </w:rPr>
              <w:t xml:space="preserve">ŘO IOP </w:t>
            </w:r>
            <w:r w:rsidR="00B71BD1">
              <w:rPr>
                <w:sz w:val="18"/>
                <w:szCs w:val="18"/>
              </w:rPr>
              <w:t>prověřuje postup pro opakované využití prostředků FN JESSICA.</w:t>
            </w:r>
          </w:p>
        </w:tc>
      </w:tr>
      <w:tr w:rsidR="00BC085D" w:rsidRPr="00D56C3E" w:rsidTr="00337668">
        <w:trPr>
          <w:trHeight w:val="2407"/>
        </w:trPr>
        <w:tc>
          <w:tcPr>
            <w:tcW w:w="2093" w:type="dxa"/>
            <w:hideMark/>
          </w:tcPr>
          <w:p w:rsidR="00BC085D" w:rsidRPr="00D56C3E" w:rsidRDefault="00BC085D" w:rsidP="00337668">
            <w:pPr>
              <w:rPr>
                <w:sz w:val="18"/>
                <w:szCs w:val="18"/>
              </w:rPr>
            </w:pPr>
            <w:r w:rsidRPr="00D56C3E">
              <w:rPr>
                <w:rFonts w:eastAsia="Calibri"/>
                <w:b/>
                <w:bCs/>
                <w:noProof/>
                <w:color w:val="000000"/>
                <w:sz w:val="18"/>
                <w:szCs w:val="18"/>
              </w:rPr>
              <w:t>Nedokončení realizace velkého projektu GŘ hasičského záchranného sboru</w:t>
            </w:r>
          </w:p>
        </w:tc>
        <w:tc>
          <w:tcPr>
            <w:tcW w:w="2693" w:type="dxa"/>
            <w:hideMark/>
          </w:tcPr>
          <w:p w:rsidR="00BC085D" w:rsidRPr="00CE40CD" w:rsidRDefault="00CE40CD" w:rsidP="00337668">
            <w:pPr>
              <w:rPr>
                <w:sz w:val="18"/>
                <w:szCs w:val="18"/>
              </w:rPr>
            </w:pPr>
            <w:r w:rsidRPr="00CE40CD">
              <w:rPr>
                <w:rStyle w:val="Odkaznakoment"/>
                <w:sz w:val="18"/>
                <w:szCs w:val="18"/>
              </w:rPr>
              <w:t>Projekt svým objemem zahrnuje velké množství výběrových řízení a na ně navázaných procesních komplikací. Realizace značného počtu veřejných zakázek zásadním způsobem ovlivňuje průběh, časový harmonogram a administrativní náročnost projektu</w:t>
            </w:r>
          </w:p>
        </w:tc>
        <w:tc>
          <w:tcPr>
            <w:tcW w:w="2120" w:type="dxa"/>
            <w:vAlign w:val="center"/>
            <w:hideMark/>
          </w:tcPr>
          <w:p w:rsidR="00BC085D" w:rsidRPr="00D56C3E" w:rsidRDefault="00BC085D" w:rsidP="00337668">
            <w:pPr>
              <w:rPr>
                <w:sz w:val="18"/>
                <w:szCs w:val="18"/>
              </w:rPr>
            </w:pPr>
            <w:r w:rsidRPr="00D56C3E">
              <w:rPr>
                <w:sz w:val="18"/>
                <w:szCs w:val="18"/>
              </w:rPr>
              <w:t>Dne 29. 7. 2015 proběhlo třetí jednání ŘO IOP a GŘ HZS na základě opatření krizového plánu dočerpání IOP.</w:t>
            </w:r>
          </w:p>
          <w:p w:rsidR="00BC085D" w:rsidRPr="00D56C3E" w:rsidRDefault="00BC085D" w:rsidP="00337668">
            <w:pPr>
              <w:rPr>
                <w:sz w:val="18"/>
                <w:szCs w:val="18"/>
              </w:rPr>
            </w:pPr>
            <w:r w:rsidRPr="00D56C3E">
              <w:rPr>
                <w:sz w:val="18"/>
                <w:szCs w:val="18"/>
              </w:rPr>
              <w:t xml:space="preserve">Jednání se konají 1x za dva měsíce, účelem je detailní sledování harmonogramu projektu, </w:t>
            </w:r>
          </w:p>
          <w:p w:rsidR="00BC085D" w:rsidRPr="00D56C3E" w:rsidRDefault="00BC085D" w:rsidP="00B71BD1">
            <w:pPr>
              <w:rPr>
                <w:sz w:val="18"/>
                <w:szCs w:val="18"/>
              </w:rPr>
            </w:pPr>
            <w:r w:rsidRPr="00D56C3E">
              <w:rPr>
                <w:sz w:val="18"/>
                <w:szCs w:val="18"/>
              </w:rPr>
              <w:t>realizace projektu byla na základě jednání ŘO IOP a GŘ HZS posunuta z 30. 11. 2015 do 31. 12. 2015</w:t>
            </w:r>
            <w:r w:rsidR="00EA2D50">
              <w:rPr>
                <w:sz w:val="18"/>
                <w:szCs w:val="18"/>
              </w:rPr>
              <w:t>.</w:t>
            </w:r>
          </w:p>
        </w:tc>
        <w:tc>
          <w:tcPr>
            <w:tcW w:w="2302" w:type="dxa"/>
            <w:vAlign w:val="center"/>
            <w:hideMark/>
          </w:tcPr>
          <w:p w:rsidR="00BC085D" w:rsidRPr="00D56C3E" w:rsidRDefault="00BC085D" w:rsidP="00EA2D50">
            <w:pPr>
              <w:rPr>
                <w:sz w:val="18"/>
                <w:szCs w:val="18"/>
              </w:rPr>
            </w:pPr>
            <w:r w:rsidRPr="00D56C3E">
              <w:rPr>
                <w:sz w:val="18"/>
                <w:szCs w:val="18"/>
              </w:rPr>
              <w:t>Detailně sledovat plnění nastaveného harmonogramu projektu, realizovat opatření s cílem ukončení realizace projektu do stanoveného termínu, tj. do 31. 12. 2015</w:t>
            </w:r>
          </w:p>
        </w:tc>
      </w:tr>
      <w:tr w:rsidR="00BC085D" w:rsidRPr="00D56C3E" w:rsidTr="00337668">
        <w:trPr>
          <w:trHeight w:val="1938"/>
        </w:trPr>
        <w:tc>
          <w:tcPr>
            <w:tcW w:w="2093" w:type="dxa"/>
            <w:tcBorders>
              <w:top w:val="single" w:sz="6" w:space="0" w:color="0070C0"/>
              <w:left w:val="double" w:sz="4" w:space="0" w:color="0070C0"/>
              <w:bottom w:val="double" w:sz="4" w:space="0" w:color="0070C0"/>
              <w:right w:val="single" w:sz="6" w:space="0" w:color="0070C0"/>
            </w:tcBorders>
            <w:hideMark/>
          </w:tcPr>
          <w:p w:rsidR="00BC085D" w:rsidRPr="00D56C3E" w:rsidRDefault="00BC085D" w:rsidP="000F27EB">
            <w:pPr>
              <w:rPr>
                <w:sz w:val="18"/>
                <w:szCs w:val="18"/>
              </w:rPr>
            </w:pPr>
            <w:r w:rsidRPr="00D56C3E">
              <w:rPr>
                <w:rFonts w:eastAsia="Calibri"/>
                <w:b/>
                <w:bCs/>
                <w:noProof/>
                <w:color w:val="000000"/>
                <w:sz w:val="18"/>
                <w:szCs w:val="18"/>
              </w:rPr>
              <w:t xml:space="preserve">Nezvládnutí velkého objemu </w:t>
            </w:r>
            <w:r w:rsidR="000F27EB">
              <w:rPr>
                <w:rFonts w:eastAsia="Calibri"/>
                <w:b/>
                <w:bCs/>
                <w:noProof/>
                <w:color w:val="000000"/>
                <w:sz w:val="18"/>
                <w:szCs w:val="18"/>
              </w:rPr>
              <w:t xml:space="preserve">předkládaných žádostí o platbu </w:t>
            </w:r>
            <w:r w:rsidRPr="00D56C3E">
              <w:rPr>
                <w:rFonts w:eastAsia="Calibri"/>
                <w:b/>
                <w:bCs/>
                <w:noProof/>
                <w:color w:val="000000"/>
                <w:sz w:val="18"/>
                <w:szCs w:val="18"/>
              </w:rPr>
              <w:t xml:space="preserve"> v roce 2015 a v roce 2016</w:t>
            </w:r>
          </w:p>
        </w:tc>
        <w:tc>
          <w:tcPr>
            <w:tcW w:w="2693" w:type="dxa"/>
            <w:tcBorders>
              <w:top w:val="single" w:sz="6" w:space="0" w:color="0070C0"/>
              <w:left w:val="single" w:sz="6" w:space="0" w:color="0070C0"/>
              <w:bottom w:val="double" w:sz="4" w:space="0" w:color="0070C0"/>
              <w:right w:val="single" w:sz="6" w:space="0" w:color="0070C0"/>
            </w:tcBorders>
            <w:hideMark/>
          </w:tcPr>
          <w:p w:rsidR="00BC085D" w:rsidRPr="00D56C3E" w:rsidRDefault="00BC085D" w:rsidP="00B71BD1">
            <w:pPr>
              <w:rPr>
                <w:sz w:val="18"/>
                <w:szCs w:val="18"/>
              </w:rPr>
            </w:pPr>
            <w:r w:rsidRPr="00D56C3E">
              <w:rPr>
                <w:sz w:val="18"/>
                <w:szCs w:val="18"/>
              </w:rPr>
              <w:t>Pro vyčerpání finančních prostředků je nutné zajištění plynulé administrace na úrovni proplacených prostředků</w:t>
            </w:r>
            <w:r w:rsidR="00B71BD1">
              <w:rPr>
                <w:sz w:val="18"/>
                <w:szCs w:val="18"/>
              </w:rPr>
              <w:t xml:space="preserve">, </w:t>
            </w:r>
            <w:r w:rsidRPr="00D56C3E">
              <w:rPr>
                <w:sz w:val="18"/>
                <w:szCs w:val="18"/>
              </w:rPr>
              <w:t xml:space="preserve">zajištění certifikace </w:t>
            </w:r>
            <w:r w:rsidR="00B71BD1">
              <w:rPr>
                <w:sz w:val="18"/>
                <w:szCs w:val="18"/>
              </w:rPr>
              <w:t xml:space="preserve">výdajů </w:t>
            </w:r>
            <w:r w:rsidRPr="00D56C3E">
              <w:rPr>
                <w:sz w:val="18"/>
                <w:szCs w:val="18"/>
              </w:rPr>
              <w:t>a odeslání žádostí o platby do EK. Je nezbytné v průběhu roku 2015 a počátkem roku 2016 zajistit vhodné rozložení výdajů do souhrnných žádostí předkládaných na MF-PCO. Je nutné zajistit včasnou a vzájemnou informovanost mezi řídicím orgán</w:t>
            </w:r>
            <w:r w:rsidR="00B71BD1">
              <w:rPr>
                <w:sz w:val="18"/>
                <w:szCs w:val="18"/>
              </w:rPr>
              <w:t>em</w:t>
            </w:r>
            <w:r w:rsidRPr="00D56C3E">
              <w:rPr>
                <w:sz w:val="18"/>
                <w:szCs w:val="18"/>
              </w:rPr>
              <w:t xml:space="preserve"> a správci systémů a nastavit odpovídající </w:t>
            </w:r>
            <w:r w:rsidRPr="00D56C3E">
              <w:rPr>
                <w:sz w:val="18"/>
                <w:szCs w:val="18"/>
              </w:rPr>
              <w:lastRenderedPageBreak/>
              <w:t>harmonogramy přenosů dat. V případě potřeby využívat mimořádných certifikací.</w:t>
            </w:r>
          </w:p>
        </w:tc>
        <w:tc>
          <w:tcPr>
            <w:tcW w:w="2120" w:type="dxa"/>
            <w:tcBorders>
              <w:top w:val="single" w:sz="6" w:space="0" w:color="0070C0"/>
              <w:left w:val="single" w:sz="6" w:space="0" w:color="0070C0"/>
              <w:bottom w:val="double" w:sz="4" w:space="0" w:color="0070C0"/>
              <w:right w:val="single" w:sz="6" w:space="0" w:color="0070C0"/>
            </w:tcBorders>
            <w:vAlign w:val="center"/>
            <w:hideMark/>
          </w:tcPr>
          <w:p w:rsidR="00BC085D" w:rsidRPr="00D56C3E" w:rsidRDefault="00BC085D" w:rsidP="00B71BD1">
            <w:pPr>
              <w:rPr>
                <w:sz w:val="18"/>
                <w:szCs w:val="18"/>
              </w:rPr>
            </w:pPr>
            <w:r w:rsidRPr="00D56C3E">
              <w:rPr>
                <w:sz w:val="18"/>
                <w:szCs w:val="18"/>
              </w:rPr>
              <w:lastRenderedPageBreak/>
              <w:t xml:space="preserve">ŘO IOP zasílá MMR-NOK do 15. dne každého měsíce informaci o plnění predikcí </w:t>
            </w:r>
            <w:r w:rsidR="00B71BD1">
              <w:rPr>
                <w:sz w:val="18"/>
                <w:szCs w:val="18"/>
              </w:rPr>
              <w:t xml:space="preserve">a </w:t>
            </w:r>
            <w:r w:rsidRPr="00D56C3E">
              <w:rPr>
                <w:sz w:val="18"/>
                <w:szCs w:val="18"/>
              </w:rPr>
              <w:t xml:space="preserve">zdůvodnění </w:t>
            </w:r>
            <w:r w:rsidR="00B71BD1">
              <w:rPr>
                <w:sz w:val="18"/>
                <w:szCs w:val="18"/>
              </w:rPr>
              <w:t xml:space="preserve">jejich </w:t>
            </w:r>
            <w:r w:rsidRPr="00D56C3E">
              <w:rPr>
                <w:sz w:val="18"/>
                <w:szCs w:val="18"/>
              </w:rPr>
              <w:t>neplnění.</w:t>
            </w:r>
          </w:p>
        </w:tc>
        <w:tc>
          <w:tcPr>
            <w:tcW w:w="2302" w:type="dxa"/>
            <w:tcBorders>
              <w:top w:val="single" w:sz="6" w:space="0" w:color="0070C0"/>
              <w:left w:val="single" w:sz="6" w:space="0" w:color="0070C0"/>
              <w:bottom w:val="double" w:sz="4" w:space="0" w:color="0070C0"/>
              <w:right w:val="double" w:sz="4" w:space="0" w:color="0070C0"/>
            </w:tcBorders>
            <w:vAlign w:val="center"/>
            <w:hideMark/>
          </w:tcPr>
          <w:p w:rsidR="00775D52" w:rsidRDefault="00775D52" w:rsidP="00775D52">
            <w:pPr>
              <w:rPr>
                <w:sz w:val="18"/>
                <w:szCs w:val="18"/>
              </w:rPr>
            </w:pPr>
            <w:r>
              <w:rPr>
                <w:sz w:val="18"/>
                <w:szCs w:val="18"/>
              </w:rPr>
              <w:t>ŘO IOP do 31. 12. 2015 vypracuje plán certifikací do konce programového období, který bude následně schválen ze strany MF-PCO a OSMS.</w:t>
            </w:r>
          </w:p>
          <w:p w:rsidR="00775D52" w:rsidRDefault="00775D52" w:rsidP="00775D52">
            <w:pPr>
              <w:rPr>
                <w:sz w:val="18"/>
                <w:szCs w:val="18"/>
              </w:rPr>
            </w:pPr>
            <w:r>
              <w:rPr>
                <w:sz w:val="18"/>
                <w:szCs w:val="18"/>
              </w:rPr>
              <w:t xml:space="preserve">Termín pro podání poslední souhrnné žádosti je 30. 4. 2016, ŘO IOP požádal MF-PCO o výjimku z MFTK </w:t>
            </w:r>
            <w:r>
              <w:rPr>
                <w:sz w:val="18"/>
                <w:szCs w:val="18"/>
              </w:rPr>
              <w:br/>
              <w:t xml:space="preserve">a může tedy předložit souhrnné žádosti do 31. 5.2016, ve výjimečných případech až do 30. 6. 2016.  </w:t>
            </w:r>
          </w:p>
          <w:p w:rsidR="00BC085D" w:rsidRPr="00D56C3E" w:rsidRDefault="00775D52" w:rsidP="00775D52">
            <w:pPr>
              <w:rPr>
                <w:sz w:val="18"/>
                <w:szCs w:val="18"/>
              </w:rPr>
            </w:pPr>
            <w:r>
              <w:rPr>
                <w:sz w:val="18"/>
                <w:szCs w:val="18"/>
              </w:rPr>
              <w:t xml:space="preserve">Termín poslední certifikace </w:t>
            </w:r>
            <w:r>
              <w:rPr>
                <w:sz w:val="18"/>
                <w:szCs w:val="18"/>
              </w:rPr>
              <w:lastRenderedPageBreak/>
              <w:t xml:space="preserve">je dle Metodického doporučení pro uzavírání programového období </w:t>
            </w:r>
            <w:r w:rsidR="00F4152B">
              <w:rPr>
                <w:sz w:val="18"/>
                <w:szCs w:val="18"/>
              </w:rPr>
              <w:t xml:space="preserve">MMR-NOK </w:t>
            </w:r>
            <w:r>
              <w:rPr>
                <w:sz w:val="18"/>
                <w:szCs w:val="18"/>
              </w:rPr>
              <w:t>stanoven na 31. 8. 2016.</w:t>
            </w:r>
          </w:p>
        </w:tc>
      </w:tr>
    </w:tbl>
    <w:p w:rsidR="009A6812" w:rsidRDefault="009A6812" w:rsidP="009A6812"/>
    <w:p w:rsidR="00D644B0" w:rsidRPr="00EC6147" w:rsidRDefault="00D644B0">
      <w:pPr>
        <w:pStyle w:val="Nadpis2"/>
        <w:rPr>
          <w:rFonts w:ascii="Times New Roman" w:hAnsi="Times New Roman"/>
          <w:i w:val="0"/>
        </w:rPr>
      </w:pPr>
      <w:bookmarkStart w:id="58" w:name="_Toc433873484"/>
      <w:r w:rsidRPr="006266F5">
        <w:rPr>
          <w:rFonts w:ascii="Times New Roman" w:hAnsi="Times New Roman"/>
          <w:i w:val="0"/>
        </w:rPr>
        <w:t>2.</w:t>
      </w:r>
      <w:r w:rsidR="00674032">
        <w:rPr>
          <w:rFonts w:ascii="Times New Roman" w:hAnsi="Times New Roman"/>
          <w:i w:val="0"/>
        </w:rPr>
        <w:t>9</w:t>
      </w:r>
      <w:r w:rsidRPr="006266F5">
        <w:rPr>
          <w:rFonts w:ascii="Times New Roman" w:hAnsi="Times New Roman"/>
          <w:i w:val="0"/>
        </w:rPr>
        <w:t xml:space="preserve"> Předpokládaný harmonogram vyhlašování výzev</w:t>
      </w:r>
      <w:bookmarkEnd w:id="58"/>
    </w:p>
    <w:p w:rsidR="007B2D1B" w:rsidRDefault="00E63AAC" w:rsidP="008D3E8F">
      <w:pPr>
        <w:jc w:val="both"/>
        <w:rPr>
          <w:sz w:val="22"/>
          <w:szCs w:val="22"/>
        </w:rPr>
      </w:pPr>
      <w:r>
        <w:rPr>
          <w:sz w:val="22"/>
          <w:szCs w:val="22"/>
        </w:rPr>
        <w:t xml:space="preserve">Do konce roku 2015 </w:t>
      </w:r>
      <w:r w:rsidR="009D461E">
        <w:rPr>
          <w:sz w:val="22"/>
          <w:szCs w:val="22"/>
        </w:rPr>
        <w:t xml:space="preserve">nejsou plánovány žádné výzvy. </w:t>
      </w:r>
    </w:p>
    <w:p w:rsidR="00EC6362" w:rsidRDefault="00855506">
      <w:pPr>
        <w:jc w:val="both"/>
        <w:rPr>
          <w:sz w:val="22"/>
          <w:szCs w:val="22"/>
        </w:rPr>
      </w:pPr>
      <w:r w:rsidRPr="00CE0355">
        <w:rPr>
          <w:sz w:val="22"/>
          <w:szCs w:val="22"/>
        </w:rPr>
        <w:t xml:space="preserve">Přehled probíhajících výzev IOP je k dispozici na adrese: </w:t>
      </w:r>
      <w:hyperlink r:id="rId21" w:history="1">
        <w:r w:rsidRPr="006266F5">
          <w:rPr>
            <w:rStyle w:val="Hypertextovodkaz"/>
            <w:sz w:val="22"/>
            <w:szCs w:val="22"/>
          </w:rPr>
          <w:t>http://www.strukturalni-fondy.cz/cs/Jak-na-projekt/Prehled-otevrenych-vyzev-%e2%80%93-archiv</w:t>
        </w:r>
      </w:hyperlink>
      <w:r w:rsidRPr="00CE0355">
        <w:rPr>
          <w:sz w:val="22"/>
          <w:szCs w:val="22"/>
        </w:rPr>
        <w:t xml:space="preserve"> (přehled otevřených výzev)</w:t>
      </w:r>
      <w:r w:rsidR="00CE0355">
        <w:rPr>
          <w:sz w:val="22"/>
          <w:szCs w:val="22"/>
        </w:rPr>
        <w:t>.</w:t>
      </w:r>
    </w:p>
    <w:p w:rsidR="0006709A" w:rsidRDefault="0006709A">
      <w:pPr>
        <w:jc w:val="both"/>
        <w:rPr>
          <w:sz w:val="22"/>
          <w:szCs w:val="22"/>
        </w:rPr>
      </w:pPr>
    </w:p>
    <w:p w:rsidR="006C4BBE" w:rsidRDefault="00D644B0" w:rsidP="00510DE2">
      <w:pPr>
        <w:pStyle w:val="Nadpis2"/>
        <w:jc w:val="both"/>
        <w:rPr>
          <w:highlight w:val="green"/>
        </w:rPr>
      </w:pPr>
      <w:bookmarkStart w:id="59" w:name="_Toc433873485"/>
      <w:r w:rsidRPr="00D8119A">
        <w:rPr>
          <w:rFonts w:ascii="Times New Roman" w:hAnsi="Times New Roman"/>
          <w:i w:val="0"/>
        </w:rPr>
        <w:t>2.</w:t>
      </w:r>
      <w:r w:rsidR="00674032">
        <w:rPr>
          <w:rFonts w:ascii="Times New Roman" w:hAnsi="Times New Roman"/>
          <w:i w:val="0"/>
        </w:rPr>
        <w:t>10</w:t>
      </w:r>
      <w:r w:rsidRPr="006266F5">
        <w:rPr>
          <w:rFonts w:ascii="Times New Roman" w:hAnsi="Times New Roman"/>
          <w:i w:val="0"/>
        </w:rPr>
        <w:t xml:space="preserve"> Přehled schválených projektů</w:t>
      </w:r>
      <w:bookmarkEnd w:id="59"/>
      <w:r>
        <w:rPr>
          <w:b w:val="0"/>
        </w:rPr>
        <w:t xml:space="preserve"> </w:t>
      </w:r>
    </w:p>
    <w:p w:rsidR="006C4BBE" w:rsidRDefault="00D644B0" w:rsidP="00BE195C">
      <w:pPr>
        <w:jc w:val="both"/>
        <w:rPr>
          <w:sz w:val="22"/>
          <w:szCs w:val="22"/>
        </w:rPr>
      </w:pPr>
      <w:r>
        <w:rPr>
          <w:sz w:val="22"/>
          <w:szCs w:val="22"/>
        </w:rPr>
        <w:t>S</w:t>
      </w:r>
      <w:r w:rsidRPr="006C6228">
        <w:rPr>
          <w:sz w:val="22"/>
          <w:szCs w:val="22"/>
        </w:rPr>
        <w:t xml:space="preserve">eznam podpořených projektů a </w:t>
      </w:r>
      <w:r>
        <w:rPr>
          <w:sz w:val="22"/>
          <w:szCs w:val="22"/>
        </w:rPr>
        <w:t xml:space="preserve">příjemců ŘO měsíčně aktualizuje a zveřejňuje na webové adrese </w:t>
      </w:r>
      <w:hyperlink r:id="rId22" w:history="1">
        <w:r w:rsidR="002250D5" w:rsidRPr="000A4580">
          <w:rPr>
            <w:rStyle w:val="Hypertextovodkaz"/>
            <w:sz w:val="22"/>
            <w:szCs w:val="22"/>
          </w:rPr>
          <w:t>http://www.strukturalni-fondy.cz/cs/Microsites/Integrovany-OP/Zadatele-a-prijemci/Seznam-podporenych-projektu</w:t>
        </w:r>
      </w:hyperlink>
      <w:r w:rsidR="00455FA6">
        <w:rPr>
          <w:rStyle w:val="Hypertextovodkaz"/>
          <w:sz w:val="22"/>
          <w:szCs w:val="22"/>
        </w:rPr>
        <w:t>.</w:t>
      </w:r>
    </w:p>
    <w:p w:rsidR="00D644B0" w:rsidRDefault="00D644B0" w:rsidP="008D3E8F">
      <w:pPr>
        <w:jc w:val="both"/>
        <w:rPr>
          <w:sz w:val="22"/>
          <w:szCs w:val="22"/>
        </w:rPr>
      </w:pPr>
    </w:p>
    <w:p w:rsidR="00EC6362" w:rsidRDefault="00B71BD1">
      <w:pPr>
        <w:jc w:val="both"/>
        <w:rPr>
          <w:sz w:val="22"/>
          <w:szCs w:val="22"/>
        </w:rPr>
      </w:pPr>
      <w:r>
        <w:rPr>
          <w:sz w:val="22"/>
          <w:szCs w:val="22"/>
        </w:rPr>
        <w:t>I</w:t>
      </w:r>
      <w:r w:rsidR="00D644B0">
        <w:rPr>
          <w:sz w:val="22"/>
          <w:szCs w:val="22"/>
        </w:rPr>
        <w:t>nformace o schválených projektech jsou přenášeny z IS Monit7+ a zveřejňovány na</w:t>
      </w:r>
      <w:r w:rsidR="00CE0355">
        <w:rPr>
          <w:sz w:val="22"/>
          <w:szCs w:val="22"/>
        </w:rPr>
        <w:t xml:space="preserve"> </w:t>
      </w:r>
      <w:r w:rsidR="00D644B0">
        <w:rPr>
          <w:sz w:val="22"/>
          <w:szCs w:val="22"/>
        </w:rPr>
        <w:t xml:space="preserve">portále </w:t>
      </w:r>
      <w:hyperlink r:id="rId23" w:history="1">
        <w:r w:rsidR="00D644B0" w:rsidRPr="002C63F3">
          <w:rPr>
            <w:rStyle w:val="Hypertextovodkaz"/>
            <w:sz w:val="22"/>
            <w:szCs w:val="22"/>
          </w:rPr>
          <w:t>www.risy.cz</w:t>
        </w:r>
      </w:hyperlink>
      <w:r w:rsidR="00D644B0">
        <w:rPr>
          <w:sz w:val="22"/>
          <w:szCs w:val="22"/>
        </w:rPr>
        <w:t>, provozovaném Centrem pro regionální rozvoj</w:t>
      </w:r>
      <w:r w:rsidR="00937233">
        <w:rPr>
          <w:sz w:val="22"/>
          <w:szCs w:val="22"/>
        </w:rPr>
        <w:t xml:space="preserve"> ČR</w:t>
      </w:r>
      <w:r w:rsidR="00D644B0">
        <w:rPr>
          <w:sz w:val="22"/>
          <w:szCs w:val="22"/>
        </w:rPr>
        <w:t>, kde je možné jednotlivé projekty</w:t>
      </w:r>
      <w:r w:rsidR="00CE0355">
        <w:rPr>
          <w:sz w:val="22"/>
          <w:szCs w:val="22"/>
        </w:rPr>
        <w:t xml:space="preserve"> </w:t>
      </w:r>
      <w:r w:rsidR="00D644B0">
        <w:rPr>
          <w:sz w:val="22"/>
          <w:szCs w:val="22"/>
        </w:rPr>
        <w:t xml:space="preserve">vyhledávat podle různých </w:t>
      </w:r>
      <w:r w:rsidR="00125947">
        <w:rPr>
          <w:sz w:val="22"/>
          <w:szCs w:val="22"/>
        </w:rPr>
        <w:t>parametrů.</w:t>
      </w:r>
    </w:p>
    <w:p w:rsidR="00B13A93" w:rsidRDefault="00B13A93" w:rsidP="00B13A93">
      <w:pPr>
        <w:jc w:val="both"/>
        <w:rPr>
          <w:sz w:val="22"/>
          <w:szCs w:val="22"/>
        </w:rPr>
      </w:pPr>
    </w:p>
    <w:p w:rsidR="00B13A93" w:rsidRDefault="000A0BDF" w:rsidP="00B13A93">
      <w:pPr>
        <w:jc w:val="both"/>
        <w:rPr>
          <w:sz w:val="22"/>
          <w:szCs w:val="22"/>
        </w:rPr>
      </w:pPr>
      <w:r>
        <w:rPr>
          <w:sz w:val="22"/>
          <w:szCs w:val="22"/>
        </w:rPr>
        <w:t>Na základě novely zákona č. 218/2000 Sb.</w:t>
      </w:r>
      <w:r w:rsidR="00B71BD1">
        <w:rPr>
          <w:sz w:val="22"/>
          <w:szCs w:val="22"/>
        </w:rPr>
        <w:t>,</w:t>
      </w:r>
      <w:r>
        <w:rPr>
          <w:sz w:val="22"/>
          <w:szCs w:val="22"/>
        </w:rPr>
        <w:t xml:space="preserve"> o rozpočtových pravidlech</w:t>
      </w:r>
      <w:r w:rsidR="00B71BD1">
        <w:rPr>
          <w:sz w:val="22"/>
          <w:szCs w:val="22"/>
        </w:rPr>
        <w:t>,</w:t>
      </w:r>
      <w:r>
        <w:rPr>
          <w:sz w:val="22"/>
          <w:szCs w:val="22"/>
        </w:rPr>
        <w:t xml:space="preserve"> musí poskytovatelé dotace předávat </w:t>
      </w:r>
      <w:r w:rsidR="00B54F0A">
        <w:rPr>
          <w:sz w:val="22"/>
          <w:szCs w:val="22"/>
        </w:rPr>
        <w:t>ú</w:t>
      </w:r>
      <w:r w:rsidR="00B13A93">
        <w:rPr>
          <w:sz w:val="22"/>
          <w:szCs w:val="22"/>
        </w:rPr>
        <w:t>daje o projektových žádostech předložených po</w:t>
      </w:r>
      <w:r w:rsidR="0008073C">
        <w:rPr>
          <w:sz w:val="22"/>
          <w:szCs w:val="22"/>
        </w:rPr>
        <w:t xml:space="preserve"> </w:t>
      </w:r>
      <w:r w:rsidR="00B545B9">
        <w:rPr>
          <w:sz w:val="22"/>
          <w:szCs w:val="22"/>
        </w:rPr>
        <w:t>1. 8. 2012</w:t>
      </w:r>
      <w:r w:rsidR="00B13A93">
        <w:rPr>
          <w:sz w:val="22"/>
          <w:szCs w:val="22"/>
        </w:rPr>
        <w:t xml:space="preserve"> </w:t>
      </w:r>
      <w:r>
        <w:rPr>
          <w:sz w:val="22"/>
          <w:szCs w:val="22"/>
        </w:rPr>
        <w:t>do</w:t>
      </w:r>
      <w:r w:rsidR="00B54F0A">
        <w:rPr>
          <w:sz w:val="22"/>
          <w:szCs w:val="22"/>
        </w:rPr>
        <w:t xml:space="preserve"> </w:t>
      </w:r>
      <w:r w:rsidR="00B13A93">
        <w:rPr>
          <w:sz w:val="22"/>
          <w:szCs w:val="22"/>
        </w:rPr>
        <w:t>veřejně přístupné</w:t>
      </w:r>
      <w:r>
        <w:rPr>
          <w:sz w:val="22"/>
          <w:szCs w:val="22"/>
        </w:rPr>
        <w:t>ho</w:t>
      </w:r>
      <w:r w:rsidR="00B13A93">
        <w:rPr>
          <w:sz w:val="22"/>
          <w:szCs w:val="22"/>
        </w:rPr>
        <w:t> informační</w:t>
      </w:r>
      <w:r>
        <w:rPr>
          <w:sz w:val="22"/>
          <w:szCs w:val="22"/>
        </w:rPr>
        <w:t>ho</w:t>
      </w:r>
      <w:r w:rsidR="00B13A93">
        <w:rPr>
          <w:sz w:val="22"/>
          <w:szCs w:val="22"/>
        </w:rPr>
        <w:t xml:space="preserve"> systému DOTINFO (</w:t>
      </w:r>
      <w:hyperlink r:id="rId24" w:history="1">
        <w:r w:rsidR="00B13A93" w:rsidRPr="006D274D">
          <w:rPr>
            <w:rStyle w:val="Hypertextovodkaz"/>
            <w:sz w:val="22"/>
            <w:szCs w:val="22"/>
          </w:rPr>
          <w:t>www.dotinfo.cz</w:t>
        </w:r>
      </w:hyperlink>
      <w:r w:rsidR="00B13A93">
        <w:rPr>
          <w:sz w:val="22"/>
          <w:szCs w:val="22"/>
        </w:rPr>
        <w:t xml:space="preserve">). </w:t>
      </w:r>
      <w:r w:rsidR="00357253">
        <w:rPr>
          <w:sz w:val="22"/>
          <w:szCs w:val="22"/>
        </w:rPr>
        <w:t>ŘO a ZS zde evidují požadované údaje.</w:t>
      </w:r>
    </w:p>
    <w:p w:rsidR="000A0FF0" w:rsidRDefault="000A0FF0" w:rsidP="00B13A93">
      <w:pPr>
        <w:jc w:val="both"/>
        <w:rPr>
          <w:sz w:val="22"/>
          <w:szCs w:val="22"/>
        </w:rPr>
      </w:pPr>
    </w:p>
    <w:p w:rsidR="00B34AFD" w:rsidRDefault="00636A3F" w:rsidP="00B34AFD">
      <w:pPr>
        <w:jc w:val="both"/>
        <w:rPr>
          <w:sz w:val="22"/>
          <w:szCs w:val="22"/>
        </w:rPr>
      </w:pPr>
      <w:r w:rsidRPr="006266F5">
        <w:rPr>
          <w:b/>
          <w:sz w:val="22"/>
          <w:szCs w:val="22"/>
        </w:rPr>
        <w:t>Informace o vyřazených projektech</w:t>
      </w:r>
      <w:r w:rsidRPr="006266F5">
        <w:rPr>
          <w:rStyle w:val="Znakapoznpodarou"/>
          <w:b/>
          <w:sz w:val="22"/>
          <w:szCs w:val="22"/>
        </w:rPr>
        <w:footnoteReference w:id="3"/>
      </w:r>
      <w:r w:rsidR="00B34AFD" w:rsidRPr="00B34AFD">
        <w:rPr>
          <w:sz w:val="22"/>
          <w:szCs w:val="22"/>
        </w:rPr>
        <w:t xml:space="preserve"> </w:t>
      </w:r>
    </w:p>
    <w:p w:rsidR="00B34AFD" w:rsidRDefault="00B34AFD" w:rsidP="00B34AFD">
      <w:pPr>
        <w:jc w:val="both"/>
        <w:rPr>
          <w:sz w:val="22"/>
          <w:szCs w:val="22"/>
        </w:rPr>
      </w:pPr>
      <w:r>
        <w:rPr>
          <w:sz w:val="22"/>
          <w:szCs w:val="22"/>
        </w:rPr>
        <w:t>V grafu č.</w:t>
      </w:r>
      <w:r w:rsidR="003B1985">
        <w:rPr>
          <w:sz w:val="22"/>
          <w:szCs w:val="22"/>
        </w:rPr>
        <w:t xml:space="preserve"> 6</w:t>
      </w:r>
      <w:r>
        <w:rPr>
          <w:sz w:val="22"/>
          <w:szCs w:val="22"/>
        </w:rPr>
        <w:t xml:space="preserve"> je zobrazen procentuální podíl vyřazených projektů podle jednotlivých fází administrace.</w:t>
      </w:r>
    </w:p>
    <w:p w:rsidR="00D91482" w:rsidRDefault="00D91482" w:rsidP="00B34AFD">
      <w:pPr>
        <w:jc w:val="both"/>
        <w:rPr>
          <w:sz w:val="22"/>
          <w:szCs w:val="22"/>
        </w:rPr>
      </w:pPr>
    </w:p>
    <w:p w:rsidR="00172F52" w:rsidRPr="00863A58" w:rsidRDefault="00EF3D7F" w:rsidP="00863A58">
      <w:pPr>
        <w:pStyle w:val="Graf"/>
        <w:keepNext/>
        <w:keepLines/>
        <w:rPr>
          <w:b w:val="0"/>
        </w:rPr>
      </w:pPr>
      <w:bookmarkStart w:id="60" w:name="_Toc433873585"/>
      <w:r w:rsidRPr="00D147E7">
        <w:rPr>
          <w:b w:val="0"/>
        </w:rPr>
        <w:lastRenderedPageBreak/>
        <w:t xml:space="preserve">Podíl vyřazených projektů </w:t>
      </w:r>
      <w:r w:rsidR="00B71BD1">
        <w:rPr>
          <w:b w:val="0"/>
        </w:rPr>
        <w:t>po</w:t>
      </w:r>
      <w:r w:rsidRPr="00D147E7">
        <w:rPr>
          <w:b w:val="0"/>
        </w:rPr>
        <w:t xml:space="preserve">dle </w:t>
      </w:r>
      <w:r w:rsidR="00547C64" w:rsidRPr="00D147E7">
        <w:rPr>
          <w:b w:val="0"/>
        </w:rPr>
        <w:t>jednotlivých stavů</w:t>
      </w:r>
      <w:bookmarkEnd w:id="60"/>
    </w:p>
    <w:p w:rsidR="005B375E" w:rsidRDefault="00863A58" w:rsidP="00B34AFD">
      <w:pPr>
        <w:rPr>
          <w:noProof/>
        </w:rPr>
      </w:pPr>
      <w:r w:rsidRPr="00863A58">
        <w:rPr>
          <w:noProof/>
        </w:rPr>
        <w:drawing>
          <wp:inline distT="0" distB="0" distL="0" distR="0" wp14:anchorId="11F77B75" wp14:editId="5E47E0DD">
            <wp:extent cx="5760085" cy="3565300"/>
            <wp:effectExtent l="19050" t="19050" r="12065" b="1651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60085" cy="3565300"/>
                    </a:xfrm>
                    <a:prstGeom prst="rect">
                      <a:avLst/>
                    </a:prstGeom>
                    <a:ln>
                      <a:solidFill>
                        <a:schemeClr val="tx2"/>
                      </a:solidFill>
                    </a:ln>
                  </pic:spPr>
                </pic:pic>
              </a:graphicData>
            </a:graphic>
          </wp:inline>
        </w:drawing>
      </w:r>
    </w:p>
    <w:p w:rsidR="00B34AFD" w:rsidRPr="00F8700B" w:rsidRDefault="00B34AFD" w:rsidP="00F8700B">
      <w:pPr>
        <w:jc w:val="both"/>
        <w:rPr>
          <w:i/>
          <w:sz w:val="18"/>
          <w:szCs w:val="18"/>
        </w:rPr>
      </w:pPr>
      <w:r w:rsidRPr="00F8700B">
        <w:rPr>
          <w:i/>
          <w:sz w:val="18"/>
          <w:szCs w:val="18"/>
        </w:rPr>
        <w:t>Zdroj</w:t>
      </w:r>
      <w:r w:rsidR="00CF2C06" w:rsidRPr="00F8700B">
        <w:rPr>
          <w:i/>
          <w:sz w:val="18"/>
          <w:szCs w:val="18"/>
        </w:rPr>
        <w:t xml:space="preserve">: </w:t>
      </w:r>
      <w:r w:rsidRPr="00F8700B">
        <w:rPr>
          <w:i/>
          <w:sz w:val="18"/>
          <w:szCs w:val="18"/>
        </w:rPr>
        <w:t xml:space="preserve">IS MONIT7+  </w:t>
      </w:r>
      <w:r w:rsidR="0015783A">
        <w:rPr>
          <w:i/>
          <w:sz w:val="18"/>
          <w:szCs w:val="18"/>
        </w:rPr>
        <w:t>30. 9. 2015</w:t>
      </w:r>
    </w:p>
    <w:p w:rsidR="00863A58" w:rsidRDefault="00863A58" w:rsidP="00B34AFD"/>
    <w:p w:rsidR="00863A58" w:rsidRDefault="00863A58" w:rsidP="00B34AFD"/>
    <w:tbl>
      <w:tblPr>
        <w:tblpPr w:leftFromText="141" w:rightFromText="141" w:vertAnchor="text" w:horzAnchor="margin" w:tblpY="-69"/>
        <w:tblW w:w="9142" w:type="dxa"/>
        <w:tblBorders>
          <w:top w:val="single" w:sz="8" w:space="0" w:color="0070C0"/>
          <w:left w:val="single" w:sz="8" w:space="0" w:color="0070C0"/>
          <w:bottom w:val="single" w:sz="8" w:space="0" w:color="0070C0"/>
          <w:right w:val="single" w:sz="8"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9142"/>
      </w:tblGrid>
      <w:tr w:rsidR="00863A58" w:rsidRPr="00604258" w:rsidTr="00863A58">
        <w:trPr>
          <w:trHeight w:val="242"/>
        </w:trPr>
        <w:tc>
          <w:tcPr>
            <w:tcW w:w="9142" w:type="dxa"/>
            <w:shd w:val="clear" w:color="000000" w:fill="C6D9F1"/>
            <w:noWrap/>
            <w:vAlign w:val="bottom"/>
          </w:tcPr>
          <w:p w:rsidR="00863A58" w:rsidRPr="00604258" w:rsidRDefault="00863A58" w:rsidP="00863A58">
            <w:pPr>
              <w:rPr>
                <w:b/>
                <w:bCs/>
                <w:i/>
                <w:iCs/>
              </w:rPr>
            </w:pPr>
            <w:r w:rsidRPr="00604258">
              <w:rPr>
                <w:b/>
                <w:bCs/>
                <w:i/>
                <w:iCs/>
              </w:rPr>
              <w:t>N1.1 Projektová žádost nesplnila alespoň jedno kritérium přijatelnosti</w:t>
            </w:r>
          </w:p>
        </w:tc>
      </w:tr>
      <w:tr w:rsidR="00863A58" w:rsidRPr="00604258" w:rsidTr="00863A58">
        <w:trPr>
          <w:trHeight w:val="242"/>
        </w:trPr>
        <w:tc>
          <w:tcPr>
            <w:tcW w:w="9142" w:type="dxa"/>
            <w:shd w:val="clear" w:color="auto" w:fill="FFFFFF" w:themeFill="background1"/>
            <w:noWrap/>
            <w:vAlign w:val="bottom"/>
          </w:tcPr>
          <w:p w:rsidR="00863A58" w:rsidRPr="00604258" w:rsidRDefault="00863A58" w:rsidP="00863A58">
            <w:pPr>
              <w:rPr>
                <w:b/>
                <w:bCs/>
                <w:i/>
                <w:iCs/>
              </w:rPr>
            </w:pPr>
            <w:r w:rsidRPr="00604258">
              <w:rPr>
                <w:b/>
                <w:bCs/>
                <w:i/>
                <w:iCs/>
              </w:rPr>
              <w:t>N1.2 Projektová žádost nesplnila formální náležitosti</w:t>
            </w:r>
          </w:p>
        </w:tc>
      </w:tr>
      <w:tr w:rsidR="00863A58" w:rsidRPr="00604258" w:rsidTr="00863A58">
        <w:trPr>
          <w:trHeight w:val="242"/>
        </w:trPr>
        <w:tc>
          <w:tcPr>
            <w:tcW w:w="9142" w:type="dxa"/>
            <w:shd w:val="clear" w:color="auto" w:fill="C6D9F1" w:themeFill="text2" w:themeFillTint="33"/>
            <w:noWrap/>
            <w:vAlign w:val="bottom"/>
          </w:tcPr>
          <w:p w:rsidR="00863A58" w:rsidRPr="00604258" w:rsidRDefault="00863A58" w:rsidP="00863A58">
            <w:pPr>
              <w:rPr>
                <w:b/>
                <w:bCs/>
                <w:i/>
                <w:iCs/>
              </w:rPr>
            </w:pPr>
            <w:r w:rsidRPr="00604258">
              <w:rPr>
                <w:b/>
                <w:bCs/>
                <w:i/>
                <w:iCs/>
              </w:rPr>
              <w:t>N1.3 Administrace pozastavena kvůli nedostatku finančních prostředků</w:t>
            </w:r>
          </w:p>
        </w:tc>
      </w:tr>
      <w:tr w:rsidR="00863A58" w:rsidRPr="00604258" w:rsidTr="00863A58">
        <w:trPr>
          <w:trHeight w:val="228"/>
        </w:trPr>
        <w:tc>
          <w:tcPr>
            <w:tcW w:w="9142" w:type="dxa"/>
            <w:shd w:val="clear" w:color="auto" w:fill="FFFFFF" w:themeFill="background1"/>
            <w:noWrap/>
            <w:vAlign w:val="bottom"/>
          </w:tcPr>
          <w:p w:rsidR="00863A58" w:rsidRPr="00604258" w:rsidRDefault="00863A58" w:rsidP="00863A58">
            <w:pPr>
              <w:rPr>
                <w:b/>
                <w:bCs/>
                <w:i/>
                <w:iCs/>
              </w:rPr>
            </w:pPr>
            <w:r w:rsidRPr="00604258">
              <w:rPr>
                <w:b/>
                <w:bCs/>
                <w:i/>
                <w:iCs/>
              </w:rPr>
              <w:t>N2.1 Projekt nesplnil podmínky hodnocení</w:t>
            </w:r>
          </w:p>
        </w:tc>
      </w:tr>
      <w:tr w:rsidR="00863A58" w:rsidRPr="00604258" w:rsidTr="00863A58">
        <w:trPr>
          <w:trHeight w:val="242"/>
        </w:trPr>
        <w:tc>
          <w:tcPr>
            <w:tcW w:w="9142" w:type="dxa"/>
            <w:shd w:val="clear" w:color="auto" w:fill="C6D9F1" w:themeFill="text2" w:themeFillTint="33"/>
            <w:noWrap/>
            <w:vAlign w:val="bottom"/>
          </w:tcPr>
          <w:p w:rsidR="00863A58" w:rsidRPr="00604258" w:rsidRDefault="00863A58" w:rsidP="00863A58">
            <w:pPr>
              <w:rPr>
                <w:b/>
                <w:bCs/>
                <w:i/>
                <w:iCs/>
              </w:rPr>
            </w:pPr>
            <w:r w:rsidRPr="00604258">
              <w:rPr>
                <w:b/>
                <w:bCs/>
                <w:i/>
                <w:iCs/>
              </w:rPr>
              <w:t>N2.2 Odeslán dopis o vyřazení projektové žádosti na základě ex-ante kontroly</w:t>
            </w:r>
          </w:p>
        </w:tc>
      </w:tr>
      <w:tr w:rsidR="00863A58" w:rsidRPr="00604258" w:rsidTr="00863A58">
        <w:trPr>
          <w:trHeight w:val="242"/>
        </w:trPr>
        <w:tc>
          <w:tcPr>
            <w:tcW w:w="9142" w:type="dxa"/>
            <w:shd w:val="clear" w:color="auto" w:fill="FFFFFF" w:themeFill="background1"/>
            <w:noWrap/>
            <w:vAlign w:val="bottom"/>
          </w:tcPr>
          <w:p w:rsidR="00863A58" w:rsidRPr="00604258" w:rsidRDefault="00863A58" w:rsidP="00863A58">
            <w:pPr>
              <w:rPr>
                <w:b/>
                <w:bCs/>
                <w:i/>
                <w:iCs/>
              </w:rPr>
            </w:pPr>
            <w:r w:rsidRPr="00604258">
              <w:rPr>
                <w:b/>
                <w:bCs/>
                <w:i/>
                <w:iCs/>
              </w:rPr>
              <w:t>N2.3 Projekt nedoporučen k financování výběrovou komisí</w:t>
            </w:r>
          </w:p>
        </w:tc>
      </w:tr>
      <w:tr w:rsidR="00863A58" w:rsidRPr="00604258" w:rsidTr="00863A58">
        <w:trPr>
          <w:trHeight w:val="242"/>
        </w:trPr>
        <w:tc>
          <w:tcPr>
            <w:tcW w:w="9142" w:type="dxa"/>
            <w:shd w:val="clear" w:color="auto" w:fill="C6D9F1" w:themeFill="text2" w:themeFillTint="33"/>
            <w:noWrap/>
            <w:vAlign w:val="bottom"/>
          </w:tcPr>
          <w:p w:rsidR="00863A58" w:rsidRPr="00604258" w:rsidRDefault="00863A58" w:rsidP="00863A58">
            <w:pPr>
              <w:rPr>
                <w:b/>
                <w:bCs/>
                <w:i/>
                <w:iCs/>
              </w:rPr>
            </w:pPr>
            <w:r w:rsidRPr="00604258">
              <w:rPr>
                <w:b/>
                <w:bCs/>
                <w:i/>
                <w:iCs/>
              </w:rPr>
              <w:t>N4.1 Vydání rozhodnutí o poskytnutí dotace/stanovení výdajů zamítnuto</w:t>
            </w:r>
          </w:p>
        </w:tc>
      </w:tr>
      <w:tr w:rsidR="00863A58" w:rsidRPr="00604258" w:rsidTr="00863A58">
        <w:trPr>
          <w:trHeight w:val="242"/>
        </w:trPr>
        <w:tc>
          <w:tcPr>
            <w:tcW w:w="9142" w:type="dxa"/>
            <w:shd w:val="clear" w:color="auto" w:fill="FFFFFF" w:themeFill="background1"/>
            <w:noWrap/>
            <w:vAlign w:val="bottom"/>
          </w:tcPr>
          <w:p w:rsidR="00863A58" w:rsidRPr="00604258" w:rsidRDefault="00863A58" w:rsidP="00863A58">
            <w:pPr>
              <w:rPr>
                <w:b/>
                <w:bCs/>
                <w:i/>
                <w:iCs/>
              </w:rPr>
            </w:pPr>
            <w:r w:rsidRPr="00604258">
              <w:rPr>
                <w:b/>
                <w:bCs/>
                <w:i/>
                <w:iCs/>
              </w:rPr>
              <w:t>N5 Projektová žádost stažena žadatelem</w:t>
            </w:r>
          </w:p>
        </w:tc>
      </w:tr>
      <w:tr w:rsidR="00863A58" w:rsidRPr="00604258" w:rsidTr="00863A58">
        <w:trPr>
          <w:trHeight w:val="242"/>
        </w:trPr>
        <w:tc>
          <w:tcPr>
            <w:tcW w:w="9142" w:type="dxa"/>
            <w:shd w:val="clear" w:color="auto" w:fill="C6D9F1" w:themeFill="text2" w:themeFillTint="33"/>
            <w:noWrap/>
            <w:vAlign w:val="bottom"/>
          </w:tcPr>
          <w:p w:rsidR="00863A58" w:rsidRPr="00604258" w:rsidRDefault="00863A58" w:rsidP="00863A58">
            <w:pPr>
              <w:rPr>
                <w:b/>
                <w:bCs/>
                <w:i/>
                <w:iCs/>
              </w:rPr>
            </w:pPr>
            <w:r w:rsidRPr="00604258">
              <w:rPr>
                <w:b/>
                <w:bCs/>
                <w:i/>
                <w:iCs/>
              </w:rPr>
              <w:t>N7 Projekt nedokončen/stažen</w:t>
            </w:r>
          </w:p>
        </w:tc>
      </w:tr>
      <w:tr w:rsidR="00863A58" w:rsidRPr="00604258" w:rsidTr="00863A58">
        <w:trPr>
          <w:trHeight w:val="259"/>
        </w:trPr>
        <w:tc>
          <w:tcPr>
            <w:tcW w:w="9142" w:type="dxa"/>
            <w:shd w:val="clear" w:color="auto" w:fill="FFFFFF" w:themeFill="background1"/>
            <w:noWrap/>
            <w:vAlign w:val="bottom"/>
          </w:tcPr>
          <w:p w:rsidR="00863A58" w:rsidRPr="00604258" w:rsidRDefault="00863A58" w:rsidP="00863A58">
            <w:pPr>
              <w:rPr>
                <w:b/>
                <w:bCs/>
                <w:i/>
                <w:iCs/>
              </w:rPr>
            </w:pPr>
            <w:r w:rsidRPr="00604258">
              <w:rPr>
                <w:b/>
                <w:bCs/>
                <w:i/>
                <w:iCs/>
              </w:rPr>
              <w:t>N8 Smlouva ukončena ze strany ŘO/ZS</w:t>
            </w:r>
          </w:p>
        </w:tc>
      </w:tr>
    </w:tbl>
    <w:p w:rsidR="00863A58" w:rsidRDefault="00863A58" w:rsidP="00B34AFD"/>
    <w:p w:rsidR="00863A58" w:rsidRDefault="00863A58" w:rsidP="00B34AFD"/>
    <w:p w:rsidR="00863A58" w:rsidRDefault="00863A58" w:rsidP="00B34AFD"/>
    <w:p w:rsidR="00863A58" w:rsidRPr="00863A58" w:rsidRDefault="00863A58" w:rsidP="00863A58"/>
    <w:p w:rsidR="00863A58" w:rsidRPr="00863A58" w:rsidRDefault="00863A58" w:rsidP="00863A58"/>
    <w:p w:rsidR="00863A58" w:rsidRPr="00863A58" w:rsidRDefault="00863A58" w:rsidP="00863A58"/>
    <w:p w:rsidR="00863A58" w:rsidRPr="00863A58" w:rsidRDefault="00863A58" w:rsidP="00863A58"/>
    <w:p w:rsidR="00863A58" w:rsidRPr="00863A58" w:rsidRDefault="00863A58" w:rsidP="00863A58"/>
    <w:p w:rsidR="00863A58" w:rsidRPr="00863A58" w:rsidRDefault="00863A58" w:rsidP="00863A58"/>
    <w:p w:rsidR="00863A58" w:rsidRPr="00863A58" w:rsidRDefault="00863A58" w:rsidP="00863A58"/>
    <w:p w:rsidR="00863A58" w:rsidRPr="00863A58" w:rsidRDefault="00863A58" w:rsidP="00863A58"/>
    <w:p w:rsidR="009C0949" w:rsidRDefault="00547C64" w:rsidP="009C0949">
      <w:pPr>
        <w:pStyle w:val="Graf"/>
        <w:keepNext/>
        <w:keepLines/>
        <w:spacing w:before="360"/>
        <w:rPr>
          <w:b w:val="0"/>
        </w:rPr>
      </w:pPr>
      <w:bookmarkStart w:id="61" w:name="_Toc433873586"/>
      <w:r w:rsidRPr="00863A58">
        <w:lastRenderedPageBreak/>
        <w:t>Vyřazené projekty dle jednotlivých oblastí intervence</w:t>
      </w:r>
      <w:bookmarkEnd w:id="61"/>
    </w:p>
    <w:p w:rsidR="005B375E" w:rsidRDefault="00863A58" w:rsidP="009C0949">
      <w:pPr>
        <w:rPr>
          <w:noProof/>
        </w:rPr>
      </w:pPr>
      <w:r w:rsidRPr="00863A58">
        <w:rPr>
          <w:noProof/>
        </w:rPr>
        <w:drawing>
          <wp:inline distT="0" distB="0" distL="0" distR="0" wp14:anchorId="068A6251" wp14:editId="05EA83B6">
            <wp:extent cx="5760085" cy="2906375"/>
            <wp:effectExtent l="19050" t="19050" r="12065" b="2794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60085" cy="2906375"/>
                    </a:xfrm>
                    <a:prstGeom prst="rect">
                      <a:avLst/>
                    </a:prstGeom>
                    <a:ln>
                      <a:solidFill>
                        <a:schemeClr val="tx2"/>
                      </a:solidFill>
                    </a:ln>
                  </pic:spPr>
                </pic:pic>
              </a:graphicData>
            </a:graphic>
          </wp:inline>
        </w:drawing>
      </w:r>
    </w:p>
    <w:p w:rsidR="00547C64" w:rsidRPr="005A4FF5" w:rsidRDefault="001C3E86" w:rsidP="00547C64">
      <w:pPr>
        <w:rPr>
          <w:i/>
          <w:sz w:val="18"/>
          <w:szCs w:val="18"/>
        </w:rPr>
      </w:pPr>
      <w:r>
        <w:rPr>
          <w:i/>
          <w:sz w:val="18"/>
          <w:szCs w:val="18"/>
        </w:rPr>
        <w:t>Z</w:t>
      </w:r>
      <w:r w:rsidR="00547C64" w:rsidRPr="005A4FF5">
        <w:rPr>
          <w:i/>
          <w:sz w:val="18"/>
          <w:szCs w:val="18"/>
        </w:rPr>
        <w:t xml:space="preserve">droj: IS MONIT7+  </w:t>
      </w:r>
      <w:r w:rsidR="0015783A">
        <w:rPr>
          <w:i/>
          <w:sz w:val="18"/>
          <w:szCs w:val="18"/>
        </w:rPr>
        <w:t>30. 9. 2015</w:t>
      </w:r>
    </w:p>
    <w:p w:rsidR="003A3E14" w:rsidRPr="00547C64" w:rsidRDefault="003A3E14" w:rsidP="00547C64"/>
    <w:p w:rsidR="008F32F7" w:rsidRDefault="008F32F7" w:rsidP="0014776F">
      <w:pPr>
        <w:rPr>
          <w:color w:val="1F497D"/>
          <w:sz w:val="22"/>
          <w:szCs w:val="22"/>
        </w:rPr>
      </w:pPr>
    </w:p>
    <w:p w:rsidR="0068158C" w:rsidRPr="008F32F7" w:rsidRDefault="008F32F7" w:rsidP="008967E2">
      <w:pPr>
        <w:rPr>
          <w:sz w:val="22"/>
          <w:szCs w:val="22"/>
        </w:rPr>
      </w:pPr>
      <w:r w:rsidRPr="008F32F7">
        <w:rPr>
          <w:sz w:val="22"/>
          <w:szCs w:val="22"/>
        </w:rPr>
        <w:t xml:space="preserve">Za sledované období nebyl </w:t>
      </w:r>
      <w:r w:rsidRPr="008F32F7">
        <w:rPr>
          <w:b/>
          <w:sz w:val="22"/>
          <w:szCs w:val="22"/>
        </w:rPr>
        <w:t>v oblasti intervence 1.1</w:t>
      </w:r>
      <w:r w:rsidRPr="008F32F7">
        <w:rPr>
          <w:sz w:val="22"/>
          <w:szCs w:val="22"/>
        </w:rPr>
        <w:t xml:space="preserve"> vyřazen žádný projekt</w:t>
      </w:r>
      <w:r w:rsidR="00FE5F38">
        <w:rPr>
          <w:sz w:val="22"/>
          <w:szCs w:val="22"/>
        </w:rPr>
        <w:t xml:space="preserve"> a žádný neodstoupil od realizace</w:t>
      </w:r>
      <w:r w:rsidRPr="008F32F7">
        <w:rPr>
          <w:sz w:val="22"/>
          <w:szCs w:val="22"/>
        </w:rPr>
        <w:t>. Hodnocení poslední</w:t>
      </w:r>
      <w:r w:rsidR="00FE5F38">
        <w:rPr>
          <w:sz w:val="22"/>
          <w:szCs w:val="22"/>
        </w:rPr>
        <w:t xml:space="preserve"> </w:t>
      </w:r>
      <w:r w:rsidRPr="008F32F7">
        <w:rPr>
          <w:sz w:val="22"/>
          <w:szCs w:val="22"/>
        </w:rPr>
        <w:t xml:space="preserve">17. výzvy bylo ukončeno v minulém období. </w:t>
      </w:r>
    </w:p>
    <w:p w:rsidR="008F32F7" w:rsidRDefault="008F32F7" w:rsidP="0014776F">
      <w:pPr>
        <w:rPr>
          <w:color w:val="1F497D"/>
          <w:sz w:val="22"/>
          <w:szCs w:val="22"/>
        </w:rPr>
      </w:pPr>
    </w:p>
    <w:p w:rsidR="00A27D71" w:rsidRPr="00A27D71" w:rsidRDefault="00A27D71" w:rsidP="0014776F">
      <w:pPr>
        <w:jc w:val="both"/>
        <w:rPr>
          <w:sz w:val="22"/>
          <w:szCs w:val="22"/>
        </w:rPr>
      </w:pPr>
      <w:r w:rsidRPr="00A27D71">
        <w:rPr>
          <w:sz w:val="22"/>
          <w:szCs w:val="22"/>
        </w:rPr>
        <w:t xml:space="preserve">Ve sledovaném období nebyl </w:t>
      </w:r>
      <w:r w:rsidRPr="00A27D71">
        <w:rPr>
          <w:b/>
          <w:sz w:val="22"/>
          <w:szCs w:val="22"/>
        </w:rPr>
        <w:t>v oblasti intervence 2.1</w:t>
      </w:r>
      <w:r w:rsidRPr="00A27D71">
        <w:rPr>
          <w:sz w:val="22"/>
          <w:szCs w:val="22"/>
        </w:rPr>
        <w:t xml:space="preserve"> vyřazen žádný projekt. Hodnocení projektů poslední 22. výzvy bylo ukončeno v minulém období. </w:t>
      </w:r>
      <w:r w:rsidR="00FE5F38">
        <w:rPr>
          <w:sz w:val="22"/>
          <w:szCs w:val="22"/>
        </w:rPr>
        <w:t>O</w:t>
      </w:r>
      <w:r w:rsidRPr="00A27D71">
        <w:rPr>
          <w:sz w:val="22"/>
          <w:szCs w:val="22"/>
        </w:rPr>
        <w:t xml:space="preserve">d realizace </w:t>
      </w:r>
      <w:r w:rsidR="00FE5F38" w:rsidRPr="00A27D71">
        <w:rPr>
          <w:sz w:val="22"/>
          <w:szCs w:val="22"/>
        </w:rPr>
        <w:t xml:space="preserve">odstoupilo </w:t>
      </w:r>
      <w:r w:rsidRPr="00A27D71">
        <w:rPr>
          <w:sz w:val="22"/>
          <w:szCs w:val="22"/>
        </w:rPr>
        <w:t xml:space="preserve">6 projektů ve 22. výzvě, důvodem byly ve většině případů problémy s realizací veřejných zakázek a </w:t>
      </w:r>
      <w:r w:rsidR="00FE5F38">
        <w:rPr>
          <w:sz w:val="22"/>
          <w:szCs w:val="22"/>
        </w:rPr>
        <w:t>obavy</w:t>
      </w:r>
      <w:r w:rsidRPr="00A27D71">
        <w:rPr>
          <w:sz w:val="22"/>
          <w:szCs w:val="22"/>
        </w:rPr>
        <w:t xml:space="preserve"> příjemců, že projekty nelze realizovat </w:t>
      </w:r>
      <w:r>
        <w:rPr>
          <w:sz w:val="22"/>
          <w:szCs w:val="22"/>
        </w:rPr>
        <w:t xml:space="preserve">do </w:t>
      </w:r>
      <w:r w:rsidRPr="00A27D71">
        <w:rPr>
          <w:sz w:val="22"/>
          <w:szCs w:val="22"/>
        </w:rPr>
        <w:t>30. 11. 2015.</w:t>
      </w:r>
    </w:p>
    <w:p w:rsidR="0068158C" w:rsidRPr="008D2121" w:rsidRDefault="0068158C" w:rsidP="0014776F">
      <w:pPr>
        <w:rPr>
          <w:highlight w:val="yellow"/>
        </w:rPr>
      </w:pPr>
    </w:p>
    <w:p w:rsidR="00353122" w:rsidRDefault="00353122" w:rsidP="0014776F">
      <w:pPr>
        <w:jc w:val="both"/>
        <w:rPr>
          <w:sz w:val="22"/>
          <w:szCs w:val="22"/>
        </w:rPr>
      </w:pPr>
      <w:r w:rsidRPr="00AB18AA">
        <w:rPr>
          <w:sz w:val="22"/>
          <w:szCs w:val="22"/>
        </w:rPr>
        <w:t xml:space="preserve">Od počátku vyhlášení výzev </w:t>
      </w:r>
      <w:r w:rsidRPr="00353122">
        <w:rPr>
          <w:b/>
          <w:sz w:val="22"/>
          <w:szCs w:val="22"/>
        </w:rPr>
        <w:t>v oblasti intervence 3.1</w:t>
      </w:r>
      <w:r w:rsidRPr="00AB18AA">
        <w:rPr>
          <w:sz w:val="22"/>
          <w:szCs w:val="22"/>
        </w:rPr>
        <w:t xml:space="preserve"> bylo kumulativně vyřazeno </w:t>
      </w:r>
      <w:r>
        <w:rPr>
          <w:sz w:val="22"/>
          <w:szCs w:val="22"/>
        </w:rPr>
        <w:t>346</w:t>
      </w:r>
      <w:r w:rsidRPr="00AB18AA">
        <w:rPr>
          <w:sz w:val="22"/>
          <w:szCs w:val="22"/>
        </w:rPr>
        <w:t xml:space="preserve"> </w:t>
      </w:r>
      <w:r w:rsidR="007D66D0" w:rsidRPr="00AB18AA">
        <w:rPr>
          <w:sz w:val="22"/>
          <w:szCs w:val="22"/>
        </w:rPr>
        <w:t>projektů ze  474</w:t>
      </w:r>
      <w:r w:rsidRPr="00AB18AA">
        <w:rPr>
          <w:sz w:val="22"/>
          <w:szCs w:val="22"/>
        </w:rPr>
        <w:t xml:space="preserve"> předložených projektových žádostí, což představuje </w:t>
      </w:r>
      <w:r>
        <w:rPr>
          <w:sz w:val="22"/>
          <w:szCs w:val="22"/>
        </w:rPr>
        <w:t xml:space="preserve">73 </w:t>
      </w:r>
      <w:r w:rsidRPr="00AB18AA">
        <w:rPr>
          <w:sz w:val="22"/>
          <w:szCs w:val="22"/>
        </w:rPr>
        <w:t>% z celkového počtu podaných žádostí. Nejčastějším důvodem vyřazení je nesplnění podmínek hodnocení projektu</w:t>
      </w:r>
      <w:r>
        <w:rPr>
          <w:sz w:val="22"/>
          <w:szCs w:val="22"/>
        </w:rPr>
        <w:t xml:space="preserve"> (stav N2.1) s podílem vyřazených žádostí ve vazbě k celkovému počtu podaných žádostí 40,08</w:t>
      </w:r>
      <w:r w:rsidR="00FE5F38">
        <w:rPr>
          <w:sz w:val="22"/>
          <w:szCs w:val="22"/>
        </w:rPr>
        <w:t xml:space="preserve"> </w:t>
      </w:r>
      <w:r>
        <w:rPr>
          <w:sz w:val="22"/>
          <w:szCs w:val="22"/>
        </w:rPr>
        <w:t xml:space="preserve">%. </w:t>
      </w:r>
      <w:r w:rsidRPr="00AB18AA">
        <w:rPr>
          <w:sz w:val="22"/>
          <w:szCs w:val="22"/>
        </w:rPr>
        <w:t>Hlavní důvody vyřazení projektových žádostí pro</w:t>
      </w:r>
      <w:r>
        <w:rPr>
          <w:sz w:val="22"/>
          <w:szCs w:val="22"/>
        </w:rPr>
        <w:t xml:space="preserve"> nesplnění podmínek hodnocení projektu se váží především k aktivitě 3.1 c), kde byl poměr vyřazených žádostí nejvýznamnější. </w:t>
      </w:r>
      <w:r w:rsidR="00FE5F38">
        <w:rPr>
          <w:sz w:val="22"/>
          <w:szCs w:val="22"/>
        </w:rPr>
        <w:t>P</w:t>
      </w:r>
      <w:r>
        <w:rPr>
          <w:sz w:val="22"/>
          <w:szCs w:val="22"/>
        </w:rPr>
        <w:t xml:space="preserve">řestože </w:t>
      </w:r>
      <w:r w:rsidRPr="00AB18AA">
        <w:rPr>
          <w:sz w:val="22"/>
          <w:szCs w:val="22"/>
        </w:rPr>
        <w:t xml:space="preserve">MPSV přijalo </w:t>
      </w:r>
      <w:r>
        <w:rPr>
          <w:sz w:val="22"/>
          <w:szCs w:val="22"/>
        </w:rPr>
        <w:t xml:space="preserve">v roce 2013 a 2014 </w:t>
      </w:r>
      <w:r w:rsidRPr="00AB18AA">
        <w:rPr>
          <w:sz w:val="22"/>
          <w:szCs w:val="22"/>
        </w:rPr>
        <w:t>opatřen</w:t>
      </w:r>
      <w:r>
        <w:rPr>
          <w:sz w:val="22"/>
          <w:szCs w:val="22"/>
        </w:rPr>
        <w:t xml:space="preserve">í k nápravě ve formě intenzivních individuálních konzultací s žadateli, neměly </w:t>
      </w:r>
      <w:r w:rsidRPr="00AB18AA">
        <w:rPr>
          <w:sz w:val="22"/>
          <w:szCs w:val="22"/>
        </w:rPr>
        <w:t>tyto akt</w:t>
      </w:r>
      <w:r>
        <w:rPr>
          <w:sz w:val="22"/>
          <w:szCs w:val="22"/>
        </w:rPr>
        <w:t xml:space="preserve">ivity významný dopad </w:t>
      </w:r>
      <w:r w:rsidRPr="00AB18AA">
        <w:rPr>
          <w:sz w:val="22"/>
          <w:szCs w:val="22"/>
        </w:rPr>
        <w:t>na</w:t>
      </w:r>
      <w:r>
        <w:rPr>
          <w:sz w:val="22"/>
          <w:szCs w:val="22"/>
        </w:rPr>
        <w:t xml:space="preserve"> snížení podílu vyřazených žádostí. </w:t>
      </w:r>
    </w:p>
    <w:p w:rsidR="00353122" w:rsidRPr="00AB18AA" w:rsidRDefault="00353122" w:rsidP="0014776F">
      <w:pPr>
        <w:jc w:val="both"/>
        <w:rPr>
          <w:sz w:val="22"/>
          <w:szCs w:val="22"/>
        </w:rPr>
      </w:pPr>
      <w:r>
        <w:rPr>
          <w:sz w:val="22"/>
          <w:szCs w:val="22"/>
        </w:rPr>
        <w:t xml:space="preserve">Dalším nejčastějším důvodem pro vyřazení je </w:t>
      </w:r>
      <w:r w:rsidRPr="00AB18AA">
        <w:rPr>
          <w:sz w:val="22"/>
          <w:szCs w:val="22"/>
        </w:rPr>
        <w:t xml:space="preserve">stažení </w:t>
      </w:r>
      <w:r>
        <w:rPr>
          <w:sz w:val="22"/>
          <w:szCs w:val="22"/>
        </w:rPr>
        <w:t>projektu</w:t>
      </w:r>
      <w:r w:rsidRPr="00AB18AA">
        <w:rPr>
          <w:sz w:val="22"/>
          <w:szCs w:val="22"/>
        </w:rPr>
        <w:t xml:space="preserve"> žadatelem</w:t>
      </w:r>
      <w:r>
        <w:rPr>
          <w:sz w:val="22"/>
          <w:szCs w:val="22"/>
        </w:rPr>
        <w:t xml:space="preserve">, </w:t>
      </w:r>
      <w:r w:rsidRPr="00AB18AA">
        <w:rPr>
          <w:sz w:val="22"/>
          <w:szCs w:val="22"/>
        </w:rPr>
        <w:t>kter</w:t>
      </w:r>
      <w:r w:rsidR="00FE5F38">
        <w:rPr>
          <w:sz w:val="22"/>
          <w:szCs w:val="22"/>
        </w:rPr>
        <w:t>é</w:t>
      </w:r>
      <w:r w:rsidRPr="00AB18AA">
        <w:rPr>
          <w:sz w:val="22"/>
          <w:szCs w:val="22"/>
        </w:rPr>
        <w:t xml:space="preserve"> se podílí </w:t>
      </w:r>
      <w:r>
        <w:rPr>
          <w:sz w:val="22"/>
          <w:szCs w:val="22"/>
        </w:rPr>
        <w:t xml:space="preserve">na celkovém </w:t>
      </w:r>
      <w:r w:rsidR="00FE5F38">
        <w:rPr>
          <w:sz w:val="22"/>
          <w:szCs w:val="22"/>
        </w:rPr>
        <w:t xml:space="preserve">počtu </w:t>
      </w:r>
      <w:r>
        <w:rPr>
          <w:sz w:val="22"/>
          <w:szCs w:val="22"/>
        </w:rPr>
        <w:t xml:space="preserve">vyřazených žádostí </w:t>
      </w:r>
      <w:r w:rsidR="00FE5F38">
        <w:rPr>
          <w:sz w:val="22"/>
          <w:szCs w:val="22"/>
        </w:rPr>
        <w:t xml:space="preserve">z </w:t>
      </w:r>
      <w:r>
        <w:rPr>
          <w:sz w:val="22"/>
          <w:szCs w:val="22"/>
        </w:rPr>
        <w:t>13,92 %, a nedokončení projektu.</w:t>
      </w:r>
      <w:r w:rsidRPr="00AB18AA">
        <w:rPr>
          <w:sz w:val="22"/>
          <w:szCs w:val="22"/>
        </w:rPr>
        <w:t xml:space="preserve"> </w:t>
      </w:r>
      <w:r>
        <w:rPr>
          <w:sz w:val="22"/>
          <w:szCs w:val="22"/>
        </w:rPr>
        <w:t xml:space="preserve">Za sledované období došlo ke stažení </w:t>
      </w:r>
      <w:r>
        <w:rPr>
          <w:sz w:val="22"/>
          <w:szCs w:val="22"/>
        </w:rPr>
        <w:br/>
      </w:r>
      <w:r w:rsidR="00FE5F38">
        <w:rPr>
          <w:sz w:val="22"/>
          <w:szCs w:val="22"/>
        </w:rPr>
        <w:t>jedné</w:t>
      </w:r>
      <w:r>
        <w:rPr>
          <w:sz w:val="22"/>
          <w:szCs w:val="22"/>
        </w:rPr>
        <w:t xml:space="preserve"> projektové žádosti žadatelem a 1 projekt </w:t>
      </w:r>
      <w:r w:rsidR="00FE5F38">
        <w:rPr>
          <w:sz w:val="22"/>
          <w:szCs w:val="22"/>
        </w:rPr>
        <w:t xml:space="preserve">nebyl </w:t>
      </w:r>
      <w:r>
        <w:rPr>
          <w:sz w:val="22"/>
          <w:szCs w:val="22"/>
        </w:rPr>
        <w:t xml:space="preserve">nedokončen. </w:t>
      </w:r>
    </w:p>
    <w:p w:rsidR="00F970B9" w:rsidRDefault="00F970B9" w:rsidP="0014776F">
      <w:pPr>
        <w:jc w:val="both"/>
        <w:rPr>
          <w:sz w:val="22"/>
          <w:szCs w:val="22"/>
        </w:rPr>
      </w:pPr>
    </w:p>
    <w:p w:rsidR="000E7F0A" w:rsidRPr="000E7F0A" w:rsidRDefault="0030306A" w:rsidP="0014776F">
      <w:pPr>
        <w:jc w:val="both"/>
        <w:rPr>
          <w:sz w:val="22"/>
          <w:szCs w:val="22"/>
        </w:rPr>
      </w:pPr>
      <w:r w:rsidRPr="000E7F0A">
        <w:rPr>
          <w:b/>
          <w:sz w:val="22"/>
          <w:szCs w:val="22"/>
        </w:rPr>
        <w:t>V oblasti intervence 3.2</w:t>
      </w:r>
      <w:r w:rsidRPr="000E7F0A">
        <w:rPr>
          <w:sz w:val="22"/>
          <w:szCs w:val="22"/>
        </w:rPr>
        <w:t xml:space="preserve"> </w:t>
      </w:r>
      <w:r w:rsidR="000E7F0A" w:rsidRPr="000E7F0A">
        <w:rPr>
          <w:sz w:val="22"/>
          <w:szCs w:val="22"/>
        </w:rPr>
        <w:t>bylo předloženo 267 projektových žádostí. V průběhu hodnotícího procesu za všechny výzvy a celé programové období byly vyřazeny 2 projekty na základě nesplnění formálních náležitost</w:t>
      </w:r>
      <w:r w:rsidR="00FE5F38">
        <w:rPr>
          <w:sz w:val="22"/>
          <w:szCs w:val="22"/>
        </w:rPr>
        <w:t>í</w:t>
      </w:r>
      <w:r w:rsidR="000E7F0A" w:rsidRPr="000E7F0A">
        <w:rPr>
          <w:sz w:val="22"/>
          <w:szCs w:val="22"/>
        </w:rPr>
        <w:t xml:space="preserve"> a 2 projekty na základě nesplnění kritérií přijatelnosti. Dalších 16 projektů bylo vyřazeno </w:t>
      </w:r>
      <w:r w:rsidR="00FE5F38">
        <w:rPr>
          <w:sz w:val="22"/>
          <w:szCs w:val="22"/>
        </w:rPr>
        <w:t xml:space="preserve">při </w:t>
      </w:r>
      <w:r w:rsidR="000E7F0A" w:rsidRPr="000E7F0A">
        <w:rPr>
          <w:sz w:val="22"/>
          <w:szCs w:val="22"/>
        </w:rPr>
        <w:t>hodno</w:t>
      </w:r>
      <w:r w:rsidR="00FE5F38">
        <w:rPr>
          <w:sz w:val="22"/>
          <w:szCs w:val="22"/>
        </w:rPr>
        <w:t>cení kvality projektu</w:t>
      </w:r>
      <w:r w:rsidR="000E7F0A" w:rsidRPr="000E7F0A">
        <w:rPr>
          <w:sz w:val="22"/>
          <w:szCs w:val="22"/>
        </w:rPr>
        <w:t xml:space="preserve"> (v procentním vyjádření 5,99</w:t>
      </w:r>
      <w:r w:rsidR="00FE5F38">
        <w:rPr>
          <w:sz w:val="22"/>
          <w:szCs w:val="22"/>
        </w:rPr>
        <w:t xml:space="preserve"> </w:t>
      </w:r>
      <w:r w:rsidR="000E7F0A" w:rsidRPr="000E7F0A">
        <w:rPr>
          <w:sz w:val="22"/>
          <w:szCs w:val="22"/>
        </w:rPr>
        <w:t>%). Výběrová komise nedoporučila 13 projektů k financování převážně z důvodu rizik</w:t>
      </w:r>
      <w:r w:rsidR="00FE5F38">
        <w:rPr>
          <w:sz w:val="22"/>
          <w:szCs w:val="22"/>
        </w:rPr>
        <w:t>a</w:t>
      </w:r>
      <w:r w:rsidR="000E7F0A" w:rsidRPr="000E7F0A">
        <w:rPr>
          <w:sz w:val="22"/>
          <w:szCs w:val="22"/>
        </w:rPr>
        <w:t xml:space="preserve"> neudržení projektů. Ke konci programového období </w:t>
      </w:r>
      <w:r w:rsidR="00FE5F38">
        <w:rPr>
          <w:sz w:val="22"/>
          <w:szCs w:val="22"/>
        </w:rPr>
        <w:t xml:space="preserve">se </w:t>
      </w:r>
      <w:r w:rsidR="000E7F0A" w:rsidRPr="000E7F0A">
        <w:rPr>
          <w:sz w:val="22"/>
          <w:szCs w:val="22"/>
        </w:rPr>
        <w:t>výrazn</w:t>
      </w:r>
      <w:r w:rsidR="00FE5F38">
        <w:rPr>
          <w:sz w:val="22"/>
          <w:szCs w:val="22"/>
        </w:rPr>
        <w:t>ě</w:t>
      </w:r>
      <w:r w:rsidR="000E7F0A" w:rsidRPr="000E7F0A">
        <w:rPr>
          <w:sz w:val="22"/>
          <w:szCs w:val="22"/>
        </w:rPr>
        <w:t xml:space="preserve"> sniž</w:t>
      </w:r>
      <w:r w:rsidR="00FE5F38">
        <w:rPr>
          <w:sz w:val="22"/>
          <w:szCs w:val="22"/>
        </w:rPr>
        <w:t>uje</w:t>
      </w:r>
      <w:r w:rsidR="000E7F0A" w:rsidRPr="000E7F0A">
        <w:rPr>
          <w:sz w:val="22"/>
          <w:szCs w:val="22"/>
        </w:rPr>
        <w:t xml:space="preserve"> poč</w:t>
      </w:r>
      <w:r w:rsidR="00FE5F38">
        <w:rPr>
          <w:sz w:val="22"/>
          <w:szCs w:val="22"/>
        </w:rPr>
        <w:t>e</w:t>
      </w:r>
      <w:r w:rsidR="000E7F0A" w:rsidRPr="000E7F0A">
        <w:rPr>
          <w:sz w:val="22"/>
          <w:szCs w:val="22"/>
        </w:rPr>
        <w:t xml:space="preserve">t vyřazovaných projektů. Kvalita projektových žádostí stoupla, což se kladně projevilo v celém systému hodnocení. </w:t>
      </w:r>
      <w:r w:rsidR="00FE5F38">
        <w:rPr>
          <w:sz w:val="22"/>
          <w:szCs w:val="22"/>
        </w:rPr>
        <w:t>B</w:t>
      </w:r>
      <w:r w:rsidR="000E7F0A" w:rsidRPr="000E7F0A">
        <w:rPr>
          <w:sz w:val="22"/>
          <w:szCs w:val="22"/>
        </w:rPr>
        <w:t xml:space="preserve">ylo evidováno 17 projektů, které byly z různých důvodů staženy z realizace ze strany příjemců. Lze očekávat, že toto číslo </w:t>
      </w:r>
      <w:r w:rsidR="00FE5F38">
        <w:rPr>
          <w:sz w:val="22"/>
          <w:szCs w:val="22"/>
        </w:rPr>
        <w:t>po</w:t>
      </w:r>
      <w:r w:rsidR="000E7F0A" w:rsidRPr="000E7F0A">
        <w:rPr>
          <w:sz w:val="22"/>
          <w:szCs w:val="22"/>
        </w:rPr>
        <w:t>r</w:t>
      </w:r>
      <w:r w:rsidR="00FE5F38">
        <w:rPr>
          <w:sz w:val="22"/>
          <w:szCs w:val="22"/>
        </w:rPr>
        <w:t>o</w:t>
      </w:r>
      <w:r w:rsidR="000E7F0A" w:rsidRPr="000E7F0A">
        <w:rPr>
          <w:sz w:val="22"/>
          <w:szCs w:val="22"/>
        </w:rPr>
        <w:t>st</w:t>
      </w:r>
      <w:r w:rsidR="00FE5F38">
        <w:rPr>
          <w:sz w:val="22"/>
          <w:szCs w:val="22"/>
        </w:rPr>
        <w:t>e</w:t>
      </w:r>
      <w:r w:rsidR="000E7F0A" w:rsidRPr="000E7F0A">
        <w:rPr>
          <w:sz w:val="22"/>
          <w:szCs w:val="22"/>
        </w:rPr>
        <w:t xml:space="preserve">, jelikož se projekty nepodaří realizovat v původních harmonogramech </w:t>
      </w:r>
      <w:r w:rsidR="00FE5F38">
        <w:rPr>
          <w:sz w:val="22"/>
          <w:szCs w:val="22"/>
        </w:rPr>
        <w:t>kvůli</w:t>
      </w:r>
      <w:r w:rsidR="000E7F0A" w:rsidRPr="000E7F0A">
        <w:rPr>
          <w:sz w:val="22"/>
          <w:szCs w:val="22"/>
        </w:rPr>
        <w:t xml:space="preserve"> problémů</w:t>
      </w:r>
      <w:r w:rsidR="00FE5F38">
        <w:rPr>
          <w:sz w:val="22"/>
          <w:szCs w:val="22"/>
        </w:rPr>
        <w:t>m</w:t>
      </w:r>
      <w:r w:rsidR="000E7F0A" w:rsidRPr="000E7F0A">
        <w:rPr>
          <w:sz w:val="22"/>
          <w:szCs w:val="22"/>
        </w:rPr>
        <w:t xml:space="preserve"> s VŘ</w:t>
      </w:r>
      <w:r w:rsidR="00FE5F38">
        <w:rPr>
          <w:sz w:val="22"/>
          <w:szCs w:val="22"/>
        </w:rPr>
        <w:t xml:space="preserve"> nebo s</w:t>
      </w:r>
      <w:r w:rsidR="000E7F0A" w:rsidRPr="000E7F0A">
        <w:rPr>
          <w:sz w:val="22"/>
          <w:szCs w:val="22"/>
        </w:rPr>
        <w:t xml:space="preserve"> dlouhými dodacími lhůtami.</w:t>
      </w:r>
      <w:r w:rsidR="000E7F0A">
        <w:rPr>
          <w:sz w:val="22"/>
          <w:szCs w:val="22"/>
        </w:rPr>
        <w:t xml:space="preserve"> </w:t>
      </w:r>
      <w:r w:rsidR="000E7F0A" w:rsidRPr="000E7F0A">
        <w:rPr>
          <w:sz w:val="22"/>
          <w:szCs w:val="22"/>
        </w:rPr>
        <w:t>K </w:t>
      </w:r>
      <w:r w:rsidR="006C5A1C" w:rsidRPr="000E7F0A">
        <w:rPr>
          <w:sz w:val="22"/>
          <w:szCs w:val="22"/>
        </w:rPr>
        <w:t>30. 9. 2015</w:t>
      </w:r>
      <w:r w:rsidR="000E7F0A" w:rsidRPr="000E7F0A">
        <w:rPr>
          <w:sz w:val="22"/>
          <w:szCs w:val="22"/>
        </w:rPr>
        <w:t xml:space="preserve"> byl celkový podíl vyřazených projektů na úrovni 20,22</w:t>
      </w:r>
      <w:r w:rsidR="00FE5F38">
        <w:rPr>
          <w:sz w:val="22"/>
          <w:szCs w:val="22"/>
        </w:rPr>
        <w:t xml:space="preserve"> </w:t>
      </w:r>
      <w:r w:rsidR="000E7F0A" w:rsidRPr="000E7F0A">
        <w:rPr>
          <w:sz w:val="22"/>
          <w:szCs w:val="22"/>
        </w:rPr>
        <w:t>%.</w:t>
      </w:r>
    </w:p>
    <w:p w:rsidR="005567B8" w:rsidRPr="008D2121" w:rsidRDefault="005567B8" w:rsidP="0014776F">
      <w:pPr>
        <w:jc w:val="both"/>
        <w:rPr>
          <w:sz w:val="22"/>
          <w:szCs w:val="22"/>
          <w:highlight w:val="yellow"/>
        </w:rPr>
      </w:pPr>
    </w:p>
    <w:p w:rsidR="007D66D0" w:rsidRDefault="007D66D0" w:rsidP="0014776F">
      <w:pPr>
        <w:jc w:val="both"/>
        <w:rPr>
          <w:b/>
          <w:sz w:val="22"/>
          <w:szCs w:val="22"/>
        </w:rPr>
      </w:pPr>
    </w:p>
    <w:p w:rsidR="009039A7" w:rsidRDefault="003A3E14" w:rsidP="0014776F">
      <w:pPr>
        <w:jc w:val="both"/>
        <w:rPr>
          <w:sz w:val="22"/>
          <w:szCs w:val="22"/>
        </w:rPr>
      </w:pPr>
      <w:r w:rsidRPr="001630F4">
        <w:rPr>
          <w:b/>
          <w:sz w:val="22"/>
          <w:szCs w:val="22"/>
        </w:rPr>
        <w:lastRenderedPageBreak/>
        <w:t>V oblasti intervence 3</w:t>
      </w:r>
      <w:r w:rsidR="006C5A1C">
        <w:rPr>
          <w:b/>
          <w:sz w:val="22"/>
          <w:szCs w:val="22"/>
        </w:rPr>
        <w:t>.</w:t>
      </w:r>
      <w:r w:rsidR="00EE18F4" w:rsidRPr="001630F4">
        <w:rPr>
          <w:b/>
          <w:sz w:val="22"/>
          <w:szCs w:val="22"/>
        </w:rPr>
        <w:t>3</w:t>
      </w:r>
      <w:r w:rsidR="004142EB" w:rsidRPr="001630F4">
        <w:rPr>
          <w:sz w:val="22"/>
          <w:szCs w:val="22"/>
        </w:rPr>
        <w:t xml:space="preserve"> </w:t>
      </w:r>
      <w:r w:rsidR="001630F4" w:rsidRPr="001630F4">
        <w:rPr>
          <w:sz w:val="22"/>
          <w:szCs w:val="22"/>
        </w:rPr>
        <w:t>bylo od počátku vyhlášení výzev vyřazeno 12 projektových žádostí z m 29 předložených žádostí. Z 29 podaných projektových žádostí 1 projekt neuspěl při kontrole přijatelnosti, 6 projektových žádostí bylo vyřazeno na základě nesplnění podmínek hodnocení projektu, což představuje 20,69</w:t>
      </w:r>
      <w:r w:rsidR="00C73D52">
        <w:rPr>
          <w:sz w:val="22"/>
          <w:szCs w:val="22"/>
        </w:rPr>
        <w:t xml:space="preserve"> </w:t>
      </w:r>
      <w:r w:rsidR="001630F4" w:rsidRPr="001630F4">
        <w:rPr>
          <w:sz w:val="22"/>
          <w:szCs w:val="22"/>
        </w:rPr>
        <w:t>% z celkového počtu podaných projektových žádostí. 3 projekty byly nedokončeny/staženy žadatelem, což činí 10,34</w:t>
      </w:r>
      <w:r w:rsidR="00C73D52">
        <w:rPr>
          <w:sz w:val="22"/>
          <w:szCs w:val="22"/>
        </w:rPr>
        <w:t xml:space="preserve"> </w:t>
      </w:r>
      <w:r w:rsidR="001630F4" w:rsidRPr="001630F4">
        <w:rPr>
          <w:sz w:val="22"/>
          <w:szCs w:val="22"/>
        </w:rPr>
        <w:t>% z celkového počtu žádostí. Celkový procentuální podíl vyřazených žádostí k počtu předložených projektů činí 41,4</w:t>
      </w:r>
      <w:r w:rsidR="00C73D52">
        <w:rPr>
          <w:sz w:val="22"/>
          <w:szCs w:val="22"/>
        </w:rPr>
        <w:t xml:space="preserve"> </w:t>
      </w:r>
      <w:r w:rsidR="001630F4" w:rsidRPr="001630F4">
        <w:rPr>
          <w:sz w:val="22"/>
          <w:szCs w:val="22"/>
        </w:rPr>
        <w:t>%. Za sledované období nedošlo k odstoupení žádného projektu</w:t>
      </w:r>
      <w:r w:rsidR="001630F4">
        <w:rPr>
          <w:sz w:val="22"/>
          <w:szCs w:val="22"/>
        </w:rPr>
        <w:t xml:space="preserve">. </w:t>
      </w:r>
    </w:p>
    <w:p w:rsidR="0014776F" w:rsidRPr="0014776F" w:rsidRDefault="0014776F" w:rsidP="0014776F">
      <w:pPr>
        <w:jc w:val="both"/>
        <w:rPr>
          <w:sz w:val="22"/>
          <w:szCs w:val="22"/>
        </w:rPr>
      </w:pPr>
    </w:p>
    <w:p w:rsidR="008545F4" w:rsidRPr="0014776F" w:rsidRDefault="00986EB1" w:rsidP="0014776F">
      <w:pPr>
        <w:jc w:val="both"/>
        <w:rPr>
          <w:sz w:val="22"/>
          <w:szCs w:val="22"/>
        </w:rPr>
      </w:pPr>
      <w:r>
        <w:rPr>
          <w:sz w:val="22"/>
          <w:szCs w:val="22"/>
        </w:rPr>
        <w:t xml:space="preserve">Od počátku vyhlášení výzev za celé programové období bylo </w:t>
      </w:r>
      <w:r w:rsidRPr="00986EB1">
        <w:rPr>
          <w:b/>
          <w:sz w:val="22"/>
          <w:szCs w:val="22"/>
        </w:rPr>
        <w:t>v oblasti intervence 3.4</w:t>
      </w:r>
      <w:r>
        <w:rPr>
          <w:sz w:val="22"/>
          <w:szCs w:val="22"/>
        </w:rPr>
        <w:t xml:space="preserve"> předloženo 159 projektových žádostí a v průběhu hodnotícího procesu nebyl vyřazen žádný z projektů. Jeden projekt </w:t>
      </w:r>
      <w:r>
        <w:rPr>
          <w:sz w:val="22"/>
          <w:szCs w:val="22"/>
        </w:rPr>
        <w:br/>
        <w:t xml:space="preserve">z 23. výzvy byl nedokončen/stažen žadatelem, což představuje 0,63 </w:t>
      </w:r>
      <w:r>
        <w:rPr>
          <w:sz w:val="22"/>
          <w:szCs w:val="22"/>
          <w:lang w:val="en-US"/>
        </w:rPr>
        <w:t>%</w:t>
      </w:r>
      <w:r>
        <w:rPr>
          <w:sz w:val="22"/>
          <w:szCs w:val="22"/>
        </w:rPr>
        <w:t xml:space="preserve"> z celkového počtu žádostí. Příjemce uvedl jako důvod pro odstoupení projektu nemožnost realizace dodávky technologického vybavení a vozidel při opakovaném vyhlášení VŘ.</w:t>
      </w:r>
      <w:r w:rsidR="00C73D52">
        <w:rPr>
          <w:sz w:val="22"/>
          <w:szCs w:val="22"/>
        </w:rPr>
        <w:t xml:space="preserve"> </w:t>
      </w:r>
      <w:r>
        <w:rPr>
          <w:sz w:val="22"/>
          <w:szCs w:val="22"/>
        </w:rPr>
        <w:t>K 30. 9. 2015 byl celkový podíl vyřazených projektů na úrovni 3,14 %.</w:t>
      </w:r>
    </w:p>
    <w:p w:rsidR="00B2621D" w:rsidRPr="008D2121" w:rsidRDefault="00B2621D" w:rsidP="0014776F">
      <w:pPr>
        <w:jc w:val="both"/>
        <w:rPr>
          <w:b/>
          <w:sz w:val="22"/>
          <w:szCs w:val="22"/>
          <w:highlight w:val="yellow"/>
        </w:rPr>
      </w:pPr>
    </w:p>
    <w:p w:rsidR="00FF172A" w:rsidRPr="00FF172A" w:rsidRDefault="00FF172A" w:rsidP="0014776F">
      <w:pPr>
        <w:jc w:val="both"/>
        <w:rPr>
          <w:sz w:val="22"/>
          <w:szCs w:val="22"/>
          <w:highlight w:val="yellow"/>
        </w:rPr>
      </w:pPr>
      <w:r>
        <w:rPr>
          <w:b/>
          <w:sz w:val="22"/>
          <w:szCs w:val="22"/>
        </w:rPr>
        <w:t>V o</w:t>
      </w:r>
      <w:r w:rsidR="001431E1" w:rsidRPr="00FF172A">
        <w:rPr>
          <w:b/>
          <w:sz w:val="22"/>
          <w:szCs w:val="22"/>
        </w:rPr>
        <w:t>blast</w:t>
      </w:r>
      <w:r>
        <w:rPr>
          <w:b/>
          <w:sz w:val="22"/>
          <w:szCs w:val="22"/>
        </w:rPr>
        <w:t>i</w:t>
      </w:r>
      <w:r w:rsidR="001431E1" w:rsidRPr="00FF172A">
        <w:rPr>
          <w:b/>
          <w:sz w:val="22"/>
          <w:szCs w:val="22"/>
        </w:rPr>
        <w:t xml:space="preserve"> intervence </w:t>
      </w:r>
      <w:r w:rsidR="00930D4E" w:rsidRPr="00FF172A">
        <w:rPr>
          <w:b/>
          <w:sz w:val="22"/>
          <w:szCs w:val="22"/>
        </w:rPr>
        <w:t xml:space="preserve">4.1 </w:t>
      </w:r>
      <w:r w:rsidR="00930D4E" w:rsidRPr="00930D4E">
        <w:rPr>
          <w:sz w:val="22"/>
          <w:szCs w:val="22"/>
        </w:rPr>
        <w:t>bylo</w:t>
      </w:r>
      <w:r>
        <w:rPr>
          <w:sz w:val="22"/>
          <w:szCs w:val="22"/>
        </w:rPr>
        <w:t xml:space="preserve"> předloženo 222 projektových žádostí a v průběhu hodnotícího procesu za celé programové období bylo vyřazeno 32 projektů (14,41 % z celkového počtu podaných projektových žádostí) na základě nesplnění kritérií přijatelnosti, 76 projektů (34,23 % z celkového počtu podaných projektových žádostí) bylo vyřazeno na základě nesplnění podmínek hodnocení</w:t>
      </w:r>
      <w:r w:rsidR="00C73D52">
        <w:rPr>
          <w:sz w:val="22"/>
          <w:szCs w:val="22"/>
        </w:rPr>
        <w:t xml:space="preserve"> kvality projektů</w:t>
      </w:r>
      <w:r>
        <w:rPr>
          <w:sz w:val="22"/>
          <w:szCs w:val="22"/>
        </w:rPr>
        <w:t>. Celkem 22 projektů bylo nedokončeno/staženo žadatelem, což činí 9,91 % z celkového počtu.</w:t>
      </w:r>
    </w:p>
    <w:p w:rsidR="00FF172A" w:rsidRPr="008D2121" w:rsidRDefault="00FF172A" w:rsidP="0014776F">
      <w:pPr>
        <w:jc w:val="both"/>
        <w:rPr>
          <w:sz w:val="22"/>
          <w:szCs w:val="22"/>
          <w:highlight w:val="yellow"/>
        </w:rPr>
      </w:pPr>
      <w:r>
        <w:rPr>
          <w:sz w:val="22"/>
          <w:szCs w:val="22"/>
        </w:rPr>
        <w:t>K 30. 9. 2015 byl celkový podíl vyřazených projektů na úrovni 62,16 % z celkového počtu žádostí. Vysoké procento bylo zapříčiněno nedostatečnou kvalitou předkládaných projektových žádostí.</w:t>
      </w:r>
    </w:p>
    <w:p w:rsidR="002C26E1" w:rsidRPr="008D2121" w:rsidRDefault="002C26E1" w:rsidP="0014776F">
      <w:pPr>
        <w:jc w:val="both"/>
        <w:rPr>
          <w:sz w:val="22"/>
          <w:szCs w:val="22"/>
          <w:highlight w:val="yellow"/>
        </w:rPr>
      </w:pPr>
    </w:p>
    <w:p w:rsidR="0014776F" w:rsidRPr="0014776F" w:rsidRDefault="0014776F" w:rsidP="00C73D52">
      <w:pPr>
        <w:jc w:val="both"/>
        <w:rPr>
          <w:sz w:val="22"/>
          <w:szCs w:val="22"/>
        </w:rPr>
      </w:pPr>
      <w:r w:rsidRPr="0014776F">
        <w:rPr>
          <w:b/>
          <w:sz w:val="22"/>
          <w:szCs w:val="22"/>
        </w:rPr>
        <w:t>V  oblasti intervence 5.1</w:t>
      </w:r>
      <w:r w:rsidRPr="0014776F">
        <w:rPr>
          <w:sz w:val="22"/>
          <w:szCs w:val="22"/>
        </w:rPr>
        <w:t xml:space="preserve"> bylo od počátku vyhlášení výzev vyřazeno 42 projektových žádostí ze </w:t>
      </w:r>
      <w:r>
        <w:rPr>
          <w:sz w:val="22"/>
          <w:szCs w:val="22"/>
        </w:rPr>
        <w:t>70</w:t>
      </w:r>
      <w:r w:rsidRPr="0014776F">
        <w:rPr>
          <w:sz w:val="22"/>
          <w:szCs w:val="22"/>
        </w:rPr>
        <w:t xml:space="preserve"> předložených. 16 </w:t>
      </w:r>
      <w:r w:rsidR="00C73D52">
        <w:rPr>
          <w:sz w:val="22"/>
          <w:szCs w:val="22"/>
        </w:rPr>
        <w:t xml:space="preserve">žádostí </w:t>
      </w:r>
      <w:r w:rsidRPr="0014776F">
        <w:rPr>
          <w:sz w:val="22"/>
          <w:szCs w:val="22"/>
        </w:rPr>
        <w:t>bylo vyřazeno na základě nesplnění kritérií přijatelnosti, což představuje 23,19 % z celkového počtu žádostí, 6 projektů bylo vyřazeno na základě nesplnění podmínek hodnocení</w:t>
      </w:r>
      <w:r w:rsidR="00C73D52">
        <w:rPr>
          <w:sz w:val="22"/>
          <w:szCs w:val="22"/>
        </w:rPr>
        <w:t xml:space="preserve"> kvality projektů</w:t>
      </w:r>
      <w:r w:rsidRPr="0014776F">
        <w:rPr>
          <w:sz w:val="22"/>
          <w:szCs w:val="22"/>
        </w:rPr>
        <w:t>, 4 projekty nedoporuč</w:t>
      </w:r>
      <w:r w:rsidR="00C73D52">
        <w:rPr>
          <w:sz w:val="22"/>
          <w:szCs w:val="22"/>
        </w:rPr>
        <w:t>ila</w:t>
      </w:r>
      <w:r w:rsidRPr="0014776F">
        <w:rPr>
          <w:sz w:val="22"/>
          <w:szCs w:val="22"/>
        </w:rPr>
        <w:t xml:space="preserve"> k financování výběrov</w:t>
      </w:r>
      <w:r w:rsidR="00C73D52">
        <w:rPr>
          <w:sz w:val="22"/>
          <w:szCs w:val="22"/>
        </w:rPr>
        <w:t>á</w:t>
      </w:r>
      <w:r w:rsidRPr="0014776F">
        <w:rPr>
          <w:sz w:val="22"/>
          <w:szCs w:val="22"/>
        </w:rPr>
        <w:t xml:space="preserve"> komis</w:t>
      </w:r>
      <w:r w:rsidR="00C73D52">
        <w:rPr>
          <w:sz w:val="22"/>
          <w:szCs w:val="22"/>
        </w:rPr>
        <w:t>e</w:t>
      </w:r>
      <w:r w:rsidRPr="0014776F">
        <w:rPr>
          <w:sz w:val="22"/>
          <w:szCs w:val="22"/>
        </w:rPr>
        <w:t xml:space="preserve"> a 3 projekty, </w:t>
      </w:r>
      <w:r w:rsidR="008967E2">
        <w:rPr>
          <w:sz w:val="22"/>
          <w:szCs w:val="22"/>
        </w:rPr>
        <w:br/>
      </w:r>
      <w:r w:rsidRPr="0014776F">
        <w:rPr>
          <w:sz w:val="22"/>
          <w:szCs w:val="22"/>
        </w:rPr>
        <w:t>u nichž byla administrace pozastavena kvůli nedostatku fin</w:t>
      </w:r>
      <w:r>
        <w:rPr>
          <w:sz w:val="22"/>
          <w:szCs w:val="22"/>
        </w:rPr>
        <w:t>ančních</w:t>
      </w:r>
      <w:r w:rsidRPr="0014776F">
        <w:rPr>
          <w:sz w:val="22"/>
          <w:szCs w:val="22"/>
        </w:rPr>
        <w:t xml:space="preserve"> prostředků</w:t>
      </w:r>
      <w:r w:rsidR="008967E2">
        <w:rPr>
          <w:sz w:val="22"/>
          <w:szCs w:val="22"/>
        </w:rPr>
        <w:t xml:space="preserve">, a projekty </w:t>
      </w:r>
      <w:r w:rsidR="00EC10BF">
        <w:rPr>
          <w:sz w:val="22"/>
          <w:szCs w:val="22"/>
        </w:rPr>
        <w:t>nebyly</w:t>
      </w:r>
      <w:r w:rsidR="008967E2">
        <w:rPr>
          <w:sz w:val="22"/>
          <w:szCs w:val="22"/>
        </w:rPr>
        <w:t xml:space="preserve"> realizovány. </w:t>
      </w:r>
      <w:r w:rsidRPr="0014776F">
        <w:rPr>
          <w:sz w:val="22"/>
          <w:szCs w:val="22"/>
        </w:rPr>
        <w:t>Celkem 4 projekty byly  nedokončeny/staženy žadatelem (v procentním vyjádření</w:t>
      </w:r>
      <w:r w:rsidR="00C73D52">
        <w:rPr>
          <w:sz w:val="22"/>
          <w:szCs w:val="22"/>
        </w:rPr>
        <w:t xml:space="preserve"> </w:t>
      </w:r>
      <w:r w:rsidRPr="0014776F">
        <w:rPr>
          <w:sz w:val="22"/>
          <w:szCs w:val="22"/>
        </w:rPr>
        <w:t>5,80 %). Ke konci sledovaného období byl celkový podíl vyřazených projektů 60,87 %.</w:t>
      </w:r>
    </w:p>
    <w:p w:rsidR="003A3E14" w:rsidRPr="008D2121" w:rsidRDefault="009039A7" w:rsidP="0014776F">
      <w:pPr>
        <w:jc w:val="both"/>
        <w:rPr>
          <w:sz w:val="22"/>
          <w:szCs w:val="22"/>
          <w:highlight w:val="yellow"/>
        </w:rPr>
      </w:pPr>
      <w:r w:rsidRPr="008D2121">
        <w:rPr>
          <w:sz w:val="22"/>
          <w:szCs w:val="22"/>
          <w:highlight w:val="yellow"/>
        </w:rPr>
        <w:t xml:space="preserve"> </w:t>
      </w:r>
    </w:p>
    <w:p w:rsidR="00D7349C" w:rsidRPr="002C616E" w:rsidRDefault="00D7349C" w:rsidP="0014776F">
      <w:pPr>
        <w:jc w:val="both"/>
        <w:rPr>
          <w:sz w:val="22"/>
          <w:szCs w:val="22"/>
        </w:rPr>
      </w:pPr>
      <w:r w:rsidRPr="002C616E">
        <w:rPr>
          <w:sz w:val="22"/>
          <w:szCs w:val="22"/>
        </w:rPr>
        <w:t xml:space="preserve">Ve sledovaném období byl </w:t>
      </w:r>
      <w:r w:rsidR="002C616E" w:rsidRPr="002C616E">
        <w:rPr>
          <w:b/>
          <w:sz w:val="22"/>
          <w:szCs w:val="22"/>
        </w:rPr>
        <w:t>v oblasti intervence 5.2</w:t>
      </w:r>
      <w:r w:rsidR="002C616E" w:rsidRPr="002C616E">
        <w:rPr>
          <w:sz w:val="22"/>
          <w:szCs w:val="22"/>
        </w:rPr>
        <w:t xml:space="preserve"> </w:t>
      </w:r>
      <w:r w:rsidRPr="002C616E">
        <w:rPr>
          <w:sz w:val="22"/>
          <w:szCs w:val="22"/>
        </w:rPr>
        <w:t>zaznamenán růst vyřazených projektů oproti předchozímu období o cca 6</w:t>
      </w:r>
      <w:r w:rsidR="00C73D52">
        <w:rPr>
          <w:sz w:val="22"/>
          <w:szCs w:val="22"/>
        </w:rPr>
        <w:t xml:space="preserve"> </w:t>
      </w:r>
      <w:r w:rsidRPr="002C616E">
        <w:rPr>
          <w:sz w:val="22"/>
          <w:szCs w:val="22"/>
        </w:rPr>
        <w:t>%. Vzhledem k celkovému počtu realizovaných projekt</w:t>
      </w:r>
      <w:r w:rsidR="00C73D52">
        <w:rPr>
          <w:sz w:val="22"/>
          <w:szCs w:val="22"/>
        </w:rPr>
        <w:t>ů</w:t>
      </w:r>
      <w:r w:rsidRPr="002C616E">
        <w:rPr>
          <w:sz w:val="22"/>
          <w:szCs w:val="22"/>
        </w:rPr>
        <w:t xml:space="preserve"> se jedná </w:t>
      </w:r>
      <w:r w:rsidR="002C616E" w:rsidRPr="002C616E">
        <w:rPr>
          <w:sz w:val="22"/>
          <w:szCs w:val="22"/>
        </w:rPr>
        <w:br/>
      </w:r>
      <w:r w:rsidRPr="002C616E">
        <w:rPr>
          <w:sz w:val="22"/>
          <w:szCs w:val="22"/>
        </w:rPr>
        <w:t xml:space="preserve">o akceptovatelnou hodnotu. Nejčastějším důvodem k odstoupení od projektu žadatelem je problém s kofinancováním a stažení projektu ze strany města v aktivitě 5.2a) Revitalizace veřejného prostranství. </w:t>
      </w:r>
    </w:p>
    <w:p w:rsidR="003A3E14" w:rsidRPr="008D2121" w:rsidRDefault="003A3E14" w:rsidP="0014776F">
      <w:pPr>
        <w:jc w:val="both"/>
        <w:rPr>
          <w:highlight w:val="yellow"/>
        </w:rPr>
      </w:pPr>
    </w:p>
    <w:p w:rsidR="00856CBD" w:rsidRDefault="003A3E14" w:rsidP="0014776F">
      <w:pPr>
        <w:jc w:val="both"/>
      </w:pPr>
      <w:r w:rsidRPr="006B26C9">
        <w:rPr>
          <w:sz w:val="22"/>
          <w:szCs w:val="22"/>
        </w:rPr>
        <w:t>V</w:t>
      </w:r>
      <w:r w:rsidRPr="006B26C9">
        <w:rPr>
          <w:b/>
          <w:sz w:val="22"/>
          <w:szCs w:val="22"/>
        </w:rPr>
        <w:t> oblasti intervence 5.3</w:t>
      </w:r>
      <w:r w:rsidR="00856CBD" w:rsidRPr="006B26C9">
        <w:rPr>
          <w:sz w:val="22"/>
          <w:szCs w:val="22"/>
        </w:rPr>
        <w:t xml:space="preserve"> </w:t>
      </w:r>
      <w:r w:rsidR="00AE0327" w:rsidRPr="006B26C9">
        <w:rPr>
          <w:sz w:val="22"/>
          <w:szCs w:val="22"/>
        </w:rPr>
        <w:t xml:space="preserve">je realizace všech projektů </w:t>
      </w:r>
      <w:r w:rsidR="00856CBD" w:rsidRPr="006B26C9">
        <w:rPr>
          <w:sz w:val="22"/>
          <w:szCs w:val="22"/>
        </w:rPr>
        <w:t>ukončen</w:t>
      </w:r>
      <w:r w:rsidR="00AE0327" w:rsidRPr="006B26C9">
        <w:rPr>
          <w:sz w:val="22"/>
          <w:szCs w:val="22"/>
        </w:rPr>
        <w:t>á</w:t>
      </w:r>
      <w:r w:rsidR="00856CBD" w:rsidRPr="006B26C9">
        <w:rPr>
          <w:sz w:val="22"/>
          <w:szCs w:val="22"/>
        </w:rPr>
        <w:t>.</w:t>
      </w:r>
      <w:r w:rsidR="00856CBD">
        <w:t xml:space="preserve"> </w:t>
      </w:r>
    </w:p>
    <w:p w:rsidR="00993FD0" w:rsidRDefault="00993FD0" w:rsidP="00856CBD">
      <w:pPr>
        <w:spacing w:after="120"/>
        <w:jc w:val="both"/>
        <w:rPr>
          <w:sz w:val="22"/>
          <w:szCs w:val="22"/>
        </w:rPr>
      </w:pPr>
    </w:p>
    <w:p w:rsidR="009F38B4" w:rsidRDefault="001E6D54" w:rsidP="00D2317E">
      <w:pPr>
        <w:pStyle w:val="Nadpis2"/>
        <w:rPr>
          <w:rFonts w:ascii="Times New Roman" w:hAnsi="Times New Roman"/>
          <w:i w:val="0"/>
        </w:rPr>
      </w:pPr>
      <w:bookmarkStart w:id="62" w:name="_Toc433873486"/>
      <w:r w:rsidRPr="00D2317E">
        <w:rPr>
          <w:rFonts w:ascii="Times New Roman" w:hAnsi="Times New Roman"/>
          <w:i w:val="0"/>
        </w:rPr>
        <w:t>2.1</w:t>
      </w:r>
      <w:r w:rsidR="00674032">
        <w:rPr>
          <w:rFonts w:ascii="Times New Roman" w:hAnsi="Times New Roman"/>
          <w:i w:val="0"/>
        </w:rPr>
        <w:t>1</w:t>
      </w:r>
      <w:r w:rsidRPr="00D2317E">
        <w:rPr>
          <w:rFonts w:ascii="Times New Roman" w:hAnsi="Times New Roman"/>
          <w:i w:val="0"/>
        </w:rPr>
        <w:t xml:space="preserve"> Pokrok v realizaci finančních nástrojů</w:t>
      </w:r>
      <w:bookmarkEnd w:id="62"/>
    </w:p>
    <w:p w:rsidR="00DA7E0B" w:rsidRDefault="00DA7E0B" w:rsidP="00DA7E0B">
      <w:pPr>
        <w:jc w:val="both"/>
        <w:rPr>
          <w:sz w:val="22"/>
          <w:szCs w:val="22"/>
        </w:rPr>
      </w:pPr>
      <w:r>
        <w:rPr>
          <w:sz w:val="22"/>
          <w:szCs w:val="22"/>
        </w:rPr>
        <w:t xml:space="preserve">V Integrovaném operačním programu je v souladu s článkem 44 Nařízení Rady (ES) č. 1083/2006 realizováno pilotní ověření finančního nástroje JESSICA na podporu regenerace bytových domů s celkovou alokací </w:t>
      </w:r>
      <w:r w:rsidRPr="008A6F30">
        <w:rPr>
          <w:sz w:val="22"/>
          <w:szCs w:val="22"/>
        </w:rPr>
        <w:t>609 869 489 Kč</w:t>
      </w:r>
      <w:r>
        <w:rPr>
          <w:sz w:val="22"/>
          <w:szCs w:val="22"/>
        </w:rPr>
        <w:t xml:space="preserve">. Část alokace byla použita k vybudování moderního sociálního bydlení regenerací stávajících bytů. </w:t>
      </w:r>
    </w:p>
    <w:p w:rsidR="00B61A38" w:rsidRDefault="00DA7E0B" w:rsidP="00DA7E0B">
      <w:pPr>
        <w:jc w:val="both"/>
        <w:rPr>
          <w:sz w:val="22"/>
          <w:szCs w:val="22"/>
        </w:rPr>
      </w:pPr>
      <w:r>
        <w:rPr>
          <w:sz w:val="22"/>
          <w:szCs w:val="22"/>
        </w:rPr>
        <w:t xml:space="preserve">Na konci sledovaného pololetí ŘO IOP eviduje 147 uzavřených úvěrových smluv v celkové hodnotě přesahující 580 mil. Kč. </w:t>
      </w:r>
    </w:p>
    <w:p w:rsidR="00DA7E0B" w:rsidRDefault="00DA7E0B" w:rsidP="00DA7E0B">
      <w:pPr>
        <w:jc w:val="both"/>
        <w:rPr>
          <w:sz w:val="22"/>
          <w:szCs w:val="22"/>
        </w:rPr>
      </w:pPr>
      <w:r>
        <w:rPr>
          <w:sz w:val="22"/>
          <w:szCs w:val="22"/>
        </w:rPr>
        <w:t>Od prosince 2014 byl z důvodů objemu žádostí, převyšujícího alokaci finančního nástroje JESSICA, jejich příjem pozastaven. Od srpna 2015 dochází k využívání vracených splátek k poskytování úvěrů nových. Podpořené projekty vykazují v úvěrových smlouvách monitorovací indikátor „počet regenerovaných bytů“ ve výši 5870 a 106 ze 147 projektů je zaměřených kromě regenerace i na energetické úspory, které v aritmetickém průměru přesahují 40 %. Oba monitorovací indikátory převyšují prognózu stanovenou v investiční strategii.</w:t>
      </w:r>
    </w:p>
    <w:p w:rsidR="00DA7E0B" w:rsidRDefault="00DA7E0B" w:rsidP="00DA7E0B">
      <w:pPr>
        <w:jc w:val="both"/>
        <w:rPr>
          <w:sz w:val="22"/>
          <w:szCs w:val="22"/>
        </w:rPr>
      </w:pPr>
    </w:p>
    <w:p w:rsidR="00DA7E0B" w:rsidRDefault="00DA7E0B" w:rsidP="00DA7E0B">
      <w:pPr>
        <w:jc w:val="both"/>
        <w:rPr>
          <w:sz w:val="22"/>
          <w:szCs w:val="22"/>
        </w:rPr>
      </w:pPr>
      <w:r>
        <w:rPr>
          <w:sz w:val="22"/>
          <w:szCs w:val="22"/>
        </w:rPr>
        <w:t xml:space="preserve">ŘO IOP v souladu s plánem kontrol zahájil 23. června 2015 veřejnosprávní kontrolu č. 33/2015/I. Kontrolovanou osobou je SFRB a předmětem kontroly je </w:t>
      </w:r>
      <w:r w:rsidRPr="007559CC">
        <w:rPr>
          <w:sz w:val="22"/>
          <w:szCs w:val="22"/>
        </w:rPr>
        <w:t xml:space="preserve">ověření postupů </w:t>
      </w:r>
      <w:r>
        <w:rPr>
          <w:sz w:val="22"/>
          <w:szCs w:val="22"/>
        </w:rPr>
        <w:t>HF</w:t>
      </w:r>
      <w:r w:rsidRPr="007559CC">
        <w:rPr>
          <w:sz w:val="22"/>
          <w:szCs w:val="22"/>
        </w:rPr>
        <w:t xml:space="preserve"> </w:t>
      </w:r>
      <w:r>
        <w:rPr>
          <w:sz w:val="22"/>
          <w:szCs w:val="22"/>
        </w:rPr>
        <w:t xml:space="preserve">a </w:t>
      </w:r>
      <w:r w:rsidRPr="007559CC">
        <w:rPr>
          <w:sz w:val="22"/>
          <w:szCs w:val="22"/>
        </w:rPr>
        <w:t xml:space="preserve">účinnosti řídícího </w:t>
      </w:r>
      <w:r w:rsidR="005B5FDF">
        <w:rPr>
          <w:sz w:val="22"/>
          <w:szCs w:val="22"/>
        </w:rPr>
        <w:br/>
      </w:r>
      <w:r w:rsidRPr="007559CC">
        <w:rPr>
          <w:sz w:val="22"/>
          <w:szCs w:val="22"/>
        </w:rPr>
        <w:t>a kontrolního systému projektu č. CZ.1.06/5.2.00/16.08424 s názvem „Realizace finančního nástroje JESSICA v IOP“.</w:t>
      </w:r>
      <w:r>
        <w:rPr>
          <w:sz w:val="22"/>
          <w:szCs w:val="22"/>
        </w:rPr>
        <w:t xml:space="preserve"> 17. září 2015 proběhlo šetření na místě v sídle HF SFRB a ŘO IOP plánuje provést šetření i u správce FRM. Kontrola v době podání této zprávy není dokončena, zatím probíhá bez závažných zjištění.</w:t>
      </w:r>
    </w:p>
    <w:p w:rsidR="00DA7E0B" w:rsidRDefault="00DA7E0B" w:rsidP="00DA7E0B">
      <w:pPr>
        <w:jc w:val="both"/>
        <w:rPr>
          <w:sz w:val="22"/>
          <w:szCs w:val="22"/>
        </w:rPr>
      </w:pPr>
    </w:p>
    <w:p w:rsidR="00DA7E0B" w:rsidRDefault="00DA7E0B" w:rsidP="00DA7E0B">
      <w:pPr>
        <w:jc w:val="both"/>
        <w:rPr>
          <w:sz w:val="22"/>
          <w:szCs w:val="22"/>
        </w:rPr>
      </w:pPr>
      <w:r>
        <w:rPr>
          <w:sz w:val="22"/>
          <w:szCs w:val="22"/>
        </w:rPr>
        <w:t>S blížícím se koncem programového období dokončuje ŘO IOP přípravu výstupní strategie finančního nástroje JESSICA a využití splátek úvěrů a  úroků k obdobným aktivitám v oblasti politiky bydlení. Zkušenosti, získané realizací pilotního ověření FN JESSICA v IOP, jsou využity také při přípravě implementace finančních nástrojů v programovém období 2014 – 2020 v Integrovaném regionálním operačním programu.</w:t>
      </w:r>
    </w:p>
    <w:p w:rsidR="00DA7E0B" w:rsidRDefault="00DA7E0B" w:rsidP="00DA7E0B">
      <w:pPr>
        <w:jc w:val="both"/>
      </w:pPr>
    </w:p>
    <w:p w:rsidR="00DA7E0B" w:rsidRDefault="00DA7E0B" w:rsidP="00DA7E0B">
      <w:pPr>
        <w:jc w:val="both"/>
        <w:rPr>
          <w:sz w:val="22"/>
          <w:szCs w:val="22"/>
        </w:rPr>
      </w:pPr>
      <w:r>
        <w:rPr>
          <w:sz w:val="22"/>
          <w:szCs w:val="22"/>
        </w:rPr>
        <w:t>Na základě dosavadních zkušeností lze považovat pilotní realizaci finančního nástroje JESSICA za úspěšnou.</w:t>
      </w:r>
    </w:p>
    <w:p w:rsidR="007209C5" w:rsidRDefault="007209C5" w:rsidP="00C226A3"/>
    <w:p w:rsidR="00D644B0" w:rsidRDefault="00D644B0">
      <w:pPr>
        <w:pStyle w:val="Nadpis1"/>
        <w:spacing w:before="240" w:after="60"/>
        <w:jc w:val="left"/>
        <w:rPr>
          <w:b w:val="0"/>
          <w:sz w:val="32"/>
          <w:szCs w:val="32"/>
        </w:rPr>
      </w:pPr>
      <w:bookmarkStart w:id="63" w:name="_Toc433873487"/>
      <w:r w:rsidRPr="00E761E7">
        <w:rPr>
          <w:smallCaps w:val="0"/>
          <w:kern w:val="32"/>
          <w:sz w:val="32"/>
          <w:szCs w:val="32"/>
        </w:rPr>
        <w:t>3 POKROK NA ÚROVNI PRIORITNÍCH OS</w:t>
      </w:r>
      <w:bookmarkEnd w:id="63"/>
      <w:r>
        <w:rPr>
          <w:b w:val="0"/>
          <w:sz w:val="32"/>
          <w:szCs w:val="32"/>
        </w:rPr>
        <w:t xml:space="preserve"> </w:t>
      </w:r>
    </w:p>
    <w:p w:rsidR="00937233" w:rsidRDefault="00DC59F7" w:rsidP="00BA30D1">
      <w:pPr>
        <w:jc w:val="both"/>
        <w:rPr>
          <w:sz w:val="22"/>
          <w:szCs w:val="22"/>
        </w:rPr>
      </w:pPr>
      <w:r>
        <w:rPr>
          <w:sz w:val="22"/>
          <w:szCs w:val="22"/>
        </w:rPr>
        <w:t>ŘO IOP sleduje</w:t>
      </w:r>
      <w:r w:rsidR="00937233" w:rsidRPr="007928C1">
        <w:rPr>
          <w:sz w:val="22"/>
          <w:szCs w:val="22"/>
        </w:rPr>
        <w:t xml:space="preserve"> závazky ze schválených projektů</w:t>
      </w:r>
      <w:r>
        <w:rPr>
          <w:sz w:val="22"/>
          <w:szCs w:val="22"/>
        </w:rPr>
        <w:t xml:space="preserve"> a</w:t>
      </w:r>
      <w:r w:rsidR="00937233" w:rsidRPr="007928C1">
        <w:rPr>
          <w:sz w:val="22"/>
          <w:szCs w:val="22"/>
        </w:rPr>
        <w:t xml:space="preserve"> hodnoty </w:t>
      </w:r>
      <w:r w:rsidR="00655601">
        <w:rPr>
          <w:sz w:val="22"/>
          <w:szCs w:val="22"/>
        </w:rPr>
        <w:t xml:space="preserve">monitorovacích indikátorů, </w:t>
      </w:r>
      <w:r w:rsidR="00937233" w:rsidRPr="007928C1">
        <w:rPr>
          <w:sz w:val="22"/>
          <w:szCs w:val="22"/>
        </w:rPr>
        <w:t xml:space="preserve">dosažené </w:t>
      </w:r>
      <w:r w:rsidR="002B1255">
        <w:rPr>
          <w:sz w:val="22"/>
          <w:szCs w:val="22"/>
        </w:rPr>
        <w:br/>
      </w:r>
      <w:r w:rsidR="00914BC7">
        <w:rPr>
          <w:sz w:val="22"/>
          <w:szCs w:val="22"/>
        </w:rPr>
        <w:t>k 30. 9. 2015</w:t>
      </w:r>
      <w:r w:rsidR="00937233" w:rsidRPr="008846D9">
        <w:rPr>
          <w:sz w:val="22"/>
          <w:szCs w:val="22"/>
        </w:rPr>
        <w:t>. Závazky jsou počítány z cílových hodnot projektů od stavu P4.1 v IS Monit7+ (projekt s vydaným Rozhodnutím</w:t>
      </w:r>
      <w:r w:rsidR="00937233" w:rsidRPr="007928C1">
        <w:rPr>
          <w:sz w:val="22"/>
          <w:szCs w:val="22"/>
        </w:rPr>
        <w:t>/Stanovením výdajů). Dosažené hodnoty jsou počítány z projektů od stavu P45 v IS Monit7+ (projekt v realizaci) s výjimkou indikátorů typu „počet projektů“, které se agregují od stavu P5 (Realizace projektu ukončena). Výchozí hodnoty z roku 2005 jsou převzaty z programového dokumentu.</w:t>
      </w:r>
    </w:p>
    <w:p w:rsidR="00D91482" w:rsidRDefault="00D91482" w:rsidP="00927EE3"/>
    <w:p w:rsidR="00D644B0" w:rsidRPr="00E761E7" w:rsidRDefault="00D644B0">
      <w:pPr>
        <w:pStyle w:val="Nadpis2"/>
        <w:rPr>
          <w:rFonts w:ascii="Times New Roman" w:hAnsi="Times New Roman"/>
          <w:i w:val="0"/>
        </w:rPr>
      </w:pPr>
      <w:bookmarkStart w:id="64" w:name="_Toc433873488"/>
      <w:r w:rsidRPr="00E761E7">
        <w:rPr>
          <w:rFonts w:ascii="Times New Roman" w:hAnsi="Times New Roman"/>
          <w:i w:val="0"/>
        </w:rPr>
        <w:t>3.1 Prioritní osa 1a, 1b – Modernizace veřejné správy</w:t>
      </w:r>
      <w:bookmarkEnd w:id="64"/>
    </w:p>
    <w:p w:rsidR="00D644B0" w:rsidRPr="00B61A38" w:rsidRDefault="00D644B0" w:rsidP="00B61A38">
      <w:pPr>
        <w:pStyle w:val="Nadpis3"/>
        <w:rPr>
          <w:b w:val="0"/>
          <w:i/>
          <w:sz w:val="28"/>
          <w:szCs w:val="28"/>
        </w:rPr>
      </w:pPr>
      <w:bookmarkStart w:id="65" w:name="_Toc433873489"/>
      <w:r w:rsidRPr="003B2C32">
        <w:rPr>
          <w:rFonts w:ascii="Times New Roman" w:hAnsi="Times New Roman"/>
          <w:sz w:val="24"/>
          <w:szCs w:val="24"/>
        </w:rPr>
        <w:t>3.</w:t>
      </w:r>
      <w:r w:rsidRPr="006266F5">
        <w:rPr>
          <w:rFonts w:ascii="Times New Roman" w:hAnsi="Times New Roman"/>
          <w:sz w:val="24"/>
          <w:szCs w:val="24"/>
        </w:rPr>
        <w:t>1.1 Zaměření prioritních os/oblastí intervence</w:t>
      </w:r>
      <w:bookmarkEnd w:id="65"/>
    </w:p>
    <w:p w:rsidR="00D644B0" w:rsidRDefault="00D644B0">
      <w:pPr>
        <w:jc w:val="both"/>
        <w:rPr>
          <w:sz w:val="22"/>
          <w:szCs w:val="22"/>
        </w:rPr>
      </w:pPr>
      <w:r w:rsidRPr="007A5158">
        <w:rPr>
          <w:sz w:val="22"/>
          <w:szCs w:val="22"/>
        </w:rPr>
        <w:t>Cílem prioritních os 1a a 1b je dosáhnout rychlejšího a spolehlivějšího</w:t>
      </w:r>
      <w:r>
        <w:rPr>
          <w:sz w:val="22"/>
          <w:szCs w:val="22"/>
        </w:rPr>
        <w:t xml:space="preserve"> poskytování služeb státní správy veřejnosti a implementací elektronické správy umožnit občanům a podnikatelským subjektům jednoduše a rychle komunikovat s úřady státní správy. </w:t>
      </w:r>
    </w:p>
    <w:p w:rsidR="00D644B0" w:rsidRDefault="00D644B0">
      <w:pPr>
        <w:jc w:val="both"/>
        <w:rPr>
          <w:sz w:val="22"/>
          <w:szCs w:val="22"/>
        </w:rPr>
      </w:pPr>
    </w:p>
    <w:p w:rsidR="00D644B0" w:rsidRDefault="00D644B0">
      <w:pPr>
        <w:jc w:val="both"/>
        <w:rPr>
          <w:sz w:val="22"/>
          <w:szCs w:val="22"/>
        </w:rPr>
      </w:pPr>
      <w:r>
        <w:rPr>
          <w:sz w:val="22"/>
          <w:szCs w:val="22"/>
        </w:rPr>
        <w:t>Specifické cíle:</w:t>
      </w:r>
    </w:p>
    <w:p w:rsidR="00D644B0" w:rsidRDefault="00D644B0" w:rsidP="00510DE2">
      <w:pPr>
        <w:numPr>
          <w:ilvl w:val="0"/>
          <w:numId w:val="13"/>
        </w:numPr>
        <w:jc w:val="both"/>
        <w:rPr>
          <w:sz w:val="22"/>
          <w:szCs w:val="22"/>
        </w:rPr>
      </w:pPr>
      <w:r>
        <w:rPr>
          <w:sz w:val="22"/>
          <w:szCs w:val="22"/>
        </w:rPr>
        <w:t>zlepšit úroveň služeb elektronické veřejné správy,</w:t>
      </w:r>
    </w:p>
    <w:p w:rsidR="00D644B0" w:rsidRDefault="00D644B0" w:rsidP="00510DE2">
      <w:pPr>
        <w:numPr>
          <w:ilvl w:val="0"/>
          <w:numId w:val="13"/>
        </w:numPr>
        <w:jc w:val="both"/>
        <w:rPr>
          <w:sz w:val="22"/>
          <w:szCs w:val="22"/>
        </w:rPr>
      </w:pPr>
      <w:r>
        <w:rPr>
          <w:sz w:val="22"/>
          <w:szCs w:val="22"/>
        </w:rPr>
        <w:t>zvýšit využívání internetu občany pro komunikaci s veřejnou správou,</w:t>
      </w:r>
    </w:p>
    <w:p w:rsidR="00D644B0" w:rsidRDefault="00D644B0" w:rsidP="00510DE2">
      <w:pPr>
        <w:numPr>
          <w:ilvl w:val="0"/>
          <w:numId w:val="13"/>
        </w:numPr>
        <w:jc w:val="both"/>
        <w:rPr>
          <w:sz w:val="22"/>
          <w:szCs w:val="22"/>
        </w:rPr>
      </w:pPr>
      <w:r>
        <w:rPr>
          <w:sz w:val="22"/>
          <w:szCs w:val="22"/>
        </w:rPr>
        <w:t xml:space="preserve">snížit administrativní zatížení občanů, podnikatelů a veřejného sektoru. </w:t>
      </w:r>
    </w:p>
    <w:p w:rsidR="00D644B0" w:rsidRDefault="00D644B0">
      <w:pPr>
        <w:jc w:val="both"/>
        <w:rPr>
          <w:sz w:val="22"/>
          <w:szCs w:val="22"/>
        </w:rPr>
      </w:pPr>
    </w:p>
    <w:p w:rsidR="00D644B0" w:rsidRDefault="00D644B0">
      <w:pPr>
        <w:pStyle w:val="Zkladntext-prvnodsazen"/>
        <w:spacing w:after="0"/>
        <w:ind w:firstLine="0"/>
        <w:jc w:val="both"/>
        <w:rPr>
          <w:rFonts w:cs="Arial"/>
          <w:bCs/>
          <w:iCs/>
          <w:sz w:val="22"/>
          <w:szCs w:val="22"/>
        </w:rPr>
      </w:pPr>
      <w:r>
        <w:rPr>
          <w:rFonts w:cs="Arial"/>
          <w:bCs/>
          <w:iCs/>
          <w:sz w:val="22"/>
          <w:szCs w:val="22"/>
        </w:rPr>
        <w:t>Podporované aktivity:</w:t>
      </w:r>
    </w:p>
    <w:p w:rsidR="00D644B0" w:rsidRDefault="00D644B0" w:rsidP="00510DE2">
      <w:pPr>
        <w:pStyle w:val="Zkladntext-prvnodsazen"/>
        <w:numPr>
          <w:ilvl w:val="0"/>
          <w:numId w:val="14"/>
        </w:numPr>
        <w:spacing w:after="0"/>
        <w:jc w:val="both"/>
        <w:rPr>
          <w:rFonts w:cs="Arial"/>
          <w:bCs/>
          <w:iCs/>
          <w:sz w:val="22"/>
          <w:szCs w:val="22"/>
        </w:rPr>
      </w:pPr>
      <w:r>
        <w:rPr>
          <w:rFonts w:cs="Arial"/>
          <w:bCs/>
          <w:iCs/>
          <w:sz w:val="22"/>
          <w:szCs w:val="22"/>
        </w:rPr>
        <w:t>vytváření, rozvoj a údržba celostátních základních a dalších relevantních registrů veřejné správy včetně systému bezpečného a chráněného přístupu,</w:t>
      </w:r>
    </w:p>
    <w:p w:rsidR="00D644B0" w:rsidRDefault="00D644B0" w:rsidP="00510DE2">
      <w:pPr>
        <w:pStyle w:val="Zkladntext-prvnodsazen"/>
        <w:numPr>
          <w:ilvl w:val="0"/>
          <w:numId w:val="14"/>
        </w:numPr>
        <w:spacing w:after="0"/>
        <w:jc w:val="both"/>
        <w:rPr>
          <w:rFonts w:cs="Arial"/>
          <w:bCs/>
          <w:iCs/>
          <w:sz w:val="22"/>
          <w:szCs w:val="22"/>
        </w:rPr>
      </w:pPr>
      <w:r>
        <w:rPr>
          <w:rFonts w:cs="Arial"/>
          <w:bCs/>
          <w:iCs/>
          <w:sz w:val="22"/>
          <w:szCs w:val="22"/>
        </w:rPr>
        <w:t>budování komunikační infrastruktury veřejné správy,</w:t>
      </w:r>
    </w:p>
    <w:p w:rsidR="00D644B0" w:rsidRDefault="00D644B0" w:rsidP="00510DE2">
      <w:pPr>
        <w:pStyle w:val="Zkladntext-prvnodsazen"/>
        <w:numPr>
          <w:ilvl w:val="0"/>
          <w:numId w:val="14"/>
        </w:numPr>
        <w:spacing w:after="0"/>
        <w:jc w:val="both"/>
        <w:rPr>
          <w:rFonts w:cs="Arial"/>
          <w:bCs/>
          <w:iCs/>
          <w:sz w:val="22"/>
          <w:szCs w:val="22"/>
        </w:rPr>
      </w:pPr>
      <w:r>
        <w:rPr>
          <w:rFonts w:cs="Arial"/>
          <w:bCs/>
          <w:iCs/>
          <w:sz w:val="22"/>
          <w:szCs w:val="22"/>
        </w:rPr>
        <w:t>vybudování přístupových míst pro komunikaci s informačními systémy veřejné správy,</w:t>
      </w:r>
    </w:p>
    <w:p w:rsidR="00D644B0" w:rsidRPr="003B3E21" w:rsidRDefault="00D644B0" w:rsidP="00510DE2">
      <w:pPr>
        <w:pStyle w:val="Zkladntext-prvnodsazen"/>
        <w:numPr>
          <w:ilvl w:val="0"/>
          <w:numId w:val="14"/>
        </w:numPr>
        <w:spacing w:after="0"/>
        <w:jc w:val="both"/>
        <w:rPr>
          <w:rFonts w:cs="Arial"/>
          <w:bCs/>
          <w:iCs/>
          <w:sz w:val="22"/>
          <w:szCs w:val="22"/>
        </w:rPr>
      </w:pPr>
      <w:r>
        <w:rPr>
          <w:rFonts w:cs="Arial"/>
          <w:bCs/>
          <w:iCs/>
          <w:sz w:val="22"/>
          <w:szCs w:val="22"/>
        </w:rPr>
        <w:t>elektronizace služeb veřejné správy.</w:t>
      </w:r>
    </w:p>
    <w:p w:rsidR="00D644B0" w:rsidRDefault="00D644B0">
      <w:pPr>
        <w:jc w:val="both"/>
        <w:rPr>
          <w:sz w:val="22"/>
          <w:szCs w:val="22"/>
        </w:rPr>
      </w:pPr>
      <w:r>
        <w:rPr>
          <w:sz w:val="22"/>
          <w:szCs w:val="22"/>
        </w:rPr>
        <w:t>Příjemci:</w:t>
      </w:r>
    </w:p>
    <w:p w:rsidR="00D644B0" w:rsidRPr="00BA30D1" w:rsidRDefault="00D644B0" w:rsidP="00510DE2">
      <w:pPr>
        <w:numPr>
          <w:ilvl w:val="0"/>
          <w:numId w:val="15"/>
        </w:numPr>
        <w:jc w:val="both"/>
        <w:rPr>
          <w:sz w:val="22"/>
          <w:szCs w:val="22"/>
        </w:rPr>
      </w:pPr>
      <w:r w:rsidRPr="00BA30D1">
        <w:rPr>
          <w:sz w:val="22"/>
          <w:szCs w:val="22"/>
        </w:rPr>
        <w:t xml:space="preserve">organizační složky státu a jimi zřizované příspěvkové organizace. </w:t>
      </w:r>
    </w:p>
    <w:p w:rsidR="00D644B0" w:rsidRDefault="00D644B0">
      <w:pPr>
        <w:jc w:val="both"/>
        <w:rPr>
          <w:b/>
          <w:sz w:val="28"/>
          <w:szCs w:val="28"/>
        </w:rPr>
        <w:sectPr w:rsidR="00D644B0" w:rsidSect="00356E21">
          <w:pgSz w:w="11907" w:h="16840" w:code="9"/>
          <w:pgMar w:top="1418" w:right="1418" w:bottom="1418" w:left="1418" w:header="709" w:footer="709" w:gutter="0"/>
          <w:cols w:space="708"/>
        </w:sectPr>
      </w:pPr>
    </w:p>
    <w:p w:rsidR="00D644B0" w:rsidRDefault="00D644B0">
      <w:pPr>
        <w:pStyle w:val="Nadpis3"/>
        <w:rPr>
          <w:rFonts w:ascii="Times New Roman" w:hAnsi="Times New Roman"/>
          <w:sz w:val="24"/>
          <w:szCs w:val="24"/>
        </w:rPr>
      </w:pPr>
      <w:bookmarkStart w:id="66" w:name="_Toc433873490"/>
      <w:r w:rsidRPr="00343942">
        <w:rPr>
          <w:rFonts w:ascii="Times New Roman" w:hAnsi="Times New Roman"/>
          <w:sz w:val="24"/>
          <w:szCs w:val="24"/>
        </w:rPr>
        <w:lastRenderedPageBreak/>
        <w:t>3.1.2 Pokrok v realizaci prioritních os/oblastí intervence</w:t>
      </w:r>
      <w:bookmarkEnd w:id="66"/>
      <w:r w:rsidRPr="00E761E7">
        <w:rPr>
          <w:rFonts w:ascii="Times New Roman" w:hAnsi="Times New Roman"/>
          <w:sz w:val="24"/>
          <w:szCs w:val="24"/>
        </w:rPr>
        <w:t xml:space="preserve"> </w:t>
      </w:r>
    </w:p>
    <w:p w:rsidR="00173F64" w:rsidRPr="00173F64" w:rsidRDefault="00173F64" w:rsidP="00173F64">
      <w:pPr>
        <w:jc w:val="both"/>
        <w:rPr>
          <w:sz w:val="24"/>
          <w:szCs w:val="24"/>
        </w:rPr>
      </w:pPr>
      <w:r>
        <w:rPr>
          <w:sz w:val="22"/>
          <w:szCs w:val="22"/>
        </w:rPr>
        <w:t>V oblasti intervence došlo v</w:t>
      </w:r>
      <w:r w:rsidRPr="00173F64">
        <w:rPr>
          <w:sz w:val="22"/>
          <w:szCs w:val="22"/>
        </w:rPr>
        <w:t xml:space="preserve">e sledovaném období k dílčímu pokroku v realizaci zbývajících projektů.  Byly úspěšně dokončeny čtyři projekty. Pokrok lze spatřovat i ve výrazném posunu v realizaci a čerpání projektů 17. výzvy, většina </w:t>
      </w:r>
      <w:r w:rsidR="00E63AAC">
        <w:rPr>
          <w:sz w:val="22"/>
          <w:szCs w:val="22"/>
        </w:rPr>
        <w:t xml:space="preserve">projektů </w:t>
      </w:r>
      <w:r w:rsidRPr="00173F64">
        <w:rPr>
          <w:sz w:val="22"/>
          <w:szCs w:val="22"/>
        </w:rPr>
        <w:t xml:space="preserve">směřuje k brzkému dokončení a předložení závěrečných MZ a </w:t>
      </w:r>
      <w:proofErr w:type="spellStart"/>
      <w:r w:rsidRPr="00173F64">
        <w:rPr>
          <w:sz w:val="22"/>
          <w:szCs w:val="22"/>
        </w:rPr>
        <w:t>ŽoP</w:t>
      </w:r>
      <w:proofErr w:type="spellEnd"/>
      <w:r w:rsidRPr="00173F64">
        <w:rPr>
          <w:sz w:val="22"/>
          <w:szCs w:val="22"/>
        </w:rPr>
        <w:t xml:space="preserve">. Minimální pokrok v proplácení za sledované období je dán faktem, že téměř všechny projekty jsou </w:t>
      </w:r>
      <w:proofErr w:type="spellStart"/>
      <w:r w:rsidRPr="00173F64">
        <w:rPr>
          <w:sz w:val="22"/>
          <w:szCs w:val="22"/>
        </w:rPr>
        <w:t>jednoetapové</w:t>
      </w:r>
      <w:proofErr w:type="spellEnd"/>
      <w:r w:rsidRPr="00173F64">
        <w:rPr>
          <w:sz w:val="22"/>
          <w:szCs w:val="22"/>
        </w:rPr>
        <w:t xml:space="preserve"> a předloží své závěrečné </w:t>
      </w:r>
      <w:proofErr w:type="spellStart"/>
      <w:r w:rsidRPr="00173F64">
        <w:rPr>
          <w:sz w:val="22"/>
          <w:szCs w:val="22"/>
        </w:rPr>
        <w:t>ŽoP</w:t>
      </w:r>
      <w:proofErr w:type="spellEnd"/>
      <w:r w:rsidRPr="00173F64">
        <w:rPr>
          <w:sz w:val="22"/>
          <w:szCs w:val="22"/>
        </w:rPr>
        <w:t xml:space="preserve"> ke konci roku 2015. Z toho důvodu ZS MV předložil do 14. certifikace výdajů IOP za období od 11. 12. 2014 do 13. 7. 2015 pouze čtyři žádosti ve výši cca 36 mil Kč. ZS MV přijímá opatření k zajištění dostatečné administrativní kapacity a přípravu na kumulaci žádostí a monitorovacích zpráv </w:t>
      </w:r>
      <w:r w:rsidR="00E63AAC">
        <w:rPr>
          <w:sz w:val="22"/>
          <w:szCs w:val="22"/>
        </w:rPr>
        <w:t>na</w:t>
      </w:r>
      <w:r w:rsidRPr="00173F64">
        <w:rPr>
          <w:sz w:val="22"/>
          <w:szCs w:val="22"/>
        </w:rPr>
        <w:t xml:space="preserve"> přelomu roku.</w:t>
      </w:r>
      <w:r w:rsidRPr="00173F64">
        <w:rPr>
          <w:sz w:val="24"/>
          <w:szCs w:val="24"/>
        </w:rPr>
        <w:t xml:space="preserve"> </w:t>
      </w:r>
      <w:r w:rsidRPr="00173F64">
        <w:rPr>
          <w:sz w:val="22"/>
          <w:szCs w:val="22"/>
        </w:rPr>
        <w:t>Zároveň s příjemci vede intenzivní jednání a monitor</w:t>
      </w:r>
      <w:r w:rsidR="00E63AAC">
        <w:rPr>
          <w:sz w:val="22"/>
          <w:szCs w:val="22"/>
        </w:rPr>
        <w:t>uje</w:t>
      </w:r>
      <w:r w:rsidRPr="00173F64">
        <w:rPr>
          <w:sz w:val="22"/>
          <w:szCs w:val="22"/>
        </w:rPr>
        <w:t xml:space="preserve"> pokrok v projektech, aby zaji</w:t>
      </w:r>
      <w:r w:rsidR="00E63AAC">
        <w:rPr>
          <w:sz w:val="22"/>
          <w:szCs w:val="22"/>
        </w:rPr>
        <w:t>s</w:t>
      </w:r>
      <w:r w:rsidRPr="00173F64">
        <w:rPr>
          <w:sz w:val="22"/>
          <w:szCs w:val="22"/>
        </w:rPr>
        <w:t>t</w:t>
      </w:r>
      <w:r w:rsidR="00E63AAC">
        <w:rPr>
          <w:sz w:val="22"/>
          <w:szCs w:val="22"/>
        </w:rPr>
        <w:t>il</w:t>
      </w:r>
      <w:r w:rsidRPr="00173F64">
        <w:rPr>
          <w:sz w:val="22"/>
          <w:szCs w:val="22"/>
        </w:rPr>
        <w:t xml:space="preserve"> maximální dočerpání </w:t>
      </w:r>
      <w:r w:rsidR="00E63AAC">
        <w:rPr>
          <w:sz w:val="22"/>
          <w:szCs w:val="22"/>
        </w:rPr>
        <w:t>alokace</w:t>
      </w:r>
      <w:r w:rsidRPr="00173F64">
        <w:rPr>
          <w:sz w:val="22"/>
          <w:szCs w:val="22"/>
        </w:rPr>
        <w:t>.</w:t>
      </w:r>
      <w:r w:rsidRPr="00173F64">
        <w:rPr>
          <w:sz w:val="24"/>
          <w:szCs w:val="24"/>
        </w:rPr>
        <w:t xml:space="preserve"> </w:t>
      </w:r>
    </w:p>
    <w:p w:rsidR="009A69D0" w:rsidRPr="009A69D0" w:rsidRDefault="009A69D0" w:rsidP="003F5A35">
      <w:pPr>
        <w:jc w:val="both"/>
        <w:rPr>
          <w:sz w:val="22"/>
          <w:szCs w:val="22"/>
        </w:rPr>
      </w:pPr>
    </w:p>
    <w:p w:rsidR="00445703" w:rsidRDefault="00445703" w:rsidP="003F5A35">
      <w:pPr>
        <w:jc w:val="both"/>
        <w:rPr>
          <w:sz w:val="22"/>
          <w:szCs w:val="22"/>
        </w:rPr>
      </w:pPr>
    </w:p>
    <w:p w:rsidR="00AC5CE7" w:rsidRPr="00F81D51" w:rsidRDefault="009039A7" w:rsidP="009039A7">
      <w:pPr>
        <w:jc w:val="both"/>
        <w:rPr>
          <w:i/>
          <w:sz w:val="18"/>
          <w:szCs w:val="18"/>
        </w:rPr>
      </w:pPr>
      <w:r w:rsidRPr="00343942">
        <w:rPr>
          <w:rStyle w:val="Siln"/>
        </w:rPr>
        <w:t xml:space="preserve"> </w:t>
      </w:r>
      <w:r w:rsidR="00F870FB" w:rsidRPr="00343942">
        <w:rPr>
          <w:rStyle w:val="Siln"/>
        </w:rPr>
        <w:t>Kumulativní pokrok na úrovni oblastí intervence 1.1a a 1.1b (v mil. CZK/EUR</w:t>
      </w:r>
      <w:r w:rsidR="00F870FB" w:rsidRPr="00493B99">
        <w:rPr>
          <w:rStyle w:val="Siln"/>
        </w:rPr>
        <w:t>)</w:t>
      </w:r>
      <w:r w:rsidR="00F870FB" w:rsidRPr="006C365F">
        <w:rPr>
          <w:rStyle w:val="Siln"/>
        </w:rPr>
        <w:footnoteReference w:id="4"/>
      </w:r>
    </w:p>
    <w:tbl>
      <w:tblPr>
        <w:tblW w:w="5000" w:type="pct"/>
        <w:tblCellMar>
          <w:left w:w="70" w:type="dxa"/>
          <w:right w:w="70" w:type="dxa"/>
        </w:tblCellMar>
        <w:tblLook w:val="04A0" w:firstRow="1" w:lastRow="0" w:firstColumn="1" w:lastColumn="0" w:noHBand="0" w:noVBand="1"/>
      </w:tblPr>
      <w:tblGrid>
        <w:gridCol w:w="718"/>
        <w:gridCol w:w="941"/>
        <w:gridCol w:w="700"/>
        <w:gridCol w:w="675"/>
        <w:gridCol w:w="514"/>
        <w:gridCol w:w="780"/>
        <w:gridCol w:w="580"/>
        <w:gridCol w:w="656"/>
        <w:gridCol w:w="514"/>
        <w:gridCol w:w="732"/>
        <w:gridCol w:w="599"/>
        <w:gridCol w:w="599"/>
        <w:gridCol w:w="732"/>
        <w:gridCol w:w="639"/>
        <w:gridCol w:w="713"/>
        <w:gridCol w:w="809"/>
        <w:gridCol w:w="599"/>
        <w:gridCol w:w="713"/>
        <w:gridCol w:w="769"/>
        <w:gridCol w:w="580"/>
        <w:gridCol w:w="582"/>
      </w:tblGrid>
      <w:tr w:rsidR="00492B11" w:rsidRPr="00F81D51" w:rsidTr="00492B11">
        <w:trPr>
          <w:trHeight w:val="615"/>
        </w:trPr>
        <w:tc>
          <w:tcPr>
            <w:tcW w:w="241" w:type="pct"/>
            <w:vMerge w:val="restart"/>
            <w:tcBorders>
              <w:top w:val="single" w:sz="4" w:space="0" w:color="1F497D"/>
              <w:left w:val="single" w:sz="4" w:space="0" w:color="1F497D"/>
              <w:bottom w:val="single" w:sz="4" w:space="0" w:color="1F497D"/>
              <w:right w:val="single" w:sz="4" w:space="0" w:color="1F497D"/>
            </w:tcBorders>
            <w:shd w:val="clear" w:color="000000" w:fill="DCE6F1"/>
            <w:vAlign w:val="center"/>
            <w:hideMark/>
          </w:tcPr>
          <w:p w:rsidR="00F81D51" w:rsidRPr="00F81D51" w:rsidRDefault="00F81D51" w:rsidP="00F81D51">
            <w:pPr>
              <w:jc w:val="center"/>
              <w:rPr>
                <w:b/>
                <w:bCs/>
                <w:color w:val="000000"/>
                <w:sz w:val="16"/>
                <w:szCs w:val="16"/>
              </w:rPr>
            </w:pPr>
            <w:r w:rsidRPr="00F81D51">
              <w:rPr>
                <w:b/>
                <w:bCs/>
                <w:color w:val="000000"/>
                <w:sz w:val="16"/>
                <w:szCs w:val="16"/>
              </w:rPr>
              <w:t>Oblast podpory</w:t>
            </w:r>
          </w:p>
        </w:tc>
        <w:tc>
          <w:tcPr>
            <w:tcW w:w="335" w:type="pct"/>
            <w:tcBorders>
              <w:top w:val="single" w:sz="4" w:space="0" w:color="1F497D"/>
              <w:left w:val="nil"/>
              <w:bottom w:val="single" w:sz="4" w:space="0" w:color="1F497D"/>
              <w:right w:val="single" w:sz="4" w:space="0" w:color="1F497D"/>
            </w:tcBorders>
            <w:shd w:val="clear" w:color="000000" w:fill="DCE6F1"/>
            <w:vAlign w:val="center"/>
            <w:hideMark/>
          </w:tcPr>
          <w:p w:rsidR="00F81D51" w:rsidRPr="00F81D51" w:rsidRDefault="00F81D51" w:rsidP="00F81D51">
            <w:pPr>
              <w:jc w:val="center"/>
              <w:rPr>
                <w:b/>
                <w:bCs/>
                <w:color w:val="000000"/>
                <w:sz w:val="16"/>
                <w:szCs w:val="16"/>
              </w:rPr>
            </w:pPr>
            <w:r w:rsidRPr="00F81D51">
              <w:rPr>
                <w:b/>
                <w:bCs/>
                <w:color w:val="000000"/>
                <w:sz w:val="16"/>
                <w:szCs w:val="16"/>
              </w:rPr>
              <w:t>Datum snímku</w:t>
            </w:r>
          </w:p>
        </w:tc>
        <w:tc>
          <w:tcPr>
            <w:tcW w:w="482" w:type="pct"/>
            <w:gridSpan w:val="2"/>
            <w:tcBorders>
              <w:top w:val="single" w:sz="4" w:space="0" w:color="1F497D"/>
              <w:left w:val="nil"/>
              <w:bottom w:val="single" w:sz="4" w:space="0" w:color="1F497D"/>
              <w:right w:val="single" w:sz="4" w:space="0" w:color="1F497D"/>
            </w:tcBorders>
            <w:shd w:val="clear" w:color="000000" w:fill="DCE6F1"/>
            <w:vAlign w:val="center"/>
            <w:hideMark/>
          </w:tcPr>
          <w:p w:rsidR="00F81D51" w:rsidRPr="00F81D51" w:rsidRDefault="00F81D51" w:rsidP="00F81D51">
            <w:pPr>
              <w:jc w:val="center"/>
              <w:rPr>
                <w:b/>
                <w:bCs/>
                <w:color w:val="000000"/>
                <w:sz w:val="16"/>
                <w:szCs w:val="16"/>
              </w:rPr>
            </w:pPr>
            <w:r w:rsidRPr="00F81D51">
              <w:rPr>
                <w:b/>
                <w:bCs/>
                <w:color w:val="000000"/>
                <w:sz w:val="16"/>
                <w:szCs w:val="16"/>
              </w:rPr>
              <w:t>Celková alokace podpory 2007-2013</w:t>
            </w:r>
          </w:p>
        </w:tc>
        <w:tc>
          <w:tcPr>
            <w:tcW w:w="890" w:type="pct"/>
            <w:gridSpan w:val="4"/>
            <w:tcBorders>
              <w:top w:val="single" w:sz="4" w:space="0" w:color="1F497D"/>
              <w:left w:val="nil"/>
              <w:bottom w:val="single" w:sz="4" w:space="0" w:color="1F497D"/>
              <w:right w:val="single" w:sz="4" w:space="0" w:color="1F497D"/>
            </w:tcBorders>
            <w:shd w:val="clear" w:color="000000" w:fill="DCE6F1"/>
            <w:vAlign w:val="center"/>
            <w:hideMark/>
          </w:tcPr>
          <w:p w:rsidR="00F81D51" w:rsidRPr="00F81D51" w:rsidRDefault="00F81D51" w:rsidP="00F81D51">
            <w:pPr>
              <w:jc w:val="center"/>
              <w:rPr>
                <w:b/>
                <w:bCs/>
                <w:color w:val="000000"/>
                <w:sz w:val="16"/>
                <w:szCs w:val="16"/>
              </w:rPr>
            </w:pPr>
            <w:r w:rsidRPr="00F81D51">
              <w:rPr>
                <w:b/>
                <w:bCs/>
                <w:color w:val="000000"/>
                <w:sz w:val="16"/>
                <w:szCs w:val="16"/>
              </w:rPr>
              <w:t>Podané žádosti</w:t>
            </w:r>
          </w:p>
        </w:tc>
        <w:tc>
          <w:tcPr>
            <w:tcW w:w="863" w:type="pct"/>
            <w:gridSpan w:val="4"/>
            <w:tcBorders>
              <w:top w:val="single" w:sz="4" w:space="0" w:color="1F497D"/>
              <w:left w:val="nil"/>
              <w:bottom w:val="single" w:sz="4" w:space="0" w:color="1F497D"/>
              <w:right w:val="single" w:sz="4" w:space="0" w:color="1F497D"/>
            </w:tcBorders>
            <w:shd w:val="clear" w:color="000000" w:fill="DCE6F1"/>
            <w:vAlign w:val="center"/>
            <w:hideMark/>
          </w:tcPr>
          <w:p w:rsidR="00F81D51" w:rsidRPr="00F81D51" w:rsidRDefault="00F81D51" w:rsidP="00F81D51">
            <w:pPr>
              <w:jc w:val="center"/>
              <w:rPr>
                <w:b/>
                <w:bCs/>
                <w:color w:val="000000"/>
                <w:sz w:val="16"/>
                <w:szCs w:val="16"/>
              </w:rPr>
            </w:pPr>
            <w:r w:rsidRPr="00F81D51">
              <w:rPr>
                <w:b/>
                <w:bCs/>
                <w:color w:val="000000"/>
                <w:sz w:val="16"/>
                <w:szCs w:val="16"/>
              </w:rPr>
              <w:t>Prostředky kryté Rozhodnutím / Smlouvou (dodatkem)</w:t>
            </w:r>
          </w:p>
        </w:tc>
        <w:tc>
          <w:tcPr>
            <w:tcW w:w="743" w:type="pct"/>
            <w:gridSpan w:val="3"/>
            <w:tcBorders>
              <w:top w:val="single" w:sz="4" w:space="0" w:color="1F497D"/>
              <w:left w:val="nil"/>
              <w:bottom w:val="single" w:sz="4" w:space="0" w:color="1F497D"/>
              <w:right w:val="single" w:sz="4" w:space="0" w:color="1F497D"/>
            </w:tcBorders>
            <w:shd w:val="clear" w:color="000000" w:fill="DCE6F1"/>
            <w:vAlign w:val="center"/>
            <w:hideMark/>
          </w:tcPr>
          <w:p w:rsidR="00F81D51" w:rsidRPr="00F81D51" w:rsidRDefault="00F81D51" w:rsidP="00F81D51">
            <w:pPr>
              <w:jc w:val="center"/>
              <w:rPr>
                <w:b/>
                <w:bCs/>
                <w:color w:val="000000"/>
                <w:sz w:val="16"/>
                <w:szCs w:val="16"/>
              </w:rPr>
            </w:pPr>
            <w:r w:rsidRPr="00F81D51">
              <w:rPr>
                <w:b/>
                <w:bCs/>
                <w:color w:val="000000"/>
                <w:sz w:val="16"/>
                <w:szCs w:val="16"/>
              </w:rPr>
              <w:t>Proplacené prostředky příjemcům (vyúčtované prostředky)</w:t>
            </w:r>
          </w:p>
        </w:tc>
        <w:tc>
          <w:tcPr>
            <w:tcW w:w="756" w:type="pct"/>
            <w:gridSpan w:val="3"/>
            <w:tcBorders>
              <w:top w:val="single" w:sz="4" w:space="0" w:color="1F497D"/>
              <w:left w:val="nil"/>
              <w:bottom w:val="single" w:sz="4" w:space="0" w:color="1F497D"/>
              <w:right w:val="single" w:sz="4" w:space="0" w:color="1F497D"/>
            </w:tcBorders>
            <w:shd w:val="clear" w:color="000000" w:fill="DCE6F1"/>
            <w:vAlign w:val="center"/>
            <w:hideMark/>
          </w:tcPr>
          <w:p w:rsidR="00F81D51" w:rsidRPr="00F81D51" w:rsidRDefault="00F81D51" w:rsidP="00F81D51">
            <w:pPr>
              <w:jc w:val="center"/>
              <w:rPr>
                <w:b/>
                <w:bCs/>
                <w:color w:val="000000"/>
                <w:sz w:val="16"/>
                <w:szCs w:val="16"/>
              </w:rPr>
            </w:pPr>
            <w:r w:rsidRPr="00F81D51">
              <w:rPr>
                <w:b/>
                <w:bCs/>
                <w:color w:val="000000"/>
                <w:sz w:val="16"/>
                <w:szCs w:val="16"/>
              </w:rPr>
              <w:t>Souhrnné žádosti zaúčtované PCO</w:t>
            </w:r>
          </w:p>
        </w:tc>
        <w:tc>
          <w:tcPr>
            <w:tcW w:w="689" w:type="pct"/>
            <w:gridSpan w:val="3"/>
            <w:tcBorders>
              <w:top w:val="single" w:sz="4" w:space="0" w:color="1F497D"/>
              <w:left w:val="nil"/>
              <w:bottom w:val="single" w:sz="4" w:space="0" w:color="1F497D"/>
              <w:right w:val="single" w:sz="4" w:space="0" w:color="1F497D"/>
            </w:tcBorders>
            <w:shd w:val="clear" w:color="000000" w:fill="DCE6F1"/>
            <w:vAlign w:val="center"/>
            <w:hideMark/>
          </w:tcPr>
          <w:p w:rsidR="00F81D51" w:rsidRPr="00F81D51" w:rsidRDefault="00F81D51" w:rsidP="00F81D51">
            <w:pPr>
              <w:jc w:val="center"/>
              <w:rPr>
                <w:b/>
                <w:bCs/>
                <w:color w:val="000000"/>
                <w:sz w:val="16"/>
                <w:szCs w:val="16"/>
              </w:rPr>
            </w:pPr>
            <w:r w:rsidRPr="00F81D51">
              <w:rPr>
                <w:b/>
                <w:bCs/>
                <w:color w:val="000000"/>
                <w:sz w:val="16"/>
                <w:szCs w:val="16"/>
              </w:rPr>
              <w:t>Certifikované prostředky (včetně vratek)</w:t>
            </w:r>
          </w:p>
        </w:tc>
      </w:tr>
      <w:tr w:rsidR="00F81D51" w:rsidRPr="00F81D51" w:rsidTr="00492B11">
        <w:trPr>
          <w:trHeight w:val="420"/>
        </w:trPr>
        <w:tc>
          <w:tcPr>
            <w:tcW w:w="241" w:type="pct"/>
            <w:vMerge/>
            <w:tcBorders>
              <w:top w:val="single" w:sz="4" w:space="0" w:color="1F497D"/>
              <w:left w:val="single" w:sz="4" w:space="0" w:color="1F497D"/>
              <w:bottom w:val="single" w:sz="4" w:space="0" w:color="1F497D"/>
              <w:right w:val="single" w:sz="4" w:space="0" w:color="1F497D"/>
            </w:tcBorders>
            <w:vAlign w:val="center"/>
            <w:hideMark/>
          </w:tcPr>
          <w:p w:rsidR="00F81D51" w:rsidRPr="00F81D51" w:rsidRDefault="00F81D51" w:rsidP="00F81D51">
            <w:pPr>
              <w:rPr>
                <w:b/>
                <w:bCs/>
                <w:color w:val="000000"/>
                <w:sz w:val="16"/>
                <w:szCs w:val="16"/>
              </w:rPr>
            </w:pPr>
          </w:p>
        </w:tc>
        <w:tc>
          <w:tcPr>
            <w:tcW w:w="335" w:type="pct"/>
            <w:vMerge w:val="restart"/>
            <w:tcBorders>
              <w:top w:val="nil"/>
              <w:left w:val="single" w:sz="4" w:space="0" w:color="1F497D"/>
              <w:bottom w:val="single" w:sz="4" w:space="0" w:color="1F497D"/>
              <w:right w:val="single" w:sz="4" w:space="0" w:color="1F497D"/>
            </w:tcBorders>
            <w:shd w:val="clear" w:color="000000" w:fill="DCE6F1"/>
            <w:vAlign w:val="center"/>
            <w:hideMark/>
          </w:tcPr>
          <w:p w:rsidR="00F81D51" w:rsidRPr="00F81D51" w:rsidRDefault="00F81D51" w:rsidP="00F81D51">
            <w:pPr>
              <w:jc w:val="center"/>
              <w:rPr>
                <w:b/>
                <w:bCs/>
                <w:color w:val="000000"/>
                <w:sz w:val="16"/>
                <w:szCs w:val="16"/>
              </w:rPr>
            </w:pPr>
            <w:r w:rsidRPr="00F81D51">
              <w:rPr>
                <w:b/>
                <w:bCs/>
                <w:color w:val="000000"/>
                <w:sz w:val="16"/>
                <w:szCs w:val="16"/>
              </w:rPr>
              <w:t>Den</w:t>
            </w:r>
          </w:p>
        </w:tc>
        <w:tc>
          <w:tcPr>
            <w:tcW w:w="241" w:type="pct"/>
            <w:tcBorders>
              <w:top w:val="nil"/>
              <w:left w:val="nil"/>
              <w:bottom w:val="single" w:sz="4" w:space="0" w:color="1F497D"/>
              <w:right w:val="single" w:sz="4" w:space="0" w:color="1F497D"/>
            </w:tcBorders>
            <w:shd w:val="clear" w:color="000000" w:fill="DCE6F1"/>
            <w:vAlign w:val="center"/>
            <w:hideMark/>
          </w:tcPr>
          <w:p w:rsidR="00F81D51" w:rsidRPr="00F81D51" w:rsidRDefault="00F81D51" w:rsidP="00F81D51">
            <w:pPr>
              <w:jc w:val="center"/>
              <w:rPr>
                <w:b/>
                <w:bCs/>
                <w:color w:val="000000"/>
                <w:sz w:val="16"/>
                <w:szCs w:val="16"/>
              </w:rPr>
            </w:pPr>
            <w:r w:rsidRPr="00F81D51">
              <w:rPr>
                <w:b/>
                <w:bCs/>
                <w:color w:val="000000"/>
                <w:sz w:val="16"/>
                <w:szCs w:val="16"/>
              </w:rPr>
              <w:t>mil. CZK</w:t>
            </w:r>
          </w:p>
        </w:tc>
        <w:tc>
          <w:tcPr>
            <w:tcW w:w="241" w:type="pct"/>
            <w:vMerge w:val="restart"/>
            <w:tcBorders>
              <w:top w:val="nil"/>
              <w:left w:val="single" w:sz="4" w:space="0" w:color="1F497D"/>
              <w:bottom w:val="single" w:sz="4" w:space="0" w:color="1F497D"/>
              <w:right w:val="single" w:sz="4" w:space="0" w:color="1F497D"/>
            </w:tcBorders>
            <w:shd w:val="clear" w:color="000000" w:fill="DCE6F1"/>
            <w:vAlign w:val="center"/>
            <w:hideMark/>
          </w:tcPr>
          <w:p w:rsidR="00F81D51" w:rsidRPr="00F81D51" w:rsidRDefault="00F81D51" w:rsidP="00F81D51">
            <w:pPr>
              <w:jc w:val="center"/>
              <w:rPr>
                <w:b/>
                <w:bCs/>
                <w:color w:val="000000"/>
                <w:sz w:val="16"/>
                <w:szCs w:val="16"/>
              </w:rPr>
            </w:pPr>
            <w:r w:rsidRPr="00F81D51">
              <w:rPr>
                <w:b/>
                <w:bCs/>
                <w:color w:val="000000"/>
                <w:sz w:val="16"/>
                <w:szCs w:val="16"/>
              </w:rPr>
              <w:t>mil. EUR</w:t>
            </w:r>
          </w:p>
        </w:tc>
        <w:tc>
          <w:tcPr>
            <w:tcW w:w="181" w:type="pct"/>
            <w:tcBorders>
              <w:top w:val="nil"/>
              <w:left w:val="nil"/>
              <w:bottom w:val="single" w:sz="4" w:space="0" w:color="1F497D"/>
              <w:right w:val="single" w:sz="4" w:space="0" w:color="1F497D"/>
            </w:tcBorders>
            <w:shd w:val="clear" w:color="000000" w:fill="DCE6F1"/>
            <w:vAlign w:val="center"/>
            <w:hideMark/>
          </w:tcPr>
          <w:p w:rsidR="00F81D51" w:rsidRPr="00F81D51" w:rsidRDefault="00F81D51" w:rsidP="00F81D51">
            <w:pPr>
              <w:jc w:val="center"/>
              <w:rPr>
                <w:b/>
                <w:bCs/>
                <w:color w:val="000000"/>
                <w:sz w:val="16"/>
                <w:szCs w:val="16"/>
              </w:rPr>
            </w:pPr>
            <w:r w:rsidRPr="00F81D51">
              <w:rPr>
                <w:b/>
                <w:bCs/>
                <w:color w:val="000000"/>
                <w:sz w:val="16"/>
                <w:szCs w:val="16"/>
              </w:rPr>
              <w:t>Počet</w:t>
            </w:r>
          </w:p>
        </w:tc>
        <w:tc>
          <w:tcPr>
            <w:tcW w:w="268" w:type="pct"/>
            <w:tcBorders>
              <w:top w:val="nil"/>
              <w:left w:val="nil"/>
              <w:bottom w:val="single" w:sz="4" w:space="0" w:color="1F497D"/>
              <w:right w:val="single" w:sz="4" w:space="0" w:color="1F497D"/>
            </w:tcBorders>
            <w:shd w:val="clear" w:color="000000" w:fill="DCE6F1"/>
            <w:vAlign w:val="center"/>
            <w:hideMark/>
          </w:tcPr>
          <w:p w:rsidR="00F81D51" w:rsidRPr="00F81D51" w:rsidRDefault="00F81D51" w:rsidP="00F81D51">
            <w:pPr>
              <w:jc w:val="center"/>
              <w:rPr>
                <w:b/>
                <w:bCs/>
                <w:color w:val="000000"/>
                <w:sz w:val="16"/>
                <w:szCs w:val="16"/>
              </w:rPr>
            </w:pPr>
            <w:r w:rsidRPr="00F81D51">
              <w:rPr>
                <w:b/>
                <w:bCs/>
                <w:color w:val="000000"/>
                <w:sz w:val="16"/>
                <w:szCs w:val="16"/>
              </w:rPr>
              <w:t>mil. CZK</w:t>
            </w:r>
          </w:p>
        </w:tc>
        <w:tc>
          <w:tcPr>
            <w:tcW w:w="207" w:type="pct"/>
            <w:tcBorders>
              <w:top w:val="nil"/>
              <w:left w:val="nil"/>
              <w:bottom w:val="single" w:sz="4" w:space="0" w:color="1F497D"/>
              <w:right w:val="single" w:sz="4" w:space="0" w:color="1F497D"/>
            </w:tcBorders>
            <w:shd w:val="clear" w:color="000000" w:fill="DCE6F1"/>
            <w:vAlign w:val="center"/>
            <w:hideMark/>
          </w:tcPr>
          <w:p w:rsidR="00F81D51" w:rsidRPr="00F81D51" w:rsidRDefault="00F81D51" w:rsidP="00F81D51">
            <w:pPr>
              <w:jc w:val="center"/>
              <w:rPr>
                <w:b/>
                <w:bCs/>
                <w:color w:val="000000"/>
                <w:sz w:val="16"/>
                <w:szCs w:val="16"/>
              </w:rPr>
            </w:pPr>
            <w:r w:rsidRPr="00F81D51">
              <w:rPr>
                <w:b/>
                <w:bCs/>
                <w:color w:val="000000"/>
                <w:sz w:val="16"/>
                <w:szCs w:val="16"/>
              </w:rPr>
              <w:t>%</w:t>
            </w:r>
          </w:p>
        </w:tc>
        <w:tc>
          <w:tcPr>
            <w:tcW w:w="234" w:type="pct"/>
            <w:vMerge w:val="restart"/>
            <w:tcBorders>
              <w:top w:val="nil"/>
              <w:left w:val="single" w:sz="4" w:space="0" w:color="1F497D"/>
              <w:bottom w:val="single" w:sz="4" w:space="0" w:color="1F497D"/>
              <w:right w:val="single" w:sz="4" w:space="0" w:color="1F497D"/>
            </w:tcBorders>
            <w:shd w:val="clear" w:color="000000" w:fill="DCE6F1"/>
            <w:vAlign w:val="center"/>
            <w:hideMark/>
          </w:tcPr>
          <w:p w:rsidR="00F81D51" w:rsidRPr="00F81D51" w:rsidRDefault="00F81D51" w:rsidP="00F81D51">
            <w:pPr>
              <w:jc w:val="center"/>
              <w:rPr>
                <w:b/>
                <w:bCs/>
                <w:color w:val="000000"/>
                <w:sz w:val="16"/>
                <w:szCs w:val="16"/>
              </w:rPr>
            </w:pPr>
            <w:r w:rsidRPr="00F81D51">
              <w:rPr>
                <w:b/>
                <w:bCs/>
                <w:color w:val="000000"/>
                <w:sz w:val="16"/>
                <w:szCs w:val="16"/>
              </w:rPr>
              <w:t>mil. EUR</w:t>
            </w:r>
          </w:p>
        </w:tc>
        <w:tc>
          <w:tcPr>
            <w:tcW w:w="174" w:type="pct"/>
            <w:tcBorders>
              <w:top w:val="nil"/>
              <w:left w:val="nil"/>
              <w:bottom w:val="single" w:sz="4" w:space="0" w:color="1F497D"/>
              <w:right w:val="single" w:sz="4" w:space="0" w:color="1F497D"/>
            </w:tcBorders>
            <w:shd w:val="clear" w:color="000000" w:fill="DCE6F1"/>
            <w:vAlign w:val="center"/>
            <w:hideMark/>
          </w:tcPr>
          <w:p w:rsidR="00F81D51" w:rsidRPr="00F81D51" w:rsidRDefault="00F81D51" w:rsidP="00F81D51">
            <w:pPr>
              <w:jc w:val="center"/>
              <w:rPr>
                <w:b/>
                <w:bCs/>
                <w:color w:val="000000"/>
                <w:sz w:val="16"/>
                <w:szCs w:val="16"/>
              </w:rPr>
            </w:pPr>
            <w:r w:rsidRPr="00F81D51">
              <w:rPr>
                <w:b/>
                <w:bCs/>
                <w:color w:val="000000"/>
                <w:sz w:val="16"/>
                <w:szCs w:val="16"/>
              </w:rPr>
              <w:t>Počet</w:t>
            </w:r>
          </w:p>
        </w:tc>
        <w:tc>
          <w:tcPr>
            <w:tcW w:w="261" w:type="pct"/>
            <w:tcBorders>
              <w:top w:val="nil"/>
              <w:left w:val="nil"/>
              <w:bottom w:val="single" w:sz="4" w:space="0" w:color="1F497D"/>
              <w:right w:val="single" w:sz="4" w:space="0" w:color="1F497D"/>
            </w:tcBorders>
            <w:shd w:val="clear" w:color="000000" w:fill="DCE6F1"/>
            <w:vAlign w:val="center"/>
            <w:hideMark/>
          </w:tcPr>
          <w:p w:rsidR="00F81D51" w:rsidRPr="00F81D51" w:rsidRDefault="00F81D51" w:rsidP="00F81D51">
            <w:pPr>
              <w:jc w:val="center"/>
              <w:rPr>
                <w:b/>
                <w:bCs/>
                <w:color w:val="000000"/>
                <w:sz w:val="16"/>
                <w:szCs w:val="16"/>
              </w:rPr>
            </w:pPr>
            <w:r w:rsidRPr="00F81D51">
              <w:rPr>
                <w:b/>
                <w:bCs/>
                <w:color w:val="000000"/>
                <w:sz w:val="16"/>
                <w:szCs w:val="16"/>
              </w:rPr>
              <w:t>mil. CZK</w:t>
            </w:r>
          </w:p>
        </w:tc>
        <w:tc>
          <w:tcPr>
            <w:tcW w:w="214" w:type="pct"/>
            <w:tcBorders>
              <w:top w:val="nil"/>
              <w:left w:val="nil"/>
              <w:bottom w:val="single" w:sz="4" w:space="0" w:color="1F497D"/>
              <w:right w:val="single" w:sz="4" w:space="0" w:color="1F497D"/>
            </w:tcBorders>
            <w:shd w:val="clear" w:color="000000" w:fill="DCE6F1"/>
            <w:vAlign w:val="center"/>
            <w:hideMark/>
          </w:tcPr>
          <w:p w:rsidR="00F81D51" w:rsidRPr="00F81D51" w:rsidRDefault="00F81D51" w:rsidP="00F81D51">
            <w:pPr>
              <w:jc w:val="center"/>
              <w:rPr>
                <w:b/>
                <w:bCs/>
                <w:color w:val="000000"/>
                <w:sz w:val="16"/>
                <w:szCs w:val="16"/>
              </w:rPr>
            </w:pPr>
            <w:r w:rsidRPr="00F81D51">
              <w:rPr>
                <w:b/>
                <w:bCs/>
                <w:color w:val="000000"/>
                <w:sz w:val="16"/>
                <w:szCs w:val="16"/>
              </w:rPr>
              <w:t>%</w:t>
            </w:r>
          </w:p>
        </w:tc>
        <w:tc>
          <w:tcPr>
            <w:tcW w:w="214" w:type="pct"/>
            <w:vMerge w:val="restart"/>
            <w:tcBorders>
              <w:top w:val="nil"/>
              <w:left w:val="single" w:sz="4" w:space="0" w:color="1F497D"/>
              <w:bottom w:val="single" w:sz="4" w:space="0" w:color="1F497D"/>
              <w:right w:val="single" w:sz="4" w:space="0" w:color="1F497D"/>
            </w:tcBorders>
            <w:shd w:val="clear" w:color="000000" w:fill="DCE6F1"/>
            <w:vAlign w:val="center"/>
            <w:hideMark/>
          </w:tcPr>
          <w:p w:rsidR="00F81D51" w:rsidRPr="00F81D51" w:rsidRDefault="00F81D51" w:rsidP="00F81D51">
            <w:pPr>
              <w:jc w:val="center"/>
              <w:rPr>
                <w:b/>
                <w:bCs/>
                <w:color w:val="000000"/>
                <w:sz w:val="16"/>
                <w:szCs w:val="16"/>
              </w:rPr>
            </w:pPr>
            <w:r w:rsidRPr="00F81D51">
              <w:rPr>
                <w:b/>
                <w:bCs/>
                <w:color w:val="000000"/>
                <w:sz w:val="16"/>
                <w:szCs w:val="16"/>
              </w:rPr>
              <w:t>mil. EUR</w:t>
            </w:r>
          </w:p>
        </w:tc>
        <w:tc>
          <w:tcPr>
            <w:tcW w:w="261" w:type="pct"/>
            <w:tcBorders>
              <w:top w:val="nil"/>
              <w:left w:val="nil"/>
              <w:bottom w:val="single" w:sz="4" w:space="0" w:color="1F497D"/>
              <w:right w:val="single" w:sz="4" w:space="0" w:color="1F497D"/>
            </w:tcBorders>
            <w:shd w:val="clear" w:color="000000" w:fill="DCE6F1"/>
            <w:vAlign w:val="center"/>
            <w:hideMark/>
          </w:tcPr>
          <w:p w:rsidR="00F81D51" w:rsidRPr="00F81D51" w:rsidRDefault="00F81D51" w:rsidP="00F81D51">
            <w:pPr>
              <w:jc w:val="center"/>
              <w:rPr>
                <w:b/>
                <w:bCs/>
                <w:color w:val="000000"/>
                <w:sz w:val="16"/>
                <w:szCs w:val="16"/>
              </w:rPr>
            </w:pPr>
            <w:r w:rsidRPr="00F81D51">
              <w:rPr>
                <w:b/>
                <w:bCs/>
                <w:color w:val="000000"/>
                <w:sz w:val="16"/>
                <w:szCs w:val="16"/>
              </w:rPr>
              <w:t>mil. CZK</w:t>
            </w:r>
          </w:p>
        </w:tc>
        <w:tc>
          <w:tcPr>
            <w:tcW w:w="228" w:type="pct"/>
            <w:tcBorders>
              <w:top w:val="nil"/>
              <w:left w:val="nil"/>
              <w:bottom w:val="single" w:sz="4" w:space="0" w:color="1F497D"/>
              <w:right w:val="single" w:sz="4" w:space="0" w:color="1F497D"/>
            </w:tcBorders>
            <w:shd w:val="clear" w:color="000000" w:fill="DCE6F1"/>
            <w:vAlign w:val="center"/>
            <w:hideMark/>
          </w:tcPr>
          <w:p w:rsidR="00F81D51" w:rsidRPr="00F81D51" w:rsidRDefault="00F81D51" w:rsidP="00F81D51">
            <w:pPr>
              <w:jc w:val="center"/>
              <w:rPr>
                <w:b/>
                <w:bCs/>
                <w:color w:val="000000"/>
                <w:sz w:val="16"/>
                <w:szCs w:val="16"/>
              </w:rPr>
            </w:pPr>
            <w:r w:rsidRPr="00F81D51">
              <w:rPr>
                <w:b/>
                <w:bCs/>
                <w:color w:val="000000"/>
                <w:sz w:val="16"/>
                <w:szCs w:val="16"/>
              </w:rPr>
              <w:t>%</w:t>
            </w:r>
          </w:p>
        </w:tc>
        <w:tc>
          <w:tcPr>
            <w:tcW w:w="254" w:type="pct"/>
            <w:vMerge w:val="restart"/>
            <w:tcBorders>
              <w:top w:val="nil"/>
              <w:left w:val="single" w:sz="4" w:space="0" w:color="1F497D"/>
              <w:bottom w:val="single" w:sz="4" w:space="0" w:color="1F497D"/>
              <w:right w:val="single" w:sz="4" w:space="0" w:color="1F497D"/>
            </w:tcBorders>
            <w:shd w:val="clear" w:color="000000" w:fill="DCE6F1"/>
            <w:vAlign w:val="center"/>
            <w:hideMark/>
          </w:tcPr>
          <w:p w:rsidR="00F81D51" w:rsidRPr="00F81D51" w:rsidRDefault="00F81D51" w:rsidP="00F81D51">
            <w:pPr>
              <w:jc w:val="center"/>
              <w:rPr>
                <w:b/>
                <w:bCs/>
                <w:color w:val="000000"/>
                <w:sz w:val="16"/>
                <w:szCs w:val="16"/>
              </w:rPr>
            </w:pPr>
            <w:r w:rsidRPr="00F81D51">
              <w:rPr>
                <w:b/>
                <w:bCs/>
                <w:color w:val="000000"/>
                <w:sz w:val="16"/>
                <w:szCs w:val="16"/>
              </w:rPr>
              <w:t>mil. EUR</w:t>
            </w:r>
          </w:p>
        </w:tc>
        <w:tc>
          <w:tcPr>
            <w:tcW w:w="288" w:type="pct"/>
            <w:tcBorders>
              <w:top w:val="nil"/>
              <w:left w:val="nil"/>
              <w:bottom w:val="single" w:sz="4" w:space="0" w:color="1F497D"/>
              <w:right w:val="single" w:sz="4" w:space="0" w:color="1F497D"/>
            </w:tcBorders>
            <w:shd w:val="clear" w:color="000000" w:fill="DCE6F1"/>
            <w:vAlign w:val="center"/>
            <w:hideMark/>
          </w:tcPr>
          <w:p w:rsidR="00F81D51" w:rsidRPr="00F81D51" w:rsidRDefault="00F81D51" w:rsidP="00F81D51">
            <w:pPr>
              <w:jc w:val="center"/>
              <w:rPr>
                <w:b/>
                <w:bCs/>
                <w:color w:val="000000"/>
                <w:sz w:val="16"/>
                <w:szCs w:val="16"/>
              </w:rPr>
            </w:pPr>
            <w:r w:rsidRPr="00F81D51">
              <w:rPr>
                <w:b/>
                <w:bCs/>
                <w:color w:val="000000"/>
                <w:sz w:val="16"/>
                <w:szCs w:val="16"/>
              </w:rPr>
              <w:t>mil. CZK</w:t>
            </w:r>
          </w:p>
        </w:tc>
        <w:tc>
          <w:tcPr>
            <w:tcW w:w="214" w:type="pct"/>
            <w:tcBorders>
              <w:top w:val="nil"/>
              <w:left w:val="nil"/>
              <w:bottom w:val="single" w:sz="4" w:space="0" w:color="1F497D"/>
              <w:right w:val="single" w:sz="4" w:space="0" w:color="1F497D"/>
            </w:tcBorders>
            <w:shd w:val="clear" w:color="000000" w:fill="DCE6F1"/>
            <w:vAlign w:val="center"/>
            <w:hideMark/>
          </w:tcPr>
          <w:p w:rsidR="00F81D51" w:rsidRPr="00F81D51" w:rsidRDefault="00F81D51" w:rsidP="00F81D51">
            <w:pPr>
              <w:jc w:val="center"/>
              <w:rPr>
                <w:b/>
                <w:bCs/>
                <w:color w:val="000000"/>
                <w:sz w:val="16"/>
                <w:szCs w:val="16"/>
              </w:rPr>
            </w:pPr>
            <w:r w:rsidRPr="00F81D51">
              <w:rPr>
                <w:b/>
                <w:bCs/>
                <w:color w:val="000000"/>
                <w:sz w:val="16"/>
                <w:szCs w:val="16"/>
              </w:rPr>
              <w:t>%</w:t>
            </w:r>
          </w:p>
        </w:tc>
        <w:tc>
          <w:tcPr>
            <w:tcW w:w="254" w:type="pct"/>
            <w:vMerge w:val="restart"/>
            <w:tcBorders>
              <w:top w:val="nil"/>
              <w:left w:val="single" w:sz="4" w:space="0" w:color="1F497D"/>
              <w:bottom w:val="single" w:sz="4" w:space="0" w:color="1F497D"/>
              <w:right w:val="single" w:sz="4" w:space="0" w:color="1F497D"/>
            </w:tcBorders>
            <w:shd w:val="clear" w:color="000000" w:fill="DCE6F1"/>
            <w:vAlign w:val="center"/>
            <w:hideMark/>
          </w:tcPr>
          <w:p w:rsidR="00F81D51" w:rsidRPr="00F81D51" w:rsidRDefault="00F81D51" w:rsidP="00F81D51">
            <w:pPr>
              <w:jc w:val="center"/>
              <w:rPr>
                <w:b/>
                <w:bCs/>
                <w:color w:val="000000"/>
                <w:sz w:val="16"/>
                <w:szCs w:val="16"/>
              </w:rPr>
            </w:pPr>
            <w:r w:rsidRPr="00F81D51">
              <w:rPr>
                <w:b/>
                <w:bCs/>
                <w:color w:val="000000"/>
                <w:sz w:val="16"/>
                <w:szCs w:val="16"/>
              </w:rPr>
              <w:t>mil. EUR</w:t>
            </w:r>
          </w:p>
        </w:tc>
        <w:tc>
          <w:tcPr>
            <w:tcW w:w="274" w:type="pct"/>
            <w:tcBorders>
              <w:top w:val="nil"/>
              <w:left w:val="nil"/>
              <w:bottom w:val="single" w:sz="4" w:space="0" w:color="1F497D"/>
              <w:right w:val="single" w:sz="4" w:space="0" w:color="1F497D"/>
            </w:tcBorders>
            <w:shd w:val="clear" w:color="000000" w:fill="DCE6F1"/>
            <w:vAlign w:val="center"/>
            <w:hideMark/>
          </w:tcPr>
          <w:p w:rsidR="00F81D51" w:rsidRPr="00F81D51" w:rsidRDefault="00F81D51" w:rsidP="00F81D51">
            <w:pPr>
              <w:jc w:val="center"/>
              <w:rPr>
                <w:b/>
                <w:bCs/>
                <w:color w:val="000000"/>
                <w:sz w:val="16"/>
                <w:szCs w:val="16"/>
              </w:rPr>
            </w:pPr>
            <w:r w:rsidRPr="00F81D51">
              <w:rPr>
                <w:b/>
                <w:bCs/>
                <w:color w:val="000000"/>
                <w:sz w:val="16"/>
                <w:szCs w:val="16"/>
              </w:rPr>
              <w:t>mil. CZK</w:t>
            </w:r>
          </w:p>
        </w:tc>
        <w:tc>
          <w:tcPr>
            <w:tcW w:w="207" w:type="pct"/>
            <w:tcBorders>
              <w:top w:val="nil"/>
              <w:left w:val="nil"/>
              <w:bottom w:val="single" w:sz="4" w:space="0" w:color="1F497D"/>
              <w:right w:val="single" w:sz="4" w:space="0" w:color="1F497D"/>
            </w:tcBorders>
            <w:shd w:val="clear" w:color="000000" w:fill="DCE6F1"/>
            <w:vAlign w:val="center"/>
            <w:hideMark/>
          </w:tcPr>
          <w:p w:rsidR="00F81D51" w:rsidRPr="00F81D51" w:rsidRDefault="00F81D51" w:rsidP="00F81D51">
            <w:pPr>
              <w:jc w:val="center"/>
              <w:rPr>
                <w:b/>
                <w:bCs/>
                <w:color w:val="000000"/>
                <w:sz w:val="16"/>
                <w:szCs w:val="16"/>
              </w:rPr>
            </w:pPr>
            <w:r w:rsidRPr="00F81D51">
              <w:rPr>
                <w:b/>
                <w:bCs/>
                <w:color w:val="000000"/>
                <w:sz w:val="16"/>
                <w:szCs w:val="16"/>
              </w:rPr>
              <w:t>%</w:t>
            </w:r>
          </w:p>
        </w:tc>
        <w:tc>
          <w:tcPr>
            <w:tcW w:w="207" w:type="pct"/>
            <w:vMerge w:val="restart"/>
            <w:tcBorders>
              <w:top w:val="nil"/>
              <w:left w:val="single" w:sz="4" w:space="0" w:color="1F497D"/>
              <w:bottom w:val="single" w:sz="4" w:space="0" w:color="1F497D"/>
              <w:right w:val="single" w:sz="4" w:space="0" w:color="1F497D"/>
            </w:tcBorders>
            <w:shd w:val="clear" w:color="000000" w:fill="DCE6F1"/>
            <w:vAlign w:val="center"/>
            <w:hideMark/>
          </w:tcPr>
          <w:p w:rsidR="00F81D51" w:rsidRPr="00F81D51" w:rsidRDefault="00F81D51" w:rsidP="00F81D51">
            <w:pPr>
              <w:jc w:val="center"/>
              <w:rPr>
                <w:b/>
                <w:bCs/>
                <w:color w:val="000000"/>
                <w:sz w:val="16"/>
                <w:szCs w:val="16"/>
              </w:rPr>
            </w:pPr>
            <w:r w:rsidRPr="00F81D51">
              <w:rPr>
                <w:b/>
                <w:bCs/>
                <w:color w:val="000000"/>
                <w:sz w:val="16"/>
                <w:szCs w:val="16"/>
              </w:rPr>
              <w:t>mil. EUR</w:t>
            </w:r>
          </w:p>
        </w:tc>
      </w:tr>
      <w:tr w:rsidR="00F81D51" w:rsidRPr="00F81D51" w:rsidTr="00492B11">
        <w:trPr>
          <w:trHeight w:val="225"/>
        </w:trPr>
        <w:tc>
          <w:tcPr>
            <w:tcW w:w="241" w:type="pct"/>
            <w:vMerge/>
            <w:tcBorders>
              <w:top w:val="single" w:sz="4" w:space="0" w:color="1F497D"/>
              <w:left w:val="single" w:sz="4" w:space="0" w:color="1F497D"/>
              <w:bottom w:val="single" w:sz="4" w:space="0" w:color="1F497D"/>
              <w:right w:val="single" w:sz="4" w:space="0" w:color="1F497D"/>
            </w:tcBorders>
            <w:vAlign w:val="center"/>
            <w:hideMark/>
          </w:tcPr>
          <w:p w:rsidR="00F81D51" w:rsidRPr="00F81D51" w:rsidRDefault="00F81D51" w:rsidP="00F81D51">
            <w:pPr>
              <w:rPr>
                <w:b/>
                <w:bCs/>
                <w:color w:val="000000"/>
                <w:sz w:val="16"/>
                <w:szCs w:val="16"/>
              </w:rPr>
            </w:pPr>
          </w:p>
        </w:tc>
        <w:tc>
          <w:tcPr>
            <w:tcW w:w="335" w:type="pct"/>
            <w:vMerge/>
            <w:tcBorders>
              <w:top w:val="nil"/>
              <w:left w:val="single" w:sz="4" w:space="0" w:color="1F497D"/>
              <w:bottom w:val="single" w:sz="4" w:space="0" w:color="1F497D"/>
              <w:right w:val="single" w:sz="4" w:space="0" w:color="1F497D"/>
            </w:tcBorders>
            <w:vAlign w:val="center"/>
            <w:hideMark/>
          </w:tcPr>
          <w:p w:rsidR="00F81D51" w:rsidRPr="00F81D51" w:rsidRDefault="00F81D51" w:rsidP="00F81D51">
            <w:pPr>
              <w:rPr>
                <w:b/>
                <w:bCs/>
                <w:color w:val="000000"/>
                <w:sz w:val="16"/>
                <w:szCs w:val="16"/>
              </w:rPr>
            </w:pPr>
          </w:p>
        </w:tc>
        <w:tc>
          <w:tcPr>
            <w:tcW w:w="241" w:type="pct"/>
            <w:tcBorders>
              <w:top w:val="nil"/>
              <w:left w:val="nil"/>
              <w:bottom w:val="single" w:sz="4" w:space="0" w:color="1F497D"/>
              <w:right w:val="single" w:sz="4" w:space="0" w:color="1F497D"/>
            </w:tcBorders>
            <w:shd w:val="clear" w:color="000000" w:fill="DCE6F1"/>
            <w:vAlign w:val="center"/>
            <w:hideMark/>
          </w:tcPr>
          <w:p w:rsidR="00F81D51" w:rsidRPr="00F81D51" w:rsidRDefault="00F81D51" w:rsidP="00F81D51">
            <w:pPr>
              <w:jc w:val="center"/>
              <w:rPr>
                <w:b/>
                <w:bCs/>
                <w:color w:val="000000"/>
                <w:sz w:val="16"/>
                <w:szCs w:val="16"/>
              </w:rPr>
            </w:pPr>
            <w:r w:rsidRPr="00F81D51">
              <w:rPr>
                <w:b/>
                <w:bCs/>
                <w:color w:val="000000"/>
                <w:sz w:val="16"/>
                <w:szCs w:val="16"/>
              </w:rPr>
              <w:t xml:space="preserve">a </w:t>
            </w:r>
          </w:p>
        </w:tc>
        <w:tc>
          <w:tcPr>
            <w:tcW w:w="241" w:type="pct"/>
            <w:vMerge/>
            <w:tcBorders>
              <w:top w:val="nil"/>
              <w:left w:val="single" w:sz="4" w:space="0" w:color="1F497D"/>
              <w:bottom w:val="single" w:sz="4" w:space="0" w:color="1F497D"/>
              <w:right w:val="single" w:sz="4" w:space="0" w:color="1F497D"/>
            </w:tcBorders>
            <w:vAlign w:val="center"/>
            <w:hideMark/>
          </w:tcPr>
          <w:p w:rsidR="00F81D51" w:rsidRPr="00F81D51" w:rsidRDefault="00F81D51" w:rsidP="00F81D51">
            <w:pPr>
              <w:rPr>
                <w:b/>
                <w:bCs/>
                <w:color w:val="000000"/>
                <w:sz w:val="16"/>
                <w:szCs w:val="16"/>
              </w:rPr>
            </w:pPr>
          </w:p>
        </w:tc>
        <w:tc>
          <w:tcPr>
            <w:tcW w:w="181" w:type="pct"/>
            <w:tcBorders>
              <w:top w:val="nil"/>
              <w:left w:val="nil"/>
              <w:bottom w:val="single" w:sz="4" w:space="0" w:color="1F497D"/>
              <w:right w:val="single" w:sz="4" w:space="0" w:color="1F497D"/>
            </w:tcBorders>
            <w:shd w:val="clear" w:color="000000" w:fill="DCE6F1"/>
            <w:vAlign w:val="center"/>
            <w:hideMark/>
          </w:tcPr>
          <w:p w:rsidR="00F81D51" w:rsidRPr="00F81D51" w:rsidRDefault="00F81D51" w:rsidP="00F81D51">
            <w:pPr>
              <w:jc w:val="center"/>
              <w:rPr>
                <w:b/>
                <w:bCs/>
                <w:color w:val="000000"/>
                <w:sz w:val="16"/>
                <w:szCs w:val="16"/>
              </w:rPr>
            </w:pPr>
            <w:r w:rsidRPr="00F81D51">
              <w:rPr>
                <w:b/>
                <w:bCs/>
                <w:color w:val="000000"/>
                <w:sz w:val="16"/>
                <w:szCs w:val="16"/>
              </w:rPr>
              <w:t>b</w:t>
            </w:r>
          </w:p>
        </w:tc>
        <w:tc>
          <w:tcPr>
            <w:tcW w:w="268" w:type="pct"/>
            <w:tcBorders>
              <w:top w:val="nil"/>
              <w:left w:val="nil"/>
              <w:bottom w:val="single" w:sz="4" w:space="0" w:color="1F497D"/>
              <w:right w:val="single" w:sz="4" w:space="0" w:color="1F497D"/>
            </w:tcBorders>
            <w:shd w:val="clear" w:color="000000" w:fill="DCE6F1"/>
            <w:vAlign w:val="center"/>
            <w:hideMark/>
          </w:tcPr>
          <w:p w:rsidR="00F81D51" w:rsidRPr="00F81D51" w:rsidRDefault="00F81D51" w:rsidP="00F81D51">
            <w:pPr>
              <w:jc w:val="center"/>
              <w:rPr>
                <w:b/>
                <w:bCs/>
                <w:color w:val="000000"/>
                <w:sz w:val="16"/>
                <w:szCs w:val="16"/>
              </w:rPr>
            </w:pPr>
            <w:r w:rsidRPr="00F81D51">
              <w:rPr>
                <w:b/>
                <w:bCs/>
                <w:color w:val="000000"/>
                <w:sz w:val="16"/>
                <w:szCs w:val="16"/>
              </w:rPr>
              <w:t>c</w:t>
            </w:r>
          </w:p>
        </w:tc>
        <w:tc>
          <w:tcPr>
            <w:tcW w:w="207" w:type="pct"/>
            <w:tcBorders>
              <w:top w:val="nil"/>
              <w:left w:val="nil"/>
              <w:bottom w:val="single" w:sz="4" w:space="0" w:color="1F497D"/>
              <w:right w:val="single" w:sz="4" w:space="0" w:color="1F497D"/>
            </w:tcBorders>
            <w:shd w:val="clear" w:color="000000" w:fill="DCE6F1"/>
            <w:vAlign w:val="center"/>
            <w:hideMark/>
          </w:tcPr>
          <w:p w:rsidR="00F81D51" w:rsidRPr="00F81D51" w:rsidRDefault="00F81D51" w:rsidP="00F81D51">
            <w:pPr>
              <w:jc w:val="center"/>
              <w:rPr>
                <w:b/>
                <w:bCs/>
                <w:color w:val="000000"/>
                <w:sz w:val="16"/>
                <w:szCs w:val="16"/>
              </w:rPr>
            </w:pPr>
            <w:r w:rsidRPr="00F81D51">
              <w:rPr>
                <w:b/>
                <w:bCs/>
                <w:color w:val="000000"/>
                <w:sz w:val="16"/>
                <w:szCs w:val="16"/>
              </w:rPr>
              <w:t>c/a</w:t>
            </w:r>
          </w:p>
        </w:tc>
        <w:tc>
          <w:tcPr>
            <w:tcW w:w="234" w:type="pct"/>
            <w:vMerge/>
            <w:tcBorders>
              <w:top w:val="nil"/>
              <w:left w:val="single" w:sz="4" w:space="0" w:color="1F497D"/>
              <w:bottom w:val="single" w:sz="4" w:space="0" w:color="1F497D"/>
              <w:right w:val="single" w:sz="4" w:space="0" w:color="1F497D"/>
            </w:tcBorders>
            <w:vAlign w:val="center"/>
            <w:hideMark/>
          </w:tcPr>
          <w:p w:rsidR="00F81D51" w:rsidRPr="00F81D51" w:rsidRDefault="00F81D51" w:rsidP="00F81D51">
            <w:pPr>
              <w:rPr>
                <w:b/>
                <w:bCs/>
                <w:color w:val="000000"/>
                <w:sz w:val="16"/>
                <w:szCs w:val="16"/>
              </w:rPr>
            </w:pPr>
          </w:p>
        </w:tc>
        <w:tc>
          <w:tcPr>
            <w:tcW w:w="174" w:type="pct"/>
            <w:tcBorders>
              <w:top w:val="nil"/>
              <w:left w:val="nil"/>
              <w:bottom w:val="single" w:sz="4" w:space="0" w:color="1F497D"/>
              <w:right w:val="single" w:sz="4" w:space="0" w:color="1F497D"/>
            </w:tcBorders>
            <w:shd w:val="clear" w:color="000000" w:fill="DCE6F1"/>
            <w:vAlign w:val="center"/>
            <w:hideMark/>
          </w:tcPr>
          <w:p w:rsidR="00F81D51" w:rsidRPr="00F81D51" w:rsidRDefault="00F81D51" w:rsidP="00F81D51">
            <w:pPr>
              <w:jc w:val="center"/>
              <w:rPr>
                <w:b/>
                <w:bCs/>
                <w:color w:val="000000"/>
                <w:sz w:val="16"/>
                <w:szCs w:val="16"/>
              </w:rPr>
            </w:pPr>
            <w:r w:rsidRPr="00F81D51">
              <w:rPr>
                <w:b/>
                <w:bCs/>
                <w:color w:val="000000"/>
                <w:sz w:val="16"/>
                <w:szCs w:val="16"/>
              </w:rPr>
              <w:t>d</w:t>
            </w:r>
          </w:p>
        </w:tc>
        <w:tc>
          <w:tcPr>
            <w:tcW w:w="261" w:type="pct"/>
            <w:tcBorders>
              <w:top w:val="nil"/>
              <w:left w:val="nil"/>
              <w:bottom w:val="single" w:sz="4" w:space="0" w:color="1F497D"/>
              <w:right w:val="single" w:sz="4" w:space="0" w:color="1F497D"/>
            </w:tcBorders>
            <w:shd w:val="clear" w:color="000000" w:fill="DCE6F1"/>
            <w:vAlign w:val="center"/>
            <w:hideMark/>
          </w:tcPr>
          <w:p w:rsidR="00F81D51" w:rsidRPr="00F81D51" w:rsidRDefault="00F81D51" w:rsidP="00F81D51">
            <w:pPr>
              <w:jc w:val="center"/>
              <w:rPr>
                <w:b/>
                <w:bCs/>
                <w:color w:val="000000"/>
                <w:sz w:val="16"/>
                <w:szCs w:val="16"/>
              </w:rPr>
            </w:pPr>
            <w:r w:rsidRPr="00F81D51">
              <w:rPr>
                <w:b/>
                <w:bCs/>
                <w:color w:val="000000"/>
                <w:sz w:val="16"/>
                <w:szCs w:val="16"/>
              </w:rPr>
              <w:t>e</w:t>
            </w:r>
          </w:p>
        </w:tc>
        <w:tc>
          <w:tcPr>
            <w:tcW w:w="214" w:type="pct"/>
            <w:tcBorders>
              <w:top w:val="nil"/>
              <w:left w:val="nil"/>
              <w:bottom w:val="single" w:sz="4" w:space="0" w:color="1F497D"/>
              <w:right w:val="single" w:sz="4" w:space="0" w:color="1F497D"/>
            </w:tcBorders>
            <w:shd w:val="clear" w:color="000000" w:fill="DCE6F1"/>
            <w:vAlign w:val="center"/>
            <w:hideMark/>
          </w:tcPr>
          <w:p w:rsidR="00F81D51" w:rsidRPr="00F81D51" w:rsidRDefault="00F81D51" w:rsidP="00F81D51">
            <w:pPr>
              <w:jc w:val="center"/>
              <w:rPr>
                <w:b/>
                <w:bCs/>
                <w:color w:val="000000"/>
                <w:sz w:val="16"/>
                <w:szCs w:val="16"/>
              </w:rPr>
            </w:pPr>
            <w:r w:rsidRPr="00F81D51">
              <w:rPr>
                <w:b/>
                <w:bCs/>
                <w:color w:val="000000"/>
                <w:sz w:val="16"/>
                <w:szCs w:val="16"/>
              </w:rPr>
              <w:t xml:space="preserve">e/a </w:t>
            </w:r>
          </w:p>
        </w:tc>
        <w:tc>
          <w:tcPr>
            <w:tcW w:w="214" w:type="pct"/>
            <w:vMerge/>
            <w:tcBorders>
              <w:top w:val="nil"/>
              <w:left w:val="single" w:sz="4" w:space="0" w:color="1F497D"/>
              <w:bottom w:val="single" w:sz="4" w:space="0" w:color="1F497D"/>
              <w:right w:val="single" w:sz="4" w:space="0" w:color="1F497D"/>
            </w:tcBorders>
            <w:vAlign w:val="center"/>
            <w:hideMark/>
          </w:tcPr>
          <w:p w:rsidR="00F81D51" w:rsidRPr="00F81D51" w:rsidRDefault="00F81D51" w:rsidP="00F81D51">
            <w:pPr>
              <w:rPr>
                <w:b/>
                <w:bCs/>
                <w:color w:val="000000"/>
                <w:sz w:val="16"/>
                <w:szCs w:val="16"/>
              </w:rPr>
            </w:pPr>
          </w:p>
        </w:tc>
        <w:tc>
          <w:tcPr>
            <w:tcW w:w="261" w:type="pct"/>
            <w:tcBorders>
              <w:top w:val="nil"/>
              <w:left w:val="nil"/>
              <w:bottom w:val="single" w:sz="4" w:space="0" w:color="1F497D"/>
              <w:right w:val="single" w:sz="4" w:space="0" w:color="1F497D"/>
            </w:tcBorders>
            <w:shd w:val="clear" w:color="000000" w:fill="DCE6F1"/>
            <w:vAlign w:val="center"/>
            <w:hideMark/>
          </w:tcPr>
          <w:p w:rsidR="00F81D51" w:rsidRPr="00F81D51" w:rsidRDefault="00F81D51" w:rsidP="00F81D51">
            <w:pPr>
              <w:jc w:val="center"/>
              <w:rPr>
                <w:b/>
                <w:bCs/>
                <w:color w:val="000000"/>
                <w:sz w:val="16"/>
                <w:szCs w:val="16"/>
              </w:rPr>
            </w:pPr>
            <w:r w:rsidRPr="00F81D51">
              <w:rPr>
                <w:b/>
                <w:bCs/>
                <w:color w:val="000000"/>
                <w:sz w:val="16"/>
                <w:szCs w:val="16"/>
              </w:rPr>
              <w:t>f</w:t>
            </w:r>
          </w:p>
        </w:tc>
        <w:tc>
          <w:tcPr>
            <w:tcW w:w="228" w:type="pct"/>
            <w:tcBorders>
              <w:top w:val="nil"/>
              <w:left w:val="nil"/>
              <w:bottom w:val="single" w:sz="4" w:space="0" w:color="1F497D"/>
              <w:right w:val="single" w:sz="4" w:space="0" w:color="1F497D"/>
            </w:tcBorders>
            <w:shd w:val="clear" w:color="000000" w:fill="DCE6F1"/>
            <w:vAlign w:val="center"/>
            <w:hideMark/>
          </w:tcPr>
          <w:p w:rsidR="00F81D51" w:rsidRPr="00F81D51" w:rsidRDefault="00F81D51" w:rsidP="00F81D51">
            <w:pPr>
              <w:jc w:val="center"/>
              <w:rPr>
                <w:b/>
                <w:bCs/>
                <w:color w:val="000000"/>
                <w:sz w:val="16"/>
                <w:szCs w:val="16"/>
              </w:rPr>
            </w:pPr>
            <w:r w:rsidRPr="00F81D51">
              <w:rPr>
                <w:b/>
                <w:bCs/>
                <w:color w:val="000000"/>
                <w:sz w:val="16"/>
                <w:szCs w:val="16"/>
              </w:rPr>
              <w:t xml:space="preserve">f/a </w:t>
            </w:r>
          </w:p>
        </w:tc>
        <w:tc>
          <w:tcPr>
            <w:tcW w:w="254" w:type="pct"/>
            <w:vMerge/>
            <w:tcBorders>
              <w:top w:val="nil"/>
              <w:left w:val="single" w:sz="4" w:space="0" w:color="1F497D"/>
              <w:bottom w:val="single" w:sz="4" w:space="0" w:color="1F497D"/>
              <w:right w:val="single" w:sz="4" w:space="0" w:color="1F497D"/>
            </w:tcBorders>
            <w:vAlign w:val="center"/>
            <w:hideMark/>
          </w:tcPr>
          <w:p w:rsidR="00F81D51" w:rsidRPr="00F81D51" w:rsidRDefault="00F81D51" w:rsidP="00F81D51">
            <w:pPr>
              <w:rPr>
                <w:b/>
                <w:bCs/>
                <w:color w:val="000000"/>
                <w:sz w:val="16"/>
                <w:szCs w:val="16"/>
              </w:rPr>
            </w:pPr>
          </w:p>
        </w:tc>
        <w:tc>
          <w:tcPr>
            <w:tcW w:w="288" w:type="pct"/>
            <w:tcBorders>
              <w:top w:val="nil"/>
              <w:left w:val="nil"/>
              <w:bottom w:val="single" w:sz="4" w:space="0" w:color="1F497D"/>
              <w:right w:val="single" w:sz="4" w:space="0" w:color="1F497D"/>
            </w:tcBorders>
            <w:shd w:val="clear" w:color="000000" w:fill="DCE6F1"/>
            <w:vAlign w:val="center"/>
            <w:hideMark/>
          </w:tcPr>
          <w:p w:rsidR="00F81D51" w:rsidRPr="00F81D51" w:rsidRDefault="00F81D51" w:rsidP="00F81D51">
            <w:pPr>
              <w:jc w:val="center"/>
              <w:rPr>
                <w:b/>
                <w:bCs/>
                <w:color w:val="000000"/>
                <w:sz w:val="16"/>
                <w:szCs w:val="16"/>
              </w:rPr>
            </w:pPr>
            <w:r w:rsidRPr="00F81D51">
              <w:rPr>
                <w:b/>
                <w:bCs/>
                <w:color w:val="000000"/>
                <w:sz w:val="16"/>
                <w:szCs w:val="16"/>
              </w:rPr>
              <w:t>g</w:t>
            </w:r>
          </w:p>
        </w:tc>
        <w:tc>
          <w:tcPr>
            <w:tcW w:w="214" w:type="pct"/>
            <w:tcBorders>
              <w:top w:val="nil"/>
              <w:left w:val="nil"/>
              <w:bottom w:val="single" w:sz="4" w:space="0" w:color="1F497D"/>
              <w:right w:val="single" w:sz="4" w:space="0" w:color="1F497D"/>
            </w:tcBorders>
            <w:shd w:val="clear" w:color="000000" w:fill="DCE6F1"/>
            <w:vAlign w:val="center"/>
            <w:hideMark/>
          </w:tcPr>
          <w:p w:rsidR="00F81D51" w:rsidRPr="00F81D51" w:rsidRDefault="00F81D51" w:rsidP="00F81D51">
            <w:pPr>
              <w:jc w:val="center"/>
              <w:rPr>
                <w:b/>
                <w:bCs/>
                <w:color w:val="000000"/>
                <w:sz w:val="16"/>
                <w:szCs w:val="16"/>
              </w:rPr>
            </w:pPr>
            <w:r w:rsidRPr="00F81D51">
              <w:rPr>
                <w:b/>
                <w:bCs/>
                <w:color w:val="000000"/>
                <w:sz w:val="16"/>
                <w:szCs w:val="16"/>
              </w:rPr>
              <w:t xml:space="preserve">g/a </w:t>
            </w:r>
          </w:p>
        </w:tc>
        <w:tc>
          <w:tcPr>
            <w:tcW w:w="254" w:type="pct"/>
            <w:vMerge/>
            <w:tcBorders>
              <w:top w:val="nil"/>
              <w:left w:val="single" w:sz="4" w:space="0" w:color="1F497D"/>
              <w:bottom w:val="single" w:sz="4" w:space="0" w:color="1F497D"/>
              <w:right w:val="single" w:sz="4" w:space="0" w:color="1F497D"/>
            </w:tcBorders>
            <w:vAlign w:val="center"/>
            <w:hideMark/>
          </w:tcPr>
          <w:p w:rsidR="00F81D51" w:rsidRPr="00F81D51" w:rsidRDefault="00F81D51" w:rsidP="00F81D51">
            <w:pPr>
              <w:rPr>
                <w:b/>
                <w:bCs/>
                <w:color w:val="000000"/>
                <w:sz w:val="16"/>
                <w:szCs w:val="16"/>
              </w:rPr>
            </w:pPr>
          </w:p>
        </w:tc>
        <w:tc>
          <w:tcPr>
            <w:tcW w:w="274" w:type="pct"/>
            <w:tcBorders>
              <w:top w:val="nil"/>
              <w:left w:val="nil"/>
              <w:bottom w:val="single" w:sz="4" w:space="0" w:color="1F497D"/>
              <w:right w:val="single" w:sz="4" w:space="0" w:color="1F497D"/>
            </w:tcBorders>
            <w:shd w:val="clear" w:color="000000" w:fill="DCE6F1"/>
            <w:vAlign w:val="center"/>
            <w:hideMark/>
          </w:tcPr>
          <w:p w:rsidR="00F81D51" w:rsidRPr="00F81D51" w:rsidRDefault="00F81D51" w:rsidP="00F81D51">
            <w:pPr>
              <w:jc w:val="center"/>
              <w:rPr>
                <w:b/>
                <w:bCs/>
                <w:color w:val="000000"/>
                <w:sz w:val="16"/>
                <w:szCs w:val="16"/>
              </w:rPr>
            </w:pPr>
            <w:r w:rsidRPr="00F81D51">
              <w:rPr>
                <w:b/>
                <w:bCs/>
                <w:color w:val="000000"/>
                <w:sz w:val="16"/>
                <w:szCs w:val="16"/>
              </w:rPr>
              <w:t>h</w:t>
            </w:r>
          </w:p>
        </w:tc>
        <w:tc>
          <w:tcPr>
            <w:tcW w:w="207" w:type="pct"/>
            <w:tcBorders>
              <w:top w:val="nil"/>
              <w:left w:val="nil"/>
              <w:bottom w:val="single" w:sz="4" w:space="0" w:color="1F497D"/>
              <w:right w:val="single" w:sz="4" w:space="0" w:color="1F497D"/>
            </w:tcBorders>
            <w:shd w:val="clear" w:color="000000" w:fill="DCE6F1"/>
            <w:vAlign w:val="center"/>
            <w:hideMark/>
          </w:tcPr>
          <w:p w:rsidR="00F81D51" w:rsidRPr="00F81D51" w:rsidRDefault="00F81D51" w:rsidP="00F81D51">
            <w:pPr>
              <w:jc w:val="center"/>
              <w:rPr>
                <w:b/>
                <w:bCs/>
                <w:color w:val="000000"/>
                <w:sz w:val="16"/>
                <w:szCs w:val="16"/>
              </w:rPr>
            </w:pPr>
            <w:r w:rsidRPr="00F81D51">
              <w:rPr>
                <w:b/>
                <w:bCs/>
                <w:color w:val="000000"/>
                <w:sz w:val="16"/>
                <w:szCs w:val="16"/>
              </w:rPr>
              <w:t xml:space="preserve">h/a </w:t>
            </w:r>
          </w:p>
        </w:tc>
        <w:tc>
          <w:tcPr>
            <w:tcW w:w="207" w:type="pct"/>
            <w:vMerge/>
            <w:tcBorders>
              <w:top w:val="nil"/>
              <w:left w:val="single" w:sz="4" w:space="0" w:color="1F497D"/>
              <w:bottom w:val="single" w:sz="4" w:space="0" w:color="1F497D"/>
              <w:right w:val="single" w:sz="4" w:space="0" w:color="1F497D"/>
            </w:tcBorders>
            <w:vAlign w:val="center"/>
            <w:hideMark/>
          </w:tcPr>
          <w:p w:rsidR="00F81D51" w:rsidRPr="00F81D51" w:rsidRDefault="00F81D51" w:rsidP="00F81D51">
            <w:pPr>
              <w:rPr>
                <w:b/>
                <w:bCs/>
                <w:color w:val="000000"/>
                <w:sz w:val="16"/>
                <w:szCs w:val="16"/>
              </w:rPr>
            </w:pPr>
          </w:p>
        </w:tc>
      </w:tr>
      <w:tr w:rsidR="00F81D51" w:rsidRPr="00F81D51" w:rsidTr="00492B11">
        <w:trPr>
          <w:trHeight w:val="225"/>
        </w:trPr>
        <w:tc>
          <w:tcPr>
            <w:tcW w:w="241" w:type="pct"/>
            <w:vMerge w:val="restart"/>
            <w:tcBorders>
              <w:top w:val="nil"/>
              <w:left w:val="single" w:sz="4" w:space="0" w:color="1F497D"/>
              <w:bottom w:val="single" w:sz="4" w:space="0" w:color="1F497D"/>
              <w:right w:val="single" w:sz="4" w:space="0" w:color="1F497D"/>
            </w:tcBorders>
            <w:shd w:val="clear" w:color="000000" w:fill="FFFFFF"/>
            <w:vAlign w:val="center"/>
            <w:hideMark/>
          </w:tcPr>
          <w:p w:rsidR="00F81D51" w:rsidRPr="00F81D51" w:rsidRDefault="00F81D51" w:rsidP="00F81D51">
            <w:pPr>
              <w:jc w:val="center"/>
              <w:rPr>
                <w:color w:val="000000"/>
                <w:sz w:val="16"/>
                <w:szCs w:val="16"/>
              </w:rPr>
            </w:pPr>
            <w:r w:rsidRPr="00F81D51">
              <w:rPr>
                <w:color w:val="000000"/>
                <w:sz w:val="16"/>
                <w:szCs w:val="16"/>
              </w:rPr>
              <w:t xml:space="preserve">1.1a </w:t>
            </w:r>
          </w:p>
        </w:tc>
        <w:tc>
          <w:tcPr>
            <w:tcW w:w="335" w:type="pct"/>
            <w:tcBorders>
              <w:top w:val="nil"/>
              <w:left w:val="nil"/>
              <w:bottom w:val="single" w:sz="4" w:space="0" w:color="1F497D"/>
              <w:right w:val="single" w:sz="4" w:space="0" w:color="1F497D"/>
            </w:tcBorders>
            <w:shd w:val="clear" w:color="000000" w:fill="FFFFFF"/>
            <w:vAlign w:val="center"/>
            <w:hideMark/>
          </w:tcPr>
          <w:p w:rsidR="00F81D51" w:rsidRPr="00F81D51" w:rsidRDefault="00F81D51" w:rsidP="00F81D51">
            <w:pPr>
              <w:jc w:val="center"/>
              <w:rPr>
                <w:color w:val="000000"/>
                <w:sz w:val="16"/>
                <w:szCs w:val="16"/>
              </w:rPr>
            </w:pPr>
            <w:r w:rsidRPr="00F81D51">
              <w:rPr>
                <w:color w:val="000000"/>
                <w:sz w:val="16"/>
                <w:szCs w:val="16"/>
              </w:rPr>
              <w:t>2015/04/17</w:t>
            </w:r>
          </w:p>
        </w:tc>
        <w:tc>
          <w:tcPr>
            <w:tcW w:w="241"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7 650,81</w:t>
            </w:r>
          </w:p>
        </w:tc>
        <w:tc>
          <w:tcPr>
            <w:tcW w:w="241"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290,94</w:t>
            </w:r>
          </w:p>
        </w:tc>
        <w:tc>
          <w:tcPr>
            <w:tcW w:w="181" w:type="pct"/>
            <w:tcBorders>
              <w:top w:val="nil"/>
              <w:left w:val="nil"/>
              <w:bottom w:val="single" w:sz="4" w:space="0" w:color="1F497D"/>
              <w:right w:val="single" w:sz="4" w:space="0" w:color="1F497D"/>
            </w:tcBorders>
            <w:shd w:val="clear" w:color="000000" w:fill="FFFFFF"/>
            <w:vAlign w:val="center"/>
            <w:hideMark/>
          </w:tcPr>
          <w:p w:rsidR="00F81D51" w:rsidRPr="00F81D51" w:rsidRDefault="00F81D51" w:rsidP="00F81D51">
            <w:pPr>
              <w:jc w:val="center"/>
              <w:rPr>
                <w:color w:val="000000"/>
                <w:sz w:val="16"/>
                <w:szCs w:val="16"/>
              </w:rPr>
            </w:pPr>
            <w:r w:rsidRPr="00F81D51">
              <w:rPr>
                <w:color w:val="000000"/>
                <w:sz w:val="16"/>
                <w:szCs w:val="16"/>
              </w:rPr>
              <w:t>141</w:t>
            </w:r>
          </w:p>
        </w:tc>
        <w:tc>
          <w:tcPr>
            <w:tcW w:w="268"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12 273,40</w:t>
            </w:r>
          </w:p>
        </w:tc>
        <w:tc>
          <w:tcPr>
            <w:tcW w:w="207"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160,42</w:t>
            </w:r>
          </w:p>
        </w:tc>
        <w:tc>
          <w:tcPr>
            <w:tcW w:w="234"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459,20</w:t>
            </w:r>
          </w:p>
        </w:tc>
        <w:tc>
          <w:tcPr>
            <w:tcW w:w="174"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72</w:t>
            </w:r>
          </w:p>
        </w:tc>
        <w:tc>
          <w:tcPr>
            <w:tcW w:w="261"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6 720,14</w:t>
            </w:r>
          </w:p>
        </w:tc>
        <w:tc>
          <w:tcPr>
            <w:tcW w:w="214"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87,84</w:t>
            </w:r>
          </w:p>
        </w:tc>
        <w:tc>
          <w:tcPr>
            <w:tcW w:w="214"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257,00</w:t>
            </w:r>
          </w:p>
        </w:tc>
        <w:tc>
          <w:tcPr>
            <w:tcW w:w="261"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4 906,03</w:t>
            </w:r>
          </w:p>
        </w:tc>
        <w:tc>
          <w:tcPr>
            <w:tcW w:w="228"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64,12</w:t>
            </w:r>
          </w:p>
        </w:tc>
        <w:tc>
          <w:tcPr>
            <w:tcW w:w="254"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191,03</w:t>
            </w:r>
          </w:p>
        </w:tc>
        <w:tc>
          <w:tcPr>
            <w:tcW w:w="288"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4 862,60</w:t>
            </w:r>
          </w:p>
        </w:tc>
        <w:tc>
          <w:tcPr>
            <w:tcW w:w="214"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63,56</w:t>
            </w:r>
          </w:p>
        </w:tc>
        <w:tc>
          <w:tcPr>
            <w:tcW w:w="254"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189,45</w:t>
            </w:r>
          </w:p>
        </w:tc>
        <w:tc>
          <w:tcPr>
            <w:tcW w:w="274"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4 767,76</w:t>
            </w:r>
          </w:p>
        </w:tc>
        <w:tc>
          <w:tcPr>
            <w:tcW w:w="207"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62,32</w:t>
            </w:r>
          </w:p>
        </w:tc>
        <w:tc>
          <w:tcPr>
            <w:tcW w:w="207"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185,67</w:t>
            </w:r>
          </w:p>
        </w:tc>
      </w:tr>
      <w:tr w:rsidR="00F81D51" w:rsidRPr="00F81D51" w:rsidTr="00492B11">
        <w:trPr>
          <w:trHeight w:val="225"/>
        </w:trPr>
        <w:tc>
          <w:tcPr>
            <w:tcW w:w="241" w:type="pct"/>
            <w:vMerge/>
            <w:tcBorders>
              <w:top w:val="nil"/>
              <w:left w:val="single" w:sz="4" w:space="0" w:color="1F497D"/>
              <w:bottom w:val="single" w:sz="4" w:space="0" w:color="1F497D"/>
              <w:right w:val="single" w:sz="4" w:space="0" w:color="1F497D"/>
            </w:tcBorders>
            <w:vAlign w:val="center"/>
            <w:hideMark/>
          </w:tcPr>
          <w:p w:rsidR="00F81D51" w:rsidRPr="00F81D51" w:rsidRDefault="00F81D51" w:rsidP="00F81D51">
            <w:pPr>
              <w:rPr>
                <w:color w:val="000000"/>
                <w:sz w:val="16"/>
                <w:szCs w:val="16"/>
              </w:rPr>
            </w:pPr>
          </w:p>
        </w:tc>
        <w:tc>
          <w:tcPr>
            <w:tcW w:w="335" w:type="pct"/>
            <w:tcBorders>
              <w:top w:val="nil"/>
              <w:left w:val="nil"/>
              <w:bottom w:val="single" w:sz="4" w:space="0" w:color="1F497D"/>
              <w:right w:val="single" w:sz="4" w:space="0" w:color="1F497D"/>
            </w:tcBorders>
            <w:shd w:val="clear" w:color="000000" w:fill="FFFFFF"/>
            <w:vAlign w:val="center"/>
            <w:hideMark/>
          </w:tcPr>
          <w:p w:rsidR="00F81D51" w:rsidRPr="00F81D51" w:rsidRDefault="00F81D51" w:rsidP="00F81D51">
            <w:pPr>
              <w:jc w:val="center"/>
              <w:rPr>
                <w:color w:val="000000"/>
                <w:sz w:val="16"/>
                <w:szCs w:val="16"/>
              </w:rPr>
            </w:pPr>
            <w:r w:rsidRPr="00F81D51">
              <w:rPr>
                <w:color w:val="000000"/>
                <w:sz w:val="16"/>
                <w:szCs w:val="16"/>
              </w:rPr>
              <w:t>2015/10/02</w:t>
            </w:r>
          </w:p>
        </w:tc>
        <w:tc>
          <w:tcPr>
            <w:tcW w:w="241"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7 624,07</w:t>
            </w:r>
          </w:p>
        </w:tc>
        <w:tc>
          <w:tcPr>
            <w:tcW w:w="241"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290,94</w:t>
            </w:r>
          </w:p>
        </w:tc>
        <w:tc>
          <w:tcPr>
            <w:tcW w:w="181" w:type="pct"/>
            <w:tcBorders>
              <w:top w:val="nil"/>
              <w:left w:val="nil"/>
              <w:bottom w:val="single" w:sz="4" w:space="0" w:color="1F497D"/>
              <w:right w:val="single" w:sz="4" w:space="0" w:color="1F497D"/>
            </w:tcBorders>
            <w:shd w:val="clear" w:color="000000" w:fill="FFFFFF"/>
            <w:vAlign w:val="center"/>
            <w:hideMark/>
          </w:tcPr>
          <w:p w:rsidR="00F81D51" w:rsidRPr="00F81D51" w:rsidRDefault="00F81D51" w:rsidP="00F81D51">
            <w:pPr>
              <w:jc w:val="center"/>
              <w:rPr>
                <w:color w:val="000000"/>
                <w:sz w:val="16"/>
                <w:szCs w:val="16"/>
              </w:rPr>
            </w:pPr>
            <w:r w:rsidRPr="00F81D51">
              <w:rPr>
                <w:color w:val="000000"/>
                <w:sz w:val="16"/>
                <w:szCs w:val="16"/>
              </w:rPr>
              <w:t>141</w:t>
            </w:r>
          </w:p>
        </w:tc>
        <w:tc>
          <w:tcPr>
            <w:tcW w:w="268"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12 273,40</w:t>
            </w:r>
          </w:p>
        </w:tc>
        <w:tc>
          <w:tcPr>
            <w:tcW w:w="207"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160,98</w:t>
            </w:r>
          </w:p>
        </w:tc>
        <w:tc>
          <w:tcPr>
            <w:tcW w:w="234"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461,82</w:t>
            </w:r>
          </w:p>
        </w:tc>
        <w:tc>
          <w:tcPr>
            <w:tcW w:w="174"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76</w:t>
            </w:r>
          </w:p>
        </w:tc>
        <w:tc>
          <w:tcPr>
            <w:tcW w:w="261"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6 887,63</w:t>
            </w:r>
          </w:p>
        </w:tc>
        <w:tc>
          <w:tcPr>
            <w:tcW w:w="214"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90,34</w:t>
            </w:r>
          </w:p>
        </w:tc>
        <w:tc>
          <w:tcPr>
            <w:tcW w:w="214"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263,81</w:t>
            </w:r>
          </w:p>
        </w:tc>
        <w:tc>
          <w:tcPr>
            <w:tcW w:w="261"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4 926,61</w:t>
            </w:r>
          </w:p>
        </w:tc>
        <w:tc>
          <w:tcPr>
            <w:tcW w:w="228"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64,62</w:t>
            </w:r>
          </w:p>
        </w:tc>
        <w:tc>
          <w:tcPr>
            <w:tcW w:w="254"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191,80</w:t>
            </w:r>
          </w:p>
        </w:tc>
        <w:tc>
          <w:tcPr>
            <w:tcW w:w="288"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4 911,21</w:t>
            </w:r>
          </w:p>
        </w:tc>
        <w:tc>
          <w:tcPr>
            <w:tcW w:w="214"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64,42</w:t>
            </w:r>
          </w:p>
        </w:tc>
        <w:tc>
          <w:tcPr>
            <w:tcW w:w="254"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191,23</w:t>
            </w:r>
          </w:p>
        </w:tc>
        <w:tc>
          <w:tcPr>
            <w:tcW w:w="274"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4 726,84</w:t>
            </w:r>
          </w:p>
        </w:tc>
        <w:tc>
          <w:tcPr>
            <w:tcW w:w="207"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62,00</w:t>
            </w:r>
          </w:p>
        </w:tc>
        <w:tc>
          <w:tcPr>
            <w:tcW w:w="207"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184,09</w:t>
            </w:r>
          </w:p>
        </w:tc>
      </w:tr>
      <w:tr w:rsidR="00F81D51" w:rsidRPr="00F81D51" w:rsidTr="00492B11">
        <w:trPr>
          <w:trHeight w:val="225"/>
        </w:trPr>
        <w:tc>
          <w:tcPr>
            <w:tcW w:w="241" w:type="pct"/>
            <w:vMerge/>
            <w:tcBorders>
              <w:top w:val="nil"/>
              <w:left w:val="single" w:sz="4" w:space="0" w:color="1F497D"/>
              <w:bottom w:val="single" w:sz="4" w:space="0" w:color="1F497D"/>
              <w:right w:val="single" w:sz="4" w:space="0" w:color="1F497D"/>
            </w:tcBorders>
            <w:vAlign w:val="center"/>
            <w:hideMark/>
          </w:tcPr>
          <w:p w:rsidR="00F81D51" w:rsidRPr="00F81D51" w:rsidRDefault="00F81D51" w:rsidP="00F81D51">
            <w:pPr>
              <w:rPr>
                <w:color w:val="000000"/>
                <w:sz w:val="16"/>
                <w:szCs w:val="16"/>
              </w:rPr>
            </w:pPr>
          </w:p>
        </w:tc>
        <w:tc>
          <w:tcPr>
            <w:tcW w:w="335" w:type="pct"/>
            <w:tcBorders>
              <w:top w:val="nil"/>
              <w:left w:val="nil"/>
              <w:bottom w:val="single" w:sz="4" w:space="0" w:color="1F497D"/>
              <w:right w:val="single" w:sz="4" w:space="0" w:color="1F497D"/>
            </w:tcBorders>
            <w:shd w:val="clear" w:color="000000" w:fill="FFFFFF"/>
            <w:vAlign w:val="center"/>
            <w:hideMark/>
          </w:tcPr>
          <w:p w:rsidR="00F81D51" w:rsidRPr="00F81D51" w:rsidRDefault="00F81D51" w:rsidP="00F81D51">
            <w:pPr>
              <w:jc w:val="center"/>
              <w:rPr>
                <w:color w:val="000000"/>
                <w:sz w:val="16"/>
                <w:szCs w:val="16"/>
              </w:rPr>
            </w:pPr>
            <w:r w:rsidRPr="00F81D51">
              <w:rPr>
                <w:color w:val="000000"/>
                <w:sz w:val="16"/>
                <w:szCs w:val="16"/>
              </w:rPr>
              <w:t>Rozdíl</w:t>
            </w:r>
          </w:p>
        </w:tc>
        <w:tc>
          <w:tcPr>
            <w:tcW w:w="241"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p>
        </w:tc>
        <w:tc>
          <w:tcPr>
            <w:tcW w:w="241"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p>
        </w:tc>
        <w:tc>
          <w:tcPr>
            <w:tcW w:w="181" w:type="pct"/>
            <w:tcBorders>
              <w:top w:val="nil"/>
              <w:left w:val="nil"/>
              <w:bottom w:val="single" w:sz="4" w:space="0" w:color="1F497D"/>
              <w:right w:val="single" w:sz="4" w:space="0" w:color="1F497D"/>
            </w:tcBorders>
            <w:shd w:val="clear" w:color="000000" w:fill="FFFFFF"/>
            <w:vAlign w:val="center"/>
            <w:hideMark/>
          </w:tcPr>
          <w:p w:rsidR="00F81D51" w:rsidRPr="00F81D51" w:rsidRDefault="00F81D51" w:rsidP="00F81D51">
            <w:pPr>
              <w:jc w:val="center"/>
              <w:rPr>
                <w:color w:val="000000"/>
                <w:sz w:val="16"/>
                <w:szCs w:val="16"/>
              </w:rPr>
            </w:pPr>
            <w:r w:rsidRPr="00F81D51">
              <w:rPr>
                <w:color w:val="000000"/>
                <w:sz w:val="16"/>
                <w:szCs w:val="16"/>
              </w:rPr>
              <w:t>0</w:t>
            </w:r>
          </w:p>
        </w:tc>
        <w:tc>
          <w:tcPr>
            <w:tcW w:w="268"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0,00</w:t>
            </w:r>
          </w:p>
        </w:tc>
        <w:tc>
          <w:tcPr>
            <w:tcW w:w="207"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0,00</w:t>
            </w:r>
          </w:p>
        </w:tc>
        <w:tc>
          <w:tcPr>
            <w:tcW w:w="234"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2,62</w:t>
            </w:r>
          </w:p>
        </w:tc>
        <w:tc>
          <w:tcPr>
            <w:tcW w:w="174"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4</w:t>
            </w:r>
          </w:p>
        </w:tc>
        <w:tc>
          <w:tcPr>
            <w:tcW w:w="261"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167,49</w:t>
            </w:r>
          </w:p>
        </w:tc>
        <w:tc>
          <w:tcPr>
            <w:tcW w:w="214"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2,20</w:t>
            </w:r>
          </w:p>
        </w:tc>
        <w:tc>
          <w:tcPr>
            <w:tcW w:w="214"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6,82</w:t>
            </w:r>
          </w:p>
        </w:tc>
        <w:tc>
          <w:tcPr>
            <w:tcW w:w="261"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20,58</w:t>
            </w:r>
          </w:p>
        </w:tc>
        <w:tc>
          <w:tcPr>
            <w:tcW w:w="228"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0,27</w:t>
            </w:r>
          </w:p>
        </w:tc>
        <w:tc>
          <w:tcPr>
            <w:tcW w:w="254"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0,77</w:t>
            </w:r>
          </w:p>
        </w:tc>
        <w:tc>
          <w:tcPr>
            <w:tcW w:w="288"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48,62</w:t>
            </w:r>
          </w:p>
        </w:tc>
        <w:tc>
          <w:tcPr>
            <w:tcW w:w="214"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0,64</w:t>
            </w:r>
          </w:p>
        </w:tc>
        <w:tc>
          <w:tcPr>
            <w:tcW w:w="254"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1,78</w:t>
            </w:r>
          </w:p>
        </w:tc>
        <w:tc>
          <w:tcPr>
            <w:tcW w:w="274"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-40,93</w:t>
            </w:r>
          </w:p>
        </w:tc>
        <w:tc>
          <w:tcPr>
            <w:tcW w:w="207"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-0,54</w:t>
            </w:r>
          </w:p>
        </w:tc>
        <w:tc>
          <w:tcPr>
            <w:tcW w:w="207"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-1,58</w:t>
            </w:r>
          </w:p>
        </w:tc>
      </w:tr>
      <w:tr w:rsidR="00F81D51" w:rsidRPr="00F81D51" w:rsidTr="00492B11">
        <w:trPr>
          <w:trHeight w:val="225"/>
        </w:trPr>
        <w:tc>
          <w:tcPr>
            <w:tcW w:w="241" w:type="pct"/>
            <w:vMerge w:val="restart"/>
            <w:tcBorders>
              <w:top w:val="nil"/>
              <w:left w:val="single" w:sz="4" w:space="0" w:color="1F497D"/>
              <w:bottom w:val="single" w:sz="4" w:space="0" w:color="1F497D"/>
              <w:right w:val="single" w:sz="4" w:space="0" w:color="1F497D"/>
            </w:tcBorders>
            <w:shd w:val="clear" w:color="000000" w:fill="FFFFFF"/>
            <w:vAlign w:val="center"/>
            <w:hideMark/>
          </w:tcPr>
          <w:p w:rsidR="00F81D51" w:rsidRPr="00F81D51" w:rsidRDefault="00F81D51" w:rsidP="00F81D51">
            <w:pPr>
              <w:jc w:val="center"/>
              <w:rPr>
                <w:color w:val="000000"/>
                <w:sz w:val="16"/>
                <w:szCs w:val="16"/>
              </w:rPr>
            </w:pPr>
            <w:r w:rsidRPr="00F81D51">
              <w:rPr>
                <w:color w:val="000000"/>
                <w:sz w:val="16"/>
                <w:szCs w:val="16"/>
              </w:rPr>
              <w:t>1.1b</w:t>
            </w:r>
          </w:p>
        </w:tc>
        <w:tc>
          <w:tcPr>
            <w:tcW w:w="335" w:type="pct"/>
            <w:tcBorders>
              <w:top w:val="nil"/>
              <w:left w:val="nil"/>
              <w:bottom w:val="single" w:sz="4" w:space="0" w:color="1F497D"/>
              <w:right w:val="single" w:sz="4" w:space="0" w:color="1F497D"/>
            </w:tcBorders>
            <w:shd w:val="clear" w:color="000000" w:fill="FFFFFF"/>
            <w:vAlign w:val="center"/>
            <w:hideMark/>
          </w:tcPr>
          <w:p w:rsidR="00F81D51" w:rsidRPr="00F81D51" w:rsidRDefault="00F81D51" w:rsidP="00F81D51">
            <w:pPr>
              <w:jc w:val="center"/>
              <w:rPr>
                <w:color w:val="000000"/>
                <w:sz w:val="16"/>
                <w:szCs w:val="16"/>
              </w:rPr>
            </w:pPr>
            <w:r w:rsidRPr="00F81D51">
              <w:rPr>
                <w:color w:val="000000"/>
                <w:sz w:val="16"/>
                <w:szCs w:val="16"/>
              </w:rPr>
              <w:t>2015/04/17</w:t>
            </w:r>
          </w:p>
        </w:tc>
        <w:tc>
          <w:tcPr>
            <w:tcW w:w="241"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588,52</w:t>
            </w:r>
          </w:p>
        </w:tc>
        <w:tc>
          <w:tcPr>
            <w:tcW w:w="241"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22,38</w:t>
            </w:r>
          </w:p>
        </w:tc>
        <w:tc>
          <w:tcPr>
            <w:tcW w:w="181" w:type="pct"/>
            <w:tcBorders>
              <w:top w:val="nil"/>
              <w:left w:val="nil"/>
              <w:bottom w:val="single" w:sz="4" w:space="0" w:color="1F497D"/>
              <w:right w:val="single" w:sz="4" w:space="0" w:color="1F497D"/>
            </w:tcBorders>
            <w:shd w:val="clear" w:color="000000" w:fill="FFFFFF"/>
            <w:vAlign w:val="center"/>
            <w:hideMark/>
          </w:tcPr>
          <w:p w:rsidR="00F81D51" w:rsidRPr="00F81D51" w:rsidRDefault="00F81D51" w:rsidP="00F81D51">
            <w:pPr>
              <w:jc w:val="center"/>
              <w:rPr>
                <w:color w:val="000000"/>
                <w:sz w:val="16"/>
                <w:szCs w:val="16"/>
              </w:rPr>
            </w:pPr>
            <w:r w:rsidRPr="00F81D51">
              <w:rPr>
                <w:color w:val="000000"/>
                <w:sz w:val="16"/>
                <w:szCs w:val="16"/>
              </w:rPr>
              <w:t>0</w:t>
            </w:r>
          </w:p>
        </w:tc>
        <w:tc>
          <w:tcPr>
            <w:tcW w:w="268"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944,11</w:t>
            </w:r>
          </w:p>
        </w:tc>
        <w:tc>
          <w:tcPr>
            <w:tcW w:w="207"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160,42</w:t>
            </w:r>
          </w:p>
        </w:tc>
        <w:tc>
          <w:tcPr>
            <w:tcW w:w="234"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35,32</w:t>
            </w:r>
          </w:p>
        </w:tc>
        <w:tc>
          <w:tcPr>
            <w:tcW w:w="174"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0</w:t>
            </w:r>
          </w:p>
        </w:tc>
        <w:tc>
          <w:tcPr>
            <w:tcW w:w="261"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516,93</w:t>
            </w:r>
          </w:p>
        </w:tc>
        <w:tc>
          <w:tcPr>
            <w:tcW w:w="214"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87,84</w:t>
            </w:r>
          </w:p>
        </w:tc>
        <w:tc>
          <w:tcPr>
            <w:tcW w:w="214"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19,77</w:t>
            </w:r>
          </w:p>
        </w:tc>
        <w:tc>
          <w:tcPr>
            <w:tcW w:w="261"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377,38</w:t>
            </w:r>
          </w:p>
        </w:tc>
        <w:tc>
          <w:tcPr>
            <w:tcW w:w="228"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64,12</w:t>
            </w:r>
          </w:p>
        </w:tc>
        <w:tc>
          <w:tcPr>
            <w:tcW w:w="254"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14,69</w:t>
            </w:r>
          </w:p>
        </w:tc>
        <w:tc>
          <w:tcPr>
            <w:tcW w:w="288"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374,05</w:t>
            </w:r>
          </w:p>
        </w:tc>
        <w:tc>
          <w:tcPr>
            <w:tcW w:w="214"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63,56</w:t>
            </w:r>
          </w:p>
        </w:tc>
        <w:tc>
          <w:tcPr>
            <w:tcW w:w="254"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14,57</w:t>
            </w:r>
          </w:p>
        </w:tc>
        <w:tc>
          <w:tcPr>
            <w:tcW w:w="274"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366,75</w:t>
            </w:r>
          </w:p>
        </w:tc>
        <w:tc>
          <w:tcPr>
            <w:tcW w:w="207"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62,32</w:t>
            </w:r>
          </w:p>
        </w:tc>
        <w:tc>
          <w:tcPr>
            <w:tcW w:w="207"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14,28</w:t>
            </w:r>
          </w:p>
        </w:tc>
      </w:tr>
      <w:tr w:rsidR="00F81D51" w:rsidRPr="00F81D51" w:rsidTr="00492B11">
        <w:trPr>
          <w:trHeight w:val="225"/>
        </w:trPr>
        <w:tc>
          <w:tcPr>
            <w:tcW w:w="241" w:type="pct"/>
            <w:vMerge/>
            <w:tcBorders>
              <w:top w:val="nil"/>
              <w:left w:val="single" w:sz="4" w:space="0" w:color="1F497D"/>
              <w:bottom w:val="single" w:sz="4" w:space="0" w:color="1F497D"/>
              <w:right w:val="single" w:sz="4" w:space="0" w:color="1F497D"/>
            </w:tcBorders>
            <w:vAlign w:val="center"/>
            <w:hideMark/>
          </w:tcPr>
          <w:p w:rsidR="00F81D51" w:rsidRPr="00F81D51" w:rsidRDefault="00F81D51" w:rsidP="00F81D51">
            <w:pPr>
              <w:rPr>
                <w:color w:val="000000"/>
                <w:sz w:val="16"/>
                <w:szCs w:val="16"/>
              </w:rPr>
            </w:pPr>
          </w:p>
        </w:tc>
        <w:tc>
          <w:tcPr>
            <w:tcW w:w="335" w:type="pct"/>
            <w:tcBorders>
              <w:top w:val="nil"/>
              <w:left w:val="nil"/>
              <w:bottom w:val="single" w:sz="4" w:space="0" w:color="1F497D"/>
              <w:right w:val="single" w:sz="4" w:space="0" w:color="1F497D"/>
            </w:tcBorders>
            <w:shd w:val="clear" w:color="000000" w:fill="FFFFFF"/>
            <w:vAlign w:val="center"/>
            <w:hideMark/>
          </w:tcPr>
          <w:p w:rsidR="00F81D51" w:rsidRPr="00F81D51" w:rsidRDefault="00F81D51" w:rsidP="00F81D51">
            <w:pPr>
              <w:jc w:val="center"/>
              <w:rPr>
                <w:color w:val="000000"/>
                <w:sz w:val="16"/>
                <w:szCs w:val="16"/>
              </w:rPr>
            </w:pPr>
            <w:r w:rsidRPr="00F81D51">
              <w:rPr>
                <w:color w:val="000000"/>
                <w:sz w:val="16"/>
                <w:szCs w:val="16"/>
              </w:rPr>
              <w:t>2015/10/02</w:t>
            </w:r>
          </w:p>
        </w:tc>
        <w:tc>
          <w:tcPr>
            <w:tcW w:w="241"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523,72</w:t>
            </w:r>
          </w:p>
        </w:tc>
        <w:tc>
          <w:tcPr>
            <w:tcW w:w="241"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20,07</w:t>
            </w:r>
          </w:p>
        </w:tc>
        <w:tc>
          <w:tcPr>
            <w:tcW w:w="181" w:type="pct"/>
            <w:tcBorders>
              <w:top w:val="nil"/>
              <w:left w:val="nil"/>
              <w:bottom w:val="single" w:sz="4" w:space="0" w:color="1F497D"/>
              <w:right w:val="single" w:sz="4" w:space="0" w:color="1F497D"/>
            </w:tcBorders>
            <w:shd w:val="clear" w:color="000000" w:fill="FFFFFF"/>
            <w:vAlign w:val="center"/>
            <w:hideMark/>
          </w:tcPr>
          <w:p w:rsidR="00F81D51" w:rsidRPr="00F81D51" w:rsidRDefault="00F81D51" w:rsidP="00F81D51">
            <w:pPr>
              <w:jc w:val="center"/>
              <w:rPr>
                <w:color w:val="000000"/>
                <w:sz w:val="16"/>
                <w:szCs w:val="16"/>
              </w:rPr>
            </w:pPr>
            <w:r w:rsidRPr="00F81D51">
              <w:rPr>
                <w:color w:val="000000"/>
                <w:sz w:val="16"/>
                <w:szCs w:val="16"/>
              </w:rPr>
              <w:t>0</w:t>
            </w:r>
          </w:p>
        </w:tc>
        <w:tc>
          <w:tcPr>
            <w:tcW w:w="268"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944,11</w:t>
            </w:r>
          </w:p>
        </w:tc>
        <w:tc>
          <w:tcPr>
            <w:tcW w:w="207"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180,27</w:t>
            </w:r>
          </w:p>
        </w:tc>
        <w:tc>
          <w:tcPr>
            <w:tcW w:w="234"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35,52</w:t>
            </w:r>
          </w:p>
        </w:tc>
        <w:tc>
          <w:tcPr>
            <w:tcW w:w="174"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0</w:t>
            </w:r>
          </w:p>
        </w:tc>
        <w:tc>
          <w:tcPr>
            <w:tcW w:w="261"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529,82</w:t>
            </w:r>
          </w:p>
        </w:tc>
        <w:tc>
          <w:tcPr>
            <w:tcW w:w="214"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101,16</w:t>
            </w:r>
          </w:p>
        </w:tc>
        <w:tc>
          <w:tcPr>
            <w:tcW w:w="214"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20,29</w:t>
            </w:r>
          </w:p>
        </w:tc>
        <w:tc>
          <w:tcPr>
            <w:tcW w:w="261"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378,97</w:t>
            </w:r>
          </w:p>
        </w:tc>
        <w:tc>
          <w:tcPr>
            <w:tcW w:w="228"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72,36</w:t>
            </w:r>
          </w:p>
        </w:tc>
        <w:tc>
          <w:tcPr>
            <w:tcW w:w="254"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14,75</w:t>
            </w:r>
          </w:p>
        </w:tc>
        <w:tc>
          <w:tcPr>
            <w:tcW w:w="288"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377,79</w:t>
            </w:r>
          </w:p>
        </w:tc>
        <w:tc>
          <w:tcPr>
            <w:tcW w:w="214"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72,13</w:t>
            </w:r>
          </w:p>
        </w:tc>
        <w:tc>
          <w:tcPr>
            <w:tcW w:w="254"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14,71</w:t>
            </w:r>
          </w:p>
        </w:tc>
        <w:tc>
          <w:tcPr>
            <w:tcW w:w="274"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363,60</w:t>
            </w:r>
          </w:p>
        </w:tc>
        <w:tc>
          <w:tcPr>
            <w:tcW w:w="207"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69,43</w:t>
            </w:r>
          </w:p>
        </w:tc>
        <w:tc>
          <w:tcPr>
            <w:tcW w:w="207"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14,16</w:t>
            </w:r>
          </w:p>
        </w:tc>
      </w:tr>
      <w:tr w:rsidR="00F81D51" w:rsidRPr="00F81D51" w:rsidTr="00492B11">
        <w:trPr>
          <w:trHeight w:val="225"/>
        </w:trPr>
        <w:tc>
          <w:tcPr>
            <w:tcW w:w="241" w:type="pct"/>
            <w:vMerge/>
            <w:tcBorders>
              <w:top w:val="nil"/>
              <w:left w:val="single" w:sz="4" w:space="0" w:color="1F497D"/>
              <w:bottom w:val="single" w:sz="4" w:space="0" w:color="1F497D"/>
              <w:right w:val="single" w:sz="4" w:space="0" w:color="1F497D"/>
            </w:tcBorders>
            <w:vAlign w:val="center"/>
            <w:hideMark/>
          </w:tcPr>
          <w:p w:rsidR="00F81D51" w:rsidRPr="00F81D51" w:rsidRDefault="00F81D51" w:rsidP="00F81D51">
            <w:pPr>
              <w:rPr>
                <w:color w:val="000000"/>
                <w:sz w:val="16"/>
                <w:szCs w:val="16"/>
              </w:rPr>
            </w:pPr>
          </w:p>
        </w:tc>
        <w:tc>
          <w:tcPr>
            <w:tcW w:w="335" w:type="pct"/>
            <w:tcBorders>
              <w:top w:val="nil"/>
              <w:left w:val="nil"/>
              <w:bottom w:val="single" w:sz="4" w:space="0" w:color="1F497D"/>
              <w:right w:val="single" w:sz="4" w:space="0" w:color="1F497D"/>
            </w:tcBorders>
            <w:shd w:val="clear" w:color="000000" w:fill="FFFFFF"/>
            <w:vAlign w:val="center"/>
            <w:hideMark/>
          </w:tcPr>
          <w:p w:rsidR="00F81D51" w:rsidRPr="00F81D51" w:rsidRDefault="00F81D51" w:rsidP="00F81D51">
            <w:pPr>
              <w:jc w:val="center"/>
              <w:rPr>
                <w:color w:val="000000"/>
                <w:sz w:val="16"/>
                <w:szCs w:val="16"/>
              </w:rPr>
            </w:pPr>
            <w:r w:rsidRPr="00F81D51">
              <w:rPr>
                <w:color w:val="000000"/>
                <w:sz w:val="16"/>
                <w:szCs w:val="16"/>
              </w:rPr>
              <w:t>Rozdíl</w:t>
            </w:r>
          </w:p>
        </w:tc>
        <w:tc>
          <w:tcPr>
            <w:tcW w:w="241"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p>
        </w:tc>
        <w:tc>
          <w:tcPr>
            <w:tcW w:w="241"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p>
        </w:tc>
        <w:tc>
          <w:tcPr>
            <w:tcW w:w="181" w:type="pct"/>
            <w:tcBorders>
              <w:top w:val="nil"/>
              <w:left w:val="nil"/>
              <w:bottom w:val="single" w:sz="4" w:space="0" w:color="1F497D"/>
              <w:right w:val="single" w:sz="4" w:space="0" w:color="1F497D"/>
            </w:tcBorders>
            <w:shd w:val="clear" w:color="000000" w:fill="FFFFFF"/>
            <w:vAlign w:val="center"/>
            <w:hideMark/>
          </w:tcPr>
          <w:p w:rsidR="00F81D51" w:rsidRPr="00F81D51" w:rsidRDefault="00F81D51" w:rsidP="00F81D51">
            <w:pPr>
              <w:jc w:val="center"/>
              <w:rPr>
                <w:color w:val="000000"/>
                <w:sz w:val="16"/>
                <w:szCs w:val="16"/>
              </w:rPr>
            </w:pPr>
            <w:r w:rsidRPr="00F81D51">
              <w:rPr>
                <w:color w:val="000000"/>
                <w:sz w:val="16"/>
                <w:szCs w:val="16"/>
              </w:rPr>
              <w:t>0</w:t>
            </w:r>
          </w:p>
        </w:tc>
        <w:tc>
          <w:tcPr>
            <w:tcW w:w="268"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0,00</w:t>
            </w:r>
          </w:p>
        </w:tc>
        <w:tc>
          <w:tcPr>
            <w:tcW w:w="207"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0,00</w:t>
            </w:r>
          </w:p>
        </w:tc>
        <w:tc>
          <w:tcPr>
            <w:tcW w:w="234"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0,20</w:t>
            </w:r>
          </w:p>
        </w:tc>
        <w:tc>
          <w:tcPr>
            <w:tcW w:w="174"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0</w:t>
            </w:r>
          </w:p>
        </w:tc>
        <w:tc>
          <w:tcPr>
            <w:tcW w:w="261"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12,88</w:t>
            </w:r>
          </w:p>
        </w:tc>
        <w:tc>
          <w:tcPr>
            <w:tcW w:w="214"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2,46</w:t>
            </w:r>
          </w:p>
        </w:tc>
        <w:tc>
          <w:tcPr>
            <w:tcW w:w="214"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0,52</w:t>
            </w:r>
          </w:p>
        </w:tc>
        <w:tc>
          <w:tcPr>
            <w:tcW w:w="261"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1,58</w:t>
            </w:r>
          </w:p>
        </w:tc>
        <w:tc>
          <w:tcPr>
            <w:tcW w:w="228"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0,30</w:t>
            </w:r>
          </w:p>
        </w:tc>
        <w:tc>
          <w:tcPr>
            <w:tcW w:w="254"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0,06</w:t>
            </w:r>
          </w:p>
        </w:tc>
        <w:tc>
          <w:tcPr>
            <w:tcW w:w="288"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3,74</w:t>
            </w:r>
          </w:p>
        </w:tc>
        <w:tc>
          <w:tcPr>
            <w:tcW w:w="214"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0,71</w:t>
            </w:r>
          </w:p>
        </w:tc>
        <w:tc>
          <w:tcPr>
            <w:tcW w:w="254"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0,14</w:t>
            </w:r>
          </w:p>
        </w:tc>
        <w:tc>
          <w:tcPr>
            <w:tcW w:w="274"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-3,15</w:t>
            </w:r>
          </w:p>
        </w:tc>
        <w:tc>
          <w:tcPr>
            <w:tcW w:w="207"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-0,60</w:t>
            </w:r>
          </w:p>
        </w:tc>
        <w:tc>
          <w:tcPr>
            <w:tcW w:w="207" w:type="pct"/>
            <w:tcBorders>
              <w:top w:val="nil"/>
              <w:left w:val="nil"/>
              <w:bottom w:val="single" w:sz="4" w:space="0" w:color="1F497D"/>
              <w:right w:val="single" w:sz="4" w:space="0" w:color="1F497D"/>
            </w:tcBorders>
            <w:shd w:val="clear" w:color="000000" w:fill="FFFFFF"/>
            <w:noWrap/>
            <w:vAlign w:val="center"/>
            <w:hideMark/>
          </w:tcPr>
          <w:p w:rsidR="00F81D51" w:rsidRPr="00F81D51" w:rsidRDefault="00F81D51" w:rsidP="00F81D51">
            <w:pPr>
              <w:jc w:val="center"/>
              <w:rPr>
                <w:color w:val="000000"/>
                <w:sz w:val="16"/>
                <w:szCs w:val="16"/>
              </w:rPr>
            </w:pPr>
            <w:r w:rsidRPr="00F81D51">
              <w:rPr>
                <w:color w:val="000000"/>
                <w:sz w:val="16"/>
                <w:szCs w:val="16"/>
              </w:rPr>
              <w:t>-0,12</w:t>
            </w:r>
          </w:p>
        </w:tc>
      </w:tr>
    </w:tbl>
    <w:p w:rsidR="00D15C73" w:rsidRPr="00DB3CBC" w:rsidRDefault="00920E5C" w:rsidP="00D15C73">
      <w:pPr>
        <w:rPr>
          <w:i/>
          <w:sz w:val="18"/>
          <w:szCs w:val="18"/>
        </w:rPr>
      </w:pPr>
      <w:r w:rsidRPr="00277C9A">
        <w:rPr>
          <w:i/>
          <w:sz w:val="18"/>
          <w:szCs w:val="18"/>
        </w:rPr>
        <w:t xml:space="preserve">Zdroj: Aktuální </w:t>
      </w:r>
      <w:proofErr w:type="spellStart"/>
      <w:r w:rsidRPr="00277C9A">
        <w:rPr>
          <w:i/>
          <w:sz w:val="18"/>
          <w:szCs w:val="18"/>
        </w:rPr>
        <w:t>MoV</w:t>
      </w:r>
      <w:proofErr w:type="spellEnd"/>
      <w:r w:rsidRPr="00277C9A">
        <w:rPr>
          <w:i/>
          <w:sz w:val="18"/>
          <w:szCs w:val="18"/>
        </w:rPr>
        <w:t xml:space="preserve"> – MSC2007 ke dni</w:t>
      </w:r>
      <w:r w:rsidR="00E67FD1">
        <w:rPr>
          <w:i/>
          <w:sz w:val="18"/>
          <w:szCs w:val="18"/>
        </w:rPr>
        <w:t xml:space="preserve"> </w:t>
      </w:r>
      <w:r w:rsidR="0015783A">
        <w:rPr>
          <w:i/>
          <w:sz w:val="18"/>
          <w:szCs w:val="18"/>
        </w:rPr>
        <w:t>30. 9. 2015</w:t>
      </w:r>
      <w:r>
        <w:rPr>
          <w:i/>
          <w:sz w:val="18"/>
          <w:szCs w:val="18"/>
        </w:rPr>
        <w:t xml:space="preserve">; </w:t>
      </w:r>
      <w:r w:rsidR="00D15C73">
        <w:rPr>
          <w:i/>
          <w:sz w:val="18"/>
          <w:szCs w:val="18"/>
        </w:rPr>
        <w:t xml:space="preserve">Data za certifikované prostředky byla v celé zprávě generována k datu 8. 10. 2015, důvodem je technická chyba způsobena chybným přenosem dat </w:t>
      </w:r>
      <w:proofErr w:type="gramStart"/>
      <w:r w:rsidR="00D15C73">
        <w:rPr>
          <w:i/>
          <w:sz w:val="18"/>
          <w:szCs w:val="18"/>
        </w:rPr>
        <w:t>mezi</w:t>
      </w:r>
      <w:proofErr w:type="gramEnd"/>
      <w:r w:rsidR="00D15C73">
        <w:rPr>
          <w:i/>
          <w:sz w:val="18"/>
          <w:szCs w:val="18"/>
        </w:rPr>
        <w:t xml:space="preserve"> IS Viola a MSC2007</w:t>
      </w:r>
      <w:r w:rsidR="005B5FDF">
        <w:rPr>
          <w:i/>
          <w:sz w:val="18"/>
          <w:szCs w:val="18"/>
        </w:rPr>
        <w:t>+</w:t>
      </w:r>
    </w:p>
    <w:p w:rsidR="00920E5C" w:rsidRPr="00277C9A" w:rsidRDefault="00920E5C" w:rsidP="00CD7218">
      <w:pPr>
        <w:jc w:val="both"/>
        <w:rPr>
          <w:i/>
          <w:sz w:val="18"/>
          <w:szCs w:val="18"/>
        </w:rPr>
      </w:pPr>
      <w:r w:rsidRPr="00277C9A">
        <w:rPr>
          <w:i/>
          <w:sz w:val="18"/>
          <w:szCs w:val="18"/>
        </w:rPr>
        <w:t xml:space="preserve">Předchozí </w:t>
      </w:r>
      <w:proofErr w:type="spellStart"/>
      <w:r w:rsidRPr="00277C9A">
        <w:rPr>
          <w:i/>
          <w:sz w:val="18"/>
          <w:szCs w:val="18"/>
        </w:rPr>
        <w:t>MoV</w:t>
      </w:r>
      <w:proofErr w:type="spellEnd"/>
      <w:r w:rsidRPr="00277C9A">
        <w:rPr>
          <w:i/>
          <w:sz w:val="18"/>
          <w:szCs w:val="18"/>
        </w:rPr>
        <w:t xml:space="preserve"> – MSC2007+ ke dni</w:t>
      </w:r>
      <w:r>
        <w:rPr>
          <w:i/>
          <w:sz w:val="18"/>
          <w:szCs w:val="18"/>
        </w:rPr>
        <w:t xml:space="preserve"> </w:t>
      </w:r>
      <w:r w:rsidR="00685CFF">
        <w:rPr>
          <w:i/>
          <w:sz w:val="18"/>
          <w:szCs w:val="18"/>
        </w:rPr>
        <w:t>16</w:t>
      </w:r>
      <w:r w:rsidR="00E67FD1">
        <w:rPr>
          <w:i/>
          <w:sz w:val="18"/>
          <w:szCs w:val="18"/>
        </w:rPr>
        <w:t xml:space="preserve">. </w:t>
      </w:r>
      <w:r w:rsidR="00685CFF">
        <w:rPr>
          <w:i/>
          <w:sz w:val="18"/>
          <w:szCs w:val="18"/>
        </w:rPr>
        <w:t>4</w:t>
      </w:r>
      <w:r w:rsidR="00E67FD1">
        <w:rPr>
          <w:i/>
          <w:sz w:val="18"/>
          <w:szCs w:val="18"/>
        </w:rPr>
        <w:t>. 201</w:t>
      </w:r>
      <w:r w:rsidR="00685CFF">
        <w:rPr>
          <w:i/>
          <w:sz w:val="18"/>
          <w:szCs w:val="18"/>
        </w:rPr>
        <w:t>5</w:t>
      </w:r>
    </w:p>
    <w:p w:rsidR="00920E5C" w:rsidRPr="00277C9A" w:rsidRDefault="00920E5C" w:rsidP="00920E5C">
      <w:pPr>
        <w:jc w:val="both"/>
        <w:rPr>
          <w:i/>
          <w:sz w:val="18"/>
          <w:szCs w:val="18"/>
        </w:rPr>
      </w:pPr>
      <w:r w:rsidRPr="00277C9A">
        <w:rPr>
          <w:i/>
          <w:sz w:val="18"/>
          <w:szCs w:val="18"/>
        </w:rPr>
        <w:t xml:space="preserve">Kurz CZK/EUR: Aktuální </w:t>
      </w:r>
      <w:proofErr w:type="spellStart"/>
      <w:r w:rsidRPr="00277C9A">
        <w:rPr>
          <w:i/>
          <w:sz w:val="18"/>
          <w:szCs w:val="18"/>
        </w:rPr>
        <w:t>MoV</w:t>
      </w:r>
      <w:proofErr w:type="spellEnd"/>
      <w:r w:rsidRPr="00277C9A">
        <w:rPr>
          <w:i/>
          <w:sz w:val="18"/>
          <w:szCs w:val="18"/>
        </w:rPr>
        <w:t xml:space="preserve"> </w:t>
      </w:r>
      <w:r w:rsidRPr="00737479">
        <w:rPr>
          <w:i/>
          <w:sz w:val="18"/>
          <w:szCs w:val="18"/>
        </w:rPr>
        <w:t>–</w:t>
      </w:r>
      <w:r w:rsidR="00685CFF">
        <w:rPr>
          <w:i/>
          <w:sz w:val="18"/>
          <w:szCs w:val="18"/>
        </w:rPr>
        <w:t xml:space="preserve"> 27,208</w:t>
      </w:r>
      <w:r w:rsidR="007C5937">
        <w:rPr>
          <w:i/>
          <w:sz w:val="18"/>
          <w:szCs w:val="18"/>
        </w:rPr>
        <w:t xml:space="preserve">; </w:t>
      </w:r>
      <w:r w:rsidRPr="00277C9A">
        <w:rPr>
          <w:i/>
          <w:sz w:val="18"/>
          <w:szCs w:val="18"/>
        </w:rPr>
        <w:t xml:space="preserve">Předchozí </w:t>
      </w:r>
      <w:proofErr w:type="spellStart"/>
      <w:r w:rsidRPr="00277C9A">
        <w:rPr>
          <w:i/>
          <w:sz w:val="18"/>
          <w:szCs w:val="18"/>
        </w:rPr>
        <w:t>MoV</w:t>
      </w:r>
      <w:proofErr w:type="spellEnd"/>
      <w:r>
        <w:rPr>
          <w:i/>
          <w:sz w:val="18"/>
          <w:szCs w:val="18"/>
        </w:rPr>
        <w:t xml:space="preserve"> </w:t>
      </w:r>
      <w:r w:rsidRPr="00277C9A">
        <w:rPr>
          <w:i/>
          <w:sz w:val="18"/>
          <w:szCs w:val="18"/>
        </w:rPr>
        <w:t xml:space="preserve">– </w:t>
      </w:r>
      <w:r w:rsidR="00685CFF">
        <w:rPr>
          <w:i/>
          <w:sz w:val="18"/>
          <w:szCs w:val="18"/>
        </w:rPr>
        <w:t xml:space="preserve">27,473 </w:t>
      </w:r>
    </w:p>
    <w:p w:rsidR="00FB1985" w:rsidRDefault="00920E5C" w:rsidP="00920E5C">
      <w:pPr>
        <w:rPr>
          <w:sz w:val="22"/>
          <w:szCs w:val="22"/>
        </w:rPr>
        <w:sectPr w:rsidR="00FB1985" w:rsidSect="00356E21">
          <w:pgSz w:w="16840" w:h="11907" w:orient="landscape" w:code="9"/>
          <w:pgMar w:top="1418" w:right="1418" w:bottom="1418" w:left="1418" w:header="709" w:footer="709" w:gutter="0"/>
          <w:cols w:space="708"/>
          <w:docGrid w:linePitch="272"/>
        </w:sectPr>
      </w:pPr>
      <w:r w:rsidRPr="00277C9A">
        <w:rPr>
          <w:i/>
          <w:sz w:val="18"/>
          <w:szCs w:val="18"/>
        </w:rPr>
        <w:t xml:space="preserve">Zdroj financování – </w:t>
      </w:r>
      <w:r>
        <w:rPr>
          <w:i/>
          <w:sz w:val="18"/>
          <w:szCs w:val="18"/>
        </w:rPr>
        <w:t>podíl EU</w:t>
      </w:r>
    </w:p>
    <w:p w:rsidR="004D548F" w:rsidRDefault="003C5C22" w:rsidP="00FB1985">
      <w:pPr>
        <w:jc w:val="both"/>
        <w:rPr>
          <w:sz w:val="22"/>
          <w:szCs w:val="22"/>
        </w:rPr>
      </w:pPr>
      <w:r w:rsidRPr="001917D3">
        <w:rPr>
          <w:b/>
          <w:sz w:val="22"/>
          <w:szCs w:val="22"/>
        </w:rPr>
        <w:lastRenderedPageBreak/>
        <w:t>V oblastech intervence 1.1a a 1.1b</w:t>
      </w:r>
      <w:r>
        <w:rPr>
          <w:sz w:val="22"/>
          <w:szCs w:val="22"/>
        </w:rPr>
        <w:t xml:space="preserve"> </w:t>
      </w:r>
      <w:r w:rsidR="00F17211">
        <w:rPr>
          <w:sz w:val="22"/>
          <w:szCs w:val="22"/>
        </w:rPr>
        <w:t>ne</w:t>
      </w:r>
      <w:r>
        <w:rPr>
          <w:sz w:val="22"/>
          <w:szCs w:val="22"/>
        </w:rPr>
        <w:t xml:space="preserve">probíhala ve sledovaném období </w:t>
      </w:r>
      <w:r w:rsidR="00F17211">
        <w:rPr>
          <w:sz w:val="22"/>
          <w:szCs w:val="22"/>
        </w:rPr>
        <w:t>žádná</w:t>
      </w:r>
      <w:r>
        <w:rPr>
          <w:sz w:val="22"/>
          <w:szCs w:val="22"/>
        </w:rPr>
        <w:t xml:space="preserve"> výzva. </w:t>
      </w:r>
    </w:p>
    <w:p w:rsidR="00D54372" w:rsidRDefault="00D54372" w:rsidP="00152129">
      <w:bookmarkStart w:id="67" w:name="_Toc306893704"/>
    </w:p>
    <w:p w:rsidR="00B12263" w:rsidRPr="00224A15" w:rsidRDefault="00CC247F" w:rsidP="00224A15">
      <w:pPr>
        <w:pStyle w:val="Nadpis3"/>
        <w:spacing w:before="0" w:after="0"/>
        <w:rPr>
          <w:rFonts w:ascii="Times New Roman" w:hAnsi="Times New Roman"/>
          <w:sz w:val="24"/>
          <w:szCs w:val="24"/>
        </w:rPr>
      </w:pPr>
      <w:bookmarkStart w:id="68" w:name="_Toc433873491"/>
      <w:r w:rsidRPr="006266F5">
        <w:rPr>
          <w:rFonts w:ascii="Times New Roman" w:hAnsi="Times New Roman"/>
          <w:sz w:val="24"/>
          <w:szCs w:val="24"/>
        </w:rPr>
        <w:t xml:space="preserve">3.1.3 Naplňování </w:t>
      </w:r>
      <w:bookmarkEnd w:id="67"/>
      <w:r w:rsidRPr="006266F5">
        <w:rPr>
          <w:rFonts w:ascii="Times New Roman" w:hAnsi="Times New Roman"/>
          <w:sz w:val="24"/>
          <w:szCs w:val="24"/>
        </w:rPr>
        <w:t>indikátorů</w:t>
      </w:r>
      <w:bookmarkEnd w:id="68"/>
    </w:p>
    <w:p w:rsidR="00224A15" w:rsidRPr="00224A15" w:rsidRDefault="00224A15" w:rsidP="003D56FB">
      <w:pPr>
        <w:jc w:val="both"/>
        <w:rPr>
          <w:sz w:val="22"/>
          <w:szCs w:val="22"/>
        </w:rPr>
      </w:pPr>
      <w:r w:rsidRPr="00224A15">
        <w:rPr>
          <w:sz w:val="22"/>
          <w:szCs w:val="22"/>
        </w:rPr>
        <w:t xml:space="preserve">Ve výzvách MV ČR jsou data naplnění indikátorů stanovena k termínu ukončení </w:t>
      </w:r>
      <w:r w:rsidR="00CD13F4">
        <w:rPr>
          <w:sz w:val="22"/>
          <w:szCs w:val="22"/>
        </w:rPr>
        <w:t xml:space="preserve">realizace </w:t>
      </w:r>
      <w:r w:rsidRPr="00224A15">
        <w:rPr>
          <w:sz w:val="22"/>
          <w:szCs w:val="22"/>
        </w:rPr>
        <w:t xml:space="preserve">projektu. Dosažená hodnota je průměr </w:t>
      </w:r>
      <w:r w:rsidR="00CD13F4">
        <w:rPr>
          <w:sz w:val="22"/>
          <w:szCs w:val="22"/>
        </w:rPr>
        <w:t xml:space="preserve">dosažených </w:t>
      </w:r>
      <w:r w:rsidRPr="00224A15">
        <w:rPr>
          <w:sz w:val="22"/>
          <w:szCs w:val="22"/>
        </w:rPr>
        <w:t>hodnot, které uvedli příjemci v závěrečných monitorovacích zprávách. K průběžné změně plánované cílové hodnoty indikátoru v</w:t>
      </w:r>
      <w:r w:rsidR="003D56FB">
        <w:rPr>
          <w:sz w:val="22"/>
          <w:szCs w:val="22"/>
        </w:rPr>
        <w:t> </w:t>
      </w:r>
      <w:r w:rsidRPr="00224A15">
        <w:rPr>
          <w:sz w:val="22"/>
          <w:szCs w:val="22"/>
        </w:rPr>
        <w:t>průběhu</w:t>
      </w:r>
      <w:r w:rsidR="003D56FB">
        <w:rPr>
          <w:sz w:val="22"/>
          <w:szCs w:val="22"/>
        </w:rPr>
        <w:t xml:space="preserve"> </w:t>
      </w:r>
      <w:r w:rsidRPr="00224A15">
        <w:rPr>
          <w:sz w:val="22"/>
          <w:szCs w:val="22"/>
        </w:rPr>
        <w:t xml:space="preserve">projektu až na výjimky nedochází. Dosažené hodnoty podílových indikátorů se mění v závislosti na počtu ukončených projektů a jejich vykázaných cílových hodnot. Nejedná se o kvalitativní posun, ale o průměr poměru mezi počtem projektů a jejich vykázaných hodnot. Z tohoto důvodu hodnoty kolísají oběma směry na číselné ose. </w:t>
      </w:r>
    </w:p>
    <w:p w:rsidR="00224A15" w:rsidRPr="00224A15" w:rsidRDefault="00224A15" w:rsidP="00224A15">
      <w:pPr>
        <w:jc w:val="both"/>
        <w:rPr>
          <w:b/>
          <w:i/>
          <w:sz w:val="22"/>
          <w:szCs w:val="22"/>
        </w:rPr>
      </w:pPr>
    </w:p>
    <w:p w:rsidR="00224A15" w:rsidRPr="00224A15" w:rsidRDefault="00224A15" w:rsidP="00224A15">
      <w:pPr>
        <w:jc w:val="both"/>
        <w:rPr>
          <w:b/>
          <w:sz w:val="22"/>
          <w:szCs w:val="22"/>
        </w:rPr>
      </w:pPr>
      <w:r w:rsidRPr="00224A15">
        <w:rPr>
          <w:b/>
          <w:sz w:val="22"/>
          <w:szCs w:val="22"/>
        </w:rPr>
        <w:t>150109 Podíl registrů napojených na centrální registry</w:t>
      </w:r>
    </w:p>
    <w:p w:rsidR="00224A15" w:rsidRPr="00224A15" w:rsidRDefault="00224A15" w:rsidP="00224A15">
      <w:pPr>
        <w:jc w:val="both"/>
        <w:rPr>
          <w:sz w:val="22"/>
          <w:szCs w:val="22"/>
        </w:rPr>
      </w:pPr>
      <w:r w:rsidRPr="00224A15">
        <w:rPr>
          <w:sz w:val="22"/>
          <w:szCs w:val="22"/>
        </w:rPr>
        <w:t xml:space="preserve">Dosažená hodnota ke dni </w:t>
      </w:r>
      <w:r w:rsidR="003715C2">
        <w:rPr>
          <w:sz w:val="22"/>
          <w:szCs w:val="22"/>
        </w:rPr>
        <w:t xml:space="preserve">30. 9. </w:t>
      </w:r>
      <w:r w:rsidR="003715C2" w:rsidRPr="00224A15">
        <w:rPr>
          <w:sz w:val="22"/>
          <w:szCs w:val="22"/>
        </w:rPr>
        <w:t>2015</w:t>
      </w:r>
      <w:r w:rsidRPr="00224A15">
        <w:rPr>
          <w:sz w:val="22"/>
          <w:szCs w:val="22"/>
        </w:rPr>
        <w:t xml:space="preserve"> je 96,04</w:t>
      </w:r>
      <w:r w:rsidR="002B5743">
        <w:rPr>
          <w:sz w:val="22"/>
          <w:szCs w:val="22"/>
        </w:rPr>
        <w:t xml:space="preserve"> </w:t>
      </w:r>
      <w:r w:rsidRPr="00224A15">
        <w:rPr>
          <w:sz w:val="22"/>
          <w:szCs w:val="22"/>
        </w:rPr>
        <w:t xml:space="preserve">%. </w:t>
      </w:r>
      <w:r w:rsidR="003D56FB">
        <w:rPr>
          <w:sz w:val="22"/>
          <w:szCs w:val="22"/>
        </w:rPr>
        <w:t>Z</w:t>
      </w:r>
      <w:r w:rsidRPr="00224A15">
        <w:rPr>
          <w:sz w:val="22"/>
          <w:szCs w:val="22"/>
        </w:rPr>
        <w:t>výš</w:t>
      </w:r>
      <w:r w:rsidR="003D56FB">
        <w:rPr>
          <w:sz w:val="22"/>
          <w:szCs w:val="22"/>
        </w:rPr>
        <w:t>il se</w:t>
      </w:r>
      <w:r w:rsidRPr="00224A15">
        <w:rPr>
          <w:sz w:val="22"/>
          <w:szCs w:val="22"/>
        </w:rPr>
        <w:t xml:space="preserve"> závaz</w:t>
      </w:r>
      <w:r w:rsidR="003D56FB">
        <w:rPr>
          <w:sz w:val="22"/>
          <w:szCs w:val="22"/>
        </w:rPr>
        <w:t>e</w:t>
      </w:r>
      <w:r w:rsidRPr="00224A15">
        <w:rPr>
          <w:sz w:val="22"/>
          <w:szCs w:val="22"/>
        </w:rPr>
        <w:t>k ze schválených projektů z důvodu nových projektů v</w:t>
      </w:r>
      <w:r w:rsidR="003D56FB">
        <w:rPr>
          <w:sz w:val="22"/>
          <w:szCs w:val="22"/>
        </w:rPr>
        <w:t> 17.</w:t>
      </w:r>
      <w:r w:rsidRPr="00224A15">
        <w:rPr>
          <w:sz w:val="22"/>
          <w:szCs w:val="22"/>
        </w:rPr>
        <w:t xml:space="preserve"> výzvě. </w:t>
      </w:r>
      <w:r w:rsidR="003D56FB">
        <w:rPr>
          <w:sz w:val="22"/>
          <w:szCs w:val="22"/>
        </w:rPr>
        <w:t>M</w:t>
      </w:r>
      <w:r w:rsidRPr="00224A15">
        <w:rPr>
          <w:sz w:val="22"/>
          <w:szCs w:val="22"/>
        </w:rPr>
        <w:t>írn</w:t>
      </w:r>
      <w:r w:rsidR="003D56FB">
        <w:rPr>
          <w:sz w:val="22"/>
          <w:szCs w:val="22"/>
        </w:rPr>
        <w:t>ě se</w:t>
      </w:r>
      <w:r w:rsidRPr="00224A15">
        <w:rPr>
          <w:sz w:val="22"/>
          <w:szCs w:val="22"/>
        </w:rPr>
        <w:t xml:space="preserve"> sníž</w:t>
      </w:r>
      <w:r w:rsidR="003D56FB">
        <w:rPr>
          <w:sz w:val="22"/>
          <w:szCs w:val="22"/>
        </w:rPr>
        <w:t>ila</w:t>
      </w:r>
      <w:r w:rsidRPr="00224A15">
        <w:rPr>
          <w:sz w:val="22"/>
          <w:szCs w:val="22"/>
        </w:rPr>
        <w:t xml:space="preserve"> dosažen</w:t>
      </w:r>
      <w:r w:rsidR="003D56FB">
        <w:rPr>
          <w:sz w:val="22"/>
          <w:szCs w:val="22"/>
        </w:rPr>
        <w:t>á</w:t>
      </w:r>
      <w:r w:rsidRPr="00224A15">
        <w:rPr>
          <w:sz w:val="22"/>
          <w:szCs w:val="22"/>
        </w:rPr>
        <w:t xml:space="preserve"> hodnot</w:t>
      </w:r>
      <w:r w:rsidR="003D56FB">
        <w:rPr>
          <w:sz w:val="22"/>
          <w:szCs w:val="22"/>
        </w:rPr>
        <w:t>a</w:t>
      </w:r>
      <w:r w:rsidRPr="00224A15">
        <w:rPr>
          <w:sz w:val="22"/>
          <w:szCs w:val="22"/>
        </w:rPr>
        <w:t xml:space="preserve"> k </w:t>
      </w:r>
      <w:r w:rsidR="003715C2">
        <w:rPr>
          <w:sz w:val="22"/>
          <w:szCs w:val="22"/>
        </w:rPr>
        <w:t xml:space="preserve">30. 9. </w:t>
      </w:r>
      <w:r w:rsidR="003715C2" w:rsidRPr="00224A15">
        <w:rPr>
          <w:sz w:val="22"/>
          <w:szCs w:val="22"/>
        </w:rPr>
        <w:t>2015</w:t>
      </w:r>
      <w:r w:rsidR="003D56FB">
        <w:rPr>
          <w:sz w:val="22"/>
          <w:szCs w:val="22"/>
        </w:rPr>
        <w:t>,</w:t>
      </w:r>
      <w:r w:rsidRPr="00224A15">
        <w:rPr>
          <w:sz w:val="22"/>
          <w:szCs w:val="22"/>
        </w:rPr>
        <w:t xml:space="preserve"> protože ve sledovaném období byl ukončen jeden projekt s nízkým podílem napojených registrů. Po ukončení zb</w:t>
      </w:r>
      <w:r w:rsidR="003D56FB">
        <w:rPr>
          <w:sz w:val="22"/>
          <w:szCs w:val="22"/>
        </w:rPr>
        <w:t>ývající</w:t>
      </w:r>
      <w:r w:rsidRPr="00224A15">
        <w:rPr>
          <w:sz w:val="22"/>
          <w:szCs w:val="22"/>
        </w:rPr>
        <w:t xml:space="preserve">ch projektů </w:t>
      </w:r>
      <w:r w:rsidR="003D56FB">
        <w:rPr>
          <w:sz w:val="22"/>
          <w:szCs w:val="22"/>
        </w:rPr>
        <w:t>s</w:t>
      </w:r>
      <w:r w:rsidRPr="00224A15">
        <w:rPr>
          <w:sz w:val="22"/>
          <w:szCs w:val="22"/>
        </w:rPr>
        <w:t>e sníží podíl na úroveň závazku. Plánovaná hodnota v Programovém dokumentu IOP je 75</w:t>
      </w:r>
      <w:r w:rsidR="002B5743">
        <w:rPr>
          <w:sz w:val="22"/>
          <w:szCs w:val="22"/>
        </w:rPr>
        <w:t xml:space="preserve"> </w:t>
      </w:r>
      <w:r w:rsidRPr="00224A15">
        <w:rPr>
          <w:sz w:val="22"/>
          <w:szCs w:val="22"/>
        </w:rPr>
        <w:t>%. Závazek ze schválených projektů je 87, </w:t>
      </w:r>
      <w:r w:rsidR="002B5743" w:rsidRPr="00224A15">
        <w:rPr>
          <w:sz w:val="22"/>
          <w:szCs w:val="22"/>
        </w:rPr>
        <w:t>28</w:t>
      </w:r>
      <w:r w:rsidR="002B5743">
        <w:rPr>
          <w:sz w:val="22"/>
          <w:szCs w:val="22"/>
        </w:rPr>
        <w:t xml:space="preserve"> </w:t>
      </w:r>
      <w:r w:rsidR="002B5743" w:rsidRPr="00224A15">
        <w:rPr>
          <w:sz w:val="22"/>
          <w:szCs w:val="22"/>
        </w:rPr>
        <w:t>%. V oblasti</w:t>
      </w:r>
      <w:r w:rsidRPr="00224A15">
        <w:rPr>
          <w:sz w:val="22"/>
          <w:szCs w:val="22"/>
        </w:rPr>
        <w:t xml:space="preserve"> intervence 1.1 indikátor vykazuje 14 projektů. </w:t>
      </w:r>
    </w:p>
    <w:p w:rsidR="00224A15" w:rsidRPr="00224A15" w:rsidRDefault="00224A15" w:rsidP="00224A15">
      <w:pPr>
        <w:jc w:val="both"/>
        <w:rPr>
          <w:sz w:val="22"/>
          <w:szCs w:val="22"/>
        </w:rPr>
      </w:pPr>
    </w:p>
    <w:p w:rsidR="00224A15" w:rsidRPr="00224A15" w:rsidRDefault="00224A15" w:rsidP="00224A15">
      <w:pPr>
        <w:spacing w:line="276" w:lineRule="auto"/>
        <w:jc w:val="both"/>
        <w:rPr>
          <w:b/>
          <w:sz w:val="22"/>
          <w:szCs w:val="22"/>
        </w:rPr>
      </w:pPr>
      <w:r w:rsidRPr="00224A15">
        <w:rPr>
          <w:b/>
          <w:sz w:val="22"/>
          <w:szCs w:val="22"/>
        </w:rPr>
        <w:t>150110 Podíl úřadů státní správy využívajících sdílenou KIVS</w:t>
      </w:r>
    </w:p>
    <w:p w:rsidR="00224A15" w:rsidRPr="00224A15" w:rsidRDefault="00224A15" w:rsidP="00224A15">
      <w:pPr>
        <w:jc w:val="both"/>
        <w:rPr>
          <w:sz w:val="22"/>
          <w:szCs w:val="22"/>
        </w:rPr>
      </w:pPr>
      <w:r w:rsidRPr="00224A15">
        <w:rPr>
          <w:sz w:val="22"/>
          <w:szCs w:val="22"/>
        </w:rPr>
        <w:t xml:space="preserve">Dosažená hodnota ke dni </w:t>
      </w:r>
      <w:r w:rsidR="003715C2">
        <w:rPr>
          <w:sz w:val="22"/>
          <w:szCs w:val="22"/>
        </w:rPr>
        <w:t xml:space="preserve">30. 9. </w:t>
      </w:r>
      <w:r w:rsidR="003715C2" w:rsidRPr="00224A15">
        <w:rPr>
          <w:sz w:val="22"/>
          <w:szCs w:val="22"/>
        </w:rPr>
        <w:t xml:space="preserve">2015 </w:t>
      </w:r>
      <w:r w:rsidRPr="00224A15">
        <w:rPr>
          <w:sz w:val="22"/>
          <w:szCs w:val="22"/>
        </w:rPr>
        <w:t>je 93,50</w:t>
      </w:r>
      <w:r w:rsidR="003D56FB">
        <w:rPr>
          <w:sz w:val="22"/>
          <w:szCs w:val="22"/>
        </w:rPr>
        <w:t xml:space="preserve"> </w:t>
      </w:r>
      <w:r w:rsidRPr="00224A15">
        <w:rPr>
          <w:sz w:val="22"/>
          <w:szCs w:val="22"/>
        </w:rPr>
        <w:t xml:space="preserve">%. Zde </w:t>
      </w:r>
      <w:r w:rsidR="003D56FB">
        <w:rPr>
          <w:sz w:val="22"/>
          <w:szCs w:val="22"/>
        </w:rPr>
        <w:t>se</w:t>
      </w:r>
      <w:r w:rsidRPr="00224A15">
        <w:rPr>
          <w:sz w:val="22"/>
          <w:szCs w:val="22"/>
        </w:rPr>
        <w:t xml:space="preserve"> mírn</w:t>
      </w:r>
      <w:r w:rsidR="003D56FB">
        <w:rPr>
          <w:sz w:val="22"/>
          <w:szCs w:val="22"/>
        </w:rPr>
        <w:t>ě</w:t>
      </w:r>
      <w:r w:rsidRPr="00224A15">
        <w:rPr>
          <w:sz w:val="22"/>
          <w:szCs w:val="22"/>
        </w:rPr>
        <w:t xml:space="preserve"> zvýš</w:t>
      </w:r>
      <w:r w:rsidR="003D56FB">
        <w:rPr>
          <w:sz w:val="22"/>
          <w:szCs w:val="22"/>
        </w:rPr>
        <w:t>il</w:t>
      </w:r>
      <w:r w:rsidRPr="00224A15">
        <w:rPr>
          <w:sz w:val="22"/>
          <w:szCs w:val="22"/>
        </w:rPr>
        <w:t xml:space="preserve"> závaz</w:t>
      </w:r>
      <w:r w:rsidR="003D56FB">
        <w:rPr>
          <w:sz w:val="22"/>
          <w:szCs w:val="22"/>
        </w:rPr>
        <w:t>e</w:t>
      </w:r>
      <w:r w:rsidRPr="00224A15">
        <w:rPr>
          <w:sz w:val="22"/>
          <w:szCs w:val="22"/>
        </w:rPr>
        <w:t>k ze schválených projektů z důvodu nových projektů v</w:t>
      </w:r>
      <w:r w:rsidR="003D56FB">
        <w:rPr>
          <w:sz w:val="22"/>
          <w:szCs w:val="22"/>
        </w:rPr>
        <w:t> 17.</w:t>
      </w:r>
      <w:r w:rsidRPr="00224A15">
        <w:rPr>
          <w:sz w:val="22"/>
          <w:szCs w:val="22"/>
        </w:rPr>
        <w:t xml:space="preserve"> výzvě. Ke zvýšení dosažené hodnoty k 1. 10. 2015 došlo z důvodu, že se jedná o podílový indikátor a byl ukončen projekt s vysokým podílem. Po ukončení zb</w:t>
      </w:r>
      <w:r w:rsidR="003D56FB">
        <w:rPr>
          <w:sz w:val="22"/>
          <w:szCs w:val="22"/>
        </w:rPr>
        <w:t>ývající</w:t>
      </w:r>
      <w:r w:rsidRPr="00224A15">
        <w:rPr>
          <w:sz w:val="22"/>
          <w:szCs w:val="22"/>
        </w:rPr>
        <w:t xml:space="preserve">ch projektů </w:t>
      </w:r>
      <w:r w:rsidR="003D56FB">
        <w:rPr>
          <w:sz w:val="22"/>
          <w:szCs w:val="22"/>
        </w:rPr>
        <w:t>s</w:t>
      </w:r>
      <w:r w:rsidRPr="00224A15">
        <w:rPr>
          <w:sz w:val="22"/>
          <w:szCs w:val="22"/>
        </w:rPr>
        <w:t>e zvýší podíl na úroveň závazku.</w:t>
      </w:r>
      <w:r>
        <w:rPr>
          <w:sz w:val="22"/>
          <w:szCs w:val="22"/>
        </w:rPr>
        <w:t xml:space="preserve"> </w:t>
      </w:r>
      <w:r w:rsidRPr="00224A15">
        <w:rPr>
          <w:sz w:val="22"/>
          <w:szCs w:val="22"/>
        </w:rPr>
        <w:t>Plánovaná hodnota v Programovém dokumentu IOP je 80</w:t>
      </w:r>
      <w:r w:rsidR="003D56FB">
        <w:rPr>
          <w:sz w:val="22"/>
          <w:szCs w:val="22"/>
        </w:rPr>
        <w:t xml:space="preserve"> </w:t>
      </w:r>
      <w:r w:rsidRPr="00224A15">
        <w:rPr>
          <w:sz w:val="22"/>
          <w:szCs w:val="22"/>
        </w:rPr>
        <w:t>%. Závazek ze schválených projektů je 93,35</w:t>
      </w:r>
      <w:r w:rsidR="003D56FB">
        <w:rPr>
          <w:sz w:val="22"/>
          <w:szCs w:val="22"/>
        </w:rPr>
        <w:t xml:space="preserve"> </w:t>
      </w:r>
      <w:r w:rsidRPr="00224A15">
        <w:rPr>
          <w:sz w:val="22"/>
          <w:szCs w:val="22"/>
        </w:rPr>
        <w:t>%.</w:t>
      </w:r>
      <w:r>
        <w:rPr>
          <w:sz w:val="22"/>
          <w:szCs w:val="22"/>
        </w:rPr>
        <w:t xml:space="preserve"> </w:t>
      </w:r>
      <w:r w:rsidRPr="00224A15">
        <w:rPr>
          <w:sz w:val="22"/>
          <w:szCs w:val="22"/>
        </w:rPr>
        <w:t>Tento indikátor vykazuje 17 projektů.</w:t>
      </w:r>
    </w:p>
    <w:p w:rsidR="00224A15" w:rsidRPr="00224A15" w:rsidRDefault="00224A15" w:rsidP="00224A15">
      <w:pPr>
        <w:jc w:val="both"/>
        <w:rPr>
          <w:sz w:val="22"/>
          <w:szCs w:val="22"/>
        </w:rPr>
      </w:pPr>
    </w:p>
    <w:p w:rsidR="00224A15" w:rsidRPr="00224A15" w:rsidRDefault="00224A15" w:rsidP="00224A15">
      <w:pPr>
        <w:jc w:val="both"/>
        <w:rPr>
          <w:b/>
          <w:sz w:val="22"/>
          <w:szCs w:val="22"/>
        </w:rPr>
      </w:pPr>
      <w:r w:rsidRPr="00224A15">
        <w:rPr>
          <w:b/>
          <w:sz w:val="22"/>
          <w:szCs w:val="22"/>
        </w:rPr>
        <w:t xml:space="preserve">150111 Podíl resortních a </w:t>
      </w:r>
      <w:proofErr w:type="spellStart"/>
      <w:r w:rsidRPr="00224A15">
        <w:rPr>
          <w:b/>
          <w:sz w:val="22"/>
          <w:szCs w:val="22"/>
        </w:rPr>
        <w:t>agendových</w:t>
      </w:r>
      <w:proofErr w:type="spellEnd"/>
      <w:r w:rsidRPr="00224A15">
        <w:rPr>
          <w:b/>
          <w:sz w:val="22"/>
          <w:szCs w:val="22"/>
        </w:rPr>
        <w:t xml:space="preserve"> portálů provázaných na Portál veřejné správy</w:t>
      </w:r>
    </w:p>
    <w:p w:rsidR="00224A15" w:rsidRPr="00224A15" w:rsidRDefault="00224A15" w:rsidP="00224A15">
      <w:pPr>
        <w:jc w:val="both"/>
        <w:rPr>
          <w:b/>
          <w:i/>
          <w:sz w:val="22"/>
          <w:szCs w:val="22"/>
        </w:rPr>
      </w:pPr>
      <w:r w:rsidRPr="00224A15">
        <w:rPr>
          <w:sz w:val="22"/>
          <w:szCs w:val="22"/>
        </w:rPr>
        <w:t xml:space="preserve">Dosažená hodnota ke dni </w:t>
      </w:r>
      <w:r w:rsidR="003715C2">
        <w:rPr>
          <w:sz w:val="22"/>
          <w:szCs w:val="22"/>
        </w:rPr>
        <w:t xml:space="preserve">30. 9. </w:t>
      </w:r>
      <w:r w:rsidR="003715C2" w:rsidRPr="00224A15">
        <w:rPr>
          <w:sz w:val="22"/>
          <w:szCs w:val="22"/>
        </w:rPr>
        <w:t xml:space="preserve">2015 </w:t>
      </w:r>
      <w:r w:rsidRPr="00224A15">
        <w:rPr>
          <w:sz w:val="22"/>
          <w:szCs w:val="22"/>
        </w:rPr>
        <w:t>je 78,16</w:t>
      </w:r>
      <w:r w:rsidR="003D56FB">
        <w:rPr>
          <w:sz w:val="22"/>
          <w:szCs w:val="22"/>
        </w:rPr>
        <w:t xml:space="preserve"> </w:t>
      </w:r>
      <w:r w:rsidRPr="00224A15">
        <w:rPr>
          <w:sz w:val="22"/>
          <w:szCs w:val="22"/>
        </w:rPr>
        <w:t>%</w:t>
      </w:r>
      <w:r w:rsidR="003D56FB">
        <w:rPr>
          <w:sz w:val="22"/>
          <w:szCs w:val="22"/>
        </w:rPr>
        <w:t xml:space="preserve"> a</w:t>
      </w:r>
      <w:r w:rsidRPr="00224A15">
        <w:rPr>
          <w:sz w:val="22"/>
          <w:szCs w:val="22"/>
        </w:rPr>
        <w:t xml:space="preserve"> vychází z hodnot 6 ukončených projektů. Plánovaná hodnota v Programovém dokumentu IOP je 75</w:t>
      </w:r>
      <w:r w:rsidR="003D56FB">
        <w:rPr>
          <w:sz w:val="22"/>
          <w:szCs w:val="22"/>
        </w:rPr>
        <w:t xml:space="preserve"> </w:t>
      </w:r>
      <w:r w:rsidRPr="00224A15">
        <w:rPr>
          <w:sz w:val="22"/>
          <w:szCs w:val="22"/>
        </w:rPr>
        <w:t>%. Závazek ze schválených projektů je 78,1</w:t>
      </w:r>
      <w:r w:rsidR="003D56FB">
        <w:rPr>
          <w:sz w:val="22"/>
          <w:szCs w:val="22"/>
        </w:rPr>
        <w:t xml:space="preserve"> </w:t>
      </w:r>
      <w:r w:rsidRPr="00224A15">
        <w:rPr>
          <w:sz w:val="22"/>
          <w:szCs w:val="22"/>
        </w:rPr>
        <w:t>6%.</w:t>
      </w:r>
      <w:r>
        <w:rPr>
          <w:b/>
          <w:i/>
          <w:sz w:val="22"/>
          <w:szCs w:val="22"/>
        </w:rPr>
        <w:t xml:space="preserve"> </w:t>
      </w:r>
      <w:r w:rsidRPr="00224A15">
        <w:rPr>
          <w:sz w:val="22"/>
          <w:szCs w:val="22"/>
        </w:rPr>
        <w:t>V oblasti intervence 1.1 indikátor naplňuje 6 příjemců ústředních orgánů státní správy. Hodnoty uvedeného MI jsou konečné, všechny projekty, které si MI zvolil</w:t>
      </w:r>
      <w:r w:rsidR="003D56FB">
        <w:rPr>
          <w:sz w:val="22"/>
          <w:szCs w:val="22"/>
        </w:rPr>
        <w:t>y</w:t>
      </w:r>
      <w:r w:rsidRPr="00224A15">
        <w:rPr>
          <w:sz w:val="22"/>
          <w:szCs w:val="22"/>
        </w:rPr>
        <w:t>, byly ukončeny.</w:t>
      </w:r>
    </w:p>
    <w:p w:rsidR="00224A15" w:rsidRPr="00224A15" w:rsidRDefault="00224A15" w:rsidP="00224A15">
      <w:pPr>
        <w:jc w:val="both"/>
        <w:rPr>
          <w:sz w:val="22"/>
          <w:szCs w:val="22"/>
        </w:rPr>
      </w:pPr>
    </w:p>
    <w:p w:rsidR="00224A15" w:rsidRPr="00224A15" w:rsidRDefault="00224A15" w:rsidP="00224A15">
      <w:pPr>
        <w:jc w:val="both"/>
        <w:rPr>
          <w:b/>
          <w:sz w:val="22"/>
          <w:szCs w:val="22"/>
        </w:rPr>
      </w:pPr>
      <w:r w:rsidRPr="00224A15">
        <w:rPr>
          <w:b/>
          <w:sz w:val="22"/>
          <w:szCs w:val="22"/>
        </w:rPr>
        <w:t>150112 Podíl digitalizovaných dokumentů</w:t>
      </w:r>
    </w:p>
    <w:p w:rsidR="00224A15" w:rsidRPr="00224A15" w:rsidRDefault="00224A15" w:rsidP="00224A15">
      <w:pPr>
        <w:jc w:val="both"/>
        <w:rPr>
          <w:sz w:val="22"/>
          <w:szCs w:val="22"/>
        </w:rPr>
      </w:pPr>
      <w:r w:rsidRPr="00224A15">
        <w:rPr>
          <w:sz w:val="22"/>
          <w:szCs w:val="22"/>
        </w:rPr>
        <w:t xml:space="preserve">Dosažená hodnota ke dni </w:t>
      </w:r>
      <w:r w:rsidR="003715C2">
        <w:rPr>
          <w:sz w:val="22"/>
          <w:szCs w:val="22"/>
        </w:rPr>
        <w:t xml:space="preserve">30. 9. </w:t>
      </w:r>
      <w:r w:rsidR="003715C2" w:rsidRPr="00224A15">
        <w:rPr>
          <w:sz w:val="22"/>
          <w:szCs w:val="22"/>
        </w:rPr>
        <w:t xml:space="preserve">2015 </w:t>
      </w:r>
      <w:r w:rsidRPr="00224A15">
        <w:rPr>
          <w:sz w:val="22"/>
          <w:szCs w:val="22"/>
        </w:rPr>
        <w:t>je 25,0</w:t>
      </w:r>
      <w:r w:rsidR="003D56FB">
        <w:rPr>
          <w:sz w:val="22"/>
          <w:szCs w:val="22"/>
        </w:rPr>
        <w:t xml:space="preserve"> </w:t>
      </w:r>
      <w:r w:rsidRPr="00224A15">
        <w:rPr>
          <w:sz w:val="22"/>
          <w:szCs w:val="22"/>
        </w:rPr>
        <w:t>2%. Plánovaná hodnota v Programovém dokumentu IOP je 20</w:t>
      </w:r>
      <w:r w:rsidR="003D56FB">
        <w:rPr>
          <w:sz w:val="22"/>
          <w:szCs w:val="22"/>
        </w:rPr>
        <w:t xml:space="preserve"> </w:t>
      </w:r>
      <w:r w:rsidRPr="00224A15">
        <w:rPr>
          <w:sz w:val="22"/>
          <w:szCs w:val="22"/>
        </w:rPr>
        <w:t>%. Závazek ze schválených projektů je 43,45</w:t>
      </w:r>
      <w:r w:rsidR="003D56FB">
        <w:rPr>
          <w:sz w:val="22"/>
          <w:szCs w:val="22"/>
        </w:rPr>
        <w:t xml:space="preserve"> </w:t>
      </w:r>
      <w:r w:rsidRPr="00224A15">
        <w:rPr>
          <w:sz w:val="22"/>
          <w:szCs w:val="22"/>
        </w:rPr>
        <w:t>%.</w:t>
      </w:r>
      <w:r>
        <w:rPr>
          <w:sz w:val="22"/>
          <w:szCs w:val="22"/>
        </w:rPr>
        <w:t xml:space="preserve"> </w:t>
      </w:r>
      <w:r w:rsidR="003D56FB">
        <w:rPr>
          <w:sz w:val="22"/>
          <w:szCs w:val="22"/>
        </w:rPr>
        <w:t>M</w:t>
      </w:r>
      <w:r w:rsidRPr="00224A15">
        <w:rPr>
          <w:sz w:val="22"/>
          <w:szCs w:val="22"/>
        </w:rPr>
        <w:t>írn</w:t>
      </w:r>
      <w:r w:rsidR="003D56FB">
        <w:rPr>
          <w:sz w:val="22"/>
          <w:szCs w:val="22"/>
        </w:rPr>
        <w:t>ě se</w:t>
      </w:r>
      <w:r w:rsidRPr="00224A15">
        <w:rPr>
          <w:sz w:val="22"/>
          <w:szCs w:val="22"/>
        </w:rPr>
        <w:t xml:space="preserve"> zvýš</w:t>
      </w:r>
      <w:r w:rsidR="003D56FB">
        <w:rPr>
          <w:sz w:val="22"/>
          <w:szCs w:val="22"/>
        </w:rPr>
        <w:t>ila</w:t>
      </w:r>
      <w:r w:rsidRPr="00224A15">
        <w:rPr>
          <w:sz w:val="22"/>
          <w:szCs w:val="22"/>
        </w:rPr>
        <w:t xml:space="preserve"> dosažen</w:t>
      </w:r>
      <w:r w:rsidR="003D56FB">
        <w:rPr>
          <w:sz w:val="22"/>
          <w:szCs w:val="22"/>
        </w:rPr>
        <w:t>á</w:t>
      </w:r>
      <w:r w:rsidRPr="00224A15">
        <w:rPr>
          <w:sz w:val="22"/>
          <w:szCs w:val="22"/>
        </w:rPr>
        <w:t xml:space="preserve"> hodnot</w:t>
      </w:r>
      <w:r w:rsidR="003D56FB">
        <w:rPr>
          <w:sz w:val="22"/>
          <w:szCs w:val="22"/>
        </w:rPr>
        <w:t>a</w:t>
      </w:r>
      <w:r w:rsidRPr="00224A15">
        <w:rPr>
          <w:sz w:val="22"/>
          <w:szCs w:val="22"/>
        </w:rPr>
        <w:t xml:space="preserve"> </w:t>
      </w:r>
      <w:r w:rsidR="006244FC">
        <w:rPr>
          <w:sz w:val="22"/>
          <w:szCs w:val="22"/>
        </w:rPr>
        <w:br/>
      </w:r>
      <w:r w:rsidRPr="00224A15">
        <w:rPr>
          <w:sz w:val="22"/>
          <w:szCs w:val="22"/>
        </w:rPr>
        <w:t xml:space="preserve">k </w:t>
      </w:r>
      <w:r w:rsidR="003715C2">
        <w:rPr>
          <w:sz w:val="22"/>
          <w:szCs w:val="22"/>
        </w:rPr>
        <w:t xml:space="preserve">30. 9. </w:t>
      </w:r>
      <w:r w:rsidR="003715C2" w:rsidRPr="00224A15">
        <w:rPr>
          <w:sz w:val="22"/>
          <w:szCs w:val="22"/>
        </w:rPr>
        <w:t>2015</w:t>
      </w:r>
      <w:r w:rsidR="003D56FB">
        <w:rPr>
          <w:sz w:val="22"/>
          <w:szCs w:val="22"/>
        </w:rPr>
        <w:t>,</w:t>
      </w:r>
      <w:r w:rsidRPr="00224A15">
        <w:rPr>
          <w:sz w:val="22"/>
          <w:szCs w:val="22"/>
        </w:rPr>
        <w:t xml:space="preserve"> protože se jedná o podílový indikátor a byl ukončen projekt s vysokým podílem. Po ukončení zb</w:t>
      </w:r>
      <w:r w:rsidR="003D56FB">
        <w:rPr>
          <w:sz w:val="22"/>
          <w:szCs w:val="22"/>
        </w:rPr>
        <w:t>ývající</w:t>
      </w:r>
      <w:r w:rsidRPr="00224A15">
        <w:rPr>
          <w:sz w:val="22"/>
          <w:szCs w:val="22"/>
        </w:rPr>
        <w:t xml:space="preserve">ch projektů </w:t>
      </w:r>
      <w:r w:rsidR="003D56FB">
        <w:rPr>
          <w:sz w:val="22"/>
          <w:szCs w:val="22"/>
        </w:rPr>
        <w:t>s</w:t>
      </w:r>
      <w:r w:rsidRPr="00224A15">
        <w:rPr>
          <w:sz w:val="22"/>
          <w:szCs w:val="22"/>
        </w:rPr>
        <w:t>e zvýší podíl na úroveň závazku.</w:t>
      </w:r>
      <w:r>
        <w:rPr>
          <w:sz w:val="22"/>
          <w:szCs w:val="22"/>
        </w:rPr>
        <w:t xml:space="preserve"> </w:t>
      </w:r>
      <w:r w:rsidRPr="00224A15">
        <w:rPr>
          <w:sz w:val="22"/>
          <w:szCs w:val="22"/>
        </w:rPr>
        <w:t xml:space="preserve">V oblasti intervence </w:t>
      </w:r>
      <w:r w:rsidR="006244FC">
        <w:rPr>
          <w:sz w:val="22"/>
          <w:szCs w:val="22"/>
        </w:rPr>
        <w:br/>
      </w:r>
      <w:r w:rsidRPr="00224A15">
        <w:rPr>
          <w:sz w:val="22"/>
          <w:szCs w:val="22"/>
        </w:rPr>
        <w:t xml:space="preserve">1.1 indikátor vykázalo 11 příjemců ústředních orgánů státní správy. </w:t>
      </w:r>
    </w:p>
    <w:p w:rsidR="00224A15" w:rsidRPr="00224A15" w:rsidRDefault="00224A15" w:rsidP="00224A15">
      <w:pPr>
        <w:jc w:val="both"/>
        <w:rPr>
          <w:sz w:val="22"/>
          <w:szCs w:val="22"/>
        </w:rPr>
      </w:pPr>
    </w:p>
    <w:p w:rsidR="00224A15" w:rsidRPr="00224A15" w:rsidRDefault="00224A15" w:rsidP="00224A15">
      <w:pPr>
        <w:jc w:val="both"/>
        <w:rPr>
          <w:b/>
          <w:sz w:val="22"/>
          <w:szCs w:val="22"/>
        </w:rPr>
      </w:pPr>
      <w:r w:rsidRPr="00224A15">
        <w:rPr>
          <w:b/>
          <w:sz w:val="22"/>
          <w:szCs w:val="22"/>
        </w:rPr>
        <w:t>150113 Podíl úřadů s elektronickou spisovou službou a elektronicky řízeným oběhem dokumentů</w:t>
      </w:r>
    </w:p>
    <w:p w:rsidR="00224A15" w:rsidRPr="00224A15" w:rsidRDefault="00224A15" w:rsidP="00224A15">
      <w:pPr>
        <w:jc w:val="both"/>
        <w:rPr>
          <w:sz w:val="22"/>
          <w:szCs w:val="22"/>
        </w:rPr>
      </w:pPr>
      <w:r w:rsidRPr="00224A15">
        <w:rPr>
          <w:sz w:val="22"/>
          <w:szCs w:val="22"/>
        </w:rPr>
        <w:t>Dosažen</w:t>
      </w:r>
      <w:r w:rsidR="006E6B0F">
        <w:rPr>
          <w:sz w:val="22"/>
          <w:szCs w:val="22"/>
        </w:rPr>
        <w:t>é</w:t>
      </w:r>
      <w:r w:rsidRPr="00224A15">
        <w:rPr>
          <w:sz w:val="22"/>
          <w:szCs w:val="22"/>
        </w:rPr>
        <w:t xml:space="preserve"> hodnot</w:t>
      </w:r>
      <w:r w:rsidR="006E6B0F">
        <w:rPr>
          <w:sz w:val="22"/>
          <w:szCs w:val="22"/>
        </w:rPr>
        <w:t xml:space="preserve">y, plánovaná hodnota </w:t>
      </w:r>
      <w:r w:rsidR="006E6B0F" w:rsidRPr="00224A15">
        <w:rPr>
          <w:sz w:val="22"/>
          <w:szCs w:val="22"/>
        </w:rPr>
        <w:t xml:space="preserve">v Programovém dokumentu IOP </w:t>
      </w:r>
      <w:r w:rsidR="006E6B0F">
        <w:rPr>
          <w:sz w:val="22"/>
          <w:szCs w:val="22"/>
        </w:rPr>
        <w:t>a z</w:t>
      </w:r>
      <w:r w:rsidR="006E6B0F" w:rsidRPr="00224A15">
        <w:rPr>
          <w:sz w:val="22"/>
          <w:szCs w:val="22"/>
        </w:rPr>
        <w:t xml:space="preserve">ávazek ze schválených projektů </w:t>
      </w:r>
      <w:r w:rsidRPr="00224A15">
        <w:rPr>
          <w:sz w:val="22"/>
          <w:szCs w:val="22"/>
        </w:rPr>
        <w:t xml:space="preserve">ke dni </w:t>
      </w:r>
      <w:r w:rsidR="003715C2">
        <w:rPr>
          <w:sz w:val="22"/>
          <w:szCs w:val="22"/>
        </w:rPr>
        <w:t xml:space="preserve">30. 9. </w:t>
      </w:r>
      <w:r w:rsidR="003715C2" w:rsidRPr="00224A15">
        <w:rPr>
          <w:sz w:val="22"/>
          <w:szCs w:val="22"/>
        </w:rPr>
        <w:t xml:space="preserve">2015 </w:t>
      </w:r>
      <w:r w:rsidRPr="00224A15">
        <w:rPr>
          <w:sz w:val="22"/>
          <w:szCs w:val="22"/>
        </w:rPr>
        <w:t>j</w:t>
      </w:r>
      <w:r w:rsidR="006E6B0F">
        <w:rPr>
          <w:sz w:val="22"/>
          <w:szCs w:val="22"/>
        </w:rPr>
        <w:t>sou</w:t>
      </w:r>
      <w:r w:rsidRPr="00224A15">
        <w:rPr>
          <w:sz w:val="22"/>
          <w:szCs w:val="22"/>
        </w:rPr>
        <w:t xml:space="preserve"> 100</w:t>
      </w:r>
      <w:r w:rsidR="006E6B0F">
        <w:rPr>
          <w:sz w:val="22"/>
          <w:szCs w:val="22"/>
        </w:rPr>
        <w:t xml:space="preserve"> </w:t>
      </w:r>
      <w:r w:rsidRPr="00224A15">
        <w:rPr>
          <w:sz w:val="22"/>
          <w:szCs w:val="22"/>
        </w:rPr>
        <w:t xml:space="preserve">%. </w:t>
      </w:r>
      <w:proofErr w:type="gramStart"/>
      <w:r w:rsidRPr="00224A15">
        <w:rPr>
          <w:sz w:val="22"/>
          <w:szCs w:val="22"/>
        </w:rPr>
        <w:t>MI</w:t>
      </w:r>
      <w:proofErr w:type="gramEnd"/>
      <w:r w:rsidRPr="00224A15">
        <w:rPr>
          <w:sz w:val="22"/>
          <w:szCs w:val="22"/>
        </w:rPr>
        <w:t xml:space="preserve"> po přepočtu vykazuje uvedenou </w:t>
      </w:r>
      <w:r w:rsidR="006E6B0F">
        <w:rPr>
          <w:sz w:val="22"/>
          <w:szCs w:val="22"/>
        </w:rPr>
        <w:t xml:space="preserve">konečnou </w:t>
      </w:r>
      <w:r w:rsidRPr="00224A15">
        <w:rPr>
          <w:sz w:val="22"/>
          <w:szCs w:val="22"/>
        </w:rPr>
        <w:t>hodnotu.</w:t>
      </w:r>
    </w:p>
    <w:p w:rsidR="00224A15" w:rsidRPr="00224A15" w:rsidRDefault="00224A15" w:rsidP="00224A15">
      <w:pPr>
        <w:jc w:val="both"/>
        <w:rPr>
          <w:sz w:val="22"/>
          <w:szCs w:val="22"/>
        </w:rPr>
      </w:pPr>
    </w:p>
    <w:p w:rsidR="00224A15" w:rsidRPr="00224A15" w:rsidRDefault="00224A15" w:rsidP="00224A15">
      <w:pPr>
        <w:jc w:val="both"/>
        <w:rPr>
          <w:b/>
          <w:sz w:val="22"/>
          <w:szCs w:val="22"/>
        </w:rPr>
      </w:pPr>
      <w:r w:rsidRPr="00224A15">
        <w:rPr>
          <w:b/>
          <w:sz w:val="22"/>
          <w:szCs w:val="22"/>
        </w:rPr>
        <w:t>152105 Snížení administrativního zatížení občanů, podnikatelů a veřejného sektoru</w:t>
      </w:r>
    </w:p>
    <w:p w:rsidR="00FB07D1" w:rsidRDefault="00224A15" w:rsidP="00FA791B">
      <w:pPr>
        <w:jc w:val="both"/>
        <w:rPr>
          <w:color w:val="1F497D"/>
          <w:sz w:val="22"/>
          <w:szCs w:val="22"/>
        </w:rPr>
      </w:pPr>
      <w:r w:rsidRPr="00224A15">
        <w:rPr>
          <w:sz w:val="22"/>
          <w:szCs w:val="22"/>
        </w:rPr>
        <w:t xml:space="preserve">Dosažená hodnota ke dni </w:t>
      </w:r>
      <w:r w:rsidR="003715C2">
        <w:rPr>
          <w:sz w:val="22"/>
          <w:szCs w:val="22"/>
        </w:rPr>
        <w:t xml:space="preserve">30. 9. </w:t>
      </w:r>
      <w:r w:rsidR="003715C2" w:rsidRPr="00224A15">
        <w:rPr>
          <w:sz w:val="22"/>
          <w:szCs w:val="22"/>
        </w:rPr>
        <w:t xml:space="preserve">2015 </w:t>
      </w:r>
      <w:r w:rsidRPr="00224A15">
        <w:rPr>
          <w:sz w:val="22"/>
          <w:szCs w:val="22"/>
        </w:rPr>
        <w:t>je 75 %. Plánovaná hodnota v Programovém dokumentu IOP je 75%.  Závazek ze schválených projektů je 75%.</w:t>
      </w:r>
      <w:r>
        <w:rPr>
          <w:sz w:val="22"/>
          <w:szCs w:val="22"/>
        </w:rPr>
        <w:t xml:space="preserve"> </w:t>
      </w:r>
      <w:proofErr w:type="gramStart"/>
      <w:r w:rsidRPr="00224A15">
        <w:rPr>
          <w:sz w:val="22"/>
          <w:szCs w:val="22"/>
        </w:rPr>
        <w:t>MI</w:t>
      </w:r>
      <w:proofErr w:type="gramEnd"/>
      <w:r w:rsidRPr="00224A15">
        <w:rPr>
          <w:sz w:val="22"/>
          <w:szCs w:val="22"/>
        </w:rPr>
        <w:t xml:space="preserve"> po přepočtu vykazuje uvedenou </w:t>
      </w:r>
      <w:r w:rsidR="006E6B0F">
        <w:rPr>
          <w:sz w:val="22"/>
          <w:szCs w:val="22"/>
        </w:rPr>
        <w:t xml:space="preserve">konečnou </w:t>
      </w:r>
      <w:r w:rsidRPr="00224A15">
        <w:rPr>
          <w:sz w:val="22"/>
          <w:szCs w:val="22"/>
        </w:rPr>
        <w:t>hodnotu</w:t>
      </w:r>
      <w:r>
        <w:rPr>
          <w:color w:val="1F497D"/>
          <w:sz w:val="22"/>
          <w:szCs w:val="22"/>
        </w:rPr>
        <w:t>.</w:t>
      </w:r>
    </w:p>
    <w:p w:rsidR="007D66D0" w:rsidRDefault="007D66D0" w:rsidP="00FA791B">
      <w:pPr>
        <w:jc w:val="both"/>
        <w:rPr>
          <w:color w:val="1F497D"/>
          <w:sz w:val="22"/>
          <w:szCs w:val="22"/>
        </w:rPr>
      </w:pPr>
    </w:p>
    <w:p w:rsidR="007D66D0" w:rsidRDefault="007D66D0" w:rsidP="00FA791B">
      <w:pPr>
        <w:jc w:val="both"/>
        <w:rPr>
          <w:color w:val="1F497D"/>
          <w:sz w:val="22"/>
          <w:szCs w:val="22"/>
        </w:rPr>
      </w:pPr>
    </w:p>
    <w:p w:rsidR="007D66D0" w:rsidRDefault="007D66D0" w:rsidP="00FA791B">
      <w:pPr>
        <w:jc w:val="both"/>
        <w:rPr>
          <w:color w:val="1F497D"/>
          <w:sz w:val="22"/>
          <w:szCs w:val="22"/>
        </w:rPr>
      </w:pPr>
    </w:p>
    <w:p w:rsidR="007D66D0" w:rsidRDefault="007D66D0" w:rsidP="00FA791B">
      <w:pPr>
        <w:jc w:val="both"/>
        <w:rPr>
          <w:sz w:val="22"/>
          <w:szCs w:val="22"/>
        </w:rPr>
      </w:pPr>
    </w:p>
    <w:p w:rsidR="000A6415" w:rsidRDefault="003F5CBA" w:rsidP="00C03B7C">
      <w:pPr>
        <w:pStyle w:val="Tabulkanzev"/>
        <w:keepNext/>
        <w:ind w:left="357" w:hanging="357"/>
        <w:rPr>
          <w:rStyle w:val="Siln"/>
        </w:rPr>
      </w:pPr>
      <w:r w:rsidRPr="005508DA">
        <w:rPr>
          <w:sz w:val="22"/>
          <w:szCs w:val="22"/>
        </w:rPr>
        <w:lastRenderedPageBreak/>
        <w:t xml:space="preserve"> </w:t>
      </w:r>
      <w:bookmarkStart w:id="69" w:name="_Toc433873549"/>
      <w:r w:rsidR="00C03B7C" w:rsidRPr="00493B99">
        <w:rPr>
          <w:rStyle w:val="Siln"/>
        </w:rPr>
        <w:t>Indikátory výstupu</w:t>
      </w:r>
      <w:bookmarkEnd w:id="69"/>
    </w:p>
    <w:tbl>
      <w:tblPr>
        <w:tblW w:w="9080" w:type="dxa"/>
        <w:tblInd w:w="55" w:type="dxa"/>
        <w:tblBorders>
          <w:top w:val="single" w:sz="8" w:space="0" w:color="1F497D"/>
          <w:left w:val="single" w:sz="4" w:space="0" w:color="1F497D" w:themeColor="text2"/>
          <w:bottom w:val="single" w:sz="4" w:space="0" w:color="auto"/>
          <w:right w:val="single" w:sz="4" w:space="0" w:color="1F497D" w:themeColor="text2"/>
          <w:insideH w:val="single" w:sz="4" w:space="0" w:color="1F497D" w:themeColor="text2"/>
          <w:insideV w:val="single" w:sz="4" w:space="0" w:color="1F497D" w:themeColor="text2"/>
        </w:tblBorders>
        <w:tblCellMar>
          <w:left w:w="70" w:type="dxa"/>
          <w:right w:w="70" w:type="dxa"/>
        </w:tblCellMar>
        <w:tblLook w:val="04A0" w:firstRow="1" w:lastRow="0" w:firstColumn="1" w:lastColumn="0" w:noHBand="0" w:noVBand="1"/>
      </w:tblPr>
      <w:tblGrid>
        <w:gridCol w:w="1018"/>
        <w:gridCol w:w="1530"/>
        <w:gridCol w:w="950"/>
        <w:gridCol w:w="892"/>
        <w:gridCol w:w="892"/>
        <w:gridCol w:w="1252"/>
        <w:gridCol w:w="1136"/>
        <w:gridCol w:w="1410"/>
      </w:tblGrid>
      <w:tr w:rsidR="00B556D2" w:rsidRPr="00B556D2" w:rsidTr="00536F83">
        <w:trPr>
          <w:trHeight w:val="1042"/>
        </w:trPr>
        <w:tc>
          <w:tcPr>
            <w:tcW w:w="1018" w:type="dxa"/>
            <w:shd w:val="clear" w:color="000000" w:fill="C5D9F1"/>
            <w:vAlign w:val="center"/>
            <w:hideMark/>
          </w:tcPr>
          <w:p w:rsidR="00B556D2" w:rsidRPr="00B556D2" w:rsidRDefault="00B556D2" w:rsidP="00B556D2">
            <w:pPr>
              <w:jc w:val="center"/>
              <w:rPr>
                <w:b/>
                <w:bCs/>
              </w:rPr>
            </w:pPr>
            <w:r w:rsidRPr="00B556D2">
              <w:rPr>
                <w:b/>
                <w:bCs/>
              </w:rPr>
              <w:t>Kód</w:t>
            </w:r>
          </w:p>
        </w:tc>
        <w:tc>
          <w:tcPr>
            <w:tcW w:w="1530" w:type="dxa"/>
            <w:shd w:val="clear" w:color="000000" w:fill="C5D9F1"/>
            <w:vAlign w:val="center"/>
            <w:hideMark/>
          </w:tcPr>
          <w:p w:rsidR="00B556D2" w:rsidRPr="00B556D2" w:rsidRDefault="00B556D2" w:rsidP="00B556D2">
            <w:pPr>
              <w:jc w:val="center"/>
              <w:rPr>
                <w:b/>
                <w:bCs/>
              </w:rPr>
            </w:pPr>
            <w:r w:rsidRPr="00B556D2">
              <w:rPr>
                <w:b/>
                <w:bCs/>
              </w:rPr>
              <w:t>Název indikátoru</w:t>
            </w:r>
          </w:p>
        </w:tc>
        <w:tc>
          <w:tcPr>
            <w:tcW w:w="950" w:type="dxa"/>
            <w:shd w:val="clear" w:color="000000" w:fill="C5D9F1"/>
            <w:vAlign w:val="center"/>
            <w:hideMark/>
          </w:tcPr>
          <w:p w:rsidR="00B556D2" w:rsidRPr="00B556D2" w:rsidRDefault="00B556D2" w:rsidP="00B556D2">
            <w:pPr>
              <w:jc w:val="center"/>
              <w:rPr>
                <w:b/>
                <w:bCs/>
              </w:rPr>
            </w:pPr>
            <w:r w:rsidRPr="00B556D2">
              <w:rPr>
                <w:b/>
                <w:bCs/>
              </w:rPr>
              <w:t>Měrná jednotka</w:t>
            </w:r>
          </w:p>
        </w:tc>
        <w:tc>
          <w:tcPr>
            <w:tcW w:w="892" w:type="dxa"/>
            <w:shd w:val="clear" w:color="000000" w:fill="C5D9F1"/>
            <w:vAlign w:val="center"/>
            <w:hideMark/>
          </w:tcPr>
          <w:p w:rsidR="00B556D2" w:rsidRPr="00B556D2" w:rsidRDefault="00B556D2" w:rsidP="00B556D2">
            <w:pPr>
              <w:jc w:val="center"/>
              <w:rPr>
                <w:b/>
                <w:bCs/>
              </w:rPr>
            </w:pPr>
            <w:r w:rsidRPr="00B556D2">
              <w:rPr>
                <w:b/>
                <w:bCs/>
              </w:rPr>
              <w:t xml:space="preserve">Výchozí hodnota </w:t>
            </w:r>
          </w:p>
        </w:tc>
        <w:tc>
          <w:tcPr>
            <w:tcW w:w="892" w:type="dxa"/>
            <w:shd w:val="clear" w:color="000000" w:fill="C5D9F1"/>
            <w:vAlign w:val="center"/>
            <w:hideMark/>
          </w:tcPr>
          <w:p w:rsidR="00B556D2" w:rsidRPr="00B556D2" w:rsidRDefault="00B556D2" w:rsidP="00B556D2">
            <w:pPr>
              <w:jc w:val="center"/>
              <w:rPr>
                <w:b/>
                <w:bCs/>
              </w:rPr>
            </w:pPr>
            <w:r w:rsidRPr="00B556D2">
              <w:rPr>
                <w:b/>
                <w:bCs/>
              </w:rPr>
              <w:t>Cílová hodnota</w:t>
            </w:r>
          </w:p>
        </w:tc>
        <w:tc>
          <w:tcPr>
            <w:tcW w:w="1252" w:type="dxa"/>
            <w:shd w:val="clear" w:color="000000" w:fill="C5D9F1"/>
            <w:vAlign w:val="center"/>
            <w:hideMark/>
          </w:tcPr>
          <w:p w:rsidR="00B556D2" w:rsidRPr="00B556D2" w:rsidRDefault="00B556D2" w:rsidP="00B556D2">
            <w:pPr>
              <w:jc w:val="center"/>
              <w:rPr>
                <w:b/>
                <w:bCs/>
              </w:rPr>
            </w:pPr>
            <w:r w:rsidRPr="00B556D2">
              <w:rPr>
                <w:b/>
                <w:bCs/>
              </w:rPr>
              <w:t>Závazek ze schválených projektů</w:t>
            </w:r>
          </w:p>
        </w:tc>
        <w:tc>
          <w:tcPr>
            <w:tcW w:w="1136" w:type="dxa"/>
            <w:shd w:val="clear" w:color="000000" w:fill="C5D9F1"/>
            <w:vAlign w:val="center"/>
            <w:hideMark/>
          </w:tcPr>
          <w:p w:rsidR="00B556D2" w:rsidRPr="00B556D2" w:rsidRDefault="00B556D2" w:rsidP="00B556D2">
            <w:pPr>
              <w:jc w:val="center"/>
              <w:rPr>
                <w:b/>
                <w:bCs/>
              </w:rPr>
            </w:pPr>
            <w:r w:rsidRPr="00B556D2">
              <w:rPr>
                <w:b/>
                <w:bCs/>
              </w:rPr>
              <w:t>Dosažená hodnota k 30. 9. 2015</w:t>
            </w:r>
          </w:p>
        </w:tc>
        <w:tc>
          <w:tcPr>
            <w:tcW w:w="1410" w:type="dxa"/>
            <w:shd w:val="clear" w:color="000000" w:fill="C5D9F1"/>
            <w:vAlign w:val="center"/>
            <w:hideMark/>
          </w:tcPr>
          <w:p w:rsidR="00B556D2" w:rsidRPr="00B556D2" w:rsidRDefault="00B556D2" w:rsidP="00B556D2">
            <w:pPr>
              <w:jc w:val="center"/>
              <w:rPr>
                <w:b/>
                <w:bCs/>
              </w:rPr>
            </w:pPr>
            <w:r w:rsidRPr="00B556D2">
              <w:rPr>
                <w:b/>
                <w:bCs/>
              </w:rPr>
              <w:t>V Rozhodnutí k 30. 9. 2015</w:t>
            </w:r>
          </w:p>
        </w:tc>
      </w:tr>
      <w:tr w:rsidR="00B556D2" w:rsidRPr="00B556D2" w:rsidTr="00536F83">
        <w:trPr>
          <w:trHeight w:val="966"/>
        </w:trPr>
        <w:tc>
          <w:tcPr>
            <w:tcW w:w="1018" w:type="dxa"/>
            <w:shd w:val="clear" w:color="auto" w:fill="auto"/>
            <w:noWrap/>
            <w:vAlign w:val="center"/>
            <w:hideMark/>
          </w:tcPr>
          <w:p w:rsidR="00B556D2" w:rsidRPr="00B556D2" w:rsidRDefault="00B556D2" w:rsidP="00B556D2">
            <w:pPr>
              <w:jc w:val="center"/>
              <w:rPr>
                <w:sz w:val="18"/>
                <w:szCs w:val="18"/>
              </w:rPr>
            </w:pPr>
            <w:r w:rsidRPr="00B556D2">
              <w:rPr>
                <w:sz w:val="18"/>
                <w:szCs w:val="18"/>
              </w:rPr>
              <w:t>150106</w:t>
            </w:r>
          </w:p>
        </w:tc>
        <w:tc>
          <w:tcPr>
            <w:tcW w:w="1530" w:type="dxa"/>
            <w:shd w:val="clear" w:color="auto" w:fill="auto"/>
            <w:vAlign w:val="center"/>
            <w:hideMark/>
          </w:tcPr>
          <w:p w:rsidR="00B556D2" w:rsidRPr="00B556D2" w:rsidRDefault="00B556D2" w:rsidP="00B556D2">
            <w:pPr>
              <w:rPr>
                <w:sz w:val="18"/>
                <w:szCs w:val="18"/>
              </w:rPr>
            </w:pPr>
            <w:r w:rsidRPr="00B556D2">
              <w:rPr>
                <w:sz w:val="18"/>
                <w:szCs w:val="18"/>
              </w:rPr>
              <w:t xml:space="preserve">Počet vybudovaných základních registrů veřejné správy </w:t>
            </w:r>
          </w:p>
        </w:tc>
        <w:tc>
          <w:tcPr>
            <w:tcW w:w="950" w:type="dxa"/>
            <w:shd w:val="clear" w:color="auto" w:fill="auto"/>
            <w:noWrap/>
            <w:vAlign w:val="center"/>
            <w:hideMark/>
          </w:tcPr>
          <w:p w:rsidR="00B556D2" w:rsidRPr="00B556D2" w:rsidRDefault="00B556D2" w:rsidP="00B556D2">
            <w:pPr>
              <w:jc w:val="center"/>
              <w:rPr>
                <w:sz w:val="18"/>
                <w:szCs w:val="18"/>
              </w:rPr>
            </w:pPr>
            <w:r w:rsidRPr="00B556D2">
              <w:rPr>
                <w:sz w:val="18"/>
                <w:szCs w:val="18"/>
              </w:rPr>
              <w:t>Počet</w:t>
            </w:r>
          </w:p>
        </w:tc>
        <w:tc>
          <w:tcPr>
            <w:tcW w:w="892" w:type="dxa"/>
            <w:shd w:val="clear" w:color="auto" w:fill="auto"/>
            <w:noWrap/>
            <w:vAlign w:val="center"/>
            <w:hideMark/>
          </w:tcPr>
          <w:p w:rsidR="00B556D2" w:rsidRPr="00B556D2" w:rsidRDefault="00B556D2" w:rsidP="00B556D2">
            <w:pPr>
              <w:jc w:val="center"/>
              <w:rPr>
                <w:sz w:val="18"/>
                <w:szCs w:val="18"/>
              </w:rPr>
            </w:pPr>
            <w:r w:rsidRPr="00B556D2">
              <w:rPr>
                <w:sz w:val="18"/>
                <w:szCs w:val="18"/>
              </w:rPr>
              <w:t>0</w:t>
            </w:r>
          </w:p>
        </w:tc>
        <w:tc>
          <w:tcPr>
            <w:tcW w:w="892" w:type="dxa"/>
            <w:shd w:val="clear" w:color="auto" w:fill="auto"/>
            <w:noWrap/>
            <w:vAlign w:val="center"/>
            <w:hideMark/>
          </w:tcPr>
          <w:p w:rsidR="00B556D2" w:rsidRPr="00B556D2" w:rsidRDefault="00B556D2" w:rsidP="00B556D2">
            <w:pPr>
              <w:jc w:val="center"/>
              <w:rPr>
                <w:sz w:val="18"/>
                <w:szCs w:val="18"/>
              </w:rPr>
            </w:pPr>
            <w:r w:rsidRPr="00B556D2">
              <w:rPr>
                <w:sz w:val="18"/>
                <w:szCs w:val="18"/>
              </w:rPr>
              <w:t>4</w:t>
            </w:r>
          </w:p>
        </w:tc>
        <w:tc>
          <w:tcPr>
            <w:tcW w:w="1252" w:type="dxa"/>
            <w:shd w:val="clear" w:color="000000" w:fill="FFFFFF"/>
            <w:noWrap/>
            <w:vAlign w:val="center"/>
            <w:hideMark/>
          </w:tcPr>
          <w:p w:rsidR="00B556D2" w:rsidRPr="00B556D2" w:rsidRDefault="00B556D2" w:rsidP="00B556D2">
            <w:pPr>
              <w:jc w:val="center"/>
              <w:rPr>
                <w:sz w:val="18"/>
                <w:szCs w:val="18"/>
              </w:rPr>
            </w:pPr>
            <w:r w:rsidRPr="00B556D2">
              <w:rPr>
                <w:sz w:val="18"/>
                <w:szCs w:val="18"/>
              </w:rPr>
              <w:t>5</w:t>
            </w:r>
          </w:p>
        </w:tc>
        <w:tc>
          <w:tcPr>
            <w:tcW w:w="1136" w:type="dxa"/>
            <w:shd w:val="clear" w:color="000000" w:fill="FFFFFF"/>
            <w:noWrap/>
            <w:vAlign w:val="center"/>
            <w:hideMark/>
          </w:tcPr>
          <w:p w:rsidR="00B556D2" w:rsidRPr="00B556D2" w:rsidRDefault="00B556D2" w:rsidP="00B556D2">
            <w:pPr>
              <w:jc w:val="center"/>
              <w:rPr>
                <w:sz w:val="18"/>
                <w:szCs w:val="18"/>
              </w:rPr>
            </w:pPr>
            <w:r w:rsidRPr="00B556D2">
              <w:rPr>
                <w:sz w:val="18"/>
                <w:szCs w:val="18"/>
              </w:rPr>
              <w:t>5</w:t>
            </w:r>
          </w:p>
        </w:tc>
        <w:tc>
          <w:tcPr>
            <w:tcW w:w="1410" w:type="dxa"/>
            <w:shd w:val="clear" w:color="000000" w:fill="FFFFFF"/>
            <w:noWrap/>
            <w:vAlign w:val="center"/>
            <w:hideMark/>
          </w:tcPr>
          <w:p w:rsidR="00B556D2" w:rsidRPr="00B556D2" w:rsidRDefault="00B556D2" w:rsidP="00B556D2">
            <w:pPr>
              <w:jc w:val="right"/>
              <w:rPr>
                <w:sz w:val="18"/>
                <w:szCs w:val="18"/>
              </w:rPr>
            </w:pPr>
            <w:r w:rsidRPr="00B556D2">
              <w:rPr>
                <w:sz w:val="18"/>
                <w:szCs w:val="18"/>
              </w:rPr>
              <w:t>3 421 312 462</w:t>
            </w:r>
          </w:p>
        </w:tc>
      </w:tr>
      <w:tr w:rsidR="00B556D2" w:rsidRPr="00B556D2" w:rsidTr="00536F83">
        <w:trPr>
          <w:trHeight w:val="725"/>
        </w:trPr>
        <w:tc>
          <w:tcPr>
            <w:tcW w:w="1018" w:type="dxa"/>
            <w:shd w:val="clear" w:color="auto" w:fill="auto"/>
            <w:noWrap/>
            <w:vAlign w:val="center"/>
            <w:hideMark/>
          </w:tcPr>
          <w:p w:rsidR="00B556D2" w:rsidRPr="00B556D2" w:rsidRDefault="00B556D2" w:rsidP="00B556D2">
            <w:pPr>
              <w:jc w:val="center"/>
              <w:rPr>
                <w:sz w:val="18"/>
                <w:szCs w:val="18"/>
              </w:rPr>
            </w:pPr>
            <w:r w:rsidRPr="00B556D2">
              <w:rPr>
                <w:sz w:val="18"/>
                <w:szCs w:val="18"/>
              </w:rPr>
              <w:t>150109</w:t>
            </w:r>
          </w:p>
        </w:tc>
        <w:tc>
          <w:tcPr>
            <w:tcW w:w="1530" w:type="dxa"/>
            <w:shd w:val="clear" w:color="auto" w:fill="auto"/>
            <w:vAlign w:val="center"/>
            <w:hideMark/>
          </w:tcPr>
          <w:p w:rsidR="00B556D2" w:rsidRPr="00B556D2" w:rsidRDefault="00B556D2" w:rsidP="00B556D2">
            <w:pPr>
              <w:rPr>
                <w:sz w:val="18"/>
                <w:szCs w:val="18"/>
              </w:rPr>
            </w:pPr>
            <w:r w:rsidRPr="00B556D2">
              <w:rPr>
                <w:sz w:val="18"/>
                <w:szCs w:val="18"/>
              </w:rPr>
              <w:t xml:space="preserve">Podíl registrů napojených na centrální registry </w:t>
            </w:r>
          </w:p>
        </w:tc>
        <w:tc>
          <w:tcPr>
            <w:tcW w:w="950" w:type="dxa"/>
            <w:shd w:val="clear" w:color="auto" w:fill="auto"/>
            <w:noWrap/>
            <w:vAlign w:val="center"/>
            <w:hideMark/>
          </w:tcPr>
          <w:p w:rsidR="00B556D2" w:rsidRPr="00B556D2" w:rsidRDefault="00B556D2" w:rsidP="00B556D2">
            <w:pPr>
              <w:jc w:val="center"/>
              <w:rPr>
                <w:sz w:val="18"/>
                <w:szCs w:val="18"/>
              </w:rPr>
            </w:pPr>
            <w:r w:rsidRPr="00B556D2">
              <w:rPr>
                <w:sz w:val="18"/>
                <w:szCs w:val="18"/>
              </w:rPr>
              <w:t>%</w:t>
            </w:r>
          </w:p>
        </w:tc>
        <w:tc>
          <w:tcPr>
            <w:tcW w:w="892" w:type="dxa"/>
            <w:shd w:val="clear" w:color="auto" w:fill="auto"/>
            <w:noWrap/>
            <w:vAlign w:val="center"/>
            <w:hideMark/>
          </w:tcPr>
          <w:p w:rsidR="00B556D2" w:rsidRPr="00B556D2" w:rsidRDefault="00B556D2" w:rsidP="00B556D2">
            <w:pPr>
              <w:jc w:val="center"/>
              <w:rPr>
                <w:sz w:val="18"/>
                <w:szCs w:val="18"/>
              </w:rPr>
            </w:pPr>
            <w:r w:rsidRPr="00B556D2">
              <w:rPr>
                <w:sz w:val="18"/>
                <w:szCs w:val="18"/>
              </w:rPr>
              <w:t>0</w:t>
            </w:r>
          </w:p>
        </w:tc>
        <w:tc>
          <w:tcPr>
            <w:tcW w:w="892" w:type="dxa"/>
            <w:shd w:val="clear" w:color="auto" w:fill="auto"/>
            <w:noWrap/>
            <w:vAlign w:val="center"/>
            <w:hideMark/>
          </w:tcPr>
          <w:p w:rsidR="00B556D2" w:rsidRPr="00B556D2" w:rsidRDefault="00B556D2" w:rsidP="00B556D2">
            <w:pPr>
              <w:jc w:val="center"/>
              <w:rPr>
                <w:sz w:val="18"/>
                <w:szCs w:val="18"/>
              </w:rPr>
            </w:pPr>
            <w:r w:rsidRPr="00B556D2">
              <w:rPr>
                <w:sz w:val="18"/>
                <w:szCs w:val="18"/>
              </w:rPr>
              <w:t>75</w:t>
            </w:r>
          </w:p>
        </w:tc>
        <w:tc>
          <w:tcPr>
            <w:tcW w:w="1252" w:type="dxa"/>
            <w:shd w:val="clear" w:color="000000" w:fill="FFFFFF"/>
            <w:noWrap/>
            <w:vAlign w:val="center"/>
            <w:hideMark/>
          </w:tcPr>
          <w:p w:rsidR="00B556D2" w:rsidRPr="00B556D2" w:rsidRDefault="00B556D2" w:rsidP="00B556D2">
            <w:pPr>
              <w:jc w:val="center"/>
              <w:rPr>
                <w:sz w:val="18"/>
                <w:szCs w:val="18"/>
              </w:rPr>
            </w:pPr>
            <w:r w:rsidRPr="00B556D2">
              <w:rPr>
                <w:sz w:val="18"/>
                <w:szCs w:val="18"/>
              </w:rPr>
              <w:t>87,28</w:t>
            </w:r>
          </w:p>
        </w:tc>
        <w:tc>
          <w:tcPr>
            <w:tcW w:w="1136" w:type="dxa"/>
            <w:shd w:val="clear" w:color="000000" w:fill="FFFFFF"/>
            <w:noWrap/>
            <w:vAlign w:val="center"/>
            <w:hideMark/>
          </w:tcPr>
          <w:p w:rsidR="00B556D2" w:rsidRPr="00B556D2" w:rsidRDefault="00B556D2" w:rsidP="00B556D2">
            <w:pPr>
              <w:jc w:val="center"/>
              <w:rPr>
                <w:sz w:val="18"/>
                <w:szCs w:val="18"/>
              </w:rPr>
            </w:pPr>
            <w:r w:rsidRPr="00B556D2">
              <w:rPr>
                <w:sz w:val="18"/>
                <w:szCs w:val="18"/>
              </w:rPr>
              <w:t>93,04</w:t>
            </w:r>
          </w:p>
        </w:tc>
        <w:tc>
          <w:tcPr>
            <w:tcW w:w="1410" w:type="dxa"/>
            <w:shd w:val="clear" w:color="000000" w:fill="FFFFFF"/>
            <w:noWrap/>
            <w:vAlign w:val="center"/>
            <w:hideMark/>
          </w:tcPr>
          <w:p w:rsidR="00B556D2" w:rsidRPr="00B556D2" w:rsidRDefault="00B556D2" w:rsidP="00B556D2">
            <w:pPr>
              <w:jc w:val="right"/>
              <w:rPr>
                <w:sz w:val="18"/>
                <w:szCs w:val="18"/>
              </w:rPr>
            </w:pPr>
            <w:r w:rsidRPr="00B556D2">
              <w:rPr>
                <w:sz w:val="18"/>
                <w:szCs w:val="18"/>
              </w:rPr>
              <w:t>3 421 312 462</w:t>
            </w:r>
          </w:p>
        </w:tc>
      </w:tr>
      <w:tr w:rsidR="00B556D2" w:rsidRPr="00B556D2" w:rsidTr="00536F83">
        <w:trPr>
          <w:trHeight w:val="966"/>
        </w:trPr>
        <w:tc>
          <w:tcPr>
            <w:tcW w:w="1018" w:type="dxa"/>
            <w:shd w:val="clear" w:color="auto" w:fill="auto"/>
            <w:noWrap/>
            <w:vAlign w:val="center"/>
            <w:hideMark/>
          </w:tcPr>
          <w:p w:rsidR="00B556D2" w:rsidRPr="00B556D2" w:rsidRDefault="00B556D2" w:rsidP="00B556D2">
            <w:pPr>
              <w:jc w:val="center"/>
              <w:rPr>
                <w:sz w:val="18"/>
                <w:szCs w:val="18"/>
              </w:rPr>
            </w:pPr>
            <w:r w:rsidRPr="00B556D2">
              <w:rPr>
                <w:sz w:val="18"/>
                <w:szCs w:val="18"/>
              </w:rPr>
              <w:t>150110</w:t>
            </w:r>
          </w:p>
        </w:tc>
        <w:tc>
          <w:tcPr>
            <w:tcW w:w="1530" w:type="dxa"/>
            <w:shd w:val="clear" w:color="auto" w:fill="auto"/>
            <w:vAlign w:val="center"/>
            <w:hideMark/>
          </w:tcPr>
          <w:p w:rsidR="00B556D2" w:rsidRPr="00B556D2" w:rsidRDefault="00B556D2" w:rsidP="00B556D2">
            <w:pPr>
              <w:rPr>
                <w:sz w:val="18"/>
                <w:szCs w:val="18"/>
              </w:rPr>
            </w:pPr>
            <w:r w:rsidRPr="00B556D2">
              <w:rPr>
                <w:sz w:val="18"/>
                <w:szCs w:val="18"/>
              </w:rPr>
              <w:t>Podíl úřadů státní správy využívajících sdílenou KIVS</w:t>
            </w:r>
          </w:p>
        </w:tc>
        <w:tc>
          <w:tcPr>
            <w:tcW w:w="950" w:type="dxa"/>
            <w:shd w:val="clear" w:color="auto" w:fill="auto"/>
            <w:noWrap/>
            <w:vAlign w:val="center"/>
            <w:hideMark/>
          </w:tcPr>
          <w:p w:rsidR="00B556D2" w:rsidRPr="00B556D2" w:rsidRDefault="00B556D2" w:rsidP="00B556D2">
            <w:pPr>
              <w:jc w:val="center"/>
              <w:rPr>
                <w:sz w:val="18"/>
                <w:szCs w:val="18"/>
              </w:rPr>
            </w:pPr>
            <w:r w:rsidRPr="00B556D2">
              <w:rPr>
                <w:sz w:val="18"/>
                <w:szCs w:val="18"/>
              </w:rPr>
              <w:t>%</w:t>
            </w:r>
          </w:p>
        </w:tc>
        <w:tc>
          <w:tcPr>
            <w:tcW w:w="892" w:type="dxa"/>
            <w:shd w:val="clear" w:color="auto" w:fill="auto"/>
            <w:noWrap/>
            <w:vAlign w:val="center"/>
            <w:hideMark/>
          </w:tcPr>
          <w:p w:rsidR="00B556D2" w:rsidRPr="00B556D2" w:rsidRDefault="00B556D2" w:rsidP="00B556D2">
            <w:pPr>
              <w:jc w:val="center"/>
              <w:rPr>
                <w:sz w:val="18"/>
                <w:szCs w:val="18"/>
              </w:rPr>
            </w:pPr>
            <w:r w:rsidRPr="00B556D2">
              <w:rPr>
                <w:sz w:val="18"/>
                <w:szCs w:val="18"/>
              </w:rPr>
              <w:t>0</w:t>
            </w:r>
          </w:p>
        </w:tc>
        <w:tc>
          <w:tcPr>
            <w:tcW w:w="892" w:type="dxa"/>
            <w:shd w:val="clear" w:color="auto" w:fill="auto"/>
            <w:noWrap/>
            <w:vAlign w:val="center"/>
            <w:hideMark/>
          </w:tcPr>
          <w:p w:rsidR="00B556D2" w:rsidRPr="00B556D2" w:rsidRDefault="00B556D2" w:rsidP="00B556D2">
            <w:pPr>
              <w:jc w:val="center"/>
              <w:rPr>
                <w:sz w:val="18"/>
                <w:szCs w:val="18"/>
              </w:rPr>
            </w:pPr>
            <w:r w:rsidRPr="00B556D2">
              <w:rPr>
                <w:sz w:val="18"/>
                <w:szCs w:val="18"/>
              </w:rPr>
              <w:t>80</w:t>
            </w:r>
          </w:p>
        </w:tc>
        <w:tc>
          <w:tcPr>
            <w:tcW w:w="1252" w:type="dxa"/>
            <w:shd w:val="clear" w:color="000000" w:fill="FFFFFF"/>
            <w:noWrap/>
            <w:vAlign w:val="center"/>
            <w:hideMark/>
          </w:tcPr>
          <w:p w:rsidR="00B556D2" w:rsidRPr="00B556D2" w:rsidRDefault="00B556D2" w:rsidP="00B556D2">
            <w:pPr>
              <w:jc w:val="center"/>
              <w:rPr>
                <w:sz w:val="18"/>
                <w:szCs w:val="18"/>
              </w:rPr>
            </w:pPr>
            <w:r w:rsidRPr="00B556D2">
              <w:rPr>
                <w:sz w:val="18"/>
                <w:szCs w:val="18"/>
              </w:rPr>
              <w:t>93,35</w:t>
            </w:r>
          </w:p>
        </w:tc>
        <w:tc>
          <w:tcPr>
            <w:tcW w:w="1136" w:type="dxa"/>
            <w:shd w:val="clear" w:color="000000" w:fill="FFFFFF"/>
            <w:noWrap/>
            <w:vAlign w:val="center"/>
            <w:hideMark/>
          </w:tcPr>
          <w:p w:rsidR="00B556D2" w:rsidRPr="00B556D2" w:rsidRDefault="00B556D2" w:rsidP="00B556D2">
            <w:pPr>
              <w:jc w:val="center"/>
              <w:rPr>
                <w:sz w:val="18"/>
                <w:szCs w:val="18"/>
              </w:rPr>
            </w:pPr>
            <w:r w:rsidRPr="00B556D2">
              <w:rPr>
                <w:sz w:val="18"/>
                <w:szCs w:val="18"/>
              </w:rPr>
              <w:t>93,50</w:t>
            </w:r>
          </w:p>
        </w:tc>
        <w:tc>
          <w:tcPr>
            <w:tcW w:w="1410" w:type="dxa"/>
            <w:shd w:val="clear" w:color="000000" w:fill="FFFFFF"/>
            <w:noWrap/>
            <w:vAlign w:val="center"/>
            <w:hideMark/>
          </w:tcPr>
          <w:p w:rsidR="00B556D2" w:rsidRPr="00B556D2" w:rsidRDefault="00B556D2" w:rsidP="00B556D2">
            <w:pPr>
              <w:jc w:val="right"/>
              <w:rPr>
                <w:sz w:val="18"/>
                <w:szCs w:val="18"/>
              </w:rPr>
            </w:pPr>
            <w:r w:rsidRPr="00B556D2">
              <w:rPr>
                <w:sz w:val="18"/>
                <w:szCs w:val="18"/>
              </w:rPr>
              <w:t>2 390 361 549</w:t>
            </w:r>
          </w:p>
        </w:tc>
      </w:tr>
      <w:tr w:rsidR="00B556D2" w:rsidRPr="00B556D2" w:rsidTr="00536F83">
        <w:trPr>
          <w:trHeight w:val="1208"/>
        </w:trPr>
        <w:tc>
          <w:tcPr>
            <w:tcW w:w="1018" w:type="dxa"/>
            <w:shd w:val="clear" w:color="auto" w:fill="auto"/>
            <w:noWrap/>
            <w:vAlign w:val="center"/>
            <w:hideMark/>
          </w:tcPr>
          <w:p w:rsidR="00B556D2" w:rsidRPr="00B556D2" w:rsidRDefault="00B556D2" w:rsidP="00B556D2">
            <w:pPr>
              <w:jc w:val="center"/>
              <w:rPr>
                <w:sz w:val="18"/>
                <w:szCs w:val="18"/>
              </w:rPr>
            </w:pPr>
            <w:r w:rsidRPr="00B556D2">
              <w:rPr>
                <w:sz w:val="18"/>
                <w:szCs w:val="18"/>
              </w:rPr>
              <w:t>150111</w:t>
            </w:r>
          </w:p>
        </w:tc>
        <w:tc>
          <w:tcPr>
            <w:tcW w:w="1530" w:type="dxa"/>
            <w:shd w:val="clear" w:color="auto" w:fill="auto"/>
            <w:vAlign w:val="center"/>
            <w:hideMark/>
          </w:tcPr>
          <w:p w:rsidR="00B556D2" w:rsidRPr="00B556D2" w:rsidRDefault="00B556D2" w:rsidP="00B556D2">
            <w:pPr>
              <w:rPr>
                <w:sz w:val="18"/>
                <w:szCs w:val="18"/>
              </w:rPr>
            </w:pPr>
            <w:r w:rsidRPr="00B556D2">
              <w:rPr>
                <w:sz w:val="18"/>
                <w:szCs w:val="18"/>
              </w:rPr>
              <w:t xml:space="preserve">Podíl resortních a </w:t>
            </w:r>
            <w:proofErr w:type="spellStart"/>
            <w:r w:rsidRPr="00B556D2">
              <w:rPr>
                <w:sz w:val="18"/>
                <w:szCs w:val="18"/>
              </w:rPr>
              <w:t>agendových</w:t>
            </w:r>
            <w:proofErr w:type="spellEnd"/>
            <w:r w:rsidRPr="00B556D2">
              <w:rPr>
                <w:sz w:val="18"/>
                <w:szCs w:val="18"/>
              </w:rPr>
              <w:t xml:space="preserve"> portálů provázaných na Portál veřejné správy </w:t>
            </w:r>
          </w:p>
        </w:tc>
        <w:tc>
          <w:tcPr>
            <w:tcW w:w="950" w:type="dxa"/>
            <w:shd w:val="clear" w:color="auto" w:fill="auto"/>
            <w:noWrap/>
            <w:vAlign w:val="center"/>
            <w:hideMark/>
          </w:tcPr>
          <w:p w:rsidR="00B556D2" w:rsidRPr="00B556D2" w:rsidRDefault="00B556D2" w:rsidP="00B556D2">
            <w:pPr>
              <w:jc w:val="center"/>
              <w:rPr>
                <w:sz w:val="18"/>
                <w:szCs w:val="18"/>
              </w:rPr>
            </w:pPr>
            <w:r w:rsidRPr="00B556D2">
              <w:rPr>
                <w:sz w:val="18"/>
                <w:szCs w:val="18"/>
              </w:rPr>
              <w:t>%</w:t>
            </w:r>
          </w:p>
        </w:tc>
        <w:tc>
          <w:tcPr>
            <w:tcW w:w="892" w:type="dxa"/>
            <w:shd w:val="clear" w:color="auto" w:fill="auto"/>
            <w:noWrap/>
            <w:vAlign w:val="center"/>
            <w:hideMark/>
          </w:tcPr>
          <w:p w:rsidR="00B556D2" w:rsidRPr="00B556D2" w:rsidRDefault="00B556D2" w:rsidP="00B556D2">
            <w:pPr>
              <w:jc w:val="center"/>
              <w:rPr>
                <w:sz w:val="18"/>
                <w:szCs w:val="18"/>
              </w:rPr>
            </w:pPr>
            <w:r w:rsidRPr="00B556D2">
              <w:rPr>
                <w:sz w:val="18"/>
                <w:szCs w:val="18"/>
              </w:rPr>
              <w:t>19</w:t>
            </w:r>
          </w:p>
        </w:tc>
        <w:tc>
          <w:tcPr>
            <w:tcW w:w="892" w:type="dxa"/>
            <w:shd w:val="clear" w:color="auto" w:fill="auto"/>
            <w:noWrap/>
            <w:vAlign w:val="center"/>
            <w:hideMark/>
          </w:tcPr>
          <w:p w:rsidR="00B556D2" w:rsidRPr="00B556D2" w:rsidRDefault="00B556D2" w:rsidP="00B556D2">
            <w:pPr>
              <w:jc w:val="center"/>
              <w:rPr>
                <w:sz w:val="18"/>
                <w:szCs w:val="18"/>
              </w:rPr>
            </w:pPr>
            <w:r w:rsidRPr="00B556D2">
              <w:rPr>
                <w:sz w:val="18"/>
                <w:szCs w:val="18"/>
              </w:rPr>
              <w:t>75</w:t>
            </w:r>
          </w:p>
        </w:tc>
        <w:tc>
          <w:tcPr>
            <w:tcW w:w="1252" w:type="dxa"/>
            <w:shd w:val="clear" w:color="000000" w:fill="FFFFFF"/>
            <w:noWrap/>
            <w:vAlign w:val="center"/>
            <w:hideMark/>
          </w:tcPr>
          <w:p w:rsidR="00B556D2" w:rsidRPr="00B556D2" w:rsidRDefault="00B556D2" w:rsidP="00B556D2">
            <w:pPr>
              <w:jc w:val="center"/>
              <w:rPr>
                <w:sz w:val="18"/>
                <w:szCs w:val="18"/>
              </w:rPr>
            </w:pPr>
            <w:r w:rsidRPr="00B556D2">
              <w:rPr>
                <w:sz w:val="18"/>
                <w:szCs w:val="18"/>
              </w:rPr>
              <w:t>78,16</w:t>
            </w:r>
          </w:p>
        </w:tc>
        <w:tc>
          <w:tcPr>
            <w:tcW w:w="1136" w:type="dxa"/>
            <w:shd w:val="clear" w:color="000000" w:fill="FFFFFF"/>
            <w:noWrap/>
            <w:vAlign w:val="center"/>
            <w:hideMark/>
          </w:tcPr>
          <w:p w:rsidR="00B556D2" w:rsidRPr="00B556D2" w:rsidRDefault="00B556D2" w:rsidP="00B556D2">
            <w:pPr>
              <w:jc w:val="center"/>
              <w:rPr>
                <w:sz w:val="18"/>
                <w:szCs w:val="18"/>
              </w:rPr>
            </w:pPr>
            <w:r w:rsidRPr="00B556D2">
              <w:rPr>
                <w:sz w:val="18"/>
                <w:szCs w:val="18"/>
              </w:rPr>
              <w:t>78,16</w:t>
            </w:r>
          </w:p>
        </w:tc>
        <w:tc>
          <w:tcPr>
            <w:tcW w:w="1410" w:type="dxa"/>
            <w:shd w:val="clear" w:color="000000" w:fill="FFFFFF"/>
            <w:noWrap/>
            <w:vAlign w:val="center"/>
            <w:hideMark/>
          </w:tcPr>
          <w:p w:rsidR="00B556D2" w:rsidRPr="00B556D2" w:rsidRDefault="00B556D2" w:rsidP="00B556D2">
            <w:pPr>
              <w:jc w:val="right"/>
              <w:rPr>
                <w:sz w:val="18"/>
                <w:szCs w:val="18"/>
              </w:rPr>
            </w:pPr>
            <w:r w:rsidRPr="00B556D2">
              <w:rPr>
                <w:sz w:val="18"/>
                <w:szCs w:val="18"/>
              </w:rPr>
              <w:t>499 948 687</w:t>
            </w:r>
          </w:p>
        </w:tc>
      </w:tr>
      <w:tr w:rsidR="00B556D2" w:rsidRPr="00B556D2" w:rsidTr="00536F83">
        <w:trPr>
          <w:trHeight w:val="725"/>
        </w:trPr>
        <w:tc>
          <w:tcPr>
            <w:tcW w:w="1018" w:type="dxa"/>
            <w:shd w:val="clear" w:color="auto" w:fill="auto"/>
            <w:noWrap/>
            <w:vAlign w:val="center"/>
            <w:hideMark/>
          </w:tcPr>
          <w:p w:rsidR="00B556D2" w:rsidRPr="00B556D2" w:rsidRDefault="00B556D2" w:rsidP="00B556D2">
            <w:pPr>
              <w:jc w:val="center"/>
              <w:rPr>
                <w:sz w:val="18"/>
                <w:szCs w:val="18"/>
              </w:rPr>
            </w:pPr>
            <w:r w:rsidRPr="00B556D2">
              <w:rPr>
                <w:sz w:val="18"/>
                <w:szCs w:val="18"/>
              </w:rPr>
              <w:t>150112</w:t>
            </w:r>
          </w:p>
        </w:tc>
        <w:tc>
          <w:tcPr>
            <w:tcW w:w="1530" w:type="dxa"/>
            <w:shd w:val="clear" w:color="auto" w:fill="auto"/>
            <w:vAlign w:val="center"/>
            <w:hideMark/>
          </w:tcPr>
          <w:p w:rsidR="00B556D2" w:rsidRPr="00B556D2" w:rsidRDefault="00B556D2" w:rsidP="00B556D2">
            <w:pPr>
              <w:rPr>
                <w:sz w:val="18"/>
                <w:szCs w:val="18"/>
              </w:rPr>
            </w:pPr>
            <w:r w:rsidRPr="00B556D2">
              <w:rPr>
                <w:sz w:val="18"/>
                <w:szCs w:val="18"/>
              </w:rPr>
              <w:t xml:space="preserve">Podíl digitalizovaných dokumentů </w:t>
            </w:r>
          </w:p>
        </w:tc>
        <w:tc>
          <w:tcPr>
            <w:tcW w:w="950" w:type="dxa"/>
            <w:shd w:val="clear" w:color="auto" w:fill="auto"/>
            <w:noWrap/>
            <w:vAlign w:val="center"/>
            <w:hideMark/>
          </w:tcPr>
          <w:p w:rsidR="00B556D2" w:rsidRPr="00B556D2" w:rsidRDefault="00B556D2" w:rsidP="00B556D2">
            <w:pPr>
              <w:jc w:val="center"/>
              <w:rPr>
                <w:sz w:val="18"/>
                <w:szCs w:val="18"/>
              </w:rPr>
            </w:pPr>
            <w:r w:rsidRPr="00B556D2">
              <w:rPr>
                <w:sz w:val="18"/>
                <w:szCs w:val="18"/>
              </w:rPr>
              <w:t>%</w:t>
            </w:r>
          </w:p>
        </w:tc>
        <w:tc>
          <w:tcPr>
            <w:tcW w:w="892" w:type="dxa"/>
            <w:shd w:val="clear" w:color="auto" w:fill="auto"/>
            <w:noWrap/>
            <w:vAlign w:val="center"/>
            <w:hideMark/>
          </w:tcPr>
          <w:p w:rsidR="00B556D2" w:rsidRPr="00B556D2" w:rsidRDefault="00B556D2" w:rsidP="00B556D2">
            <w:pPr>
              <w:jc w:val="center"/>
              <w:rPr>
                <w:sz w:val="18"/>
                <w:szCs w:val="18"/>
              </w:rPr>
            </w:pPr>
            <w:r w:rsidRPr="00B556D2">
              <w:rPr>
                <w:sz w:val="18"/>
                <w:szCs w:val="18"/>
              </w:rPr>
              <w:t>0</w:t>
            </w:r>
          </w:p>
        </w:tc>
        <w:tc>
          <w:tcPr>
            <w:tcW w:w="892" w:type="dxa"/>
            <w:shd w:val="clear" w:color="auto" w:fill="auto"/>
            <w:noWrap/>
            <w:vAlign w:val="center"/>
            <w:hideMark/>
          </w:tcPr>
          <w:p w:rsidR="00B556D2" w:rsidRPr="00B556D2" w:rsidRDefault="00B556D2" w:rsidP="00B556D2">
            <w:pPr>
              <w:jc w:val="center"/>
              <w:rPr>
                <w:sz w:val="18"/>
                <w:szCs w:val="18"/>
              </w:rPr>
            </w:pPr>
            <w:r w:rsidRPr="00B556D2">
              <w:rPr>
                <w:sz w:val="18"/>
                <w:szCs w:val="18"/>
              </w:rPr>
              <w:t>20</w:t>
            </w:r>
          </w:p>
        </w:tc>
        <w:tc>
          <w:tcPr>
            <w:tcW w:w="1252" w:type="dxa"/>
            <w:shd w:val="clear" w:color="000000" w:fill="FFFFFF"/>
            <w:noWrap/>
            <w:vAlign w:val="center"/>
            <w:hideMark/>
          </w:tcPr>
          <w:p w:rsidR="00B556D2" w:rsidRPr="00B556D2" w:rsidRDefault="00B556D2" w:rsidP="00B556D2">
            <w:pPr>
              <w:jc w:val="center"/>
              <w:rPr>
                <w:sz w:val="18"/>
                <w:szCs w:val="18"/>
              </w:rPr>
            </w:pPr>
            <w:r w:rsidRPr="00B556D2">
              <w:rPr>
                <w:sz w:val="18"/>
                <w:szCs w:val="18"/>
              </w:rPr>
              <w:t>43,45</w:t>
            </w:r>
          </w:p>
        </w:tc>
        <w:tc>
          <w:tcPr>
            <w:tcW w:w="1136" w:type="dxa"/>
            <w:shd w:val="clear" w:color="000000" w:fill="FFFFFF"/>
            <w:noWrap/>
            <w:vAlign w:val="center"/>
            <w:hideMark/>
          </w:tcPr>
          <w:p w:rsidR="00B556D2" w:rsidRPr="00B556D2" w:rsidRDefault="00B556D2" w:rsidP="00B556D2">
            <w:pPr>
              <w:jc w:val="center"/>
              <w:rPr>
                <w:sz w:val="18"/>
                <w:szCs w:val="18"/>
              </w:rPr>
            </w:pPr>
            <w:r w:rsidRPr="00B556D2">
              <w:rPr>
                <w:sz w:val="18"/>
                <w:szCs w:val="18"/>
              </w:rPr>
              <w:t>25,02</w:t>
            </w:r>
          </w:p>
        </w:tc>
        <w:tc>
          <w:tcPr>
            <w:tcW w:w="1410" w:type="dxa"/>
            <w:shd w:val="clear" w:color="000000" w:fill="FFFFFF"/>
            <w:noWrap/>
            <w:vAlign w:val="center"/>
            <w:hideMark/>
          </w:tcPr>
          <w:p w:rsidR="00B556D2" w:rsidRPr="00B556D2" w:rsidRDefault="00B556D2" w:rsidP="00B556D2">
            <w:pPr>
              <w:jc w:val="right"/>
              <w:rPr>
                <w:sz w:val="18"/>
                <w:szCs w:val="18"/>
              </w:rPr>
            </w:pPr>
            <w:r w:rsidRPr="00B556D2">
              <w:rPr>
                <w:sz w:val="18"/>
                <w:szCs w:val="18"/>
              </w:rPr>
              <w:t>1 105 825 844</w:t>
            </w:r>
          </w:p>
        </w:tc>
      </w:tr>
      <w:tr w:rsidR="00B556D2" w:rsidRPr="00B556D2" w:rsidTr="00536F83">
        <w:trPr>
          <w:trHeight w:val="1450"/>
        </w:trPr>
        <w:tc>
          <w:tcPr>
            <w:tcW w:w="1018" w:type="dxa"/>
            <w:shd w:val="clear" w:color="auto" w:fill="auto"/>
            <w:noWrap/>
            <w:vAlign w:val="center"/>
            <w:hideMark/>
          </w:tcPr>
          <w:p w:rsidR="00B556D2" w:rsidRPr="00B556D2" w:rsidRDefault="00B556D2" w:rsidP="00B556D2">
            <w:pPr>
              <w:jc w:val="center"/>
              <w:rPr>
                <w:sz w:val="18"/>
                <w:szCs w:val="18"/>
              </w:rPr>
            </w:pPr>
            <w:r w:rsidRPr="00B556D2">
              <w:rPr>
                <w:sz w:val="18"/>
                <w:szCs w:val="18"/>
              </w:rPr>
              <w:t>150113</w:t>
            </w:r>
          </w:p>
        </w:tc>
        <w:tc>
          <w:tcPr>
            <w:tcW w:w="1530" w:type="dxa"/>
            <w:shd w:val="clear" w:color="auto" w:fill="auto"/>
            <w:vAlign w:val="center"/>
            <w:hideMark/>
          </w:tcPr>
          <w:p w:rsidR="00B556D2" w:rsidRPr="00B556D2" w:rsidRDefault="00B556D2" w:rsidP="00B556D2">
            <w:pPr>
              <w:rPr>
                <w:sz w:val="18"/>
                <w:szCs w:val="18"/>
              </w:rPr>
            </w:pPr>
            <w:r w:rsidRPr="00B556D2">
              <w:rPr>
                <w:sz w:val="18"/>
                <w:szCs w:val="18"/>
              </w:rPr>
              <w:t>Podíl úřadů s elektronickou spisovou službou a elektronicky řízeným oběhem dokumentů</w:t>
            </w:r>
          </w:p>
        </w:tc>
        <w:tc>
          <w:tcPr>
            <w:tcW w:w="950" w:type="dxa"/>
            <w:shd w:val="clear" w:color="auto" w:fill="auto"/>
            <w:noWrap/>
            <w:vAlign w:val="center"/>
            <w:hideMark/>
          </w:tcPr>
          <w:p w:rsidR="00B556D2" w:rsidRPr="00B556D2" w:rsidRDefault="00B556D2" w:rsidP="00B556D2">
            <w:pPr>
              <w:jc w:val="center"/>
              <w:rPr>
                <w:sz w:val="18"/>
                <w:szCs w:val="18"/>
              </w:rPr>
            </w:pPr>
            <w:r w:rsidRPr="00B556D2">
              <w:rPr>
                <w:sz w:val="18"/>
                <w:szCs w:val="18"/>
              </w:rPr>
              <w:t>%</w:t>
            </w:r>
          </w:p>
        </w:tc>
        <w:tc>
          <w:tcPr>
            <w:tcW w:w="892" w:type="dxa"/>
            <w:shd w:val="clear" w:color="auto" w:fill="auto"/>
            <w:noWrap/>
            <w:vAlign w:val="center"/>
            <w:hideMark/>
          </w:tcPr>
          <w:p w:rsidR="00B556D2" w:rsidRPr="00B556D2" w:rsidRDefault="00B556D2" w:rsidP="00B556D2">
            <w:pPr>
              <w:jc w:val="center"/>
              <w:rPr>
                <w:sz w:val="18"/>
                <w:szCs w:val="18"/>
              </w:rPr>
            </w:pPr>
            <w:r w:rsidRPr="00B556D2">
              <w:rPr>
                <w:sz w:val="18"/>
                <w:szCs w:val="18"/>
              </w:rPr>
              <w:t>20</w:t>
            </w:r>
          </w:p>
        </w:tc>
        <w:tc>
          <w:tcPr>
            <w:tcW w:w="892" w:type="dxa"/>
            <w:shd w:val="clear" w:color="auto" w:fill="auto"/>
            <w:noWrap/>
            <w:vAlign w:val="center"/>
            <w:hideMark/>
          </w:tcPr>
          <w:p w:rsidR="00B556D2" w:rsidRPr="00B556D2" w:rsidRDefault="00B556D2" w:rsidP="00B556D2">
            <w:pPr>
              <w:jc w:val="center"/>
              <w:rPr>
                <w:sz w:val="18"/>
                <w:szCs w:val="18"/>
              </w:rPr>
            </w:pPr>
            <w:r w:rsidRPr="00B556D2">
              <w:rPr>
                <w:sz w:val="18"/>
                <w:szCs w:val="18"/>
              </w:rPr>
              <w:t>100</w:t>
            </w:r>
          </w:p>
        </w:tc>
        <w:tc>
          <w:tcPr>
            <w:tcW w:w="1252" w:type="dxa"/>
            <w:shd w:val="clear" w:color="000000" w:fill="FFFFFF"/>
            <w:noWrap/>
            <w:vAlign w:val="center"/>
            <w:hideMark/>
          </w:tcPr>
          <w:p w:rsidR="00B556D2" w:rsidRPr="00B556D2" w:rsidRDefault="00B556D2" w:rsidP="00B556D2">
            <w:pPr>
              <w:jc w:val="center"/>
              <w:rPr>
                <w:sz w:val="18"/>
                <w:szCs w:val="18"/>
              </w:rPr>
            </w:pPr>
            <w:r w:rsidRPr="00B556D2">
              <w:rPr>
                <w:sz w:val="18"/>
                <w:szCs w:val="18"/>
              </w:rPr>
              <w:t>100,00</w:t>
            </w:r>
          </w:p>
        </w:tc>
        <w:tc>
          <w:tcPr>
            <w:tcW w:w="1136" w:type="dxa"/>
            <w:shd w:val="clear" w:color="000000" w:fill="FFFFFF"/>
            <w:noWrap/>
            <w:vAlign w:val="center"/>
            <w:hideMark/>
          </w:tcPr>
          <w:p w:rsidR="00B556D2" w:rsidRPr="00B556D2" w:rsidRDefault="00B556D2" w:rsidP="00B556D2">
            <w:pPr>
              <w:jc w:val="center"/>
              <w:rPr>
                <w:sz w:val="18"/>
                <w:szCs w:val="18"/>
              </w:rPr>
            </w:pPr>
            <w:r w:rsidRPr="00B556D2">
              <w:rPr>
                <w:sz w:val="18"/>
                <w:szCs w:val="18"/>
              </w:rPr>
              <w:t>100,00</w:t>
            </w:r>
          </w:p>
        </w:tc>
        <w:tc>
          <w:tcPr>
            <w:tcW w:w="1410" w:type="dxa"/>
            <w:shd w:val="clear" w:color="000000" w:fill="FFFFFF"/>
            <w:noWrap/>
            <w:vAlign w:val="center"/>
            <w:hideMark/>
          </w:tcPr>
          <w:p w:rsidR="00B556D2" w:rsidRPr="00B556D2" w:rsidRDefault="00B556D2" w:rsidP="00B556D2">
            <w:pPr>
              <w:jc w:val="right"/>
              <w:rPr>
                <w:sz w:val="18"/>
                <w:szCs w:val="18"/>
              </w:rPr>
            </w:pPr>
            <w:r w:rsidRPr="00B556D2">
              <w:rPr>
                <w:sz w:val="18"/>
                <w:szCs w:val="18"/>
              </w:rPr>
              <w:t>1 105 825 844</w:t>
            </w:r>
          </w:p>
        </w:tc>
      </w:tr>
    </w:tbl>
    <w:p w:rsidR="00810330" w:rsidRPr="006E1F91" w:rsidRDefault="006E1F91" w:rsidP="00482561">
      <w:pPr>
        <w:spacing w:line="276" w:lineRule="auto"/>
        <w:jc w:val="both"/>
        <w:rPr>
          <w:i/>
          <w:sz w:val="18"/>
          <w:szCs w:val="18"/>
        </w:rPr>
      </w:pPr>
      <w:r w:rsidRPr="006E1F91">
        <w:rPr>
          <w:i/>
          <w:sz w:val="18"/>
          <w:szCs w:val="18"/>
        </w:rPr>
        <w:t>Zdroj: M</w:t>
      </w:r>
      <w:r w:rsidR="00015620">
        <w:rPr>
          <w:i/>
          <w:sz w:val="18"/>
          <w:szCs w:val="18"/>
        </w:rPr>
        <w:t>SC</w:t>
      </w:r>
      <w:r w:rsidRPr="006E1F91">
        <w:rPr>
          <w:i/>
          <w:sz w:val="18"/>
          <w:szCs w:val="18"/>
        </w:rPr>
        <w:t xml:space="preserve"> k </w:t>
      </w:r>
      <w:r w:rsidR="00263CBA">
        <w:rPr>
          <w:i/>
          <w:sz w:val="18"/>
          <w:szCs w:val="18"/>
        </w:rPr>
        <w:t>30</w:t>
      </w:r>
      <w:r w:rsidR="00015620" w:rsidRPr="006E1F91">
        <w:rPr>
          <w:i/>
          <w:sz w:val="18"/>
          <w:szCs w:val="18"/>
        </w:rPr>
        <w:t>.</w:t>
      </w:r>
      <w:r w:rsidR="00015620">
        <w:rPr>
          <w:i/>
          <w:sz w:val="18"/>
          <w:szCs w:val="18"/>
        </w:rPr>
        <w:t xml:space="preserve"> </w:t>
      </w:r>
      <w:r w:rsidR="00263CBA">
        <w:rPr>
          <w:i/>
          <w:sz w:val="18"/>
          <w:szCs w:val="18"/>
        </w:rPr>
        <w:t>9</w:t>
      </w:r>
      <w:r w:rsidR="00015620">
        <w:rPr>
          <w:i/>
          <w:sz w:val="18"/>
          <w:szCs w:val="18"/>
        </w:rPr>
        <w:t>. 201</w:t>
      </w:r>
      <w:r w:rsidR="00263CBA">
        <w:rPr>
          <w:i/>
          <w:sz w:val="18"/>
          <w:szCs w:val="18"/>
        </w:rPr>
        <w:t>5</w:t>
      </w:r>
      <w:r w:rsidRPr="006E1F91">
        <w:rPr>
          <w:i/>
          <w:sz w:val="18"/>
          <w:szCs w:val="18"/>
        </w:rPr>
        <w:t xml:space="preserve"> a informace od ZS u podílových indikátorů</w:t>
      </w:r>
    </w:p>
    <w:p w:rsidR="00C93494" w:rsidRDefault="00C93494" w:rsidP="00482561">
      <w:pPr>
        <w:spacing w:line="276" w:lineRule="auto"/>
        <w:jc w:val="both"/>
        <w:rPr>
          <w:sz w:val="22"/>
          <w:szCs w:val="22"/>
        </w:rPr>
      </w:pPr>
    </w:p>
    <w:p w:rsidR="00C03B7C" w:rsidRDefault="00C03B7C" w:rsidP="00C03B7C">
      <w:pPr>
        <w:pStyle w:val="Tabulkanzev"/>
        <w:keepNext/>
        <w:ind w:left="357" w:hanging="357"/>
        <w:rPr>
          <w:rStyle w:val="Siln"/>
        </w:rPr>
      </w:pPr>
      <w:bookmarkStart w:id="70" w:name="_Toc433873550"/>
      <w:r w:rsidRPr="00493B99">
        <w:rPr>
          <w:rStyle w:val="Siln"/>
        </w:rPr>
        <w:t>Indikátory výsledku</w:t>
      </w:r>
      <w:bookmarkEnd w:id="70"/>
    </w:p>
    <w:tbl>
      <w:tblPr>
        <w:tblW w:w="9213" w:type="dxa"/>
        <w:tblInd w:w="55"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70" w:type="dxa"/>
          <w:right w:w="70" w:type="dxa"/>
        </w:tblCellMar>
        <w:tblLook w:val="04A0" w:firstRow="1" w:lastRow="0" w:firstColumn="1" w:lastColumn="0" w:noHBand="0" w:noVBand="1"/>
      </w:tblPr>
      <w:tblGrid>
        <w:gridCol w:w="1033"/>
        <w:gridCol w:w="1552"/>
        <w:gridCol w:w="965"/>
        <w:gridCol w:w="905"/>
        <w:gridCol w:w="905"/>
        <w:gridCol w:w="1270"/>
        <w:gridCol w:w="1182"/>
        <w:gridCol w:w="1401"/>
      </w:tblGrid>
      <w:tr w:rsidR="00263CBA" w:rsidRPr="00263CBA" w:rsidTr="00460A17">
        <w:trPr>
          <w:trHeight w:val="801"/>
        </w:trPr>
        <w:tc>
          <w:tcPr>
            <w:tcW w:w="1033" w:type="dxa"/>
            <w:shd w:val="clear" w:color="000000" w:fill="C5D9F1"/>
            <w:vAlign w:val="center"/>
            <w:hideMark/>
          </w:tcPr>
          <w:p w:rsidR="00263CBA" w:rsidRPr="00263CBA" w:rsidRDefault="00263CBA" w:rsidP="00263CBA">
            <w:pPr>
              <w:jc w:val="center"/>
              <w:rPr>
                <w:b/>
                <w:bCs/>
              </w:rPr>
            </w:pPr>
            <w:bookmarkStart w:id="71" w:name="_Toc387914715"/>
            <w:bookmarkStart w:id="72" w:name="_Toc387928041"/>
            <w:bookmarkStart w:id="73" w:name="_Toc387994530"/>
            <w:bookmarkStart w:id="74" w:name="_Toc387914716"/>
            <w:bookmarkStart w:id="75" w:name="_Toc387928042"/>
            <w:bookmarkStart w:id="76" w:name="_Toc387994531"/>
            <w:bookmarkEnd w:id="71"/>
            <w:bookmarkEnd w:id="72"/>
            <w:bookmarkEnd w:id="73"/>
            <w:bookmarkEnd w:id="74"/>
            <w:bookmarkEnd w:id="75"/>
            <w:bookmarkEnd w:id="76"/>
            <w:r w:rsidRPr="00263CBA">
              <w:rPr>
                <w:b/>
                <w:bCs/>
              </w:rPr>
              <w:t>Kód</w:t>
            </w:r>
          </w:p>
        </w:tc>
        <w:tc>
          <w:tcPr>
            <w:tcW w:w="1552" w:type="dxa"/>
            <w:shd w:val="clear" w:color="000000" w:fill="C5D9F1"/>
            <w:vAlign w:val="center"/>
            <w:hideMark/>
          </w:tcPr>
          <w:p w:rsidR="00263CBA" w:rsidRPr="00263CBA" w:rsidRDefault="00263CBA" w:rsidP="00263CBA">
            <w:pPr>
              <w:jc w:val="center"/>
              <w:rPr>
                <w:b/>
                <w:bCs/>
              </w:rPr>
            </w:pPr>
            <w:r w:rsidRPr="00263CBA">
              <w:rPr>
                <w:b/>
                <w:bCs/>
              </w:rPr>
              <w:t>Název indikátoru</w:t>
            </w:r>
          </w:p>
        </w:tc>
        <w:tc>
          <w:tcPr>
            <w:tcW w:w="965" w:type="dxa"/>
            <w:shd w:val="clear" w:color="000000" w:fill="C5D9F1"/>
            <w:vAlign w:val="center"/>
            <w:hideMark/>
          </w:tcPr>
          <w:p w:rsidR="00263CBA" w:rsidRPr="00263CBA" w:rsidRDefault="00263CBA" w:rsidP="00263CBA">
            <w:pPr>
              <w:jc w:val="center"/>
              <w:rPr>
                <w:b/>
                <w:bCs/>
              </w:rPr>
            </w:pPr>
            <w:r w:rsidRPr="00263CBA">
              <w:rPr>
                <w:b/>
                <w:bCs/>
              </w:rPr>
              <w:t>Měrná jednotka</w:t>
            </w:r>
          </w:p>
        </w:tc>
        <w:tc>
          <w:tcPr>
            <w:tcW w:w="905" w:type="dxa"/>
            <w:shd w:val="clear" w:color="000000" w:fill="C5D9F1"/>
            <w:vAlign w:val="center"/>
            <w:hideMark/>
          </w:tcPr>
          <w:p w:rsidR="00263CBA" w:rsidRPr="00263CBA" w:rsidRDefault="00263CBA" w:rsidP="00263CBA">
            <w:pPr>
              <w:jc w:val="center"/>
              <w:rPr>
                <w:b/>
                <w:bCs/>
              </w:rPr>
            </w:pPr>
            <w:r w:rsidRPr="00263CBA">
              <w:rPr>
                <w:b/>
                <w:bCs/>
              </w:rPr>
              <w:t xml:space="preserve">Výchozí hodnota </w:t>
            </w:r>
          </w:p>
        </w:tc>
        <w:tc>
          <w:tcPr>
            <w:tcW w:w="905" w:type="dxa"/>
            <w:shd w:val="clear" w:color="000000" w:fill="C5D9F1"/>
            <w:vAlign w:val="center"/>
            <w:hideMark/>
          </w:tcPr>
          <w:p w:rsidR="00263CBA" w:rsidRPr="00263CBA" w:rsidRDefault="00263CBA" w:rsidP="00263CBA">
            <w:pPr>
              <w:jc w:val="center"/>
              <w:rPr>
                <w:b/>
                <w:bCs/>
              </w:rPr>
            </w:pPr>
            <w:r w:rsidRPr="00263CBA">
              <w:rPr>
                <w:b/>
                <w:bCs/>
              </w:rPr>
              <w:t>Cílová hodnota</w:t>
            </w:r>
          </w:p>
        </w:tc>
        <w:tc>
          <w:tcPr>
            <w:tcW w:w="1270" w:type="dxa"/>
            <w:shd w:val="clear" w:color="000000" w:fill="C5D9F1"/>
            <w:vAlign w:val="center"/>
            <w:hideMark/>
          </w:tcPr>
          <w:p w:rsidR="00263CBA" w:rsidRPr="00263CBA" w:rsidRDefault="00263CBA" w:rsidP="00263CBA">
            <w:pPr>
              <w:jc w:val="center"/>
              <w:rPr>
                <w:b/>
                <w:bCs/>
              </w:rPr>
            </w:pPr>
            <w:r w:rsidRPr="00263CBA">
              <w:rPr>
                <w:b/>
                <w:bCs/>
              </w:rPr>
              <w:t>Závazek ze schválených projektů</w:t>
            </w:r>
          </w:p>
        </w:tc>
        <w:tc>
          <w:tcPr>
            <w:tcW w:w="1182" w:type="dxa"/>
            <w:shd w:val="clear" w:color="000000" w:fill="C5D9F1"/>
            <w:vAlign w:val="center"/>
            <w:hideMark/>
          </w:tcPr>
          <w:p w:rsidR="00263CBA" w:rsidRPr="00263CBA" w:rsidRDefault="00263CBA" w:rsidP="00263CBA">
            <w:pPr>
              <w:jc w:val="center"/>
              <w:rPr>
                <w:b/>
                <w:bCs/>
              </w:rPr>
            </w:pPr>
            <w:r w:rsidRPr="00263CBA">
              <w:rPr>
                <w:b/>
                <w:bCs/>
              </w:rPr>
              <w:t>Dosažená hodnota k 30. 9. 2015</w:t>
            </w:r>
          </w:p>
        </w:tc>
        <w:tc>
          <w:tcPr>
            <w:tcW w:w="1401" w:type="dxa"/>
            <w:shd w:val="clear" w:color="000000" w:fill="C5D9F1"/>
            <w:vAlign w:val="center"/>
            <w:hideMark/>
          </w:tcPr>
          <w:p w:rsidR="00263CBA" w:rsidRPr="00263CBA" w:rsidRDefault="00263CBA" w:rsidP="00263CBA">
            <w:pPr>
              <w:jc w:val="center"/>
              <w:rPr>
                <w:b/>
                <w:bCs/>
              </w:rPr>
            </w:pPr>
            <w:r w:rsidRPr="00263CBA">
              <w:rPr>
                <w:b/>
                <w:bCs/>
              </w:rPr>
              <w:t>V Rozhodnutí k 30. 9. 2015</w:t>
            </w:r>
          </w:p>
        </w:tc>
      </w:tr>
      <w:tr w:rsidR="00263CBA" w:rsidRPr="00263CBA" w:rsidTr="00460A17">
        <w:trPr>
          <w:trHeight w:val="1257"/>
        </w:trPr>
        <w:tc>
          <w:tcPr>
            <w:tcW w:w="1033" w:type="dxa"/>
            <w:shd w:val="clear" w:color="auto" w:fill="auto"/>
            <w:noWrap/>
            <w:vAlign w:val="center"/>
            <w:hideMark/>
          </w:tcPr>
          <w:p w:rsidR="00263CBA" w:rsidRPr="00263CBA" w:rsidRDefault="00263CBA" w:rsidP="00263CBA">
            <w:pPr>
              <w:jc w:val="center"/>
              <w:rPr>
                <w:sz w:val="18"/>
                <w:szCs w:val="18"/>
              </w:rPr>
            </w:pPr>
            <w:r w:rsidRPr="00263CBA">
              <w:rPr>
                <w:sz w:val="18"/>
                <w:szCs w:val="18"/>
              </w:rPr>
              <w:t>152105</w:t>
            </w:r>
          </w:p>
        </w:tc>
        <w:tc>
          <w:tcPr>
            <w:tcW w:w="1552" w:type="dxa"/>
            <w:shd w:val="clear" w:color="auto" w:fill="auto"/>
            <w:vAlign w:val="center"/>
            <w:hideMark/>
          </w:tcPr>
          <w:p w:rsidR="00263CBA" w:rsidRPr="00263CBA" w:rsidRDefault="00263CBA" w:rsidP="00263CBA">
            <w:pPr>
              <w:rPr>
                <w:sz w:val="18"/>
                <w:szCs w:val="18"/>
              </w:rPr>
            </w:pPr>
            <w:r w:rsidRPr="00263CBA">
              <w:rPr>
                <w:sz w:val="18"/>
                <w:szCs w:val="18"/>
              </w:rPr>
              <w:t>Snížení administrativního zatížení občanů, podnikatelů a veřejného sektoru</w:t>
            </w:r>
          </w:p>
        </w:tc>
        <w:tc>
          <w:tcPr>
            <w:tcW w:w="965" w:type="dxa"/>
            <w:shd w:val="clear" w:color="auto" w:fill="auto"/>
            <w:noWrap/>
            <w:vAlign w:val="center"/>
            <w:hideMark/>
          </w:tcPr>
          <w:p w:rsidR="00263CBA" w:rsidRPr="00263CBA" w:rsidRDefault="00263CBA" w:rsidP="00263CBA">
            <w:pPr>
              <w:jc w:val="center"/>
              <w:rPr>
                <w:sz w:val="18"/>
                <w:szCs w:val="18"/>
              </w:rPr>
            </w:pPr>
            <w:r w:rsidRPr="00263CBA">
              <w:rPr>
                <w:sz w:val="18"/>
                <w:szCs w:val="18"/>
              </w:rPr>
              <w:t>%</w:t>
            </w:r>
          </w:p>
        </w:tc>
        <w:tc>
          <w:tcPr>
            <w:tcW w:w="905" w:type="dxa"/>
            <w:shd w:val="clear" w:color="auto" w:fill="auto"/>
            <w:noWrap/>
            <w:vAlign w:val="center"/>
            <w:hideMark/>
          </w:tcPr>
          <w:p w:rsidR="00263CBA" w:rsidRPr="00263CBA" w:rsidRDefault="00263CBA" w:rsidP="00263CBA">
            <w:pPr>
              <w:jc w:val="center"/>
              <w:rPr>
                <w:sz w:val="18"/>
                <w:szCs w:val="18"/>
              </w:rPr>
            </w:pPr>
            <w:r w:rsidRPr="00263CBA">
              <w:rPr>
                <w:sz w:val="18"/>
                <w:szCs w:val="18"/>
              </w:rPr>
              <w:t>100</w:t>
            </w:r>
          </w:p>
        </w:tc>
        <w:tc>
          <w:tcPr>
            <w:tcW w:w="905" w:type="dxa"/>
            <w:shd w:val="clear" w:color="auto" w:fill="auto"/>
            <w:noWrap/>
            <w:vAlign w:val="center"/>
            <w:hideMark/>
          </w:tcPr>
          <w:p w:rsidR="00263CBA" w:rsidRPr="00263CBA" w:rsidRDefault="00263CBA" w:rsidP="00263CBA">
            <w:pPr>
              <w:jc w:val="center"/>
              <w:rPr>
                <w:sz w:val="18"/>
                <w:szCs w:val="18"/>
              </w:rPr>
            </w:pPr>
            <w:r w:rsidRPr="00263CBA">
              <w:rPr>
                <w:sz w:val="18"/>
                <w:szCs w:val="18"/>
              </w:rPr>
              <w:t>75</w:t>
            </w:r>
          </w:p>
        </w:tc>
        <w:tc>
          <w:tcPr>
            <w:tcW w:w="1270" w:type="dxa"/>
            <w:shd w:val="clear" w:color="auto" w:fill="auto"/>
            <w:noWrap/>
            <w:vAlign w:val="center"/>
            <w:hideMark/>
          </w:tcPr>
          <w:p w:rsidR="00263CBA" w:rsidRPr="00263CBA" w:rsidRDefault="00263CBA" w:rsidP="00263CBA">
            <w:pPr>
              <w:jc w:val="center"/>
              <w:rPr>
                <w:sz w:val="18"/>
                <w:szCs w:val="18"/>
              </w:rPr>
            </w:pPr>
            <w:r w:rsidRPr="00263CBA">
              <w:rPr>
                <w:sz w:val="18"/>
                <w:szCs w:val="18"/>
              </w:rPr>
              <w:t>100%</w:t>
            </w:r>
          </w:p>
        </w:tc>
        <w:tc>
          <w:tcPr>
            <w:tcW w:w="1182" w:type="dxa"/>
            <w:shd w:val="clear" w:color="auto" w:fill="auto"/>
            <w:noWrap/>
            <w:vAlign w:val="center"/>
            <w:hideMark/>
          </w:tcPr>
          <w:p w:rsidR="00263CBA" w:rsidRPr="00263CBA" w:rsidRDefault="00263CBA" w:rsidP="00263CBA">
            <w:pPr>
              <w:jc w:val="center"/>
              <w:rPr>
                <w:sz w:val="18"/>
                <w:szCs w:val="18"/>
              </w:rPr>
            </w:pPr>
            <w:r w:rsidRPr="00263CBA">
              <w:rPr>
                <w:sz w:val="18"/>
                <w:szCs w:val="18"/>
              </w:rPr>
              <w:t>75</w:t>
            </w:r>
          </w:p>
        </w:tc>
        <w:tc>
          <w:tcPr>
            <w:tcW w:w="1401" w:type="dxa"/>
            <w:shd w:val="clear" w:color="auto" w:fill="auto"/>
            <w:noWrap/>
            <w:vAlign w:val="center"/>
            <w:hideMark/>
          </w:tcPr>
          <w:p w:rsidR="00263CBA" w:rsidRPr="00263CBA" w:rsidRDefault="00536F83" w:rsidP="00263CBA">
            <w:pPr>
              <w:jc w:val="center"/>
              <w:rPr>
                <w:sz w:val="18"/>
                <w:szCs w:val="18"/>
              </w:rPr>
            </w:pPr>
            <w:r w:rsidRPr="00536F83">
              <w:rPr>
                <w:sz w:val="18"/>
                <w:szCs w:val="18"/>
              </w:rPr>
              <w:t>7 417 448 542</w:t>
            </w:r>
          </w:p>
        </w:tc>
      </w:tr>
    </w:tbl>
    <w:p w:rsidR="003D21E5" w:rsidRPr="00CE147A" w:rsidRDefault="00CE147A" w:rsidP="003D21E5">
      <w:pPr>
        <w:jc w:val="both"/>
        <w:rPr>
          <w:i/>
          <w:sz w:val="18"/>
          <w:szCs w:val="18"/>
        </w:rPr>
      </w:pPr>
      <w:r w:rsidRPr="00CE147A">
        <w:rPr>
          <w:i/>
          <w:sz w:val="18"/>
          <w:szCs w:val="18"/>
        </w:rPr>
        <w:t xml:space="preserve">Zdroj: </w:t>
      </w:r>
      <w:r w:rsidR="00015620">
        <w:rPr>
          <w:i/>
          <w:sz w:val="18"/>
          <w:szCs w:val="18"/>
        </w:rPr>
        <w:t>MSC</w:t>
      </w:r>
      <w:r w:rsidRPr="00CE147A">
        <w:rPr>
          <w:i/>
          <w:sz w:val="18"/>
          <w:szCs w:val="18"/>
        </w:rPr>
        <w:t xml:space="preserve"> k </w:t>
      </w:r>
      <w:r w:rsidR="00A86020">
        <w:rPr>
          <w:i/>
          <w:sz w:val="18"/>
          <w:szCs w:val="18"/>
        </w:rPr>
        <w:t>30</w:t>
      </w:r>
      <w:r w:rsidR="00015620" w:rsidRPr="00CE147A">
        <w:rPr>
          <w:i/>
          <w:sz w:val="18"/>
          <w:szCs w:val="18"/>
        </w:rPr>
        <w:t>.</w:t>
      </w:r>
      <w:r w:rsidR="00015620">
        <w:rPr>
          <w:i/>
          <w:sz w:val="18"/>
          <w:szCs w:val="18"/>
        </w:rPr>
        <w:t xml:space="preserve"> </w:t>
      </w:r>
      <w:r w:rsidR="00A86020">
        <w:rPr>
          <w:i/>
          <w:sz w:val="18"/>
          <w:szCs w:val="18"/>
        </w:rPr>
        <w:t>9</w:t>
      </w:r>
      <w:r w:rsidR="00015620">
        <w:rPr>
          <w:i/>
          <w:sz w:val="18"/>
          <w:szCs w:val="18"/>
        </w:rPr>
        <w:t>. 201</w:t>
      </w:r>
      <w:r w:rsidR="00A86020">
        <w:rPr>
          <w:i/>
          <w:sz w:val="18"/>
          <w:szCs w:val="18"/>
        </w:rPr>
        <w:t>5</w:t>
      </w:r>
      <w:r w:rsidRPr="00CE147A">
        <w:rPr>
          <w:i/>
          <w:sz w:val="18"/>
          <w:szCs w:val="18"/>
        </w:rPr>
        <w:t xml:space="preserve"> a informace od ZS u podílových indikátorů</w:t>
      </w:r>
    </w:p>
    <w:p w:rsidR="00CE147A" w:rsidRDefault="00CE147A" w:rsidP="003D21E5">
      <w:pPr>
        <w:jc w:val="both"/>
        <w:rPr>
          <w:sz w:val="22"/>
          <w:szCs w:val="22"/>
        </w:rPr>
      </w:pPr>
    </w:p>
    <w:p w:rsidR="003D21E5" w:rsidRPr="00C54E0E" w:rsidRDefault="003D21E5" w:rsidP="003D21E5">
      <w:pPr>
        <w:jc w:val="both"/>
        <w:rPr>
          <w:sz w:val="22"/>
          <w:szCs w:val="22"/>
        </w:rPr>
      </w:pPr>
      <w:r w:rsidRPr="00C54E0E">
        <w:rPr>
          <w:sz w:val="22"/>
          <w:szCs w:val="22"/>
        </w:rPr>
        <w:t xml:space="preserve">V grafech Porovnání věcného a finančního pokroku vyjadřuje </w:t>
      </w:r>
      <w:r w:rsidRPr="00B844A3">
        <w:rPr>
          <w:sz w:val="22"/>
          <w:szCs w:val="22"/>
        </w:rPr>
        <w:t>fialový sloupec závazek ze schvále</w:t>
      </w:r>
      <w:r w:rsidRPr="00C54E0E">
        <w:rPr>
          <w:sz w:val="22"/>
          <w:szCs w:val="22"/>
        </w:rPr>
        <w:t>ných projektů, tj. celkovou plánovanou hodnotu indikátoru, kterou příjemci uvedli v žádostech o dotaci, vyjádřený v % z celkové hodnoty, stanovené v Programovém dokumentu IOP, stejný údaj je v tabulkách indikátorů. Modrý sloupec zahrnuje finanční prostředky projektů, na které je vydáno Rozhodnutí o poskytnutí dotace</w:t>
      </w:r>
      <w:r w:rsidR="00B9298E">
        <w:rPr>
          <w:sz w:val="22"/>
          <w:szCs w:val="22"/>
        </w:rPr>
        <w:t>,</w:t>
      </w:r>
      <w:r w:rsidRPr="00C54E0E">
        <w:rPr>
          <w:sz w:val="22"/>
          <w:szCs w:val="22"/>
        </w:rPr>
        <w:t xml:space="preserve"> procentuálně vztažené k alokaci aktivit</w:t>
      </w:r>
      <w:r w:rsidR="00A8192C">
        <w:rPr>
          <w:sz w:val="22"/>
          <w:szCs w:val="22"/>
        </w:rPr>
        <w:t>y</w:t>
      </w:r>
      <w:r w:rsidRPr="00C54E0E">
        <w:rPr>
          <w:sz w:val="22"/>
          <w:szCs w:val="22"/>
        </w:rPr>
        <w:t>, do které indikátor spadá.</w:t>
      </w:r>
    </w:p>
    <w:p w:rsidR="003D21E5" w:rsidRDefault="003D21E5" w:rsidP="002F4540">
      <w:pPr>
        <w:pStyle w:val="Graf"/>
        <w:keepNext/>
        <w:keepLines/>
        <w:spacing w:before="360"/>
        <w:rPr>
          <w:b w:val="0"/>
        </w:rPr>
      </w:pPr>
      <w:bookmarkStart w:id="77" w:name="_Toc433873587"/>
      <w:r w:rsidRPr="002F4540">
        <w:rPr>
          <w:b w:val="0"/>
        </w:rPr>
        <w:lastRenderedPageBreak/>
        <w:t>Porovnání věcného a finančního pokroku v oblasti intervence 1.1</w:t>
      </w:r>
      <w:bookmarkEnd w:id="77"/>
    </w:p>
    <w:p w:rsidR="00460A17" w:rsidRPr="00460A17" w:rsidRDefault="00460A17" w:rsidP="00460A17">
      <w:r>
        <w:rPr>
          <w:noProof/>
        </w:rPr>
        <w:drawing>
          <wp:inline distT="0" distB="0" distL="0" distR="0" wp14:anchorId="10CB9F22" wp14:editId="6EA48FCD">
            <wp:extent cx="5762847" cy="3476847"/>
            <wp:effectExtent l="0" t="0" r="9525" b="9525"/>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278E7" w:rsidRPr="00CE147A" w:rsidRDefault="00D278E7" w:rsidP="00D278E7">
      <w:pPr>
        <w:jc w:val="both"/>
        <w:rPr>
          <w:i/>
          <w:sz w:val="18"/>
          <w:szCs w:val="18"/>
        </w:rPr>
      </w:pPr>
      <w:r w:rsidRPr="00CE147A">
        <w:rPr>
          <w:i/>
          <w:sz w:val="18"/>
          <w:szCs w:val="18"/>
        </w:rPr>
        <w:t xml:space="preserve">Zdroj: </w:t>
      </w:r>
      <w:r>
        <w:rPr>
          <w:i/>
          <w:sz w:val="18"/>
          <w:szCs w:val="18"/>
        </w:rPr>
        <w:t>MSC</w:t>
      </w:r>
      <w:r w:rsidRPr="00CE147A">
        <w:rPr>
          <w:i/>
          <w:sz w:val="18"/>
          <w:szCs w:val="18"/>
        </w:rPr>
        <w:t xml:space="preserve"> k </w:t>
      </w:r>
      <w:r>
        <w:rPr>
          <w:i/>
          <w:sz w:val="18"/>
          <w:szCs w:val="18"/>
        </w:rPr>
        <w:t>30</w:t>
      </w:r>
      <w:r w:rsidRPr="00CE147A">
        <w:rPr>
          <w:i/>
          <w:sz w:val="18"/>
          <w:szCs w:val="18"/>
        </w:rPr>
        <w:t>.</w:t>
      </w:r>
      <w:r>
        <w:rPr>
          <w:i/>
          <w:sz w:val="18"/>
          <w:szCs w:val="18"/>
        </w:rPr>
        <w:t xml:space="preserve"> 9. 2015</w:t>
      </w:r>
      <w:r w:rsidRPr="00CE147A">
        <w:rPr>
          <w:i/>
          <w:sz w:val="18"/>
          <w:szCs w:val="18"/>
        </w:rPr>
        <w:t xml:space="preserve"> a informace od ZS u podílových indikátorů</w:t>
      </w:r>
    </w:p>
    <w:p w:rsidR="002255AA" w:rsidRPr="000F2845" w:rsidRDefault="002255AA" w:rsidP="006056E8">
      <w:pPr>
        <w:adjustRightInd w:val="0"/>
        <w:spacing w:after="120"/>
        <w:jc w:val="both"/>
        <w:rPr>
          <w:noProof/>
        </w:rPr>
      </w:pPr>
    </w:p>
    <w:p w:rsidR="00D644B0" w:rsidRDefault="00D644B0">
      <w:pPr>
        <w:pStyle w:val="Nadpis3"/>
        <w:rPr>
          <w:rFonts w:ascii="Times New Roman" w:hAnsi="Times New Roman"/>
          <w:sz w:val="24"/>
          <w:szCs w:val="24"/>
        </w:rPr>
      </w:pPr>
      <w:bookmarkStart w:id="78" w:name="_Toc433873492"/>
      <w:r w:rsidRPr="00F40769">
        <w:rPr>
          <w:rFonts w:ascii="Times New Roman" w:hAnsi="Times New Roman"/>
          <w:sz w:val="24"/>
          <w:szCs w:val="24"/>
        </w:rPr>
        <w:t>3.1</w:t>
      </w:r>
      <w:r w:rsidRPr="006266F5">
        <w:rPr>
          <w:rFonts w:ascii="Times New Roman" w:hAnsi="Times New Roman"/>
          <w:sz w:val="24"/>
          <w:szCs w:val="24"/>
        </w:rPr>
        <w:t>.4 Problémy a přijatá opatření</w:t>
      </w:r>
      <w:bookmarkEnd w:id="78"/>
    </w:p>
    <w:p w:rsidR="00827AF4" w:rsidRPr="00827AF4" w:rsidRDefault="00827AF4" w:rsidP="00827AF4"/>
    <w:p w:rsidR="00827AF4" w:rsidRPr="00827AF4" w:rsidRDefault="00827AF4" w:rsidP="00827AF4">
      <w:pPr>
        <w:jc w:val="both"/>
        <w:rPr>
          <w:rFonts w:eastAsia="Calibri"/>
          <w:b/>
          <w:sz w:val="22"/>
          <w:szCs w:val="22"/>
          <w:lang w:eastAsia="en-US"/>
        </w:rPr>
      </w:pPr>
      <w:r w:rsidRPr="00827AF4">
        <w:rPr>
          <w:rFonts w:eastAsia="Calibri"/>
          <w:b/>
          <w:sz w:val="22"/>
          <w:szCs w:val="22"/>
          <w:lang w:eastAsia="en-US"/>
        </w:rPr>
        <w:t>Riziko nedočerpání zbývající alokace v roce 2015</w:t>
      </w:r>
    </w:p>
    <w:p w:rsidR="00827AF4" w:rsidRDefault="00827AF4" w:rsidP="00827AF4">
      <w:pPr>
        <w:jc w:val="both"/>
        <w:rPr>
          <w:rFonts w:eastAsia="Calibri"/>
          <w:sz w:val="22"/>
          <w:szCs w:val="22"/>
          <w:lang w:eastAsia="en-US"/>
        </w:rPr>
      </w:pPr>
      <w:r w:rsidRPr="00827AF4">
        <w:rPr>
          <w:rFonts w:eastAsia="Calibri"/>
          <w:sz w:val="22"/>
          <w:szCs w:val="22"/>
          <w:lang w:eastAsia="en-US"/>
        </w:rPr>
        <w:t xml:space="preserve">V </w:t>
      </w:r>
      <w:r w:rsidR="006E6B0F">
        <w:rPr>
          <w:rFonts w:eastAsia="Calibri"/>
          <w:sz w:val="22"/>
          <w:szCs w:val="22"/>
          <w:lang w:eastAsia="en-US"/>
        </w:rPr>
        <w:t>o</w:t>
      </w:r>
      <w:r w:rsidRPr="00827AF4">
        <w:rPr>
          <w:rFonts w:eastAsia="Calibri"/>
          <w:sz w:val="22"/>
          <w:szCs w:val="22"/>
          <w:lang w:eastAsia="en-US"/>
        </w:rPr>
        <w:t xml:space="preserve">blasti intervence 1.1 </w:t>
      </w:r>
      <w:r w:rsidR="006E6B0F">
        <w:rPr>
          <w:rFonts w:eastAsia="Calibri"/>
          <w:sz w:val="22"/>
          <w:szCs w:val="22"/>
          <w:lang w:eastAsia="en-US"/>
        </w:rPr>
        <w:t xml:space="preserve">existuje </w:t>
      </w:r>
      <w:r w:rsidRPr="00827AF4">
        <w:rPr>
          <w:rFonts w:eastAsia="Calibri"/>
          <w:sz w:val="22"/>
          <w:szCs w:val="22"/>
          <w:lang w:eastAsia="en-US"/>
        </w:rPr>
        <w:t xml:space="preserve">relativně vysoký objem prostředků, které budou předloženy </w:t>
      </w:r>
      <w:r w:rsidR="007D66D0">
        <w:rPr>
          <w:rFonts w:eastAsia="Calibri"/>
          <w:sz w:val="22"/>
          <w:szCs w:val="22"/>
          <w:lang w:eastAsia="en-US"/>
        </w:rPr>
        <w:br/>
      </w:r>
      <w:r w:rsidRPr="00827AF4">
        <w:rPr>
          <w:rFonts w:eastAsia="Calibri"/>
          <w:sz w:val="22"/>
          <w:szCs w:val="22"/>
          <w:lang w:eastAsia="en-US"/>
        </w:rPr>
        <w:t xml:space="preserve">v žádostech o platbu (cca 2 mld. Kč). Mezi hlavní </w:t>
      </w:r>
      <w:r w:rsidR="000F7F88">
        <w:rPr>
          <w:rFonts w:eastAsia="Calibri"/>
          <w:sz w:val="22"/>
          <w:szCs w:val="22"/>
          <w:lang w:eastAsia="en-US"/>
        </w:rPr>
        <w:t xml:space="preserve">příčiny </w:t>
      </w:r>
      <w:r w:rsidRPr="00827AF4">
        <w:rPr>
          <w:rFonts w:eastAsia="Calibri"/>
          <w:sz w:val="22"/>
          <w:szCs w:val="22"/>
          <w:lang w:eastAsia="en-US"/>
        </w:rPr>
        <w:t>patří existence rizikových projektů se zpožděn</w:t>
      </w:r>
      <w:r w:rsidR="000F7F88">
        <w:rPr>
          <w:rFonts w:eastAsia="Calibri"/>
          <w:sz w:val="22"/>
          <w:szCs w:val="22"/>
          <w:lang w:eastAsia="en-US"/>
        </w:rPr>
        <w:t>ou</w:t>
      </w:r>
      <w:r w:rsidRPr="00827AF4">
        <w:rPr>
          <w:rFonts w:eastAsia="Calibri"/>
          <w:sz w:val="22"/>
          <w:szCs w:val="22"/>
          <w:lang w:eastAsia="en-US"/>
        </w:rPr>
        <w:t xml:space="preserve"> realizac</w:t>
      </w:r>
      <w:r w:rsidR="000F7F88">
        <w:rPr>
          <w:rFonts w:eastAsia="Calibri"/>
          <w:sz w:val="22"/>
          <w:szCs w:val="22"/>
          <w:lang w:eastAsia="en-US"/>
        </w:rPr>
        <w:t>í</w:t>
      </w:r>
      <w:r w:rsidRPr="00827AF4">
        <w:rPr>
          <w:rFonts w:eastAsia="Calibri"/>
          <w:sz w:val="22"/>
          <w:szCs w:val="22"/>
          <w:lang w:eastAsia="en-US"/>
        </w:rPr>
        <w:t xml:space="preserve"> a čerpání</w:t>
      </w:r>
      <w:r w:rsidR="000F7F88">
        <w:rPr>
          <w:rFonts w:eastAsia="Calibri"/>
          <w:sz w:val="22"/>
          <w:szCs w:val="22"/>
          <w:lang w:eastAsia="en-US"/>
        </w:rPr>
        <w:t>m</w:t>
      </w:r>
      <w:r w:rsidRPr="00827AF4">
        <w:rPr>
          <w:rFonts w:eastAsia="Calibri"/>
          <w:sz w:val="22"/>
          <w:szCs w:val="22"/>
          <w:lang w:eastAsia="en-US"/>
        </w:rPr>
        <w:t>, řada projektů má nastaven</w:t>
      </w:r>
      <w:r w:rsidR="000F7F88">
        <w:rPr>
          <w:rFonts w:eastAsia="Calibri"/>
          <w:sz w:val="22"/>
          <w:szCs w:val="22"/>
          <w:lang w:eastAsia="en-US"/>
        </w:rPr>
        <w:t>é ukončení</w:t>
      </w:r>
      <w:r w:rsidRPr="00827AF4">
        <w:rPr>
          <w:rFonts w:eastAsia="Calibri"/>
          <w:sz w:val="22"/>
          <w:szCs w:val="22"/>
          <w:lang w:eastAsia="en-US"/>
        </w:rPr>
        <w:t xml:space="preserve"> realizace na konec způsobilosti výdajů</w:t>
      </w:r>
      <w:r w:rsidR="000F7F88">
        <w:rPr>
          <w:rFonts w:eastAsia="Calibri"/>
          <w:sz w:val="22"/>
          <w:szCs w:val="22"/>
          <w:lang w:eastAsia="en-US"/>
        </w:rPr>
        <w:t xml:space="preserve"> a</w:t>
      </w:r>
      <w:r w:rsidRPr="00827AF4">
        <w:rPr>
          <w:rFonts w:eastAsia="Calibri"/>
          <w:sz w:val="22"/>
          <w:szCs w:val="22"/>
          <w:lang w:eastAsia="en-US"/>
        </w:rPr>
        <w:t xml:space="preserve"> prostředky budou předloženy v žádostech o platbu na konci roku 2015.</w:t>
      </w:r>
    </w:p>
    <w:p w:rsidR="00827AF4" w:rsidRPr="00827AF4" w:rsidRDefault="000F7F88" w:rsidP="00827AF4">
      <w:pPr>
        <w:jc w:val="both"/>
        <w:rPr>
          <w:rFonts w:eastAsia="Calibri"/>
          <w:sz w:val="22"/>
          <w:szCs w:val="22"/>
          <w:lang w:eastAsia="en-US"/>
        </w:rPr>
      </w:pPr>
      <w:r>
        <w:rPr>
          <w:rFonts w:eastAsia="Calibri"/>
          <w:sz w:val="22"/>
          <w:szCs w:val="22"/>
          <w:lang w:eastAsia="en-US"/>
        </w:rPr>
        <w:t xml:space="preserve">Proto </w:t>
      </w:r>
      <w:r w:rsidR="00827AF4" w:rsidRPr="00827AF4">
        <w:rPr>
          <w:rFonts w:eastAsia="Calibri"/>
          <w:sz w:val="22"/>
          <w:szCs w:val="22"/>
          <w:lang w:eastAsia="en-US"/>
        </w:rPr>
        <w:t>je reálně ohroženo dočerpání alokace v</w:t>
      </w:r>
      <w:r w:rsidR="00163DE8">
        <w:rPr>
          <w:rFonts w:eastAsia="Calibri"/>
          <w:sz w:val="22"/>
          <w:szCs w:val="22"/>
          <w:lang w:eastAsia="en-US"/>
        </w:rPr>
        <w:t> </w:t>
      </w:r>
      <w:r w:rsidR="00827AF4" w:rsidRPr="00827AF4">
        <w:rPr>
          <w:rFonts w:eastAsia="Calibri"/>
          <w:sz w:val="22"/>
          <w:szCs w:val="22"/>
          <w:lang w:eastAsia="en-US"/>
        </w:rPr>
        <w:t>o</w:t>
      </w:r>
      <w:r w:rsidR="00163DE8">
        <w:rPr>
          <w:rFonts w:eastAsia="Calibri"/>
          <w:sz w:val="22"/>
          <w:szCs w:val="22"/>
          <w:lang w:eastAsia="en-US"/>
        </w:rPr>
        <w:t xml:space="preserve">blasti intervence </w:t>
      </w:r>
      <w:r w:rsidR="00827AF4" w:rsidRPr="00827AF4">
        <w:rPr>
          <w:rFonts w:eastAsia="Calibri"/>
          <w:sz w:val="22"/>
          <w:szCs w:val="22"/>
          <w:lang w:eastAsia="en-US"/>
        </w:rPr>
        <w:t>1.1 IOP.</w:t>
      </w:r>
    </w:p>
    <w:p w:rsidR="00827AF4" w:rsidRPr="00827AF4" w:rsidRDefault="00827AF4" w:rsidP="00827AF4">
      <w:pPr>
        <w:jc w:val="both"/>
        <w:rPr>
          <w:rFonts w:eastAsia="Calibri"/>
          <w:sz w:val="22"/>
          <w:szCs w:val="22"/>
          <w:lang w:eastAsia="en-US"/>
        </w:rPr>
      </w:pPr>
    </w:p>
    <w:p w:rsidR="00827AF4" w:rsidRPr="00827AF4" w:rsidRDefault="00827AF4" w:rsidP="00827AF4">
      <w:pPr>
        <w:jc w:val="both"/>
        <w:rPr>
          <w:rFonts w:eastAsia="Calibri"/>
          <w:b/>
          <w:sz w:val="22"/>
          <w:szCs w:val="22"/>
          <w:lang w:eastAsia="en-US"/>
        </w:rPr>
      </w:pPr>
      <w:r w:rsidRPr="00827AF4">
        <w:rPr>
          <w:rFonts w:eastAsia="Calibri"/>
          <w:b/>
          <w:sz w:val="22"/>
          <w:szCs w:val="22"/>
          <w:lang w:eastAsia="en-US"/>
        </w:rPr>
        <w:t xml:space="preserve">Přijatá opatření </w:t>
      </w:r>
    </w:p>
    <w:p w:rsidR="00827AF4" w:rsidRPr="00827AF4" w:rsidRDefault="00827AF4" w:rsidP="000F7F88">
      <w:pPr>
        <w:jc w:val="both"/>
        <w:rPr>
          <w:rFonts w:eastAsia="Calibri"/>
          <w:sz w:val="22"/>
          <w:szCs w:val="22"/>
          <w:lang w:eastAsia="en-US"/>
        </w:rPr>
      </w:pPr>
      <w:r w:rsidRPr="00827AF4">
        <w:rPr>
          <w:rFonts w:eastAsia="Calibri"/>
          <w:sz w:val="22"/>
          <w:szCs w:val="22"/>
          <w:lang w:eastAsia="en-US"/>
        </w:rPr>
        <w:t>Probíh</w:t>
      </w:r>
      <w:r w:rsidR="000F7F88">
        <w:rPr>
          <w:rFonts w:eastAsia="Calibri"/>
          <w:sz w:val="22"/>
          <w:szCs w:val="22"/>
          <w:lang w:eastAsia="en-US"/>
        </w:rPr>
        <w:t>ají konzultace</w:t>
      </w:r>
      <w:r w:rsidRPr="00827AF4">
        <w:rPr>
          <w:rFonts w:eastAsia="Calibri"/>
          <w:sz w:val="22"/>
          <w:szCs w:val="22"/>
          <w:lang w:eastAsia="en-US"/>
        </w:rPr>
        <w:t xml:space="preserve"> s příjemci, monitoring rizikových projektů a jejich krizové řízení, spolupráce </w:t>
      </w:r>
      <w:r w:rsidR="007D66D0">
        <w:rPr>
          <w:rFonts w:eastAsia="Calibri"/>
          <w:sz w:val="22"/>
          <w:szCs w:val="22"/>
          <w:lang w:eastAsia="en-US"/>
        </w:rPr>
        <w:br/>
      </w:r>
      <w:r w:rsidRPr="00827AF4">
        <w:rPr>
          <w:rFonts w:eastAsia="Calibri"/>
          <w:sz w:val="22"/>
          <w:szCs w:val="22"/>
          <w:lang w:eastAsia="en-US"/>
        </w:rPr>
        <w:t xml:space="preserve">s příjemci </w:t>
      </w:r>
      <w:r w:rsidR="000F7F88">
        <w:rPr>
          <w:rFonts w:eastAsia="Calibri"/>
          <w:sz w:val="22"/>
          <w:szCs w:val="22"/>
          <w:lang w:eastAsia="en-US"/>
        </w:rPr>
        <w:t>př</w:t>
      </w:r>
      <w:r w:rsidRPr="00827AF4">
        <w:rPr>
          <w:rFonts w:eastAsia="Calibri"/>
          <w:sz w:val="22"/>
          <w:szCs w:val="22"/>
          <w:lang w:eastAsia="en-US"/>
        </w:rPr>
        <w:t>i příprav</w:t>
      </w:r>
      <w:r w:rsidR="000F7F88">
        <w:rPr>
          <w:rFonts w:eastAsia="Calibri"/>
          <w:sz w:val="22"/>
          <w:szCs w:val="22"/>
          <w:lang w:eastAsia="en-US"/>
        </w:rPr>
        <w:t>ě</w:t>
      </w:r>
      <w:r w:rsidRPr="00827AF4">
        <w:rPr>
          <w:rFonts w:eastAsia="Calibri"/>
          <w:sz w:val="22"/>
          <w:szCs w:val="22"/>
          <w:lang w:eastAsia="en-US"/>
        </w:rPr>
        <w:t xml:space="preserve"> monitorovacích zpráv a žádostí o platbu, etapizace projektů, zkracování lhůt příjemc</w:t>
      </w:r>
      <w:r w:rsidR="000F7F88">
        <w:rPr>
          <w:rFonts w:eastAsia="Calibri"/>
          <w:sz w:val="22"/>
          <w:szCs w:val="22"/>
          <w:lang w:eastAsia="en-US"/>
        </w:rPr>
        <w:t>ů a</w:t>
      </w:r>
      <w:r w:rsidRPr="00827AF4">
        <w:rPr>
          <w:rFonts w:eastAsia="Calibri"/>
          <w:sz w:val="22"/>
          <w:szCs w:val="22"/>
          <w:lang w:eastAsia="en-US"/>
        </w:rPr>
        <w:t xml:space="preserve"> ZS, před</w:t>
      </w:r>
      <w:r w:rsidR="000F7F88">
        <w:rPr>
          <w:rFonts w:eastAsia="Calibri"/>
          <w:sz w:val="22"/>
          <w:szCs w:val="22"/>
          <w:lang w:eastAsia="en-US"/>
        </w:rPr>
        <w:t xml:space="preserve">běžná </w:t>
      </w:r>
      <w:r w:rsidRPr="00827AF4">
        <w:rPr>
          <w:rFonts w:eastAsia="Calibri"/>
          <w:sz w:val="22"/>
          <w:szCs w:val="22"/>
          <w:lang w:eastAsia="en-US"/>
        </w:rPr>
        <w:t>kontrola dokumentace</w:t>
      </w:r>
      <w:r w:rsidR="000F7F88">
        <w:rPr>
          <w:rFonts w:eastAsia="Calibri"/>
          <w:sz w:val="22"/>
          <w:szCs w:val="22"/>
          <w:lang w:eastAsia="en-US"/>
        </w:rPr>
        <w:t xml:space="preserve"> </w:t>
      </w:r>
      <w:r w:rsidRPr="00827AF4">
        <w:rPr>
          <w:rFonts w:eastAsia="Calibri"/>
          <w:sz w:val="22"/>
          <w:szCs w:val="22"/>
          <w:lang w:eastAsia="en-US"/>
        </w:rPr>
        <w:t>k VZ</w:t>
      </w:r>
      <w:r w:rsidR="000F7F88">
        <w:rPr>
          <w:rFonts w:eastAsia="Calibri"/>
          <w:sz w:val="22"/>
          <w:szCs w:val="22"/>
          <w:lang w:eastAsia="en-US"/>
        </w:rPr>
        <w:t>,</w:t>
      </w:r>
      <w:r w:rsidRPr="00827AF4">
        <w:rPr>
          <w:rFonts w:eastAsia="Calibri"/>
          <w:sz w:val="22"/>
          <w:szCs w:val="22"/>
          <w:lang w:eastAsia="en-US"/>
        </w:rPr>
        <w:t xml:space="preserve"> včasné řešení problémů </w:t>
      </w:r>
      <w:r w:rsidR="000F7F88">
        <w:rPr>
          <w:rFonts w:eastAsia="Calibri"/>
          <w:sz w:val="22"/>
          <w:szCs w:val="22"/>
          <w:lang w:eastAsia="en-US"/>
        </w:rPr>
        <w:t>a</w:t>
      </w:r>
      <w:r w:rsidRPr="00827AF4">
        <w:rPr>
          <w:rFonts w:eastAsia="Calibri"/>
          <w:sz w:val="22"/>
          <w:szCs w:val="22"/>
          <w:lang w:eastAsia="en-US"/>
        </w:rPr>
        <w:t xml:space="preserve"> návrh</w:t>
      </w:r>
      <w:r w:rsidR="000F7F88">
        <w:rPr>
          <w:rFonts w:eastAsia="Calibri"/>
          <w:sz w:val="22"/>
          <w:szCs w:val="22"/>
          <w:lang w:eastAsia="en-US"/>
        </w:rPr>
        <w:t>y</w:t>
      </w:r>
      <w:r w:rsidRPr="00827AF4">
        <w:rPr>
          <w:rFonts w:eastAsia="Calibri"/>
          <w:sz w:val="22"/>
          <w:szCs w:val="22"/>
          <w:lang w:eastAsia="en-US"/>
        </w:rPr>
        <w:t xml:space="preserve"> řešení.</w:t>
      </w:r>
    </w:p>
    <w:p w:rsidR="00827AF4" w:rsidRPr="00827AF4" w:rsidRDefault="00827AF4" w:rsidP="000B6DA1">
      <w:pPr>
        <w:jc w:val="both"/>
        <w:rPr>
          <w:rFonts w:eastAsia="Calibri"/>
          <w:sz w:val="22"/>
          <w:szCs w:val="22"/>
          <w:lang w:eastAsia="en-US"/>
        </w:rPr>
      </w:pPr>
      <w:r w:rsidRPr="00827AF4">
        <w:rPr>
          <w:rFonts w:eastAsia="Calibri"/>
          <w:sz w:val="22"/>
          <w:szCs w:val="22"/>
          <w:lang w:eastAsia="en-US"/>
        </w:rPr>
        <w:t xml:space="preserve">Mezi další opatření lze zařadit aktivní spolupráci s řídicím orgánem IOP (zjednodušování postupů, trilaterální jednání s rizikovými příjemci, materiály do vlády k rizikovým projektům, materiál do vlády </w:t>
      </w:r>
      <w:r w:rsidR="001E76B2">
        <w:rPr>
          <w:rFonts w:eastAsia="Calibri"/>
          <w:sz w:val="22"/>
          <w:szCs w:val="22"/>
          <w:lang w:eastAsia="en-US"/>
        </w:rPr>
        <w:t>a</w:t>
      </w:r>
      <w:r w:rsidRPr="00827AF4">
        <w:rPr>
          <w:rFonts w:eastAsia="Calibri"/>
          <w:sz w:val="22"/>
          <w:szCs w:val="22"/>
          <w:lang w:eastAsia="en-US"/>
        </w:rPr>
        <w:t xml:space="preserve"> usnesení vlády k dokončování IOP, atp.). Opatření přijímá ZS MV i v personální oblasti, kdy je třeba zajistit maximální dočerpání</w:t>
      </w:r>
      <w:r w:rsidR="000F7F88">
        <w:rPr>
          <w:rFonts w:eastAsia="Calibri"/>
          <w:sz w:val="22"/>
          <w:szCs w:val="22"/>
          <w:lang w:eastAsia="en-US"/>
        </w:rPr>
        <w:t xml:space="preserve"> </w:t>
      </w:r>
      <w:r w:rsidRPr="00827AF4">
        <w:rPr>
          <w:rFonts w:eastAsia="Calibri"/>
          <w:sz w:val="22"/>
          <w:szCs w:val="22"/>
          <w:lang w:eastAsia="en-US"/>
        </w:rPr>
        <w:t>a dokončování programového období.</w:t>
      </w:r>
    </w:p>
    <w:p w:rsidR="00827AF4" w:rsidRPr="00827AF4" w:rsidRDefault="00827AF4" w:rsidP="000F7F88">
      <w:pPr>
        <w:jc w:val="both"/>
        <w:rPr>
          <w:rFonts w:eastAsia="Calibri"/>
          <w:sz w:val="22"/>
          <w:szCs w:val="22"/>
          <w:lang w:eastAsia="en-US"/>
        </w:rPr>
      </w:pPr>
      <w:r w:rsidRPr="00827AF4">
        <w:rPr>
          <w:rFonts w:eastAsia="Calibri"/>
          <w:sz w:val="22"/>
          <w:szCs w:val="22"/>
          <w:lang w:eastAsia="en-US"/>
        </w:rPr>
        <w:t xml:space="preserve">Vzhledem k zásadnímu objemu </w:t>
      </w:r>
      <w:r w:rsidR="000F7F88">
        <w:rPr>
          <w:rFonts w:eastAsia="Calibri"/>
          <w:sz w:val="22"/>
          <w:szCs w:val="22"/>
          <w:lang w:eastAsia="en-US"/>
        </w:rPr>
        <w:t>prostředků,</w:t>
      </w:r>
      <w:r w:rsidRPr="00827AF4">
        <w:rPr>
          <w:rFonts w:eastAsia="Calibri"/>
          <w:sz w:val="22"/>
          <w:szCs w:val="22"/>
          <w:lang w:eastAsia="en-US"/>
        </w:rPr>
        <w:t xml:space="preserve"> vázan</w:t>
      </w:r>
      <w:r w:rsidR="000F7F88">
        <w:rPr>
          <w:rFonts w:eastAsia="Calibri"/>
          <w:sz w:val="22"/>
          <w:szCs w:val="22"/>
          <w:lang w:eastAsia="en-US"/>
        </w:rPr>
        <w:t>ých</w:t>
      </w:r>
      <w:r w:rsidRPr="00827AF4">
        <w:rPr>
          <w:rFonts w:eastAsia="Calibri"/>
          <w:sz w:val="22"/>
          <w:szCs w:val="22"/>
          <w:lang w:eastAsia="en-US"/>
        </w:rPr>
        <w:t xml:space="preserve"> v resortních rizikových projektech, ZS MV monitor</w:t>
      </w:r>
      <w:r w:rsidR="000F7F88">
        <w:rPr>
          <w:rFonts w:eastAsia="Calibri"/>
          <w:sz w:val="22"/>
          <w:szCs w:val="22"/>
          <w:lang w:eastAsia="en-US"/>
        </w:rPr>
        <w:t>uje</w:t>
      </w:r>
      <w:r w:rsidRPr="00827AF4">
        <w:rPr>
          <w:rFonts w:eastAsia="Calibri"/>
          <w:sz w:val="22"/>
          <w:szCs w:val="22"/>
          <w:lang w:eastAsia="en-US"/>
        </w:rPr>
        <w:t xml:space="preserve"> projekt</w:t>
      </w:r>
      <w:r w:rsidR="000F7F88">
        <w:rPr>
          <w:rFonts w:eastAsia="Calibri"/>
          <w:sz w:val="22"/>
          <w:szCs w:val="22"/>
          <w:lang w:eastAsia="en-US"/>
        </w:rPr>
        <w:t>y</w:t>
      </w:r>
      <w:r w:rsidRPr="00827AF4">
        <w:rPr>
          <w:rFonts w:eastAsia="Calibri"/>
          <w:sz w:val="22"/>
          <w:szCs w:val="22"/>
          <w:lang w:eastAsia="en-US"/>
        </w:rPr>
        <w:t xml:space="preserve"> s napjatým harmonogramem a využívá všechny dostupné prostředky k zajištění pokroku v</w:t>
      </w:r>
      <w:r w:rsidR="000F7F88">
        <w:rPr>
          <w:rFonts w:eastAsia="Calibri"/>
          <w:sz w:val="22"/>
          <w:szCs w:val="22"/>
          <w:lang w:eastAsia="en-US"/>
        </w:rPr>
        <w:t> </w:t>
      </w:r>
      <w:r w:rsidRPr="00827AF4">
        <w:rPr>
          <w:rFonts w:eastAsia="Calibri"/>
          <w:sz w:val="22"/>
          <w:szCs w:val="22"/>
          <w:lang w:eastAsia="en-US"/>
        </w:rPr>
        <w:t>realizaci</w:t>
      </w:r>
      <w:r w:rsidR="000F7F88">
        <w:rPr>
          <w:rFonts w:eastAsia="Calibri"/>
          <w:sz w:val="22"/>
          <w:szCs w:val="22"/>
          <w:lang w:eastAsia="en-US"/>
        </w:rPr>
        <w:t xml:space="preserve"> </w:t>
      </w:r>
      <w:r w:rsidRPr="00827AF4">
        <w:rPr>
          <w:rFonts w:eastAsia="Calibri"/>
          <w:sz w:val="22"/>
          <w:szCs w:val="22"/>
          <w:lang w:eastAsia="en-US"/>
        </w:rPr>
        <w:t xml:space="preserve">a </w:t>
      </w:r>
      <w:r w:rsidR="000F7F88">
        <w:rPr>
          <w:rFonts w:eastAsia="Calibri"/>
          <w:sz w:val="22"/>
          <w:szCs w:val="22"/>
          <w:lang w:eastAsia="en-US"/>
        </w:rPr>
        <w:t xml:space="preserve">v </w:t>
      </w:r>
      <w:r w:rsidRPr="00827AF4">
        <w:rPr>
          <w:rFonts w:eastAsia="Calibri"/>
          <w:sz w:val="22"/>
          <w:szCs w:val="22"/>
          <w:lang w:eastAsia="en-US"/>
        </w:rPr>
        <w:t xml:space="preserve">čerpání. Zástupce OSF se </w:t>
      </w:r>
      <w:r w:rsidR="000F7F88">
        <w:rPr>
          <w:rFonts w:eastAsia="Calibri"/>
          <w:sz w:val="22"/>
          <w:szCs w:val="22"/>
          <w:lang w:eastAsia="en-US"/>
        </w:rPr>
        <w:t>z</w:t>
      </w:r>
      <w:r w:rsidRPr="00827AF4">
        <w:rPr>
          <w:rFonts w:eastAsia="Calibri"/>
          <w:sz w:val="22"/>
          <w:szCs w:val="22"/>
          <w:lang w:eastAsia="en-US"/>
        </w:rPr>
        <w:t>účast</w:t>
      </w:r>
      <w:r w:rsidR="000F7F88">
        <w:rPr>
          <w:rFonts w:eastAsia="Calibri"/>
          <w:sz w:val="22"/>
          <w:szCs w:val="22"/>
          <w:lang w:eastAsia="en-US"/>
        </w:rPr>
        <w:t>ňuje</w:t>
      </w:r>
      <w:r w:rsidRPr="00827AF4">
        <w:rPr>
          <w:rFonts w:eastAsia="Calibri"/>
          <w:sz w:val="22"/>
          <w:szCs w:val="22"/>
          <w:lang w:eastAsia="en-US"/>
        </w:rPr>
        <w:t xml:space="preserve"> jednání Koordinační rady projektů pod záštitou NMV pro ICT, kde je situace projektů projednávána. </w:t>
      </w:r>
    </w:p>
    <w:p w:rsidR="00827AF4" w:rsidRPr="00827AF4" w:rsidRDefault="00827AF4" w:rsidP="000B6DA1">
      <w:pPr>
        <w:jc w:val="both"/>
        <w:rPr>
          <w:rFonts w:eastAsia="Calibri"/>
          <w:sz w:val="22"/>
          <w:szCs w:val="22"/>
          <w:lang w:eastAsia="en-US"/>
        </w:rPr>
      </w:pPr>
      <w:r w:rsidRPr="00827AF4">
        <w:rPr>
          <w:rFonts w:eastAsia="Calibri"/>
          <w:sz w:val="22"/>
          <w:szCs w:val="22"/>
          <w:lang w:eastAsia="en-US"/>
        </w:rPr>
        <w:t>S projekty, kde je gen</w:t>
      </w:r>
      <w:r w:rsidR="000F7F88">
        <w:rPr>
          <w:rFonts w:eastAsia="Calibri"/>
          <w:sz w:val="22"/>
          <w:szCs w:val="22"/>
          <w:lang w:eastAsia="en-US"/>
        </w:rPr>
        <w:t>erálním</w:t>
      </w:r>
      <w:r w:rsidRPr="00827AF4">
        <w:rPr>
          <w:rFonts w:eastAsia="Calibri"/>
          <w:sz w:val="22"/>
          <w:szCs w:val="22"/>
          <w:lang w:eastAsia="en-US"/>
        </w:rPr>
        <w:t xml:space="preserve"> dodavatelem ČP OZ ICT, jsou vedena velice intenzivní jednání </w:t>
      </w:r>
      <w:r w:rsidR="00C237DB">
        <w:rPr>
          <w:rFonts w:eastAsia="Calibri"/>
          <w:sz w:val="22"/>
          <w:szCs w:val="22"/>
          <w:lang w:eastAsia="en-US"/>
        </w:rPr>
        <w:br/>
      </w:r>
      <w:r w:rsidRPr="00827AF4">
        <w:rPr>
          <w:rFonts w:eastAsia="Calibri"/>
          <w:sz w:val="22"/>
          <w:szCs w:val="22"/>
          <w:lang w:eastAsia="en-US"/>
        </w:rPr>
        <w:t>a sledován postup v dokončování projektů, který je reportován ŘO IOP a informace je pro informaci předkládána každý měsíc vládě ČR.</w:t>
      </w:r>
    </w:p>
    <w:p w:rsidR="00827AF4" w:rsidRPr="00827AF4" w:rsidRDefault="00827AF4" w:rsidP="00827AF4">
      <w:pPr>
        <w:jc w:val="both"/>
        <w:rPr>
          <w:rFonts w:eastAsia="Calibri"/>
          <w:sz w:val="22"/>
          <w:szCs w:val="22"/>
          <w:lang w:eastAsia="en-US"/>
        </w:rPr>
      </w:pPr>
    </w:p>
    <w:p w:rsidR="00827AF4" w:rsidRPr="00827AF4" w:rsidRDefault="00827AF4" w:rsidP="00827AF4">
      <w:pPr>
        <w:jc w:val="both"/>
        <w:rPr>
          <w:rFonts w:eastAsia="Calibri"/>
          <w:b/>
          <w:sz w:val="22"/>
          <w:szCs w:val="22"/>
          <w:lang w:eastAsia="en-US"/>
        </w:rPr>
      </w:pPr>
      <w:r w:rsidRPr="00827AF4">
        <w:rPr>
          <w:rFonts w:eastAsia="Calibri"/>
          <w:b/>
          <w:sz w:val="22"/>
          <w:szCs w:val="22"/>
          <w:lang w:eastAsia="en-US"/>
        </w:rPr>
        <w:t>Riziko nedostatečné administrativní kapacity pro činnost</w:t>
      </w:r>
      <w:r w:rsidR="000B6DA1">
        <w:rPr>
          <w:rFonts w:eastAsia="Calibri"/>
          <w:b/>
          <w:sz w:val="22"/>
          <w:szCs w:val="22"/>
          <w:lang w:eastAsia="en-US"/>
        </w:rPr>
        <w:t>i</w:t>
      </w:r>
      <w:r w:rsidRPr="00827AF4">
        <w:rPr>
          <w:rFonts w:eastAsia="Calibri"/>
          <w:b/>
          <w:sz w:val="22"/>
          <w:szCs w:val="22"/>
          <w:lang w:eastAsia="en-US"/>
        </w:rPr>
        <w:t xml:space="preserve"> ZS</w:t>
      </w:r>
    </w:p>
    <w:p w:rsidR="00827AF4" w:rsidRPr="00827AF4" w:rsidRDefault="00827AF4" w:rsidP="000B6DA1">
      <w:pPr>
        <w:jc w:val="both"/>
        <w:rPr>
          <w:rFonts w:eastAsia="Calibri"/>
          <w:sz w:val="22"/>
          <w:szCs w:val="22"/>
          <w:lang w:eastAsia="en-US"/>
        </w:rPr>
      </w:pPr>
      <w:r w:rsidRPr="00827AF4">
        <w:rPr>
          <w:rFonts w:eastAsia="Calibri"/>
          <w:sz w:val="22"/>
          <w:szCs w:val="22"/>
          <w:lang w:eastAsia="en-US"/>
        </w:rPr>
        <w:t xml:space="preserve">Výdaje na mzdové prostředky pracovníků ZS bude možné uplatňovat, vzhledem k pravidlům způsobilosti výdajů, z technické pomoci IOP do listopadu 2015. Je třeba zajistit plnění činností ZS </w:t>
      </w:r>
      <w:r w:rsidR="000B6DA1">
        <w:rPr>
          <w:rFonts w:eastAsia="Calibri"/>
          <w:sz w:val="22"/>
          <w:szCs w:val="22"/>
          <w:lang w:eastAsia="en-US"/>
        </w:rPr>
        <w:t>př</w:t>
      </w:r>
      <w:r w:rsidRPr="00827AF4">
        <w:rPr>
          <w:rFonts w:eastAsia="Calibri"/>
          <w:sz w:val="22"/>
          <w:szCs w:val="22"/>
          <w:lang w:eastAsia="en-US"/>
        </w:rPr>
        <w:t xml:space="preserve">i </w:t>
      </w:r>
      <w:r w:rsidRPr="00827AF4">
        <w:rPr>
          <w:rFonts w:eastAsia="Calibri"/>
          <w:sz w:val="22"/>
          <w:szCs w:val="22"/>
          <w:lang w:eastAsia="en-US"/>
        </w:rPr>
        <w:lastRenderedPageBreak/>
        <w:t xml:space="preserve">ukončování programu minimálně do července 2016. ZS MV očekává do konce roku </w:t>
      </w:r>
      <w:r w:rsidR="000B6DA1">
        <w:rPr>
          <w:rFonts w:eastAsia="Calibri"/>
          <w:sz w:val="22"/>
          <w:szCs w:val="22"/>
          <w:lang w:eastAsia="en-US"/>
        </w:rPr>
        <w:t xml:space="preserve">2015 </w:t>
      </w:r>
      <w:r w:rsidRPr="00827AF4">
        <w:rPr>
          <w:rFonts w:eastAsia="Calibri"/>
          <w:sz w:val="22"/>
          <w:szCs w:val="22"/>
          <w:lang w:eastAsia="en-US"/>
        </w:rPr>
        <w:t xml:space="preserve">administraci 28 žádostí o platbu v hodnotě cca 2 mld. Kč, které bude nutné administrovat a předložit na ŘO IOP. </w:t>
      </w:r>
    </w:p>
    <w:p w:rsidR="00827AF4" w:rsidRPr="00827AF4" w:rsidRDefault="00827AF4" w:rsidP="00827AF4">
      <w:pPr>
        <w:jc w:val="both"/>
        <w:rPr>
          <w:rFonts w:eastAsia="Calibri"/>
          <w:sz w:val="22"/>
          <w:szCs w:val="22"/>
          <w:lang w:eastAsia="en-US"/>
        </w:rPr>
      </w:pPr>
    </w:p>
    <w:p w:rsidR="00827AF4" w:rsidRPr="00827AF4" w:rsidRDefault="00827AF4" w:rsidP="00827AF4">
      <w:pPr>
        <w:jc w:val="both"/>
        <w:rPr>
          <w:rFonts w:eastAsia="Calibri"/>
          <w:b/>
          <w:sz w:val="22"/>
          <w:szCs w:val="22"/>
          <w:lang w:eastAsia="en-US"/>
        </w:rPr>
      </w:pPr>
      <w:r w:rsidRPr="00827AF4">
        <w:rPr>
          <w:rFonts w:eastAsia="Calibri"/>
          <w:b/>
          <w:sz w:val="22"/>
          <w:szCs w:val="22"/>
          <w:lang w:eastAsia="en-US"/>
        </w:rPr>
        <w:t>Přijatá opatření</w:t>
      </w:r>
    </w:p>
    <w:p w:rsidR="00827AF4" w:rsidRDefault="00827AF4" w:rsidP="000B6DA1">
      <w:pPr>
        <w:jc w:val="both"/>
        <w:rPr>
          <w:rFonts w:eastAsia="Calibri"/>
          <w:sz w:val="22"/>
          <w:szCs w:val="22"/>
          <w:lang w:eastAsia="en-US"/>
        </w:rPr>
      </w:pPr>
      <w:r w:rsidRPr="00827AF4">
        <w:rPr>
          <w:rFonts w:eastAsia="Calibri"/>
          <w:sz w:val="22"/>
          <w:szCs w:val="22"/>
          <w:lang w:eastAsia="en-US"/>
        </w:rPr>
        <w:t>ZS MV přijímá opatření k zajištění dostatečné administrativní kapacity pro zpracování velkého objemu žádostí o platbu a zajištění dokončování programového období (zastupitelnost, multifunkčnost pracovníků, motivace zaměstnanců). Na tuto situaci upozorň</w:t>
      </w:r>
      <w:r w:rsidR="000B6DA1">
        <w:rPr>
          <w:rFonts w:eastAsia="Calibri"/>
          <w:sz w:val="22"/>
          <w:szCs w:val="22"/>
          <w:lang w:eastAsia="en-US"/>
        </w:rPr>
        <w:t>uje</w:t>
      </w:r>
      <w:r w:rsidRPr="00827AF4">
        <w:rPr>
          <w:rFonts w:eastAsia="Calibri"/>
          <w:sz w:val="22"/>
          <w:szCs w:val="22"/>
          <w:lang w:eastAsia="en-US"/>
        </w:rPr>
        <w:t xml:space="preserve"> usnesení vlády č. 604/2015, které následovalo projednání materiálu ŘO IOP “Informace o nezbytných podmínkách pro řádné dokončení Integrovaného operačního programu 2007−2013“. Na základě tohoto usnesení a finální podoby rozpočtu na r. 2016 budou úvazky pracovníků OSF prodlouženy, aby byl zajištěn výkon činnosti ZS MV </w:t>
      </w:r>
      <w:r w:rsidR="000B6DA1">
        <w:rPr>
          <w:rFonts w:eastAsia="Calibri"/>
          <w:sz w:val="22"/>
          <w:szCs w:val="22"/>
          <w:lang w:eastAsia="en-US"/>
        </w:rPr>
        <w:t>př</w:t>
      </w:r>
      <w:r w:rsidRPr="00827AF4">
        <w:rPr>
          <w:rFonts w:eastAsia="Calibri"/>
          <w:sz w:val="22"/>
          <w:szCs w:val="22"/>
          <w:lang w:eastAsia="en-US"/>
        </w:rPr>
        <w:t>i ukončování IOP</w:t>
      </w:r>
      <w:r w:rsidR="000B6DA1">
        <w:rPr>
          <w:rFonts w:eastAsia="Calibri"/>
          <w:sz w:val="22"/>
          <w:szCs w:val="22"/>
          <w:lang w:eastAsia="en-US"/>
        </w:rPr>
        <w:t xml:space="preserve"> </w:t>
      </w:r>
      <w:r w:rsidRPr="00827AF4">
        <w:rPr>
          <w:rFonts w:eastAsia="Calibri"/>
          <w:sz w:val="22"/>
          <w:szCs w:val="22"/>
          <w:lang w:eastAsia="en-US"/>
        </w:rPr>
        <w:t>i v roce 2016.</w:t>
      </w:r>
    </w:p>
    <w:p w:rsidR="005B5FDF" w:rsidRPr="00827AF4" w:rsidRDefault="005B5FDF" w:rsidP="00827AF4">
      <w:pPr>
        <w:jc w:val="both"/>
        <w:rPr>
          <w:rFonts w:eastAsia="Calibri"/>
          <w:sz w:val="22"/>
          <w:szCs w:val="22"/>
          <w:lang w:eastAsia="en-US"/>
        </w:rPr>
      </w:pPr>
    </w:p>
    <w:p w:rsidR="00827AF4" w:rsidRPr="00827AF4" w:rsidRDefault="00827AF4" w:rsidP="000B6DA1">
      <w:pPr>
        <w:jc w:val="both"/>
        <w:rPr>
          <w:rFonts w:eastAsia="Calibri"/>
          <w:b/>
          <w:sz w:val="22"/>
          <w:szCs w:val="22"/>
          <w:lang w:eastAsia="en-US"/>
        </w:rPr>
      </w:pPr>
      <w:r w:rsidRPr="00827AF4">
        <w:rPr>
          <w:rFonts w:eastAsia="Calibri"/>
          <w:b/>
          <w:sz w:val="22"/>
          <w:szCs w:val="22"/>
          <w:lang w:eastAsia="en-US"/>
        </w:rPr>
        <w:t>Riziko probíhajícího šetření ze strany Úřadu pro ochranu hospodářské soutěže (ÚOHS)</w:t>
      </w:r>
    </w:p>
    <w:p w:rsidR="00827AF4" w:rsidRPr="00827AF4" w:rsidRDefault="00827AF4" w:rsidP="00AA55EF">
      <w:pPr>
        <w:jc w:val="both"/>
        <w:rPr>
          <w:rFonts w:eastAsia="Calibri"/>
          <w:sz w:val="22"/>
          <w:szCs w:val="22"/>
          <w:lang w:eastAsia="en-US"/>
        </w:rPr>
      </w:pPr>
      <w:r w:rsidRPr="00827AF4">
        <w:rPr>
          <w:rFonts w:eastAsia="Calibri"/>
          <w:sz w:val="22"/>
          <w:szCs w:val="22"/>
          <w:lang w:eastAsia="en-US"/>
        </w:rPr>
        <w:t xml:space="preserve">Nadále </w:t>
      </w:r>
      <w:r w:rsidR="000B6DA1">
        <w:rPr>
          <w:rFonts w:eastAsia="Calibri"/>
          <w:sz w:val="22"/>
          <w:szCs w:val="22"/>
          <w:lang w:eastAsia="en-US"/>
        </w:rPr>
        <w:t>s</w:t>
      </w:r>
      <w:r w:rsidRPr="00827AF4">
        <w:rPr>
          <w:rFonts w:eastAsia="Calibri"/>
          <w:sz w:val="22"/>
          <w:szCs w:val="22"/>
          <w:lang w:eastAsia="en-US"/>
        </w:rPr>
        <w:t>e zpož</w:t>
      </w:r>
      <w:r w:rsidR="000B6DA1">
        <w:rPr>
          <w:rFonts w:eastAsia="Calibri"/>
          <w:sz w:val="22"/>
          <w:szCs w:val="22"/>
          <w:lang w:eastAsia="en-US"/>
        </w:rPr>
        <w:t>ďuje</w:t>
      </w:r>
      <w:r w:rsidRPr="00827AF4">
        <w:rPr>
          <w:rFonts w:eastAsia="Calibri"/>
          <w:sz w:val="22"/>
          <w:szCs w:val="22"/>
          <w:lang w:eastAsia="en-US"/>
        </w:rPr>
        <w:t xml:space="preserve"> realizac</w:t>
      </w:r>
      <w:r w:rsidR="00AA55EF">
        <w:rPr>
          <w:rFonts w:eastAsia="Calibri"/>
          <w:sz w:val="22"/>
          <w:szCs w:val="22"/>
          <w:lang w:eastAsia="en-US"/>
        </w:rPr>
        <w:t>e</w:t>
      </w:r>
      <w:r w:rsidRPr="00827AF4">
        <w:rPr>
          <w:rFonts w:eastAsia="Calibri"/>
          <w:sz w:val="22"/>
          <w:szCs w:val="22"/>
          <w:lang w:eastAsia="en-US"/>
        </w:rPr>
        <w:t xml:space="preserve"> projektů s dopadem do čerpání z důvodu podání námitek k ÚOHS a </w:t>
      </w:r>
      <w:r w:rsidR="00AA55EF">
        <w:rPr>
          <w:rFonts w:eastAsia="Calibri"/>
          <w:sz w:val="22"/>
          <w:szCs w:val="22"/>
          <w:lang w:eastAsia="en-US"/>
        </w:rPr>
        <w:t>jeho</w:t>
      </w:r>
      <w:r w:rsidRPr="00827AF4">
        <w:rPr>
          <w:rFonts w:eastAsia="Calibri"/>
          <w:sz w:val="22"/>
          <w:szCs w:val="22"/>
          <w:lang w:eastAsia="en-US"/>
        </w:rPr>
        <w:t xml:space="preserve"> šetření. V červenc</w:t>
      </w:r>
      <w:r w:rsidR="00AA55EF">
        <w:rPr>
          <w:rFonts w:eastAsia="Calibri"/>
          <w:sz w:val="22"/>
          <w:szCs w:val="22"/>
          <w:lang w:eastAsia="en-US"/>
        </w:rPr>
        <w:t>i</w:t>
      </w:r>
      <w:r w:rsidRPr="00827AF4">
        <w:rPr>
          <w:rFonts w:eastAsia="Calibri"/>
          <w:sz w:val="22"/>
          <w:szCs w:val="22"/>
          <w:lang w:eastAsia="en-US"/>
        </w:rPr>
        <w:t xml:space="preserve"> 2015 na základě podaných námitek ÚOHS začal prošetřovat zakázky </w:t>
      </w:r>
      <w:r w:rsidR="00AA55EF">
        <w:rPr>
          <w:rFonts w:eastAsia="Calibri"/>
          <w:sz w:val="22"/>
          <w:szCs w:val="22"/>
          <w:lang w:eastAsia="en-US"/>
        </w:rPr>
        <w:t>v</w:t>
      </w:r>
      <w:r w:rsidRPr="00827AF4">
        <w:rPr>
          <w:rFonts w:eastAsia="Calibri"/>
          <w:sz w:val="22"/>
          <w:szCs w:val="22"/>
          <w:lang w:eastAsia="en-US"/>
        </w:rPr>
        <w:t xml:space="preserve"> </w:t>
      </w:r>
      <w:r w:rsidR="00296356" w:rsidRPr="00827AF4">
        <w:rPr>
          <w:rFonts w:eastAsia="Calibri"/>
          <w:sz w:val="22"/>
          <w:szCs w:val="22"/>
          <w:lang w:eastAsia="en-US"/>
        </w:rPr>
        <w:t>projekt</w:t>
      </w:r>
      <w:r w:rsidR="00AA55EF">
        <w:rPr>
          <w:rFonts w:eastAsia="Calibri"/>
          <w:sz w:val="22"/>
          <w:szCs w:val="22"/>
          <w:lang w:eastAsia="en-US"/>
        </w:rPr>
        <w:t>ech</w:t>
      </w:r>
      <w:r w:rsidR="00296356">
        <w:rPr>
          <w:rFonts w:eastAsia="Calibri"/>
          <w:sz w:val="22"/>
          <w:szCs w:val="22"/>
          <w:lang w:eastAsia="en-US"/>
        </w:rPr>
        <w:t xml:space="preserve"> Modernizace</w:t>
      </w:r>
      <w:r w:rsidR="00FA4218" w:rsidRPr="00FA4218">
        <w:rPr>
          <w:rFonts w:eastAsia="Calibri"/>
          <w:sz w:val="22"/>
          <w:szCs w:val="22"/>
          <w:lang w:eastAsia="en-US"/>
        </w:rPr>
        <w:t xml:space="preserve"> komunikační infrastruktury Ministerstva vnitra</w:t>
      </w:r>
      <w:r w:rsidRPr="00827AF4">
        <w:rPr>
          <w:rFonts w:eastAsia="Calibri"/>
          <w:sz w:val="22"/>
          <w:szCs w:val="22"/>
          <w:lang w:eastAsia="en-US"/>
        </w:rPr>
        <w:t xml:space="preserve"> a </w:t>
      </w:r>
      <w:r w:rsidR="00FA4218" w:rsidRPr="00FA4218">
        <w:rPr>
          <w:rFonts w:eastAsia="Calibri"/>
          <w:sz w:val="22"/>
          <w:szCs w:val="22"/>
          <w:lang w:eastAsia="en-US"/>
        </w:rPr>
        <w:t>Modernizace komunikační infrastruktury - Krajské ředitelství policie Plzeňského kraje</w:t>
      </w:r>
      <w:r w:rsidRPr="00827AF4">
        <w:rPr>
          <w:rFonts w:eastAsia="Calibri"/>
          <w:sz w:val="22"/>
          <w:szCs w:val="22"/>
          <w:lang w:eastAsia="en-US"/>
        </w:rPr>
        <w:t xml:space="preserve">. </w:t>
      </w:r>
      <w:r w:rsidR="00AA55EF">
        <w:rPr>
          <w:rFonts w:eastAsia="Calibri"/>
          <w:sz w:val="22"/>
          <w:szCs w:val="22"/>
          <w:lang w:eastAsia="en-US"/>
        </w:rPr>
        <w:t>N</w:t>
      </w:r>
      <w:r w:rsidRPr="00827AF4">
        <w:rPr>
          <w:rFonts w:eastAsia="Calibri"/>
          <w:sz w:val="22"/>
          <w:szCs w:val="22"/>
          <w:lang w:eastAsia="en-US"/>
        </w:rPr>
        <w:t>ámitky byly shledány jako neopodstatněné, zdrže</w:t>
      </w:r>
      <w:r w:rsidR="00AA55EF">
        <w:rPr>
          <w:rFonts w:eastAsia="Calibri"/>
          <w:sz w:val="22"/>
          <w:szCs w:val="22"/>
          <w:lang w:eastAsia="en-US"/>
        </w:rPr>
        <w:t>la se realizace</w:t>
      </w:r>
      <w:r w:rsidRPr="00827AF4">
        <w:rPr>
          <w:rFonts w:eastAsia="Calibri"/>
          <w:sz w:val="22"/>
          <w:szCs w:val="22"/>
          <w:lang w:eastAsia="en-US"/>
        </w:rPr>
        <w:t xml:space="preserve"> obou projektů. V případě projektu </w:t>
      </w:r>
      <w:r w:rsidR="00FA4218" w:rsidRPr="00FA4218">
        <w:rPr>
          <w:rFonts w:eastAsia="Calibri"/>
          <w:sz w:val="22"/>
          <w:szCs w:val="22"/>
          <w:lang w:eastAsia="en-US"/>
        </w:rPr>
        <w:t>Modernizace komunikační infrastruktury (MKI) - Krajské ředitelství policie Plzeňského kraje</w:t>
      </w:r>
      <w:r w:rsidR="00FA4218">
        <w:rPr>
          <w:rFonts w:eastAsia="Calibri"/>
          <w:sz w:val="22"/>
          <w:szCs w:val="22"/>
          <w:lang w:eastAsia="en-US"/>
        </w:rPr>
        <w:t xml:space="preserve"> </w:t>
      </w:r>
      <w:r w:rsidRPr="00827AF4">
        <w:rPr>
          <w:rFonts w:eastAsia="Calibri"/>
          <w:sz w:val="22"/>
          <w:szCs w:val="22"/>
          <w:lang w:eastAsia="en-US"/>
        </w:rPr>
        <w:t xml:space="preserve">šlo navíc o opakování hlavní zakázky, kterou ÚOHS již dříve prošetřoval.  </w:t>
      </w:r>
    </w:p>
    <w:p w:rsidR="00827AF4" w:rsidRPr="00827AF4" w:rsidRDefault="00827AF4" w:rsidP="00827AF4">
      <w:pPr>
        <w:jc w:val="both"/>
        <w:rPr>
          <w:rFonts w:eastAsia="Calibri"/>
          <w:sz w:val="22"/>
          <w:szCs w:val="22"/>
          <w:lang w:eastAsia="en-US"/>
        </w:rPr>
      </w:pPr>
    </w:p>
    <w:p w:rsidR="00827AF4" w:rsidRPr="00827AF4" w:rsidRDefault="00827AF4" w:rsidP="00827AF4">
      <w:pPr>
        <w:jc w:val="both"/>
        <w:rPr>
          <w:rFonts w:eastAsia="Calibri"/>
          <w:b/>
          <w:sz w:val="22"/>
          <w:szCs w:val="22"/>
          <w:lang w:eastAsia="en-US"/>
        </w:rPr>
      </w:pPr>
      <w:r w:rsidRPr="00827AF4">
        <w:rPr>
          <w:rFonts w:eastAsia="Calibri"/>
          <w:b/>
          <w:sz w:val="22"/>
          <w:szCs w:val="22"/>
          <w:lang w:eastAsia="en-US"/>
        </w:rPr>
        <w:t xml:space="preserve">Přijatá opatření </w:t>
      </w:r>
    </w:p>
    <w:p w:rsidR="00526B75" w:rsidRPr="00827AF4" w:rsidRDefault="00AA55EF" w:rsidP="00827AF4">
      <w:pPr>
        <w:jc w:val="both"/>
      </w:pPr>
      <w:r>
        <w:rPr>
          <w:rFonts w:eastAsia="Calibri"/>
          <w:sz w:val="22"/>
          <w:szCs w:val="22"/>
          <w:lang w:eastAsia="en-US"/>
        </w:rPr>
        <w:t>A</w:t>
      </w:r>
      <w:r w:rsidR="00827AF4" w:rsidRPr="00827AF4">
        <w:rPr>
          <w:rFonts w:eastAsia="Calibri"/>
          <w:sz w:val="22"/>
          <w:szCs w:val="22"/>
          <w:lang w:eastAsia="en-US"/>
        </w:rPr>
        <w:t>ktuální informace poskyt</w:t>
      </w:r>
      <w:r>
        <w:rPr>
          <w:rFonts w:eastAsia="Calibri"/>
          <w:sz w:val="22"/>
          <w:szCs w:val="22"/>
          <w:lang w:eastAsia="en-US"/>
        </w:rPr>
        <w:t>ují příjemci</w:t>
      </w:r>
      <w:r w:rsidR="00827AF4" w:rsidRPr="00827AF4">
        <w:rPr>
          <w:rFonts w:eastAsia="Calibri"/>
          <w:sz w:val="22"/>
          <w:szCs w:val="22"/>
          <w:lang w:eastAsia="en-US"/>
        </w:rPr>
        <w:t xml:space="preserve"> při pravidelných jednáních pracovních týmů projektů i ad hoc formou e-mailové komunikace. Vzniklé situace jsou okamžitě řešeny a konzultovány s právníky OSF. V případech projektů MKI</w:t>
      </w:r>
      <w:r>
        <w:rPr>
          <w:rFonts w:eastAsia="Calibri"/>
          <w:sz w:val="22"/>
          <w:szCs w:val="22"/>
          <w:lang w:eastAsia="en-US"/>
        </w:rPr>
        <w:t>,</w:t>
      </w:r>
      <w:r w:rsidR="00827AF4" w:rsidRPr="00827AF4">
        <w:rPr>
          <w:rFonts w:eastAsia="Calibri"/>
          <w:sz w:val="22"/>
          <w:szCs w:val="22"/>
          <w:lang w:eastAsia="en-US"/>
        </w:rPr>
        <w:t xml:space="preserve"> blokovaných na ÚOHS</w:t>
      </w:r>
      <w:r>
        <w:rPr>
          <w:rFonts w:eastAsia="Calibri"/>
          <w:sz w:val="22"/>
          <w:szCs w:val="22"/>
          <w:lang w:eastAsia="en-US"/>
        </w:rPr>
        <w:t>,</w:t>
      </w:r>
      <w:r w:rsidR="00827AF4" w:rsidRPr="00827AF4">
        <w:rPr>
          <w:rFonts w:eastAsia="Calibri"/>
          <w:sz w:val="22"/>
          <w:szCs w:val="22"/>
          <w:lang w:eastAsia="en-US"/>
        </w:rPr>
        <w:t xml:space="preserve"> se aktuálně podařilo dosáhnout pokroku </w:t>
      </w:r>
      <w:r w:rsidR="00B97BC0">
        <w:rPr>
          <w:rFonts w:eastAsia="Calibri"/>
          <w:sz w:val="22"/>
          <w:szCs w:val="22"/>
          <w:lang w:eastAsia="en-US"/>
        </w:rPr>
        <w:br/>
      </w:r>
      <w:r w:rsidR="00827AF4" w:rsidRPr="00827AF4">
        <w:rPr>
          <w:rFonts w:eastAsia="Calibri"/>
          <w:sz w:val="22"/>
          <w:szCs w:val="22"/>
          <w:lang w:eastAsia="en-US"/>
        </w:rPr>
        <w:t>a výrazného snížení rizika jejich nedokončení. Po uplynutí lhůty byly smlouvy s vybranými dodavateli</w:t>
      </w:r>
      <w:r>
        <w:rPr>
          <w:rFonts w:eastAsia="Calibri"/>
          <w:sz w:val="22"/>
          <w:szCs w:val="22"/>
          <w:lang w:eastAsia="en-US"/>
        </w:rPr>
        <w:t xml:space="preserve"> </w:t>
      </w:r>
      <w:r w:rsidR="00827AF4" w:rsidRPr="00827AF4">
        <w:rPr>
          <w:rFonts w:eastAsia="Calibri"/>
          <w:sz w:val="22"/>
          <w:szCs w:val="22"/>
          <w:lang w:eastAsia="en-US"/>
        </w:rPr>
        <w:t>podepsány.</w:t>
      </w:r>
    </w:p>
    <w:p w:rsidR="00A52549" w:rsidRDefault="00A52549" w:rsidP="00997413"/>
    <w:p w:rsidR="00D644B0" w:rsidRPr="000F54F1" w:rsidRDefault="00D644B0" w:rsidP="000F54F1">
      <w:pPr>
        <w:pStyle w:val="Nadpis3"/>
        <w:rPr>
          <w:rFonts w:ascii="Times New Roman" w:hAnsi="Times New Roman"/>
          <w:sz w:val="24"/>
          <w:szCs w:val="24"/>
        </w:rPr>
      </w:pPr>
      <w:bookmarkStart w:id="79" w:name="_Toc433873493"/>
      <w:r w:rsidRPr="00F40769">
        <w:rPr>
          <w:rFonts w:ascii="Times New Roman" w:hAnsi="Times New Roman"/>
          <w:sz w:val="24"/>
          <w:szCs w:val="24"/>
        </w:rPr>
        <w:t>3</w:t>
      </w:r>
      <w:r w:rsidRPr="006266F5">
        <w:rPr>
          <w:rFonts w:ascii="Times New Roman" w:hAnsi="Times New Roman"/>
          <w:sz w:val="24"/>
          <w:szCs w:val="24"/>
        </w:rPr>
        <w:t>.1.5 Příklad projektu</w:t>
      </w:r>
      <w:bookmarkEnd w:id="79"/>
    </w:p>
    <w:p w:rsidR="003118C4" w:rsidRPr="00DB19BE" w:rsidRDefault="003118C4" w:rsidP="003118C4">
      <w:pPr>
        <w:jc w:val="both"/>
        <w:rPr>
          <w:sz w:val="22"/>
          <w:szCs w:val="22"/>
        </w:rPr>
      </w:pPr>
      <w:r w:rsidRPr="00DB19BE">
        <w:rPr>
          <w:b/>
          <w:sz w:val="22"/>
          <w:szCs w:val="22"/>
        </w:rPr>
        <w:t>Oblast intervence:</w:t>
      </w:r>
      <w:r w:rsidRPr="00DB19BE">
        <w:rPr>
          <w:sz w:val="22"/>
          <w:szCs w:val="22"/>
        </w:rPr>
        <w:t xml:space="preserve"> 1.1 </w:t>
      </w:r>
    </w:p>
    <w:p w:rsidR="0075241D" w:rsidRPr="00E84117" w:rsidRDefault="003118C4" w:rsidP="00291150">
      <w:pPr>
        <w:rPr>
          <w:sz w:val="22"/>
          <w:szCs w:val="22"/>
        </w:rPr>
      </w:pPr>
      <w:r w:rsidRPr="00DB19BE">
        <w:rPr>
          <w:b/>
          <w:sz w:val="22"/>
          <w:szCs w:val="22"/>
        </w:rPr>
        <w:t>Název projektu, registrační číslo:</w:t>
      </w:r>
      <w:r w:rsidRPr="00DB19BE">
        <w:rPr>
          <w:sz w:val="22"/>
          <w:szCs w:val="22"/>
        </w:rPr>
        <w:t xml:space="preserve"> </w:t>
      </w:r>
      <w:r w:rsidR="00937012" w:rsidRPr="00937012">
        <w:rPr>
          <w:sz w:val="22"/>
          <w:szCs w:val="22"/>
        </w:rPr>
        <w:t>Zefektivnění zpřístupňování archiválií, CZ.1.06/1.1.00/17.09402</w:t>
      </w:r>
    </w:p>
    <w:p w:rsidR="00CD4988" w:rsidRPr="00E84117" w:rsidRDefault="003118C4" w:rsidP="003118C4">
      <w:pPr>
        <w:jc w:val="both"/>
        <w:rPr>
          <w:sz w:val="22"/>
          <w:szCs w:val="22"/>
        </w:rPr>
      </w:pPr>
      <w:r w:rsidRPr="00DB19BE">
        <w:rPr>
          <w:b/>
          <w:sz w:val="22"/>
          <w:szCs w:val="22"/>
        </w:rPr>
        <w:t>Příjemce:</w:t>
      </w:r>
      <w:r w:rsidRPr="00DB19BE">
        <w:rPr>
          <w:sz w:val="22"/>
          <w:szCs w:val="22"/>
        </w:rPr>
        <w:t xml:space="preserve"> </w:t>
      </w:r>
      <w:r w:rsidR="00937012" w:rsidRPr="00937012">
        <w:rPr>
          <w:sz w:val="22"/>
          <w:szCs w:val="22"/>
        </w:rPr>
        <w:t>Státní oblastní archiv v Litoměřicích</w:t>
      </w:r>
    </w:p>
    <w:p w:rsidR="00E84117" w:rsidRDefault="003118C4" w:rsidP="00937012">
      <w:pPr>
        <w:rPr>
          <w:color w:val="1F497D"/>
          <w:sz w:val="22"/>
          <w:szCs w:val="22"/>
        </w:rPr>
      </w:pPr>
      <w:r w:rsidRPr="00DB19BE">
        <w:rPr>
          <w:b/>
          <w:sz w:val="22"/>
          <w:szCs w:val="22"/>
        </w:rPr>
        <w:t>Financování projektu:</w:t>
      </w:r>
      <w:r w:rsidRPr="00DB19BE">
        <w:rPr>
          <w:sz w:val="22"/>
          <w:szCs w:val="22"/>
        </w:rPr>
        <w:t xml:space="preserve"> </w:t>
      </w:r>
      <w:r w:rsidR="00937012" w:rsidRPr="00937012">
        <w:rPr>
          <w:sz w:val="22"/>
          <w:szCs w:val="22"/>
        </w:rPr>
        <w:t>celkový rozpočet 815</w:t>
      </w:r>
      <w:r w:rsidR="00937012">
        <w:rPr>
          <w:sz w:val="22"/>
          <w:szCs w:val="22"/>
        </w:rPr>
        <w:t> </w:t>
      </w:r>
      <w:r w:rsidR="00937012" w:rsidRPr="00937012">
        <w:rPr>
          <w:sz w:val="22"/>
          <w:szCs w:val="22"/>
        </w:rPr>
        <w:t>000</w:t>
      </w:r>
      <w:r w:rsidR="00937012">
        <w:rPr>
          <w:sz w:val="22"/>
          <w:szCs w:val="22"/>
        </w:rPr>
        <w:t>,-</w:t>
      </w:r>
      <w:r w:rsidR="00937012" w:rsidRPr="00937012">
        <w:rPr>
          <w:sz w:val="22"/>
          <w:szCs w:val="22"/>
        </w:rPr>
        <w:t xml:space="preserve"> Kč</w:t>
      </w:r>
      <w:r w:rsidR="00937012">
        <w:rPr>
          <w:sz w:val="22"/>
          <w:szCs w:val="22"/>
        </w:rPr>
        <w:t xml:space="preserve">, </w:t>
      </w:r>
      <w:r w:rsidR="00937012" w:rsidRPr="00937012">
        <w:rPr>
          <w:sz w:val="22"/>
          <w:szCs w:val="22"/>
        </w:rPr>
        <w:t xml:space="preserve">příspěvek </w:t>
      </w:r>
      <w:r w:rsidR="00C237DB" w:rsidRPr="00937012">
        <w:rPr>
          <w:sz w:val="22"/>
          <w:szCs w:val="22"/>
        </w:rPr>
        <w:t xml:space="preserve">SF </w:t>
      </w:r>
      <w:r w:rsidR="00C237DB">
        <w:rPr>
          <w:sz w:val="22"/>
          <w:szCs w:val="22"/>
        </w:rPr>
        <w:t>1 542 750</w:t>
      </w:r>
      <w:r w:rsidR="00937012">
        <w:rPr>
          <w:sz w:val="22"/>
          <w:szCs w:val="22"/>
        </w:rPr>
        <w:t xml:space="preserve">, </w:t>
      </w:r>
      <w:r w:rsidR="00937012" w:rsidRPr="00937012">
        <w:rPr>
          <w:sz w:val="22"/>
          <w:szCs w:val="22"/>
        </w:rPr>
        <w:t>příspěvek SR 272 250</w:t>
      </w:r>
    </w:p>
    <w:p w:rsidR="00271775" w:rsidRDefault="00271775" w:rsidP="00271775">
      <w:pPr>
        <w:rPr>
          <w:sz w:val="22"/>
          <w:szCs w:val="22"/>
        </w:rPr>
      </w:pPr>
      <w:r w:rsidRPr="00716409">
        <w:rPr>
          <w:b/>
          <w:sz w:val="22"/>
          <w:szCs w:val="22"/>
        </w:rPr>
        <w:t>Realizace:</w:t>
      </w:r>
      <w:r>
        <w:rPr>
          <w:sz w:val="22"/>
          <w:szCs w:val="22"/>
        </w:rPr>
        <w:t xml:space="preserve"> </w:t>
      </w:r>
      <w:r w:rsidR="00526B75" w:rsidRPr="00526B75">
        <w:rPr>
          <w:sz w:val="22"/>
          <w:szCs w:val="22"/>
        </w:rPr>
        <w:t>5. 1. 2015 –30. 9. 2015</w:t>
      </w:r>
    </w:p>
    <w:p w:rsidR="00526B75" w:rsidRDefault="00526B75" w:rsidP="00271775">
      <w:pPr>
        <w:rPr>
          <w:sz w:val="22"/>
          <w:szCs w:val="22"/>
        </w:rPr>
      </w:pPr>
    </w:p>
    <w:p w:rsidR="00526B75" w:rsidRPr="00526B75" w:rsidRDefault="00526B75" w:rsidP="00526B75">
      <w:pPr>
        <w:jc w:val="both"/>
        <w:rPr>
          <w:sz w:val="22"/>
          <w:szCs w:val="22"/>
        </w:rPr>
      </w:pPr>
      <w:r w:rsidRPr="00526B75">
        <w:rPr>
          <w:sz w:val="22"/>
          <w:szCs w:val="22"/>
        </w:rPr>
        <w:t xml:space="preserve">Digitalizace a dálkový přístup k archiváliím a archivním pomůckám zvyšují badatelský komfort </w:t>
      </w:r>
      <w:r w:rsidR="00101E17">
        <w:rPr>
          <w:sz w:val="22"/>
          <w:szCs w:val="22"/>
        </w:rPr>
        <w:br/>
      </w:r>
      <w:r w:rsidR="00AA55EF">
        <w:rPr>
          <w:sz w:val="22"/>
          <w:szCs w:val="22"/>
        </w:rPr>
        <w:t xml:space="preserve">a </w:t>
      </w:r>
      <w:r w:rsidRPr="00526B75">
        <w:rPr>
          <w:sz w:val="22"/>
          <w:szCs w:val="22"/>
        </w:rPr>
        <w:t>umožňují snadný přístup k bádání také tělesně postiženým. Archiválie jsou díky digitalizaci chráněny před poškozením, zničením a zcizením.</w:t>
      </w:r>
    </w:p>
    <w:p w:rsidR="00526B75" w:rsidRPr="00526B75" w:rsidRDefault="00526B75" w:rsidP="00526B75">
      <w:pPr>
        <w:jc w:val="both"/>
        <w:rPr>
          <w:sz w:val="22"/>
          <w:szCs w:val="22"/>
        </w:rPr>
      </w:pPr>
      <w:r w:rsidRPr="00526B75">
        <w:rPr>
          <w:sz w:val="22"/>
          <w:szCs w:val="22"/>
        </w:rPr>
        <w:t xml:space="preserve">Projekt „Zefektivnění zpřístupňování archiválií“ je zaměřen na zvýšení bezpečnosti IT prostředí Státního oblastního archivu v Litoměřicích (SOA) a na zlepšení dostupnosti digitalizovaných archiválií pro veřejnost. V rámci aktivit projektu bude například pořízeno a implementováno nové centrální datové úložiště SOA. Kapacita datového prostoru se </w:t>
      </w:r>
      <w:r w:rsidR="00AA55EF">
        <w:rPr>
          <w:sz w:val="22"/>
          <w:szCs w:val="22"/>
        </w:rPr>
        <w:t>z</w:t>
      </w:r>
      <w:r w:rsidRPr="00526B75">
        <w:rPr>
          <w:sz w:val="22"/>
          <w:szCs w:val="22"/>
        </w:rPr>
        <w:t xml:space="preserve">výší a bude možné digitalizovat další materiál. Nový výkonový server zlepší obslužnost digitalizovaných dat, což zcela jistě přispěje </w:t>
      </w:r>
      <w:r w:rsidR="00101E17">
        <w:rPr>
          <w:sz w:val="22"/>
          <w:szCs w:val="22"/>
        </w:rPr>
        <w:br/>
      </w:r>
      <w:r w:rsidRPr="00526B75">
        <w:rPr>
          <w:sz w:val="22"/>
          <w:szCs w:val="22"/>
        </w:rPr>
        <w:t xml:space="preserve">k lepšímu naplňování služeb poskytovaných veřejnosti. Na všech lokálních serverech pracovišť SOA bude instalováno jednotné IT prostředí, které podpoří spolupráci jednotlivých nástrojů s hlavním datovým prostorem a zároveň zvýší bezpečnost a efektivitu celého systému. Z finančních prostředků projektu bude také pořízena nová verze archivního softwaru pro dálkový přístup </w:t>
      </w:r>
      <w:r w:rsidR="00AC76D9">
        <w:rPr>
          <w:sz w:val="22"/>
          <w:szCs w:val="22"/>
        </w:rPr>
        <w:br/>
      </w:r>
      <w:r w:rsidRPr="00526B75">
        <w:rPr>
          <w:sz w:val="22"/>
          <w:szCs w:val="22"/>
        </w:rPr>
        <w:t>k digitalizovaným archiváliím.</w:t>
      </w:r>
    </w:p>
    <w:p w:rsidR="00BF23FE" w:rsidRDefault="00BF23FE" w:rsidP="001C279B"/>
    <w:p w:rsidR="00526B75" w:rsidRDefault="00526B75" w:rsidP="001C279B">
      <w:r>
        <w:rPr>
          <w:noProof/>
          <w:color w:val="1F497D"/>
          <w:sz w:val="22"/>
          <w:szCs w:val="22"/>
        </w:rPr>
        <w:lastRenderedPageBreak/>
        <w:drawing>
          <wp:inline distT="0" distB="0" distL="0" distR="0" wp14:anchorId="3A2D8B02" wp14:editId="003A95FC">
            <wp:extent cx="3581400" cy="2181225"/>
            <wp:effectExtent l="0" t="0" r="0" b="9525"/>
            <wp:docPr id="3" name="Obrázek 3" descr="IMG_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409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80130" cy="2180452"/>
                    </a:xfrm>
                    <a:prstGeom prst="rect">
                      <a:avLst/>
                    </a:prstGeom>
                    <a:noFill/>
                    <a:ln>
                      <a:noFill/>
                    </a:ln>
                  </pic:spPr>
                </pic:pic>
              </a:graphicData>
            </a:graphic>
          </wp:inline>
        </w:drawing>
      </w:r>
    </w:p>
    <w:p w:rsidR="001B2800" w:rsidRDefault="001B2800" w:rsidP="00351BF8"/>
    <w:p w:rsidR="00D644B0" w:rsidRPr="004D548F" w:rsidRDefault="00D644B0" w:rsidP="004D548F">
      <w:pPr>
        <w:pStyle w:val="Nadpis2"/>
        <w:rPr>
          <w:b w:val="0"/>
          <w:sz w:val="32"/>
          <w:szCs w:val="32"/>
        </w:rPr>
      </w:pPr>
      <w:bookmarkStart w:id="80" w:name="_Toc433873494"/>
      <w:r w:rsidRPr="00E761E7">
        <w:rPr>
          <w:rFonts w:ascii="Times New Roman" w:hAnsi="Times New Roman"/>
          <w:i w:val="0"/>
        </w:rPr>
        <w:t>3.2 Prioritní osa 2 – Zavádění ICT v územní veřejné správě</w:t>
      </w:r>
      <w:bookmarkEnd w:id="80"/>
    </w:p>
    <w:p w:rsidR="00B61A38" w:rsidRDefault="00D644B0" w:rsidP="00B61A38">
      <w:pPr>
        <w:pStyle w:val="Nadpis3"/>
        <w:rPr>
          <w:rFonts w:ascii="Times New Roman" w:hAnsi="Times New Roman"/>
          <w:sz w:val="24"/>
          <w:szCs w:val="24"/>
        </w:rPr>
      </w:pPr>
      <w:bookmarkStart w:id="81" w:name="_Toc433873495"/>
      <w:r w:rsidRPr="006266F5">
        <w:rPr>
          <w:rFonts w:ascii="Times New Roman" w:hAnsi="Times New Roman"/>
          <w:sz w:val="24"/>
          <w:szCs w:val="24"/>
        </w:rPr>
        <w:t>3.2.1 Zaměření prioritních os/oblastí intervence</w:t>
      </w:r>
      <w:bookmarkEnd w:id="81"/>
    </w:p>
    <w:p w:rsidR="00D644B0" w:rsidRPr="00B61A38" w:rsidRDefault="00D644B0" w:rsidP="00B61A38">
      <w:pPr>
        <w:jc w:val="both"/>
        <w:rPr>
          <w:sz w:val="22"/>
          <w:szCs w:val="22"/>
        </w:rPr>
      </w:pPr>
      <w:r w:rsidRPr="00B61A38">
        <w:rPr>
          <w:sz w:val="22"/>
          <w:szCs w:val="22"/>
        </w:rPr>
        <w:t xml:space="preserve">Prioritní osa 2 se zaměřuje na modernizaci územní veřejné správy, především na vybudování podmínek pro aplikaci </w:t>
      </w:r>
      <w:proofErr w:type="spellStart"/>
      <w:r w:rsidRPr="00B61A38">
        <w:rPr>
          <w:sz w:val="22"/>
          <w:szCs w:val="22"/>
        </w:rPr>
        <w:t>eGovernment</w:t>
      </w:r>
      <w:proofErr w:type="spellEnd"/>
      <w:r w:rsidRPr="00B61A38">
        <w:rPr>
          <w:sz w:val="22"/>
          <w:szCs w:val="22"/>
        </w:rPr>
        <w:t xml:space="preserve"> na místní úrovni, optimalizaci procesů v rámci orgánů místní samosprávy, zefektivnění elektronické komunikace mezi jednotlivými úrovněmi veřejné správy, zabezpečením vzájemné kompatibility informačních systémů a datové propojenosti, poskytováním co nejvíce informací zdarma prostřednictvím internetu.</w:t>
      </w:r>
    </w:p>
    <w:p w:rsidR="00BC42C5" w:rsidRDefault="00BC42C5">
      <w:pPr>
        <w:jc w:val="both"/>
        <w:rPr>
          <w:sz w:val="22"/>
          <w:szCs w:val="22"/>
        </w:rPr>
      </w:pPr>
    </w:p>
    <w:p w:rsidR="00D644B0" w:rsidRDefault="00D644B0">
      <w:pPr>
        <w:jc w:val="both"/>
        <w:rPr>
          <w:sz w:val="22"/>
          <w:szCs w:val="22"/>
        </w:rPr>
      </w:pPr>
      <w:r>
        <w:rPr>
          <w:sz w:val="22"/>
          <w:szCs w:val="22"/>
        </w:rPr>
        <w:t>Specifické cíle:</w:t>
      </w:r>
    </w:p>
    <w:p w:rsidR="00D644B0" w:rsidRDefault="00D644B0" w:rsidP="006571B4">
      <w:pPr>
        <w:numPr>
          <w:ilvl w:val="0"/>
          <w:numId w:val="1"/>
        </w:numPr>
        <w:jc w:val="both"/>
        <w:rPr>
          <w:sz w:val="22"/>
          <w:szCs w:val="22"/>
        </w:rPr>
      </w:pPr>
      <w:r>
        <w:rPr>
          <w:sz w:val="22"/>
          <w:szCs w:val="22"/>
        </w:rPr>
        <w:t>zvýšit úroveň služeb elektronické veřejné správy na regionální a místní úrovni,</w:t>
      </w:r>
    </w:p>
    <w:p w:rsidR="00D644B0" w:rsidRDefault="00D644B0" w:rsidP="006571B4">
      <w:pPr>
        <w:numPr>
          <w:ilvl w:val="0"/>
          <w:numId w:val="1"/>
        </w:numPr>
        <w:jc w:val="both"/>
        <w:rPr>
          <w:sz w:val="22"/>
          <w:szCs w:val="22"/>
        </w:rPr>
      </w:pPr>
      <w:r>
        <w:rPr>
          <w:sz w:val="22"/>
          <w:szCs w:val="22"/>
        </w:rPr>
        <w:t>snížit administrativní zatížení občanů, podnikatelů a veřejného sektoru.</w:t>
      </w:r>
    </w:p>
    <w:p w:rsidR="00D644B0" w:rsidRDefault="00D644B0">
      <w:pPr>
        <w:jc w:val="both"/>
        <w:rPr>
          <w:sz w:val="22"/>
          <w:szCs w:val="22"/>
        </w:rPr>
      </w:pPr>
    </w:p>
    <w:p w:rsidR="00D644B0" w:rsidRDefault="00D644B0">
      <w:pPr>
        <w:pStyle w:val="Zkladntext-prvnodsazen"/>
        <w:spacing w:after="0"/>
        <w:ind w:firstLine="0"/>
        <w:jc w:val="both"/>
        <w:rPr>
          <w:rFonts w:cs="Arial"/>
          <w:bCs/>
          <w:iCs/>
          <w:sz w:val="22"/>
          <w:szCs w:val="22"/>
        </w:rPr>
      </w:pPr>
      <w:r>
        <w:rPr>
          <w:rFonts w:cs="Arial"/>
          <w:bCs/>
          <w:iCs/>
          <w:sz w:val="22"/>
          <w:szCs w:val="22"/>
        </w:rPr>
        <w:t>Podporované aktivity:</w:t>
      </w:r>
    </w:p>
    <w:p w:rsidR="00D644B0" w:rsidRDefault="00D644B0" w:rsidP="006571B4">
      <w:pPr>
        <w:pStyle w:val="Zkladntext-prvnodsazen"/>
        <w:numPr>
          <w:ilvl w:val="0"/>
          <w:numId w:val="2"/>
        </w:numPr>
        <w:spacing w:after="0"/>
        <w:jc w:val="both"/>
        <w:rPr>
          <w:rFonts w:cs="Arial"/>
          <w:bCs/>
          <w:iCs/>
          <w:sz w:val="22"/>
          <w:szCs w:val="22"/>
        </w:rPr>
      </w:pPr>
      <w:r>
        <w:rPr>
          <w:rFonts w:cs="Arial"/>
          <w:bCs/>
          <w:iCs/>
          <w:sz w:val="22"/>
          <w:szCs w:val="22"/>
        </w:rPr>
        <w:t>sdílení dat s centrálními registry ve veřejné správě a vytváření dalších relevantních registrů pro potřeby územní veřejné správy,</w:t>
      </w:r>
    </w:p>
    <w:p w:rsidR="00D644B0" w:rsidRDefault="00D644B0" w:rsidP="006571B4">
      <w:pPr>
        <w:pStyle w:val="Zkladntext-prvnodsazen"/>
        <w:numPr>
          <w:ilvl w:val="0"/>
          <w:numId w:val="2"/>
        </w:numPr>
        <w:spacing w:after="0"/>
        <w:jc w:val="both"/>
        <w:rPr>
          <w:rFonts w:cs="Arial"/>
          <w:bCs/>
          <w:iCs/>
          <w:sz w:val="22"/>
          <w:szCs w:val="22"/>
        </w:rPr>
      </w:pPr>
      <w:r>
        <w:rPr>
          <w:rFonts w:cs="Arial"/>
          <w:bCs/>
          <w:iCs/>
          <w:sz w:val="22"/>
          <w:szCs w:val="22"/>
        </w:rPr>
        <w:t>budování komunikační infrastruktury územní veřejné správy,</w:t>
      </w:r>
    </w:p>
    <w:p w:rsidR="00D644B0" w:rsidRDefault="00D644B0" w:rsidP="006571B4">
      <w:pPr>
        <w:pStyle w:val="Zkladntext-prvnodsazen"/>
        <w:numPr>
          <w:ilvl w:val="0"/>
          <w:numId w:val="2"/>
        </w:numPr>
        <w:spacing w:after="0"/>
        <w:jc w:val="both"/>
        <w:rPr>
          <w:rFonts w:cs="Arial"/>
          <w:bCs/>
          <w:iCs/>
          <w:sz w:val="22"/>
          <w:szCs w:val="22"/>
        </w:rPr>
      </w:pPr>
      <w:r>
        <w:rPr>
          <w:rFonts w:cs="Arial"/>
          <w:bCs/>
          <w:iCs/>
          <w:sz w:val="22"/>
          <w:szCs w:val="22"/>
        </w:rPr>
        <w:t>vybudování přístupových míst pro komunikaci s informačními systémy veřejné správy,</w:t>
      </w:r>
    </w:p>
    <w:p w:rsidR="00D644B0" w:rsidRPr="003B3E21" w:rsidRDefault="00D644B0" w:rsidP="006571B4">
      <w:pPr>
        <w:pStyle w:val="Zkladntext-prvnodsazen"/>
        <w:numPr>
          <w:ilvl w:val="0"/>
          <w:numId w:val="2"/>
        </w:numPr>
        <w:spacing w:after="0"/>
        <w:jc w:val="both"/>
        <w:rPr>
          <w:rFonts w:cs="Arial"/>
          <w:bCs/>
          <w:iCs/>
          <w:sz w:val="22"/>
          <w:szCs w:val="22"/>
        </w:rPr>
      </w:pPr>
      <w:r>
        <w:rPr>
          <w:rFonts w:cs="Arial"/>
          <w:bCs/>
          <w:iCs/>
          <w:sz w:val="22"/>
          <w:szCs w:val="22"/>
        </w:rPr>
        <w:t xml:space="preserve">elektronizace služeb veřejné správy, a to zejména formou elektronizace procesních postupů </w:t>
      </w:r>
      <w:r w:rsidR="009F2324">
        <w:rPr>
          <w:rFonts w:cs="Arial"/>
          <w:bCs/>
          <w:iCs/>
          <w:sz w:val="22"/>
          <w:szCs w:val="22"/>
        </w:rPr>
        <w:br/>
      </w:r>
      <w:r>
        <w:rPr>
          <w:rFonts w:cs="Arial"/>
          <w:bCs/>
          <w:iCs/>
          <w:sz w:val="22"/>
          <w:szCs w:val="22"/>
        </w:rPr>
        <w:t>u jednotlivých agend vykonávaných orgány územní veřejné správy.</w:t>
      </w:r>
    </w:p>
    <w:p w:rsidR="00BF5858" w:rsidRDefault="00D644B0" w:rsidP="002A7C78">
      <w:pPr>
        <w:spacing w:before="120"/>
        <w:jc w:val="both"/>
        <w:rPr>
          <w:sz w:val="22"/>
          <w:szCs w:val="22"/>
        </w:rPr>
      </w:pPr>
      <w:r>
        <w:rPr>
          <w:sz w:val="22"/>
          <w:szCs w:val="22"/>
        </w:rPr>
        <w:t>Příjemci:</w:t>
      </w:r>
    </w:p>
    <w:p w:rsidR="00D644B0" w:rsidRDefault="00D644B0" w:rsidP="006571B4">
      <w:pPr>
        <w:numPr>
          <w:ilvl w:val="0"/>
          <w:numId w:val="3"/>
        </w:numPr>
        <w:jc w:val="both"/>
        <w:rPr>
          <w:sz w:val="22"/>
          <w:szCs w:val="22"/>
        </w:rPr>
      </w:pPr>
      <w:r>
        <w:rPr>
          <w:sz w:val="22"/>
          <w:szCs w:val="22"/>
        </w:rPr>
        <w:t>kraje a obce a jimi zřizované a zakládané organizace, svazky obcí</w:t>
      </w:r>
      <w:r w:rsidR="00E153C7">
        <w:rPr>
          <w:sz w:val="22"/>
          <w:szCs w:val="22"/>
        </w:rPr>
        <w:t>.</w:t>
      </w:r>
    </w:p>
    <w:p w:rsidR="00D644B0" w:rsidRDefault="00D644B0">
      <w:pPr>
        <w:jc w:val="both"/>
        <w:rPr>
          <w:b/>
          <w:sz w:val="28"/>
          <w:szCs w:val="28"/>
        </w:rPr>
        <w:sectPr w:rsidR="00D644B0" w:rsidSect="00356E21">
          <w:pgSz w:w="11907" w:h="16840" w:code="9"/>
          <w:pgMar w:top="1418" w:right="1418" w:bottom="1418" w:left="1418" w:header="709" w:footer="709" w:gutter="0"/>
          <w:cols w:space="708"/>
        </w:sectPr>
      </w:pPr>
    </w:p>
    <w:p w:rsidR="00D644B0" w:rsidRPr="003F6791" w:rsidRDefault="00D644B0">
      <w:pPr>
        <w:pStyle w:val="Nadpis3"/>
        <w:rPr>
          <w:rFonts w:ascii="Times New Roman" w:hAnsi="Times New Roman"/>
          <w:sz w:val="24"/>
          <w:szCs w:val="24"/>
        </w:rPr>
      </w:pPr>
      <w:bookmarkStart w:id="82" w:name="_Toc433873496"/>
      <w:r w:rsidRPr="00145DB7">
        <w:rPr>
          <w:rFonts w:ascii="Times New Roman" w:hAnsi="Times New Roman"/>
          <w:sz w:val="24"/>
          <w:szCs w:val="24"/>
        </w:rPr>
        <w:lastRenderedPageBreak/>
        <w:t>3.2.</w:t>
      </w:r>
      <w:r w:rsidRPr="00DF6210">
        <w:rPr>
          <w:rFonts w:ascii="Times New Roman" w:hAnsi="Times New Roman"/>
          <w:sz w:val="24"/>
          <w:szCs w:val="24"/>
        </w:rPr>
        <w:t>2 Pokrok v realizaci prioritních os/oblastí intervence</w:t>
      </w:r>
      <w:bookmarkEnd w:id="82"/>
    </w:p>
    <w:p w:rsidR="0096048A" w:rsidRPr="0096048A" w:rsidRDefault="0096048A" w:rsidP="0096048A">
      <w:pPr>
        <w:spacing w:after="120"/>
        <w:jc w:val="both"/>
        <w:rPr>
          <w:sz w:val="22"/>
          <w:szCs w:val="22"/>
        </w:rPr>
      </w:pPr>
      <w:r w:rsidRPr="0096048A">
        <w:rPr>
          <w:sz w:val="22"/>
          <w:szCs w:val="22"/>
        </w:rPr>
        <w:t xml:space="preserve">Ve sledovaném období nebyla otevřena žádná výzva. Díky krizovému řízení IOP se podařilo udržet míru čerpání a proplácení finančních prostředků příjemců. </w:t>
      </w:r>
    </w:p>
    <w:p w:rsidR="00E552B1" w:rsidRDefault="00E552B1" w:rsidP="00D54372">
      <w:pPr>
        <w:spacing w:after="120"/>
        <w:jc w:val="both"/>
        <w:rPr>
          <w:sz w:val="22"/>
          <w:szCs w:val="22"/>
        </w:rPr>
      </w:pPr>
    </w:p>
    <w:p w:rsidR="004A006A" w:rsidRDefault="009E5200" w:rsidP="00941E7F">
      <w:pPr>
        <w:pStyle w:val="Tabulkanzev"/>
        <w:rPr>
          <w:rStyle w:val="Siln"/>
        </w:rPr>
      </w:pPr>
      <w:bookmarkStart w:id="83" w:name="_Toc433873551"/>
      <w:r w:rsidRPr="00DF6210">
        <w:rPr>
          <w:rStyle w:val="Siln"/>
        </w:rPr>
        <w:t>Kumulativní pokrok na úrovni oblastí intervence 2.1 (v mil. CZK/EUR)</w:t>
      </w:r>
      <w:bookmarkEnd w:id="83"/>
    </w:p>
    <w:tbl>
      <w:tblPr>
        <w:tblW w:w="5000" w:type="pct"/>
        <w:tblCellMar>
          <w:left w:w="70" w:type="dxa"/>
          <w:right w:w="70" w:type="dxa"/>
        </w:tblCellMar>
        <w:tblLook w:val="04A0" w:firstRow="1" w:lastRow="0" w:firstColumn="1" w:lastColumn="0" w:noHBand="0" w:noVBand="1"/>
      </w:tblPr>
      <w:tblGrid>
        <w:gridCol w:w="718"/>
        <w:gridCol w:w="943"/>
        <w:gridCol w:w="700"/>
        <w:gridCol w:w="677"/>
        <w:gridCol w:w="514"/>
        <w:gridCol w:w="753"/>
        <w:gridCol w:w="581"/>
        <w:gridCol w:w="657"/>
        <w:gridCol w:w="514"/>
        <w:gridCol w:w="733"/>
        <w:gridCol w:w="600"/>
        <w:gridCol w:w="600"/>
        <w:gridCol w:w="734"/>
        <w:gridCol w:w="641"/>
        <w:gridCol w:w="715"/>
        <w:gridCol w:w="811"/>
        <w:gridCol w:w="601"/>
        <w:gridCol w:w="715"/>
        <w:gridCol w:w="771"/>
        <w:gridCol w:w="582"/>
        <w:gridCol w:w="584"/>
      </w:tblGrid>
      <w:tr w:rsidR="00492B11" w:rsidRPr="00492B11" w:rsidTr="00492B11">
        <w:trPr>
          <w:trHeight w:val="630"/>
        </w:trPr>
        <w:tc>
          <w:tcPr>
            <w:tcW w:w="241" w:type="pct"/>
            <w:vMerge w:val="restart"/>
            <w:tcBorders>
              <w:top w:val="single" w:sz="4" w:space="0" w:color="1F497D"/>
              <w:left w:val="single" w:sz="4" w:space="0" w:color="1F497D"/>
              <w:bottom w:val="single" w:sz="4" w:space="0" w:color="1F497D"/>
              <w:right w:val="single" w:sz="4" w:space="0" w:color="1F497D"/>
            </w:tcBorders>
            <w:shd w:val="clear" w:color="000000" w:fill="DCE6F1"/>
            <w:vAlign w:val="center"/>
            <w:hideMark/>
          </w:tcPr>
          <w:p w:rsidR="00492B11" w:rsidRPr="00492B11" w:rsidRDefault="00492B11" w:rsidP="00492B11">
            <w:pPr>
              <w:jc w:val="center"/>
              <w:rPr>
                <w:b/>
                <w:bCs/>
                <w:color w:val="000000"/>
                <w:sz w:val="16"/>
                <w:szCs w:val="16"/>
              </w:rPr>
            </w:pPr>
            <w:r w:rsidRPr="00492B11">
              <w:rPr>
                <w:b/>
                <w:bCs/>
                <w:color w:val="000000"/>
                <w:sz w:val="16"/>
                <w:szCs w:val="16"/>
              </w:rPr>
              <w:t>Oblast podpory</w:t>
            </w:r>
          </w:p>
        </w:tc>
        <w:tc>
          <w:tcPr>
            <w:tcW w:w="335" w:type="pct"/>
            <w:tcBorders>
              <w:top w:val="single" w:sz="4" w:space="0" w:color="1F497D"/>
              <w:left w:val="nil"/>
              <w:bottom w:val="single" w:sz="4" w:space="0" w:color="1F497D"/>
              <w:right w:val="single" w:sz="4" w:space="0" w:color="1F497D"/>
            </w:tcBorders>
            <w:shd w:val="clear" w:color="000000" w:fill="DCE6F1"/>
            <w:vAlign w:val="center"/>
            <w:hideMark/>
          </w:tcPr>
          <w:p w:rsidR="00492B11" w:rsidRPr="00492B11" w:rsidRDefault="00492B11" w:rsidP="00492B11">
            <w:pPr>
              <w:jc w:val="center"/>
              <w:rPr>
                <w:b/>
                <w:bCs/>
                <w:color w:val="000000"/>
                <w:sz w:val="16"/>
                <w:szCs w:val="16"/>
              </w:rPr>
            </w:pPr>
            <w:r w:rsidRPr="00492B11">
              <w:rPr>
                <w:b/>
                <w:bCs/>
                <w:color w:val="000000"/>
                <w:sz w:val="16"/>
                <w:szCs w:val="16"/>
              </w:rPr>
              <w:t>Datum snímku</w:t>
            </w:r>
          </w:p>
        </w:tc>
        <w:tc>
          <w:tcPr>
            <w:tcW w:w="482" w:type="pct"/>
            <w:gridSpan w:val="2"/>
            <w:tcBorders>
              <w:top w:val="single" w:sz="4" w:space="0" w:color="1F497D"/>
              <w:left w:val="nil"/>
              <w:bottom w:val="single" w:sz="4" w:space="0" w:color="1F497D"/>
              <w:right w:val="single" w:sz="4" w:space="0" w:color="1F497D"/>
            </w:tcBorders>
            <w:shd w:val="clear" w:color="000000" w:fill="DCE6F1"/>
            <w:vAlign w:val="center"/>
            <w:hideMark/>
          </w:tcPr>
          <w:p w:rsidR="00492B11" w:rsidRPr="00492B11" w:rsidRDefault="00492B11" w:rsidP="00492B11">
            <w:pPr>
              <w:jc w:val="center"/>
              <w:rPr>
                <w:b/>
                <w:bCs/>
                <w:color w:val="000000"/>
                <w:sz w:val="16"/>
                <w:szCs w:val="16"/>
              </w:rPr>
            </w:pPr>
            <w:r w:rsidRPr="00492B11">
              <w:rPr>
                <w:b/>
                <w:bCs/>
                <w:color w:val="000000"/>
                <w:sz w:val="16"/>
                <w:szCs w:val="16"/>
              </w:rPr>
              <w:t>Celková alokace podpory 2007-2013</w:t>
            </w:r>
          </w:p>
        </w:tc>
        <w:tc>
          <w:tcPr>
            <w:tcW w:w="890" w:type="pct"/>
            <w:gridSpan w:val="4"/>
            <w:tcBorders>
              <w:top w:val="single" w:sz="4" w:space="0" w:color="1F497D"/>
              <w:left w:val="nil"/>
              <w:bottom w:val="single" w:sz="4" w:space="0" w:color="1F497D"/>
              <w:right w:val="single" w:sz="4" w:space="0" w:color="1F497D"/>
            </w:tcBorders>
            <w:shd w:val="clear" w:color="000000" w:fill="DCE6F1"/>
            <w:vAlign w:val="center"/>
            <w:hideMark/>
          </w:tcPr>
          <w:p w:rsidR="00492B11" w:rsidRPr="00492B11" w:rsidRDefault="00492B11" w:rsidP="00492B11">
            <w:pPr>
              <w:jc w:val="center"/>
              <w:rPr>
                <w:b/>
                <w:bCs/>
                <w:color w:val="000000"/>
                <w:sz w:val="16"/>
                <w:szCs w:val="16"/>
              </w:rPr>
            </w:pPr>
            <w:r w:rsidRPr="00492B11">
              <w:rPr>
                <w:b/>
                <w:bCs/>
                <w:color w:val="000000"/>
                <w:sz w:val="16"/>
                <w:szCs w:val="16"/>
              </w:rPr>
              <w:t>Podané žádosti</w:t>
            </w:r>
          </w:p>
        </w:tc>
        <w:tc>
          <w:tcPr>
            <w:tcW w:w="863" w:type="pct"/>
            <w:gridSpan w:val="4"/>
            <w:tcBorders>
              <w:top w:val="single" w:sz="4" w:space="0" w:color="1F497D"/>
              <w:left w:val="nil"/>
              <w:bottom w:val="single" w:sz="4" w:space="0" w:color="1F497D"/>
              <w:right w:val="single" w:sz="4" w:space="0" w:color="1F497D"/>
            </w:tcBorders>
            <w:shd w:val="clear" w:color="000000" w:fill="DCE6F1"/>
            <w:vAlign w:val="center"/>
            <w:hideMark/>
          </w:tcPr>
          <w:p w:rsidR="00492B11" w:rsidRPr="00492B11" w:rsidRDefault="00492B11" w:rsidP="00492B11">
            <w:pPr>
              <w:jc w:val="center"/>
              <w:rPr>
                <w:b/>
                <w:bCs/>
                <w:color w:val="000000"/>
                <w:sz w:val="16"/>
                <w:szCs w:val="16"/>
              </w:rPr>
            </w:pPr>
            <w:r w:rsidRPr="00492B11">
              <w:rPr>
                <w:b/>
                <w:bCs/>
                <w:color w:val="000000"/>
                <w:sz w:val="16"/>
                <w:szCs w:val="16"/>
              </w:rPr>
              <w:t>Prostředky kryté Rozhodnutím / Smlouvou (dodatkem)</w:t>
            </w:r>
          </w:p>
        </w:tc>
        <w:tc>
          <w:tcPr>
            <w:tcW w:w="743" w:type="pct"/>
            <w:gridSpan w:val="3"/>
            <w:tcBorders>
              <w:top w:val="single" w:sz="4" w:space="0" w:color="1F497D"/>
              <w:left w:val="nil"/>
              <w:bottom w:val="single" w:sz="4" w:space="0" w:color="1F497D"/>
              <w:right w:val="single" w:sz="4" w:space="0" w:color="1F497D"/>
            </w:tcBorders>
            <w:shd w:val="clear" w:color="000000" w:fill="DCE6F1"/>
            <w:vAlign w:val="center"/>
            <w:hideMark/>
          </w:tcPr>
          <w:p w:rsidR="00492B11" w:rsidRPr="00492B11" w:rsidRDefault="00492B11" w:rsidP="00492B11">
            <w:pPr>
              <w:jc w:val="center"/>
              <w:rPr>
                <w:b/>
                <w:bCs/>
                <w:color w:val="000000"/>
                <w:sz w:val="16"/>
                <w:szCs w:val="16"/>
              </w:rPr>
            </w:pPr>
            <w:r w:rsidRPr="00492B11">
              <w:rPr>
                <w:b/>
                <w:bCs/>
                <w:color w:val="000000"/>
                <w:sz w:val="16"/>
                <w:szCs w:val="16"/>
              </w:rPr>
              <w:t>Proplacené prostředky příjemcům (vyúčtované prostředky)</w:t>
            </w:r>
          </w:p>
        </w:tc>
        <w:tc>
          <w:tcPr>
            <w:tcW w:w="756" w:type="pct"/>
            <w:gridSpan w:val="3"/>
            <w:tcBorders>
              <w:top w:val="single" w:sz="4" w:space="0" w:color="1F497D"/>
              <w:left w:val="nil"/>
              <w:bottom w:val="single" w:sz="4" w:space="0" w:color="1F497D"/>
              <w:right w:val="single" w:sz="4" w:space="0" w:color="1F497D"/>
            </w:tcBorders>
            <w:shd w:val="clear" w:color="000000" w:fill="DCE6F1"/>
            <w:vAlign w:val="center"/>
            <w:hideMark/>
          </w:tcPr>
          <w:p w:rsidR="00492B11" w:rsidRPr="00492B11" w:rsidRDefault="00492B11" w:rsidP="00492B11">
            <w:pPr>
              <w:jc w:val="center"/>
              <w:rPr>
                <w:b/>
                <w:bCs/>
                <w:color w:val="000000"/>
                <w:sz w:val="16"/>
                <w:szCs w:val="16"/>
              </w:rPr>
            </w:pPr>
            <w:r w:rsidRPr="00492B11">
              <w:rPr>
                <w:b/>
                <w:bCs/>
                <w:color w:val="000000"/>
                <w:sz w:val="16"/>
                <w:szCs w:val="16"/>
              </w:rPr>
              <w:t>Souhrnné žádosti zaúčtované PCO</w:t>
            </w:r>
          </w:p>
        </w:tc>
        <w:tc>
          <w:tcPr>
            <w:tcW w:w="689" w:type="pct"/>
            <w:gridSpan w:val="3"/>
            <w:tcBorders>
              <w:top w:val="single" w:sz="4" w:space="0" w:color="1F497D"/>
              <w:left w:val="nil"/>
              <w:bottom w:val="single" w:sz="4" w:space="0" w:color="1F497D"/>
              <w:right w:val="single" w:sz="4" w:space="0" w:color="1F497D"/>
            </w:tcBorders>
            <w:shd w:val="clear" w:color="000000" w:fill="DCE6F1"/>
            <w:vAlign w:val="center"/>
            <w:hideMark/>
          </w:tcPr>
          <w:p w:rsidR="00492B11" w:rsidRPr="00492B11" w:rsidRDefault="00492B11" w:rsidP="00492B11">
            <w:pPr>
              <w:jc w:val="center"/>
              <w:rPr>
                <w:b/>
                <w:bCs/>
                <w:color w:val="000000"/>
                <w:sz w:val="16"/>
                <w:szCs w:val="16"/>
              </w:rPr>
            </w:pPr>
            <w:r w:rsidRPr="00492B11">
              <w:rPr>
                <w:b/>
                <w:bCs/>
                <w:color w:val="000000"/>
                <w:sz w:val="16"/>
                <w:szCs w:val="16"/>
              </w:rPr>
              <w:t>Certifikované prostředky (včetně vratek)</w:t>
            </w:r>
          </w:p>
        </w:tc>
      </w:tr>
      <w:tr w:rsidR="00492B11" w:rsidRPr="00492B11" w:rsidTr="00492B11">
        <w:trPr>
          <w:trHeight w:val="405"/>
        </w:trPr>
        <w:tc>
          <w:tcPr>
            <w:tcW w:w="241" w:type="pct"/>
            <w:vMerge/>
            <w:tcBorders>
              <w:top w:val="single" w:sz="4" w:space="0" w:color="1F497D"/>
              <w:left w:val="single" w:sz="4" w:space="0" w:color="1F497D"/>
              <w:bottom w:val="single" w:sz="4" w:space="0" w:color="1F497D"/>
              <w:right w:val="single" w:sz="4" w:space="0" w:color="1F497D"/>
            </w:tcBorders>
            <w:vAlign w:val="center"/>
            <w:hideMark/>
          </w:tcPr>
          <w:p w:rsidR="00492B11" w:rsidRPr="00492B11" w:rsidRDefault="00492B11" w:rsidP="00492B11">
            <w:pPr>
              <w:rPr>
                <w:b/>
                <w:bCs/>
                <w:color w:val="000000"/>
                <w:sz w:val="16"/>
                <w:szCs w:val="16"/>
              </w:rPr>
            </w:pPr>
          </w:p>
        </w:tc>
        <w:tc>
          <w:tcPr>
            <w:tcW w:w="335" w:type="pct"/>
            <w:vMerge w:val="restart"/>
            <w:tcBorders>
              <w:top w:val="nil"/>
              <w:left w:val="single" w:sz="4" w:space="0" w:color="1F497D"/>
              <w:bottom w:val="single" w:sz="4" w:space="0" w:color="1F497D"/>
              <w:right w:val="single" w:sz="4" w:space="0" w:color="1F497D"/>
            </w:tcBorders>
            <w:shd w:val="clear" w:color="000000" w:fill="DCE6F1"/>
            <w:vAlign w:val="center"/>
            <w:hideMark/>
          </w:tcPr>
          <w:p w:rsidR="00492B11" w:rsidRPr="00492B11" w:rsidRDefault="00492B11" w:rsidP="00492B11">
            <w:pPr>
              <w:jc w:val="center"/>
              <w:rPr>
                <w:b/>
                <w:bCs/>
                <w:color w:val="000000"/>
                <w:sz w:val="16"/>
                <w:szCs w:val="16"/>
              </w:rPr>
            </w:pPr>
            <w:r w:rsidRPr="00492B11">
              <w:rPr>
                <w:b/>
                <w:bCs/>
                <w:color w:val="000000"/>
                <w:sz w:val="16"/>
                <w:szCs w:val="16"/>
              </w:rPr>
              <w:t>Den</w:t>
            </w:r>
          </w:p>
        </w:tc>
        <w:tc>
          <w:tcPr>
            <w:tcW w:w="241" w:type="pct"/>
            <w:tcBorders>
              <w:top w:val="nil"/>
              <w:left w:val="nil"/>
              <w:bottom w:val="single" w:sz="4" w:space="0" w:color="1F497D"/>
              <w:right w:val="single" w:sz="4" w:space="0" w:color="1F497D"/>
            </w:tcBorders>
            <w:shd w:val="clear" w:color="000000" w:fill="DCE6F1"/>
            <w:vAlign w:val="center"/>
            <w:hideMark/>
          </w:tcPr>
          <w:p w:rsidR="00492B11" w:rsidRPr="00492B11" w:rsidRDefault="00492B11" w:rsidP="00492B11">
            <w:pPr>
              <w:jc w:val="center"/>
              <w:rPr>
                <w:b/>
                <w:bCs/>
                <w:color w:val="000000"/>
                <w:sz w:val="16"/>
                <w:szCs w:val="16"/>
              </w:rPr>
            </w:pPr>
            <w:r w:rsidRPr="00492B11">
              <w:rPr>
                <w:b/>
                <w:bCs/>
                <w:color w:val="000000"/>
                <w:sz w:val="16"/>
                <w:szCs w:val="16"/>
              </w:rPr>
              <w:t>mil. CZK</w:t>
            </w:r>
          </w:p>
        </w:tc>
        <w:tc>
          <w:tcPr>
            <w:tcW w:w="241" w:type="pct"/>
            <w:vMerge w:val="restart"/>
            <w:tcBorders>
              <w:top w:val="nil"/>
              <w:left w:val="single" w:sz="4" w:space="0" w:color="1F497D"/>
              <w:bottom w:val="single" w:sz="4" w:space="0" w:color="1F497D"/>
              <w:right w:val="single" w:sz="4" w:space="0" w:color="1F497D"/>
            </w:tcBorders>
            <w:shd w:val="clear" w:color="000000" w:fill="DCE6F1"/>
            <w:vAlign w:val="center"/>
            <w:hideMark/>
          </w:tcPr>
          <w:p w:rsidR="00492B11" w:rsidRPr="00492B11" w:rsidRDefault="00492B11" w:rsidP="00492B11">
            <w:pPr>
              <w:jc w:val="center"/>
              <w:rPr>
                <w:b/>
                <w:bCs/>
                <w:color w:val="000000"/>
                <w:sz w:val="16"/>
                <w:szCs w:val="16"/>
              </w:rPr>
            </w:pPr>
            <w:r w:rsidRPr="00492B11">
              <w:rPr>
                <w:b/>
                <w:bCs/>
                <w:color w:val="000000"/>
                <w:sz w:val="16"/>
                <w:szCs w:val="16"/>
              </w:rPr>
              <w:t>mil. EUR</w:t>
            </w:r>
          </w:p>
        </w:tc>
        <w:tc>
          <w:tcPr>
            <w:tcW w:w="181" w:type="pct"/>
            <w:tcBorders>
              <w:top w:val="nil"/>
              <w:left w:val="nil"/>
              <w:bottom w:val="single" w:sz="4" w:space="0" w:color="1F497D"/>
              <w:right w:val="single" w:sz="4" w:space="0" w:color="1F497D"/>
            </w:tcBorders>
            <w:shd w:val="clear" w:color="000000" w:fill="DCE6F1"/>
            <w:vAlign w:val="center"/>
            <w:hideMark/>
          </w:tcPr>
          <w:p w:rsidR="00492B11" w:rsidRPr="00492B11" w:rsidRDefault="00492B11" w:rsidP="00492B11">
            <w:pPr>
              <w:jc w:val="center"/>
              <w:rPr>
                <w:b/>
                <w:bCs/>
                <w:color w:val="000000"/>
                <w:sz w:val="16"/>
                <w:szCs w:val="16"/>
              </w:rPr>
            </w:pPr>
            <w:r w:rsidRPr="00492B11">
              <w:rPr>
                <w:b/>
                <w:bCs/>
                <w:color w:val="000000"/>
                <w:sz w:val="16"/>
                <w:szCs w:val="16"/>
              </w:rPr>
              <w:t>Počet</w:t>
            </w:r>
          </w:p>
        </w:tc>
        <w:tc>
          <w:tcPr>
            <w:tcW w:w="268" w:type="pct"/>
            <w:tcBorders>
              <w:top w:val="nil"/>
              <w:left w:val="nil"/>
              <w:bottom w:val="single" w:sz="4" w:space="0" w:color="1F497D"/>
              <w:right w:val="single" w:sz="4" w:space="0" w:color="1F497D"/>
            </w:tcBorders>
            <w:shd w:val="clear" w:color="000000" w:fill="DCE6F1"/>
            <w:vAlign w:val="center"/>
            <w:hideMark/>
          </w:tcPr>
          <w:p w:rsidR="00492B11" w:rsidRPr="00492B11" w:rsidRDefault="00492B11" w:rsidP="00492B11">
            <w:pPr>
              <w:jc w:val="center"/>
              <w:rPr>
                <w:b/>
                <w:bCs/>
                <w:color w:val="000000"/>
                <w:sz w:val="16"/>
                <w:szCs w:val="16"/>
              </w:rPr>
            </w:pPr>
            <w:r w:rsidRPr="00492B11">
              <w:rPr>
                <w:b/>
                <w:bCs/>
                <w:color w:val="000000"/>
                <w:sz w:val="16"/>
                <w:szCs w:val="16"/>
              </w:rPr>
              <w:t>mil. CZK</w:t>
            </w:r>
          </w:p>
        </w:tc>
        <w:tc>
          <w:tcPr>
            <w:tcW w:w="207" w:type="pct"/>
            <w:tcBorders>
              <w:top w:val="nil"/>
              <w:left w:val="nil"/>
              <w:bottom w:val="single" w:sz="4" w:space="0" w:color="1F497D"/>
              <w:right w:val="single" w:sz="4" w:space="0" w:color="1F497D"/>
            </w:tcBorders>
            <w:shd w:val="clear" w:color="000000" w:fill="DCE6F1"/>
            <w:vAlign w:val="center"/>
            <w:hideMark/>
          </w:tcPr>
          <w:p w:rsidR="00492B11" w:rsidRPr="00492B11" w:rsidRDefault="00492B11" w:rsidP="00492B11">
            <w:pPr>
              <w:jc w:val="center"/>
              <w:rPr>
                <w:b/>
                <w:bCs/>
                <w:color w:val="000000"/>
                <w:sz w:val="16"/>
                <w:szCs w:val="16"/>
              </w:rPr>
            </w:pPr>
            <w:r w:rsidRPr="00492B11">
              <w:rPr>
                <w:b/>
                <w:bCs/>
                <w:color w:val="000000"/>
                <w:sz w:val="16"/>
                <w:szCs w:val="16"/>
              </w:rPr>
              <w:t>%</w:t>
            </w:r>
          </w:p>
        </w:tc>
        <w:tc>
          <w:tcPr>
            <w:tcW w:w="234" w:type="pct"/>
            <w:vMerge w:val="restart"/>
            <w:tcBorders>
              <w:top w:val="nil"/>
              <w:left w:val="single" w:sz="4" w:space="0" w:color="1F497D"/>
              <w:bottom w:val="single" w:sz="4" w:space="0" w:color="1F497D"/>
              <w:right w:val="single" w:sz="4" w:space="0" w:color="1F497D"/>
            </w:tcBorders>
            <w:shd w:val="clear" w:color="000000" w:fill="DCE6F1"/>
            <w:vAlign w:val="center"/>
            <w:hideMark/>
          </w:tcPr>
          <w:p w:rsidR="00492B11" w:rsidRPr="00492B11" w:rsidRDefault="00492B11" w:rsidP="00492B11">
            <w:pPr>
              <w:jc w:val="center"/>
              <w:rPr>
                <w:b/>
                <w:bCs/>
                <w:color w:val="000000"/>
                <w:sz w:val="16"/>
                <w:szCs w:val="16"/>
              </w:rPr>
            </w:pPr>
            <w:r w:rsidRPr="00492B11">
              <w:rPr>
                <w:b/>
                <w:bCs/>
                <w:color w:val="000000"/>
                <w:sz w:val="16"/>
                <w:szCs w:val="16"/>
              </w:rPr>
              <w:t>mil. EUR</w:t>
            </w:r>
          </w:p>
        </w:tc>
        <w:tc>
          <w:tcPr>
            <w:tcW w:w="174" w:type="pct"/>
            <w:tcBorders>
              <w:top w:val="nil"/>
              <w:left w:val="nil"/>
              <w:bottom w:val="single" w:sz="4" w:space="0" w:color="1F497D"/>
              <w:right w:val="single" w:sz="4" w:space="0" w:color="1F497D"/>
            </w:tcBorders>
            <w:shd w:val="clear" w:color="000000" w:fill="DCE6F1"/>
            <w:vAlign w:val="center"/>
            <w:hideMark/>
          </w:tcPr>
          <w:p w:rsidR="00492B11" w:rsidRPr="00492B11" w:rsidRDefault="00492B11" w:rsidP="00492B11">
            <w:pPr>
              <w:jc w:val="center"/>
              <w:rPr>
                <w:b/>
                <w:bCs/>
                <w:color w:val="000000"/>
                <w:sz w:val="16"/>
                <w:szCs w:val="16"/>
              </w:rPr>
            </w:pPr>
            <w:r w:rsidRPr="00492B11">
              <w:rPr>
                <w:b/>
                <w:bCs/>
                <w:color w:val="000000"/>
                <w:sz w:val="16"/>
                <w:szCs w:val="16"/>
              </w:rPr>
              <w:t>Počet</w:t>
            </w:r>
          </w:p>
        </w:tc>
        <w:tc>
          <w:tcPr>
            <w:tcW w:w="261" w:type="pct"/>
            <w:tcBorders>
              <w:top w:val="nil"/>
              <w:left w:val="nil"/>
              <w:bottom w:val="single" w:sz="4" w:space="0" w:color="1F497D"/>
              <w:right w:val="single" w:sz="4" w:space="0" w:color="1F497D"/>
            </w:tcBorders>
            <w:shd w:val="clear" w:color="000000" w:fill="DCE6F1"/>
            <w:vAlign w:val="center"/>
            <w:hideMark/>
          </w:tcPr>
          <w:p w:rsidR="00492B11" w:rsidRPr="00492B11" w:rsidRDefault="00492B11" w:rsidP="00492B11">
            <w:pPr>
              <w:jc w:val="center"/>
              <w:rPr>
                <w:b/>
                <w:bCs/>
                <w:color w:val="000000"/>
                <w:sz w:val="16"/>
                <w:szCs w:val="16"/>
              </w:rPr>
            </w:pPr>
            <w:r w:rsidRPr="00492B11">
              <w:rPr>
                <w:b/>
                <w:bCs/>
                <w:color w:val="000000"/>
                <w:sz w:val="16"/>
                <w:szCs w:val="16"/>
              </w:rPr>
              <w:t>mil. CZK</w:t>
            </w:r>
          </w:p>
        </w:tc>
        <w:tc>
          <w:tcPr>
            <w:tcW w:w="214" w:type="pct"/>
            <w:tcBorders>
              <w:top w:val="nil"/>
              <w:left w:val="nil"/>
              <w:bottom w:val="single" w:sz="4" w:space="0" w:color="1F497D"/>
              <w:right w:val="single" w:sz="4" w:space="0" w:color="1F497D"/>
            </w:tcBorders>
            <w:shd w:val="clear" w:color="000000" w:fill="DCE6F1"/>
            <w:vAlign w:val="center"/>
            <w:hideMark/>
          </w:tcPr>
          <w:p w:rsidR="00492B11" w:rsidRPr="00492B11" w:rsidRDefault="00492B11" w:rsidP="00492B11">
            <w:pPr>
              <w:jc w:val="center"/>
              <w:rPr>
                <w:b/>
                <w:bCs/>
                <w:color w:val="000000"/>
                <w:sz w:val="16"/>
                <w:szCs w:val="16"/>
              </w:rPr>
            </w:pPr>
            <w:r w:rsidRPr="00492B11">
              <w:rPr>
                <w:b/>
                <w:bCs/>
                <w:color w:val="000000"/>
                <w:sz w:val="16"/>
                <w:szCs w:val="16"/>
              </w:rPr>
              <w:t>%</w:t>
            </w:r>
          </w:p>
        </w:tc>
        <w:tc>
          <w:tcPr>
            <w:tcW w:w="214" w:type="pct"/>
            <w:vMerge w:val="restart"/>
            <w:tcBorders>
              <w:top w:val="nil"/>
              <w:left w:val="single" w:sz="4" w:space="0" w:color="1F497D"/>
              <w:bottom w:val="single" w:sz="4" w:space="0" w:color="1F497D"/>
              <w:right w:val="single" w:sz="4" w:space="0" w:color="1F497D"/>
            </w:tcBorders>
            <w:shd w:val="clear" w:color="000000" w:fill="DCE6F1"/>
            <w:vAlign w:val="center"/>
            <w:hideMark/>
          </w:tcPr>
          <w:p w:rsidR="00492B11" w:rsidRPr="00492B11" w:rsidRDefault="00492B11" w:rsidP="00492B11">
            <w:pPr>
              <w:jc w:val="center"/>
              <w:rPr>
                <w:b/>
                <w:bCs/>
                <w:color w:val="000000"/>
                <w:sz w:val="16"/>
                <w:szCs w:val="16"/>
              </w:rPr>
            </w:pPr>
            <w:r w:rsidRPr="00492B11">
              <w:rPr>
                <w:b/>
                <w:bCs/>
                <w:color w:val="000000"/>
                <w:sz w:val="16"/>
                <w:szCs w:val="16"/>
              </w:rPr>
              <w:t>mil. EUR</w:t>
            </w:r>
          </w:p>
        </w:tc>
        <w:tc>
          <w:tcPr>
            <w:tcW w:w="261" w:type="pct"/>
            <w:tcBorders>
              <w:top w:val="nil"/>
              <w:left w:val="nil"/>
              <w:bottom w:val="single" w:sz="4" w:space="0" w:color="1F497D"/>
              <w:right w:val="single" w:sz="4" w:space="0" w:color="1F497D"/>
            </w:tcBorders>
            <w:shd w:val="clear" w:color="000000" w:fill="DCE6F1"/>
            <w:vAlign w:val="center"/>
            <w:hideMark/>
          </w:tcPr>
          <w:p w:rsidR="00492B11" w:rsidRPr="00492B11" w:rsidRDefault="00492B11" w:rsidP="00492B11">
            <w:pPr>
              <w:jc w:val="center"/>
              <w:rPr>
                <w:b/>
                <w:bCs/>
                <w:color w:val="000000"/>
                <w:sz w:val="16"/>
                <w:szCs w:val="16"/>
              </w:rPr>
            </w:pPr>
            <w:r w:rsidRPr="00492B11">
              <w:rPr>
                <w:b/>
                <w:bCs/>
                <w:color w:val="000000"/>
                <w:sz w:val="16"/>
                <w:szCs w:val="16"/>
              </w:rPr>
              <w:t>mil. CZK</w:t>
            </w:r>
          </w:p>
        </w:tc>
        <w:tc>
          <w:tcPr>
            <w:tcW w:w="228" w:type="pct"/>
            <w:tcBorders>
              <w:top w:val="nil"/>
              <w:left w:val="nil"/>
              <w:bottom w:val="single" w:sz="4" w:space="0" w:color="1F497D"/>
              <w:right w:val="single" w:sz="4" w:space="0" w:color="1F497D"/>
            </w:tcBorders>
            <w:shd w:val="clear" w:color="000000" w:fill="DCE6F1"/>
            <w:vAlign w:val="center"/>
            <w:hideMark/>
          </w:tcPr>
          <w:p w:rsidR="00492B11" w:rsidRPr="00492B11" w:rsidRDefault="00492B11" w:rsidP="00492B11">
            <w:pPr>
              <w:jc w:val="center"/>
              <w:rPr>
                <w:b/>
                <w:bCs/>
                <w:color w:val="000000"/>
                <w:sz w:val="16"/>
                <w:szCs w:val="16"/>
              </w:rPr>
            </w:pPr>
            <w:r w:rsidRPr="00492B11">
              <w:rPr>
                <w:b/>
                <w:bCs/>
                <w:color w:val="000000"/>
                <w:sz w:val="16"/>
                <w:szCs w:val="16"/>
              </w:rPr>
              <w:t>%</w:t>
            </w:r>
          </w:p>
        </w:tc>
        <w:tc>
          <w:tcPr>
            <w:tcW w:w="254" w:type="pct"/>
            <w:vMerge w:val="restart"/>
            <w:tcBorders>
              <w:top w:val="nil"/>
              <w:left w:val="single" w:sz="4" w:space="0" w:color="1F497D"/>
              <w:bottom w:val="single" w:sz="4" w:space="0" w:color="1F497D"/>
              <w:right w:val="single" w:sz="4" w:space="0" w:color="1F497D"/>
            </w:tcBorders>
            <w:shd w:val="clear" w:color="000000" w:fill="DCE6F1"/>
            <w:vAlign w:val="center"/>
            <w:hideMark/>
          </w:tcPr>
          <w:p w:rsidR="00492B11" w:rsidRPr="00492B11" w:rsidRDefault="00492B11" w:rsidP="00492B11">
            <w:pPr>
              <w:jc w:val="center"/>
              <w:rPr>
                <w:b/>
                <w:bCs/>
                <w:color w:val="000000"/>
                <w:sz w:val="16"/>
                <w:szCs w:val="16"/>
              </w:rPr>
            </w:pPr>
            <w:r w:rsidRPr="00492B11">
              <w:rPr>
                <w:b/>
                <w:bCs/>
                <w:color w:val="000000"/>
                <w:sz w:val="16"/>
                <w:szCs w:val="16"/>
              </w:rPr>
              <w:t>mil. EUR</w:t>
            </w:r>
          </w:p>
        </w:tc>
        <w:tc>
          <w:tcPr>
            <w:tcW w:w="288" w:type="pct"/>
            <w:tcBorders>
              <w:top w:val="nil"/>
              <w:left w:val="nil"/>
              <w:bottom w:val="single" w:sz="4" w:space="0" w:color="1F497D"/>
              <w:right w:val="single" w:sz="4" w:space="0" w:color="1F497D"/>
            </w:tcBorders>
            <w:shd w:val="clear" w:color="000000" w:fill="DCE6F1"/>
            <w:vAlign w:val="center"/>
            <w:hideMark/>
          </w:tcPr>
          <w:p w:rsidR="00492B11" w:rsidRPr="00492B11" w:rsidRDefault="00492B11" w:rsidP="00492B11">
            <w:pPr>
              <w:jc w:val="center"/>
              <w:rPr>
                <w:b/>
                <w:bCs/>
                <w:color w:val="000000"/>
                <w:sz w:val="16"/>
                <w:szCs w:val="16"/>
              </w:rPr>
            </w:pPr>
            <w:r w:rsidRPr="00492B11">
              <w:rPr>
                <w:b/>
                <w:bCs/>
                <w:color w:val="000000"/>
                <w:sz w:val="16"/>
                <w:szCs w:val="16"/>
              </w:rPr>
              <w:t>mil. CZK</w:t>
            </w:r>
          </w:p>
        </w:tc>
        <w:tc>
          <w:tcPr>
            <w:tcW w:w="214" w:type="pct"/>
            <w:tcBorders>
              <w:top w:val="nil"/>
              <w:left w:val="nil"/>
              <w:bottom w:val="single" w:sz="4" w:space="0" w:color="1F497D"/>
              <w:right w:val="single" w:sz="4" w:space="0" w:color="1F497D"/>
            </w:tcBorders>
            <w:shd w:val="clear" w:color="000000" w:fill="DCE6F1"/>
            <w:vAlign w:val="center"/>
            <w:hideMark/>
          </w:tcPr>
          <w:p w:rsidR="00492B11" w:rsidRPr="00492B11" w:rsidRDefault="00492B11" w:rsidP="00492B11">
            <w:pPr>
              <w:jc w:val="center"/>
              <w:rPr>
                <w:b/>
                <w:bCs/>
                <w:color w:val="000000"/>
                <w:sz w:val="16"/>
                <w:szCs w:val="16"/>
              </w:rPr>
            </w:pPr>
            <w:r w:rsidRPr="00492B11">
              <w:rPr>
                <w:b/>
                <w:bCs/>
                <w:color w:val="000000"/>
                <w:sz w:val="16"/>
                <w:szCs w:val="16"/>
              </w:rPr>
              <w:t>%</w:t>
            </w:r>
          </w:p>
        </w:tc>
        <w:tc>
          <w:tcPr>
            <w:tcW w:w="254" w:type="pct"/>
            <w:vMerge w:val="restart"/>
            <w:tcBorders>
              <w:top w:val="nil"/>
              <w:left w:val="single" w:sz="4" w:space="0" w:color="1F497D"/>
              <w:bottom w:val="single" w:sz="4" w:space="0" w:color="1F497D"/>
              <w:right w:val="single" w:sz="4" w:space="0" w:color="1F497D"/>
            </w:tcBorders>
            <w:shd w:val="clear" w:color="000000" w:fill="DCE6F1"/>
            <w:vAlign w:val="center"/>
            <w:hideMark/>
          </w:tcPr>
          <w:p w:rsidR="00492B11" w:rsidRPr="00492B11" w:rsidRDefault="00492B11" w:rsidP="00492B11">
            <w:pPr>
              <w:jc w:val="center"/>
              <w:rPr>
                <w:b/>
                <w:bCs/>
                <w:color w:val="000000"/>
                <w:sz w:val="16"/>
                <w:szCs w:val="16"/>
              </w:rPr>
            </w:pPr>
            <w:r w:rsidRPr="00492B11">
              <w:rPr>
                <w:b/>
                <w:bCs/>
                <w:color w:val="000000"/>
                <w:sz w:val="16"/>
                <w:szCs w:val="16"/>
              </w:rPr>
              <w:t>mil. EUR</w:t>
            </w:r>
          </w:p>
        </w:tc>
        <w:tc>
          <w:tcPr>
            <w:tcW w:w="274" w:type="pct"/>
            <w:tcBorders>
              <w:top w:val="nil"/>
              <w:left w:val="nil"/>
              <w:bottom w:val="single" w:sz="4" w:space="0" w:color="1F497D"/>
              <w:right w:val="single" w:sz="4" w:space="0" w:color="1F497D"/>
            </w:tcBorders>
            <w:shd w:val="clear" w:color="000000" w:fill="DCE6F1"/>
            <w:vAlign w:val="center"/>
            <w:hideMark/>
          </w:tcPr>
          <w:p w:rsidR="00492B11" w:rsidRPr="00492B11" w:rsidRDefault="00492B11" w:rsidP="00492B11">
            <w:pPr>
              <w:jc w:val="center"/>
              <w:rPr>
                <w:b/>
                <w:bCs/>
                <w:color w:val="000000"/>
                <w:sz w:val="16"/>
                <w:szCs w:val="16"/>
              </w:rPr>
            </w:pPr>
            <w:r w:rsidRPr="00492B11">
              <w:rPr>
                <w:b/>
                <w:bCs/>
                <w:color w:val="000000"/>
                <w:sz w:val="16"/>
                <w:szCs w:val="16"/>
              </w:rPr>
              <w:t>mil. CZK</w:t>
            </w:r>
          </w:p>
        </w:tc>
        <w:tc>
          <w:tcPr>
            <w:tcW w:w="207" w:type="pct"/>
            <w:tcBorders>
              <w:top w:val="nil"/>
              <w:left w:val="nil"/>
              <w:bottom w:val="single" w:sz="4" w:space="0" w:color="1F497D"/>
              <w:right w:val="single" w:sz="4" w:space="0" w:color="1F497D"/>
            </w:tcBorders>
            <w:shd w:val="clear" w:color="000000" w:fill="DCE6F1"/>
            <w:vAlign w:val="center"/>
            <w:hideMark/>
          </w:tcPr>
          <w:p w:rsidR="00492B11" w:rsidRPr="00492B11" w:rsidRDefault="00492B11" w:rsidP="00492B11">
            <w:pPr>
              <w:jc w:val="center"/>
              <w:rPr>
                <w:b/>
                <w:bCs/>
                <w:color w:val="000000"/>
                <w:sz w:val="16"/>
                <w:szCs w:val="16"/>
              </w:rPr>
            </w:pPr>
            <w:r w:rsidRPr="00492B11">
              <w:rPr>
                <w:b/>
                <w:bCs/>
                <w:color w:val="000000"/>
                <w:sz w:val="16"/>
                <w:szCs w:val="16"/>
              </w:rPr>
              <w:t>%</w:t>
            </w:r>
          </w:p>
        </w:tc>
        <w:tc>
          <w:tcPr>
            <w:tcW w:w="207" w:type="pct"/>
            <w:vMerge w:val="restart"/>
            <w:tcBorders>
              <w:top w:val="nil"/>
              <w:left w:val="single" w:sz="4" w:space="0" w:color="1F497D"/>
              <w:bottom w:val="single" w:sz="4" w:space="0" w:color="1F497D"/>
              <w:right w:val="single" w:sz="4" w:space="0" w:color="1F497D"/>
            </w:tcBorders>
            <w:shd w:val="clear" w:color="000000" w:fill="DCE6F1"/>
            <w:vAlign w:val="center"/>
            <w:hideMark/>
          </w:tcPr>
          <w:p w:rsidR="00492B11" w:rsidRPr="00492B11" w:rsidRDefault="00492B11" w:rsidP="00492B11">
            <w:pPr>
              <w:jc w:val="center"/>
              <w:rPr>
                <w:b/>
                <w:bCs/>
                <w:color w:val="000000"/>
                <w:sz w:val="16"/>
                <w:szCs w:val="16"/>
              </w:rPr>
            </w:pPr>
            <w:r w:rsidRPr="00492B11">
              <w:rPr>
                <w:b/>
                <w:bCs/>
                <w:color w:val="000000"/>
                <w:sz w:val="16"/>
                <w:szCs w:val="16"/>
              </w:rPr>
              <w:t>mil. EUR</w:t>
            </w:r>
          </w:p>
        </w:tc>
      </w:tr>
      <w:tr w:rsidR="00492B11" w:rsidRPr="00492B11" w:rsidTr="00492B11">
        <w:trPr>
          <w:trHeight w:val="225"/>
        </w:trPr>
        <w:tc>
          <w:tcPr>
            <w:tcW w:w="241" w:type="pct"/>
            <w:vMerge/>
            <w:tcBorders>
              <w:top w:val="single" w:sz="4" w:space="0" w:color="1F497D"/>
              <w:left w:val="single" w:sz="4" w:space="0" w:color="1F497D"/>
              <w:bottom w:val="single" w:sz="4" w:space="0" w:color="1F497D"/>
              <w:right w:val="single" w:sz="4" w:space="0" w:color="1F497D"/>
            </w:tcBorders>
            <w:vAlign w:val="center"/>
            <w:hideMark/>
          </w:tcPr>
          <w:p w:rsidR="00492B11" w:rsidRPr="00492B11" w:rsidRDefault="00492B11" w:rsidP="00492B11">
            <w:pPr>
              <w:rPr>
                <w:b/>
                <w:bCs/>
                <w:color w:val="000000"/>
                <w:sz w:val="16"/>
                <w:szCs w:val="16"/>
              </w:rPr>
            </w:pPr>
          </w:p>
        </w:tc>
        <w:tc>
          <w:tcPr>
            <w:tcW w:w="335" w:type="pct"/>
            <w:vMerge/>
            <w:tcBorders>
              <w:top w:val="nil"/>
              <w:left w:val="single" w:sz="4" w:space="0" w:color="1F497D"/>
              <w:bottom w:val="single" w:sz="4" w:space="0" w:color="1F497D"/>
              <w:right w:val="single" w:sz="4" w:space="0" w:color="1F497D"/>
            </w:tcBorders>
            <w:vAlign w:val="center"/>
            <w:hideMark/>
          </w:tcPr>
          <w:p w:rsidR="00492B11" w:rsidRPr="00492B11" w:rsidRDefault="00492B11" w:rsidP="00492B11">
            <w:pPr>
              <w:rPr>
                <w:b/>
                <w:bCs/>
                <w:color w:val="000000"/>
                <w:sz w:val="16"/>
                <w:szCs w:val="16"/>
              </w:rPr>
            </w:pPr>
          </w:p>
        </w:tc>
        <w:tc>
          <w:tcPr>
            <w:tcW w:w="241" w:type="pct"/>
            <w:tcBorders>
              <w:top w:val="nil"/>
              <w:left w:val="nil"/>
              <w:bottom w:val="single" w:sz="4" w:space="0" w:color="1F497D"/>
              <w:right w:val="single" w:sz="4" w:space="0" w:color="1F497D"/>
            </w:tcBorders>
            <w:shd w:val="clear" w:color="000000" w:fill="DCE6F1"/>
            <w:vAlign w:val="center"/>
            <w:hideMark/>
          </w:tcPr>
          <w:p w:rsidR="00492B11" w:rsidRPr="00492B11" w:rsidRDefault="00492B11" w:rsidP="00492B11">
            <w:pPr>
              <w:jc w:val="center"/>
              <w:rPr>
                <w:b/>
                <w:bCs/>
                <w:color w:val="000000"/>
                <w:sz w:val="16"/>
                <w:szCs w:val="16"/>
              </w:rPr>
            </w:pPr>
            <w:r w:rsidRPr="00492B11">
              <w:rPr>
                <w:b/>
                <w:bCs/>
                <w:color w:val="000000"/>
                <w:sz w:val="16"/>
                <w:szCs w:val="16"/>
              </w:rPr>
              <w:t xml:space="preserve">a </w:t>
            </w:r>
          </w:p>
        </w:tc>
        <w:tc>
          <w:tcPr>
            <w:tcW w:w="241" w:type="pct"/>
            <w:vMerge/>
            <w:tcBorders>
              <w:top w:val="nil"/>
              <w:left w:val="single" w:sz="4" w:space="0" w:color="1F497D"/>
              <w:bottom w:val="single" w:sz="4" w:space="0" w:color="1F497D"/>
              <w:right w:val="single" w:sz="4" w:space="0" w:color="1F497D"/>
            </w:tcBorders>
            <w:vAlign w:val="center"/>
            <w:hideMark/>
          </w:tcPr>
          <w:p w:rsidR="00492B11" w:rsidRPr="00492B11" w:rsidRDefault="00492B11" w:rsidP="00492B11">
            <w:pPr>
              <w:rPr>
                <w:b/>
                <w:bCs/>
                <w:color w:val="000000"/>
                <w:sz w:val="16"/>
                <w:szCs w:val="16"/>
              </w:rPr>
            </w:pPr>
          </w:p>
        </w:tc>
        <w:tc>
          <w:tcPr>
            <w:tcW w:w="181" w:type="pct"/>
            <w:tcBorders>
              <w:top w:val="nil"/>
              <w:left w:val="nil"/>
              <w:bottom w:val="single" w:sz="4" w:space="0" w:color="1F497D"/>
              <w:right w:val="single" w:sz="4" w:space="0" w:color="1F497D"/>
            </w:tcBorders>
            <w:shd w:val="clear" w:color="000000" w:fill="DCE6F1"/>
            <w:vAlign w:val="center"/>
            <w:hideMark/>
          </w:tcPr>
          <w:p w:rsidR="00492B11" w:rsidRPr="00492B11" w:rsidRDefault="00492B11" w:rsidP="00492B11">
            <w:pPr>
              <w:jc w:val="center"/>
              <w:rPr>
                <w:b/>
                <w:bCs/>
                <w:color w:val="000000"/>
                <w:sz w:val="16"/>
                <w:szCs w:val="16"/>
              </w:rPr>
            </w:pPr>
            <w:r w:rsidRPr="00492B11">
              <w:rPr>
                <w:b/>
                <w:bCs/>
                <w:color w:val="000000"/>
                <w:sz w:val="16"/>
                <w:szCs w:val="16"/>
              </w:rPr>
              <w:t>b</w:t>
            </w:r>
          </w:p>
        </w:tc>
        <w:tc>
          <w:tcPr>
            <w:tcW w:w="268" w:type="pct"/>
            <w:tcBorders>
              <w:top w:val="nil"/>
              <w:left w:val="nil"/>
              <w:bottom w:val="single" w:sz="4" w:space="0" w:color="1F497D"/>
              <w:right w:val="single" w:sz="4" w:space="0" w:color="1F497D"/>
            </w:tcBorders>
            <w:shd w:val="clear" w:color="000000" w:fill="DCE6F1"/>
            <w:vAlign w:val="center"/>
            <w:hideMark/>
          </w:tcPr>
          <w:p w:rsidR="00492B11" w:rsidRPr="00492B11" w:rsidRDefault="00492B11" w:rsidP="00492B11">
            <w:pPr>
              <w:jc w:val="center"/>
              <w:rPr>
                <w:b/>
                <w:bCs/>
                <w:color w:val="000000"/>
                <w:sz w:val="16"/>
                <w:szCs w:val="16"/>
              </w:rPr>
            </w:pPr>
            <w:r w:rsidRPr="00492B11">
              <w:rPr>
                <w:b/>
                <w:bCs/>
                <w:color w:val="000000"/>
                <w:sz w:val="16"/>
                <w:szCs w:val="16"/>
              </w:rPr>
              <w:t>c</w:t>
            </w:r>
          </w:p>
        </w:tc>
        <w:tc>
          <w:tcPr>
            <w:tcW w:w="207" w:type="pct"/>
            <w:tcBorders>
              <w:top w:val="nil"/>
              <w:left w:val="nil"/>
              <w:bottom w:val="single" w:sz="4" w:space="0" w:color="1F497D"/>
              <w:right w:val="single" w:sz="4" w:space="0" w:color="1F497D"/>
            </w:tcBorders>
            <w:shd w:val="clear" w:color="000000" w:fill="DCE6F1"/>
            <w:vAlign w:val="center"/>
            <w:hideMark/>
          </w:tcPr>
          <w:p w:rsidR="00492B11" w:rsidRPr="00492B11" w:rsidRDefault="00492B11" w:rsidP="00492B11">
            <w:pPr>
              <w:jc w:val="center"/>
              <w:rPr>
                <w:b/>
                <w:bCs/>
                <w:color w:val="000000"/>
                <w:sz w:val="16"/>
                <w:szCs w:val="16"/>
              </w:rPr>
            </w:pPr>
            <w:r w:rsidRPr="00492B11">
              <w:rPr>
                <w:b/>
                <w:bCs/>
                <w:color w:val="000000"/>
                <w:sz w:val="16"/>
                <w:szCs w:val="16"/>
              </w:rPr>
              <w:t>c/a</w:t>
            </w:r>
          </w:p>
        </w:tc>
        <w:tc>
          <w:tcPr>
            <w:tcW w:w="234" w:type="pct"/>
            <w:vMerge/>
            <w:tcBorders>
              <w:top w:val="nil"/>
              <w:left w:val="single" w:sz="4" w:space="0" w:color="1F497D"/>
              <w:bottom w:val="single" w:sz="4" w:space="0" w:color="1F497D"/>
              <w:right w:val="single" w:sz="4" w:space="0" w:color="1F497D"/>
            </w:tcBorders>
            <w:vAlign w:val="center"/>
            <w:hideMark/>
          </w:tcPr>
          <w:p w:rsidR="00492B11" w:rsidRPr="00492B11" w:rsidRDefault="00492B11" w:rsidP="00492B11">
            <w:pPr>
              <w:rPr>
                <w:b/>
                <w:bCs/>
                <w:color w:val="000000"/>
                <w:sz w:val="16"/>
                <w:szCs w:val="16"/>
              </w:rPr>
            </w:pPr>
          </w:p>
        </w:tc>
        <w:tc>
          <w:tcPr>
            <w:tcW w:w="174" w:type="pct"/>
            <w:tcBorders>
              <w:top w:val="nil"/>
              <w:left w:val="nil"/>
              <w:bottom w:val="single" w:sz="4" w:space="0" w:color="1F497D"/>
              <w:right w:val="single" w:sz="4" w:space="0" w:color="1F497D"/>
            </w:tcBorders>
            <w:shd w:val="clear" w:color="000000" w:fill="DCE6F1"/>
            <w:vAlign w:val="center"/>
            <w:hideMark/>
          </w:tcPr>
          <w:p w:rsidR="00492B11" w:rsidRPr="00492B11" w:rsidRDefault="00492B11" w:rsidP="00492B11">
            <w:pPr>
              <w:jc w:val="center"/>
              <w:rPr>
                <w:b/>
                <w:bCs/>
                <w:color w:val="000000"/>
                <w:sz w:val="16"/>
                <w:szCs w:val="16"/>
              </w:rPr>
            </w:pPr>
            <w:r w:rsidRPr="00492B11">
              <w:rPr>
                <w:b/>
                <w:bCs/>
                <w:color w:val="000000"/>
                <w:sz w:val="16"/>
                <w:szCs w:val="16"/>
              </w:rPr>
              <w:t>d</w:t>
            </w:r>
          </w:p>
        </w:tc>
        <w:tc>
          <w:tcPr>
            <w:tcW w:w="261" w:type="pct"/>
            <w:tcBorders>
              <w:top w:val="nil"/>
              <w:left w:val="nil"/>
              <w:bottom w:val="single" w:sz="4" w:space="0" w:color="1F497D"/>
              <w:right w:val="single" w:sz="4" w:space="0" w:color="1F497D"/>
            </w:tcBorders>
            <w:shd w:val="clear" w:color="000000" w:fill="DCE6F1"/>
            <w:vAlign w:val="center"/>
            <w:hideMark/>
          </w:tcPr>
          <w:p w:rsidR="00492B11" w:rsidRPr="00492B11" w:rsidRDefault="00492B11" w:rsidP="00492B11">
            <w:pPr>
              <w:jc w:val="center"/>
              <w:rPr>
                <w:b/>
                <w:bCs/>
                <w:color w:val="000000"/>
                <w:sz w:val="16"/>
                <w:szCs w:val="16"/>
              </w:rPr>
            </w:pPr>
            <w:r w:rsidRPr="00492B11">
              <w:rPr>
                <w:b/>
                <w:bCs/>
                <w:color w:val="000000"/>
                <w:sz w:val="16"/>
                <w:szCs w:val="16"/>
              </w:rPr>
              <w:t>e</w:t>
            </w:r>
          </w:p>
        </w:tc>
        <w:tc>
          <w:tcPr>
            <w:tcW w:w="214" w:type="pct"/>
            <w:tcBorders>
              <w:top w:val="nil"/>
              <w:left w:val="nil"/>
              <w:bottom w:val="single" w:sz="4" w:space="0" w:color="1F497D"/>
              <w:right w:val="single" w:sz="4" w:space="0" w:color="1F497D"/>
            </w:tcBorders>
            <w:shd w:val="clear" w:color="000000" w:fill="DCE6F1"/>
            <w:vAlign w:val="center"/>
            <w:hideMark/>
          </w:tcPr>
          <w:p w:rsidR="00492B11" w:rsidRPr="00492B11" w:rsidRDefault="00492B11" w:rsidP="00492B11">
            <w:pPr>
              <w:jc w:val="center"/>
              <w:rPr>
                <w:b/>
                <w:bCs/>
                <w:color w:val="000000"/>
                <w:sz w:val="16"/>
                <w:szCs w:val="16"/>
              </w:rPr>
            </w:pPr>
            <w:r w:rsidRPr="00492B11">
              <w:rPr>
                <w:b/>
                <w:bCs/>
                <w:color w:val="000000"/>
                <w:sz w:val="16"/>
                <w:szCs w:val="16"/>
              </w:rPr>
              <w:t xml:space="preserve">e/a </w:t>
            </w:r>
          </w:p>
        </w:tc>
        <w:tc>
          <w:tcPr>
            <w:tcW w:w="214" w:type="pct"/>
            <w:vMerge/>
            <w:tcBorders>
              <w:top w:val="nil"/>
              <w:left w:val="single" w:sz="4" w:space="0" w:color="1F497D"/>
              <w:bottom w:val="single" w:sz="4" w:space="0" w:color="1F497D"/>
              <w:right w:val="single" w:sz="4" w:space="0" w:color="1F497D"/>
            </w:tcBorders>
            <w:vAlign w:val="center"/>
            <w:hideMark/>
          </w:tcPr>
          <w:p w:rsidR="00492B11" w:rsidRPr="00492B11" w:rsidRDefault="00492B11" w:rsidP="00492B11">
            <w:pPr>
              <w:rPr>
                <w:b/>
                <w:bCs/>
                <w:color w:val="000000"/>
                <w:sz w:val="16"/>
                <w:szCs w:val="16"/>
              </w:rPr>
            </w:pPr>
          </w:p>
        </w:tc>
        <w:tc>
          <w:tcPr>
            <w:tcW w:w="261" w:type="pct"/>
            <w:tcBorders>
              <w:top w:val="nil"/>
              <w:left w:val="nil"/>
              <w:bottom w:val="single" w:sz="4" w:space="0" w:color="1F497D"/>
              <w:right w:val="single" w:sz="4" w:space="0" w:color="1F497D"/>
            </w:tcBorders>
            <w:shd w:val="clear" w:color="000000" w:fill="DCE6F1"/>
            <w:vAlign w:val="center"/>
            <w:hideMark/>
          </w:tcPr>
          <w:p w:rsidR="00492B11" w:rsidRPr="00492B11" w:rsidRDefault="00492B11" w:rsidP="00492B11">
            <w:pPr>
              <w:jc w:val="center"/>
              <w:rPr>
                <w:b/>
                <w:bCs/>
                <w:color w:val="000000"/>
                <w:sz w:val="16"/>
                <w:szCs w:val="16"/>
              </w:rPr>
            </w:pPr>
            <w:r w:rsidRPr="00492B11">
              <w:rPr>
                <w:b/>
                <w:bCs/>
                <w:color w:val="000000"/>
                <w:sz w:val="16"/>
                <w:szCs w:val="16"/>
              </w:rPr>
              <w:t>f</w:t>
            </w:r>
          </w:p>
        </w:tc>
        <w:tc>
          <w:tcPr>
            <w:tcW w:w="228" w:type="pct"/>
            <w:tcBorders>
              <w:top w:val="nil"/>
              <w:left w:val="nil"/>
              <w:bottom w:val="single" w:sz="4" w:space="0" w:color="1F497D"/>
              <w:right w:val="single" w:sz="4" w:space="0" w:color="1F497D"/>
            </w:tcBorders>
            <w:shd w:val="clear" w:color="000000" w:fill="DCE6F1"/>
            <w:vAlign w:val="center"/>
            <w:hideMark/>
          </w:tcPr>
          <w:p w:rsidR="00492B11" w:rsidRPr="00492B11" w:rsidRDefault="00492B11" w:rsidP="00492B11">
            <w:pPr>
              <w:jc w:val="center"/>
              <w:rPr>
                <w:b/>
                <w:bCs/>
                <w:color w:val="000000"/>
                <w:sz w:val="16"/>
                <w:szCs w:val="16"/>
              </w:rPr>
            </w:pPr>
            <w:r w:rsidRPr="00492B11">
              <w:rPr>
                <w:b/>
                <w:bCs/>
                <w:color w:val="000000"/>
                <w:sz w:val="16"/>
                <w:szCs w:val="16"/>
              </w:rPr>
              <w:t xml:space="preserve">f/a </w:t>
            </w:r>
          </w:p>
        </w:tc>
        <w:tc>
          <w:tcPr>
            <w:tcW w:w="254" w:type="pct"/>
            <w:vMerge/>
            <w:tcBorders>
              <w:top w:val="nil"/>
              <w:left w:val="single" w:sz="4" w:space="0" w:color="1F497D"/>
              <w:bottom w:val="single" w:sz="4" w:space="0" w:color="1F497D"/>
              <w:right w:val="single" w:sz="4" w:space="0" w:color="1F497D"/>
            </w:tcBorders>
            <w:vAlign w:val="center"/>
            <w:hideMark/>
          </w:tcPr>
          <w:p w:rsidR="00492B11" w:rsidRPr="00492B11" w:rsidRDefault="00492B11" w:rsidP="00492B11">
            <w:pPr>
              <w:rPr>
                <w:b/>
                <w:bCs/>
                <w:color w:val="000000"/>
                <w:sz w:val="16"/>
                <w:szCs w:val="16"/>
              </w:rPr>
            </w:pPr>
          </w:p>
        </w:tc>
        <w:tc>
          <w:tcPr>
            <w:tcW w:w="288" w:type="pct"/>
            <w:tcBorders>
              <w:top w:val="nil"/>
              <w:left w:val="nil"/>
              <w:bottom w:val="single" w:sz="4" w:space="0" w:color="1F497D"/>
              <w:right w:val="single" w:sz="4" w:space="0" w:color="1F497D"/>
            </w:tcBorders>
            <w:shd w:val="clear" w:color="000000" w:fill="DCE6F1"/>
            <w:vAlign w:val="center"/>
            <w:hideMark/>
          </w:tcPr>
          <w:p w:rsidR="00492B11" w:rsidRPr="00492B11" w:rsidRDefault="00492B11" w:rsidP="00492B11">
            <w:pPr>
              <w:jc w:val="center"/>
              <w:rPr>
                <w:b/>
                <w:bCs/>
                <w:color w:val="000000"/>
                <w:sz w:val="16"/>
                <w:szCs w:val="16"/>
              </w:rPr>
            </w:pPr>
            <w:r w:rsidRPr="00492B11">
              <w:rPr>
                <w:b/>
                <w:bCs/>
                <w:color w:val="000000"/>
                <w:sz w:val="16"/>
                <w:szCs w:val="16"/>
              </w:rPr>
              <w:t>g</w:t>
            </w:r>
          </w:p>
        </w:tc>
        <w:tc>
          <w:tcPr>
            <w:tcW w:w="214" w:type="pct"/>
            <w:tcBorders>
              <w:top w:val="nil"/>
              <w:left w:val="nil"/>
              <w:bottom w:val="single" w:sz="4" w:space="0" w:color="1F497D"/>
              <w:right w:val="single" w:sz="4" w:space="0" w:color="1F497D"/>
            </w:tcBorders>
            <w:shd w:val="clear" w:color="000000" w:fill="DCE6F1"/>
            <w:vAlign w:val="center"/>
            <w:hideMark/>
          </w:tcPr>
          <w:p w:rsidR="00492B11" w:rsidRPr="00492B11" w:rsidRDefault="00492B11" w:rsidP="00492B11">
            <w:pPr>
              <w:jc w:val="center"/>
              <w:rPr>
                <w:b/>
                <w:bCs/>
                <w:color w:val="000000"/>
                <w:sz w:val="16"/>
                <w:szCs w:val="16"/>
              </w:rPr>
            </w:pPr>
            <w:r w:rsidRPr="00492B11">
              <w:rPr>
                <w:b/>
                <w:bCs/>
                <w:color w:val="000000"/>
                <w:sz w:val="16"/>
                <w:szCs w:val="16"/>
              </w:rPr>
              <w:t xml:space="preserve">g/a </w:t>
            </w:r>
          </w:p>
        </w:tc>
        <w:tc>
          <w:tcPr>
            <w:tcW w:w="254" w:type="pct"/>
            <w:vMerge/>
            <w:tcBorders>
              <w:top w:val="nil"/>
              <w:left w:val="single" w:sz="4" w:space="0" w:color="1F497D"/>
              <w:bottom w:val="single" w:sz="4" w:space="0" w:color="1F497D"/>
              <w:right w:val="single" w:sz="4" w:space="0" w:color="1F497D"/>
            </w:tcBorders>
            <w:vAlign w:val="center"/>
            <w:hideMark/>
          </w:tcPr>
          <w:p w:rsidR="00492B11" w:rsidRPr="00492B11" w:rsidRDefault="00492B11" w:rsidP="00492B11">
            <w:pPr>
              <w:rPr>
                <w:b/>
                <w:bCs/>
                <w:color w:val="000000"/>
                <w:sz w:val="16"/>
                <w:szCs w:val="16"/>
              </w:rPr>
            </w:pPr>
          </w:p>
        </w:tc>
        <w:tc>
          <w:tcPr>
            <w:tcW w:w="274" w:type="pct"/>
            <w:tcBorders>
              <w:top w:val="nil"/>
              <w:left w:val="nil"/>
              <w:bottom w:val="single" w:sz="4" w:space="0" w:color="1F497D"/>
              <w:right w:val="single" w:sz="4" w:space="0" w:color="1F497D"/>
            </w:tcBorders>
            <w:shd w:val="clear" w:color="000000" w:fill="DCE6F1"/>
            <w:vAlign w:val="center"/>
            <w:hideMark/>
          </w:tcPr>
          <w:p w:rsidR="00492B11" w:rsidRPr="00492B11" w:rsidRDefault="00492B11" w:rsidP="00492B11">
            <w:pPr>
              <w:jc w:val="center"/>
              <w:rPr>
                <w:b/>
                <w:bCs/>
                <w:color w:val="000000"/>
                <w:sz w:val="16"/>
                <w:szCs w:val="16"/>
              </w:rPr>
            </w:pPr>
            <w:r w:rsidRPr="00492B11">
              <w:rPr>
                <w:b/>
                <w:bCs/>
                <w:color w:val="000000"/>
                <w:sz w:val="16"/>
                <w:szCs w:val="16"/>
              </w:rPr>
              <w:t>h</w:t>
            </w:r>
          </w:p>
        </w:tc>
        <w:tc>
          <w:tcPr>
            <w:tcW w:w="207" w:type="pct"/>
            <w:tcBorders>
              <w:top w:val="nil"/>
              <w:left w:val="nil"/>
              <w:bottom w:val="single" w:sz="4" w:space="0" w:color="1F497D"/>
              <w:right w:val="single" w:sz="4" w:space="0" w:color="1F497D"/>
            </w:tcBorders>
            <w:shd w:val="clear" w:color="000000" w:fill="DCE6F1"/>
            <w:vAlign w:val="center"/>
            <w:hideMark/>
          </w:tcPr>
          <w:p w:rsidR="00492B11" w:rsidRPr="00492B11" w:rsidRDefault="00492B11" w:rsidP="00492B11">
            <w:pPr>
              <w:jc w:val="center"/>
              <w:rPr>
                <w:b/>
                <w:bCs/>
                <w:color w:val="000000"/>
                <w:sz w:val="16"/>
                <w:szCs w:val="16"/>
              </w:rPr>
            </w:pPr>
            <w:r w:rsidRPr="00492B11">
              <w:rPr>
                <w:b/>
                <w:bCs/>
                <w:color w:val="000000"/>
                <w:sz w:val="16"/>
                <w:szCs w:val="16"/>
              </w:rPr>
              <w:t xml:space="preserve">h/a </w:t>
            </w:r>
          </w:p>
        </w:tc>
        <w:tc>
          <w:tcPr>
            <w:tcW w:w="207" w:type="pct"/>
            <w:vMerge/>
            <w:tcBorders>
              <w:top w:val="nil"/>
              <w:left w:val="single" w:sz="4" w:space="0" w:color="1F497D"/>
              <w:bottom w:val="single" w:sz="4" w:space="0" w:color="1F497D"/>
              <w:right w:val="single" w:sz="4" w:space="0" w:color="1F497D"/>
            </w:tcBorders>
            <w:vAlign w:val="center"/>
            <w:hideMark/>
          </w:tcPr>
          <w:p w:rsidR="00492B11" w:rsidRPr="00492B11" w:rsidRDefault="00492B11" w:rsidP="00492B11">
            <w:pPr>
              <w:rPr>
                <w:b/>
                <w:bCs/>
                <w:color w:val="000000"/>
                <w:sz w:val="16"/>
                <w:szCs w:val="16"/>
              </w:rPr>
            </w:pPr>
          </w:p>
        </w:tc>
      </w:tr>
      <w:tr w:rsidR="00492B11" w:rsidRPr="00492B11" w:rsidTr="00492B11">
        <w:trPr>
          <w:trHeight w:val="225"/>
        </w:trPr>
        <w:tc>
          <w:tcPr>
            <w:tcW w:w="241" w:type="pct"/>
            <w:vMerge w:val="restart"/>
            <w:tcBorders>
              <w:top w:val="nil"/>
              <w:left w:val="single" w:sz="4" w:space="0" w:color="1F497D"/>
              <w:bottom w:val="single" w:sz="4" w:space="0" w:color="1F497D"/>
              <w:right w:val="single" w:sz="4" w:space="0" w:color="1F497D"/>
            </w:tcBorders>
            <w:shd w:val="clear" w:color="000000" w:fill="FFFFFF"/>
            <w:vAlign w:val="center"/>
            <w:hideMark/>
          </w:tcPr>
          <w:p w:rsidR="00492B11" w:rsidRPr="00492B11" w:rsidRDefault="00492B11" w:rsidP="00492B11">
            <w:pPr>
              <w:jc w:val="center"/>
              <w:rPr>
                <w:color w:val="000000"/>
                <w:sz w:val="16"/>
                <w:szCs w:val="16"/>
              </w:rPr>
            </w:pPr>
            <w:r w:rsidRPr="00492B11">
              <w:rPr>
                <w:color w:val="000000"/>
                <w:sz w:val="16"/>
                <w:szCs w:val="16"/>
              </w:rPr>
              <w:t>2.1</w:t>
            </w:r>
          </w:p>
        </w:tc>
        <w:tc>
          <w:tcPr>
            <w:tcW w:w="335" w:type="pct"/>
            <w:tcBorders>
              <w:top w:val="nil"/>
              <w:left w:val="nil"/>
              <w:bottom w:val="single" w:sz="4" w:space="0" w:color="1F497D"/>
              <w:right w:val="single" w:sz="4" w:space="0" w:color="1F497D"/>
            </w:tcBorders>
            <w:shd w:val="clear" w:color="000000" w:fill="FFFFFF"/>
            <w:vAlign w:val="center"/>
            <w:hideMark/>
          </w:tcPr>
          <w:p w:rsidR="00492B11" w:rsidRPr="00492B11" w:rsidRDefault="00492B11" w:rsidP="00492B11">
            <w:pPr>
              <w:jc w:val="center"/>
              <w:rPr>
                <w:color w:val="000000"/>
                <w:sz w:val="16"/>
                <w:szCs w:val="16"/>
              </w:rPr>
            </w:pPr>
            <w:r w:rsidRPr="00492B11">
              <w:rPr>
                <w:color w:val="000000"/>
                <w:sz w:val="16"/>
                <w:szCs w:val="16"/>
              </w:rPr>
              <w:t>2015/04/17</w:t>
            </w:r>
          </w:p>
        </w:tc>
        <w:tc>
          <w:tcPr>
            <w:tcW w:w="241" w:type="pct"/>
            <w:tcBorders>
              <w:top w:val="nil"/>
              <w:left w:val="nil"/>
              <w:bottom w:val="single" w:sz="4" w:space="0" w:color="1F497D"/>
              <w:right w:val="single" w:sz="4" w:space="0" w:color="1F497D"/>
            </w:tcBorders>
            <w:shd w:val="clear" w:color="000000" w:fill="FFFFFF"/>
            <w:noWrap/>
            <w:vAlign w:val="center"/>
            <w:hideMark/>
          </w:tcPr>
          <w:p w:rsidR="00492B11" w:rsidRPr="00492B11" w:rsidRDefault="00492B11" w:rsidP="00492B11">
            <w:pPr>
              <w:jc w:val="center"/>
              <w:rPr>
                <w:color w:val="000000"/>
                <w:sz w:val="16"/>
                <w:szCs w:val="16"/>
              </w:rPr>
            </w:pPr>
            <w:r w:rsidRPr="00492B11">
              <w:rPr>
                <w:color w:val="000000"/>
                <w:sz w:val="16"/>
                <w:szCs w:val="16"/>
              </w:rPr>
              <w:t>3 926,72</w:t>
            </w:r>
          </w:p>
        </w:tc>
        <w:tc>
          <w:tcPr>
            <w:tcW w:w="241" w:type="pct"/>
            <w:tcBorders>
              <w:top w:val="nil"/>
              <w:left w:val="nil"/>
              <w:bottom w:val="single" w:sz="4" w:space="0" w:color="1F497D"/>
              <w:right w:val="single" w:sz="4" w:space="0" w:color="1F497D"/>
            </w:tcBorders>
            <w:shd w:val="clear" w:color="000000" w:fill="FFFFFF"/>
            <w:noWrap/>
            <w:vAlign w:val="center"/>
            <w:hideMark/>
          </w:tcPr>
          <w:p w:rsidR="00492B11" w:rsidRPr="00492B11" w:rsidRDefault="00492B11" w:rsidP="00492B11">
            <w:pPr>
              <w:jc w:val="center"/>
              <w:rPr>
                <w:color w:val="000000"/>
                <w:sz w:val="16"/>
                <w:szCs w:val="16"/>
              </w:rPr>
            </w:pPr>
            <w:r w:rsidRPr="00492B11">
              <w:rPr>
                <w:color w:val="000000"/>
                <w:sz w:val="16"/>
                <w:szCs w:val="16"/>
              </w:rPr>
              <w:t>148,51</w:t>
            </w:r>
          </w:p>
        </w:tc>
        <w:tc>
          <w:tcPr>
            <w:tcW w:w="181" w:type="pct"/>
            <w:tcBorders>
              <w:top w:val="nil"/>
              <w:left w:val="nil"/>
              <w:bottom w:val="single" w:sz="4" w:space="0" w:color="1F497D"/>
              <w:right w:val="single" w:sz="4" w:space="0" w:color="1F497D"/>
            </w:tcBorders>
            <w:shd w:val="clear" w:color="000000" w:fill="FFFFFF"/>
            <w:vAlign w:val="center"/>
            <w:hideMark/>
          </w:tcPr>
          <w:p w:rsidR="00492B11" w:rsidRPr="00492B11" w:rsidRDefault="00492B11" w:rsidP="00492B11">
            <w:pPr>
              <w:jc w:val="center"/>
              <w:rPr>
                <w:color w:val="000000"/>
                <w:sz w:val="16"/>
                <w:szCs w:val="16"/>
              </w:rPr>
            </w:pPr>
            <w:r w:rsidRPr="00492B11">
              <w:rPr>
                <w:color w:val="000000"/>
                <w:sz w:val="16"/>
                <w:szCs w:val="16"/>
              </w:rPr>
              <w:t>6 069</w:t>
            </w:r>
          </w:p>
        </w:tc>
        <w:tc>
          <w:tcPr>
            <w:tcW w:w="268" w:type="pct"/>
            <w:tcBorders>
              <w:top w:val="nil"/>
              <w:left w:val="nil"/>
              <w:bottom w:val="single" w:sz="4" w:space="0" w:color="1F497D"/>
              <w:right w:val="single" w:sz="4" w:space="0" w:color="1F497D"/>
            </w:tcBorders>
            <w:shd w:val="clear" w:color="000000" w:fill="FFFFFF"/>
            <w:noWrap/>
            <w:vAlign w:val="center"/>
            <w:hideMark/>
          </w:tcPr>
          <w:p w:rsidR="00492B11" w:rsidRPr="00492B11" w:rsidRDefault="00492B11" w:rsidP="00492B11">
            <w:pPr>
              <w:jc w:val="center"/>
              <w:rPr>
                <w:color w:val="000000"/>
                <w:sz w:val="16"/>
                <w:szCs w:val="16"/>
              </w:rPr>
            </w:pPr>
            <w:r w:rsidRPr="00492B11">
              <w:rPr>
                <w:color w:val="000000"/>
                <w:sz w:val="16"/>
                <w:szCs w:val="16"/>
              </w:rPr>
              <w:t>5 618,21</w:t>
            </w:r>
          </w:p>
        </w:tc>
        <w:tc>
          <w:tcPr>
            <w:tcW w:w="207" w:type="pct"/>
            <w:tcBorders>
              <w:top w:val="nil"/>
              <w:left w:val="nil"/>
              <w:bottom w:val="single" w:sz="4" w:space="0" w:color="1F497D"/>
              <w:right w:val="single" w:sz="4" w:space="0" w:color="1F497D"/>
            </w:tcBorders>
            <w:shd w:val="clear" w:color="000000" w:fill="FFFFFF"/>
            <w:noWrap/>
            <w:vAlign w:val="center"/>
            <w:hideMark/>
          </w:tcPr>
          <w:p w:rsidR="00492B11" w:rsidRPr="00492B11" w:rsidRDefault="00492B11" w:rsidP="00492B11">
            <w:pPr>
              <w:jc w:val="center"/>
              <w:rPr>
                <w:color w:val="000000"/>
                <w:sz w:val="16"/>
                <w:szCs w:val="16"/>
              </w:rPr>
            </w:pPr>
            <w:r w:rsidRPr="00492B11">
              <w:rPr>
                <w:color w:val="000000"/>
                <w:sz w:val="16"/>
                <w:szCs w:val="16"/>
              </w:rPr>
              <w:t>143,08</w:t>
            </w:r>
          </w:p>
        </w:tc>
        <w:tc>
          <w:tcPr>
            <w:tcW w:w="234" w:type="pct"/>
            <w:tcBorders>
              <w:top w:val="nil"/>
              <w:left w:val="nil"/>
              <w:bottom w:val="single" w:sz="4" w:space="0" w:color="1F497D"/>
              <w:right w:val="single" w:sz="4" w:space="0" w:color="1F497D"/>
            </w:tcBorders>
            <w:shd w:val="clear" w:color="000000" w:fill="FFFFFF"/>
            <w:noWrap/>
            <w:vAlign w:val="center"/>
            <w:hideMark/>
          </w:tcPr>
          <w:p w:rsidR="00492B11" w:rsidRPr="00492B11" w:rsidRDefault="00492B11" w:rsidP="00492B11">
            <w:pPr>
              <w:jc w:val="center"/>
              <w:rPr>
                <w:color w:val="000000"/>
                <w:sz w:val="16"/>
                <w:szCs w:val="16"/>
              </w:rPr>
            </w:pPr>
            <w:r w:rsidRPr="00492B11">
              <w:rPr>
                <w:color w:val="000000"/>
                <w:sz w:val="16"/>
                <w:szCs w:val="16"/>
              </w:rPr>
              <w:t>210,08</w:t>
            </w:r>
          </w:p>
        </w:tc>
        <w:tc>
          <w:tcPr>
            <w:tcW w:w="174" w:type="pct"/>
            <w:tcBorders>
              <w:top w:val="nil"/>
              <w:left w:val="nil"/>
              <w:bottom w:val="single" w:sz="4" w:space="0" w:color="1F497D"/>
              <w:right w:val="single" w:sz="4" w:space="0" w:color="1F497D"/>
            </w:tcBorders>
            <w:shd w:val="clear" w:color="000000" w:fill="FFFFFF"/>
            <w:noWrap/>
            <w:vAlign w:val="center"/>
            <w:hideMark/>
          </w:tcPr>
          <w:p w:rsidR="00492B11" w:rsidRPr="00492B11" w:rsidRDefault="00492B11" w:rsidP="00492B11">
            <w:pPr>
              <w:jc w:val="center"/>
              <w:rPr>
                <w:color w:val="000000"/>
                <w:sz w:val="16"/>
                <w:szCs w:val="16"/>
              </w:rPr>
            </w:pPr>
            <w:r w:rsidRPr="00492B11">
              <w:rPr>
                <w:color w:val="000000"/>
                <w:sz w:val="16"/>
                <w:szCs w:val="16"/>
              </w:rPr>
              <w:t>5 669</w:t>
            </w:r>
          </w:p>
        </w:tc>
        <w:tc>
          <w:tcPr>
            <w:tcW w:w="261" w:type="pct"/>
            <w:tcBorders>
              <w:top w:val="nil"/>
              <w:left w:val="nil"/>
              <w:bottom w:val="single" w:sz="4" w:space="0" w:color="1F497D"/>
              <w:right w:val="single" w:sz="4" w:space="0" w:color="1F497D"/>
            </w:tcBorders>
            <w:shd w:val="clear" w:color="000000" w:fill="FFFFFF"/>
            <w:noWrap/>
            <w:vAlign w:val="center"/>
            <w:hideMark/>
          </w:tcPr>
          <w:p w:rsidR="00492B11" w:rsidRPr="00492B11" w:rsidRDefault="00492B11" w:rsidP="00492B11">
            <w:pPr>
              <w:jc w:val="center"/>
              <w:rPr>
                <w:color w:val="000000"/>
                <w:sz w:val="16"/>
                <w:szCs w:val="16"/>
              </w:rPr>
            </w:pPr>
            <w:r w:rsidRPr="00492B11">
              <w:rPr>
                <w:color w:val="000000"/>
                <w:sz w:val="16"/>
                <w:szCs w:val="16"/>
              </w:rPr>
              <w:t>4 342,98</w:t>
            </w:r>
          </w:p>
        </w:tc>
        <w:tc>
          <w:tcPr>
            <w:tcW w:w="214" w:type="pct"/>
            <w:tcBorders>
              <w:top w:val="nil"/>
              <w:left w:val="nil"/>
              <w:bottom w:val="single" w:sz="4" w:space="0" w:color="1F497D"/>
              <w:right w:val="single" w:sz="4" w:space="0" w:color="1F497D"/>
            </w:tcBorders>
            <w:shd w:val="clear" w:color="000000" w:fill="FFFFFF"/>
            <w:noWrap/>
            <w:vAlign w:val="center"/>
            <w:hideMark/>
          </w:tcPr>
          <w:p w:rsidR="00492B11" w:rsidRPr="00492B11" w:rsidRDefault="00492B11" w:rsidP="00492B11">
            <w:pPr>
              <w:jc w:val="center"/>
              <w:rPr>
                <w:color w:val="000000"/>
                <w:sz w:val="16"/>
                <w:szCs w:val="16"/>
              </w:rPr>
            </w:pPr>
            <w:r w:rsidRPr="00492B11">
              <w:rPr>
                <w:color w:val="000000"/>
                <w:sz w:val="16"/>
                <w:szCs w:val="16"/>
              </w:rPr>
              <w:t>110,60</w:t>
            </w:r>
          </w:p>
        </w:tc>
        <w:tc>
          <w:tcPr>
            <w:tcW w:w="214" w:type="pct"/>
            <w:tcBorders>
              <w:top w:val="nil"/>
              <w:left w:val="nil"/>
              <w:bottom w:val="single" w:sz="4" w:space="0" w:color="1F497D"/>
              <w:right w:val="single" w:sz="4" w:space="0" w:color="1F497D"/>
            </w:tcBorders>
            <w:shd w:val="clear" w:color="000000" w:fill="FFFFFF"/>
            <w:noWrap/>
            <w:vAlign w:val="center"/>
            <w:hideMark/>
          </w:tcPr>
          <w:p w:rsidR="00492B11" w:rsidRPr="00492B11" w:rsidRDefault="00492B11" w:rsidP="00492B11">
            <w:pPr>
              <w:jc w:val="center"/>
              <w:rPr>
                <w:color w:val="000000"/>
                <w:sz w:val="16"/>
                <w:szCs w:val="16"/>
              </w:rPr>
            </w:pPr>
            <w:r w:rsidRPr="00492B11">
              <w:rPr>
                <w:color w:val="000000"/>
                <w:sz w:val="16"/>
                <w:szCs w:val="16"/>
              </w:rPr>
              <w:t>163,66</w:t>
            </w:r>
          </w:p>
        </w:tc>
        <w:tc>
          <w:tcPr>
            <w:tcW w:w="261" w:type="pct"/>
            <w:tcBorders>
              <w:top w:val="nil"/>
              <w:left w:val="nil"/>
              <w:bottom w:val="single" w:sz="4" w:space="0" w:color="1F497D"/>
              <w:right w:val="single" w:sz="4" w:space="0" w:color="1F497D"/>
            </w:tcBorders>
            <w:shd w:val="clear" w:color="000000" w:fill="FFFFFF"/>
            <w:noWrap/>
            <w:vAlign w:val="center"/>
            <w:hideMark/>
          </w:tcPr>
          <w:p w:rsidR="00492B11" w:rsidRPr="00492B11" w:rsidRDefault="00492B11" w:rsidP="00492B11">
            <w:pPr>
              <w:jc w:val="center"/>
              <w:rPr>
                <w:color w:val="000000"/>
                <w:sz w:val="16"/>
                <w:szCs w:val="16"/>
              </w:rPr>
            </w:pPr>
            <w:r w:rsidRPr="00492B11">
              <w:rPr>
                <w:color w:val="000000"/>
                <w:sz w:val="16"/>
                <w:szCs w:val="16"/>
              </w:rPr>
              <w:t>2 502,30</w:t>
            </w:r>
          </w:p>
        </w:tc>
        <w:tc>
          <w:tcPr>
            <w:tcW w:w="228" w:type="pct"/>
            <w:tcBorders>
              <w:top w:val="nil"/>
              <w:left w:val="nil"/>
              <w:bottom w:val="single" w:sz="4" w:space="0" w:color="1F497D"/>
              <w:right w:val="single" w:sz="4" w:space="0" w:color="1F497D"/>
            </w:tcBorders>
            <w:shd w:val="clear" w:color="000000" w:fill="FFFFFF"/>
            <w:noWrap/>
            <w:vAlign w:val="center"/>
            <w:hideMark/>
          </w:tcPr>
          <w:p w:rsidR="00492B11" w:rsidRPr="00492B11" w:rsidRDefault="00492B11" w:rsidP="00492B11">
            <w:pPr>
              <w:jc w:val="center"/>
              <w:rPr>
                <w:color w:val="000000"/>
                <w:sz w:val="16"/>
                <w:szCs w:val="16"/>
              </w:rPr>
            </w:pPr>
            <w:r w:rsidRPr="00492B11">
              <w:rPr>
                <w:color w:val="000000"/>
                <w:sz w:val="16"/>
                <w:szCs w:val="16"/>
              </w:rPr>
              <w:t>63,72</w:t>
            </w:r>
          </w:p>
        </w:tc>
        <w:tc>
          <w:tcPr>
            <w:tcW w:w="254" w:type="pct"/>
            <w:tcBorders>
              <w:top w:val="nil"/>
              <w:left w:val="nil"/>
              <w:bottom w:val="single" w:sz="4" w:space="0" w:color="1F497D"/>
              <w:right w:val="single" w:sz="4" w:space="0" w:color="1F497D"/>
            </w:tcBorders>
            <w:shd w:val="clear" w:color="000000" w:fill="FFFFFF"/>
            <w:noWrap/>
            <w:vAlign w:val="center"/>
            <w:hideMark/>
          </w:tcPr>
          <w:p w:rsidR="00492B11" w:rsidRPr="00492B11" w:rsidRDefault="00492B11" w:rsidP="00492B11">
            <w:pPr>
              <w:jc w:val="center"/>
              <w:rPr>
                <w:color w:val="000000"/>
                <w:sz w:val="16"/>
                <w:szCs w:val="16"/>
              </w:rPr>
            </w:pPr>
            <w:r w:rsidRPr="00492B11">
              <w:rPr>
                <w:color w:val="000000"/>
                <w:sz w:val="16"/>
                <w:szCs w:val="16"/>
              </w:rPr>
              <w:t>96,66</w:t>
            </w:r>
          </w:p>
        </w:tc>
        <w:tc>
          <w:tcPr>
            <w:tcW w:w="288" w:type="pct"/>
            <w:tcBorders>
              <w:top w:val="nil"/>
              <w:left w:val="nil"/>
              <w:bottom w:val="single" w:sz="4" w:space="0" w:color="1F497D"/>
              <w:right w:val="single" w:sz="4" w:space="0" w:color="1F497D"/>
            </w:tcBorders>
            <w:shd w:val="clear" w:color="000000" w:fill="FFFFFF"/>
            <w:noWrap/>
            <w:vAlign w:val="center"/>
            <w:hideMark/>
          </w:tcPr>
          <w:p w:rsidR="00492B11" w:rsidRPr="00492B11" w:rsidRDefault="00492B11" w:rsidP="00492B11">
            <w:pPr>
              <w:jc w:val="center"/>
              <w:rPr>
                <w:color w:val="000000"/>
                <w:sz w:val="16"/>
                <w:szCs w:val="16"/>
              </w:rPr>
            </w:pPr>
            <w:r w:rsidRPr="00492B11">
              <w:rPr>
                <w:color w:val="000000"/>
                <w:sz w:val="16"/>
                <w:szCs w:val="16"/>
              </w:rPr>
              <w:t>2 436,76</w:t>
            </w:r>
          </w:p>
        </w:tc>
        <w:tc>
          <w:tcPr>
            <w:tcW w:w="214" w:type="pct"/>
            <w:tcBorders>
              <w:top w:val="nil"/>
              <w:left w:val="nil"/>
              <w:bottom w:val="single" w:sz="4" w:space="0" w:color="1F497D"/>
              <w:right w:val="single" w:sz="4" w:space="0" w:color="1F497D"/>
            </w:tcBorders>
            <w:shd w:val="clear" w:color="000000" w:fill="FFFFFF"/>
            <w:noWrap/>
            <w:vAlign w:val="center"/>
            <w:hideMark/>
          </w:tcPr>
          <w:p w:rsidR="00492B11" w:rsidRPr="00492B11" w:rsidRDefault="00492B11" w:rsidP="00492B11">
            <w:pPr>
              <w:jc w:val="center"/>
              <w:rPr>
                <w:color w:val="000000"/>
                <w:sz w:val="16"/>
                <w:szCs w:val="16"/>
              </w:rPr>
            </w:pPr>
            <w:r w:rsidRPr="00492B11">
              <w:rPr>
                <w:color w:val="000000"/>
                <w:sz w:val="16"/>
                <w:szCs w:val="16"/>
              </w:rPr>
              <w:t>62,06</w:t>
            </w:r>
          </w:p>
        </w:tc>
        <w:tc>
          <w:tcPr>
            <w:tcW w:w="254" w:type="pct"/>
            <w:tcBorders>
              <w:top w:val="nil"/>
              <w:left w:val="nil"/>
              <w:bottom w:val="single" w:sz="4" w:space="0" w:color="1F497D"/>
              <w:right w:val="single" w:sz="4" w:space="0" w:color="1F497D"/>
            </w:tcBorders>
            <w:shd w:val="clear" w:color="000000" w:fill="FFFFFF"/>
            <w:noWrap/>
            <w:vAlign w:val="center"/>
            <w:hideMark/>
          </w:tcPr>
          <w:p w:rsidR="00492B11" w:rsidRPr="00492B11" w:rsidRDefault="00492B11" w:rsidP="00492B11">
            <w:pPr>
              <w:jc w:val="center"/>
              <w:rPr>
                <w:color w:val="000000"/>
                <w:sz w:val="16"/>
                <w:szCs w:val="16"/>
              </w:rPr>
            </w:pPr>
            <w:r w:rsidRPr="00492B11">
              <w:rPr>
                <w:color w:val="000000"/>
                <w:sz w:val="16"/>
                <w:szCs w:val="16"/>
              </w:rPr>
              <w:t>94,28</w:t>
            </w:r>
          </w:p>
        </w:tc>
        <w:tc>
          <w:tcPr>
            <w:tcW w:w="274" w:type="pct"/>
            <w:tcBorders>
              <w:top w:val="nil"/>
              <w:left w:val="nil"/>
              <w:bottom w:val="single" w:sz="4" w:space="0" w:color="1F497D"/>
              <w:right w:val="single" w:sz="4" w:space="0" w:color="1F497D"/>
            </w:tcBorders>
            <w:shd w:val="clear" w:color="000000" w:fill="FFFFFF"/>
            <w:noWrap/>
            <w:vAlign w:val="center"/>
            <w:hideMark/>
          </w:tcPr>
          <w:p w:rsidR="00492B11" w:rsidRPr="00492B11" w:rsidRDefault="00492B11" w:rsidP="00492B11">
            <w:pPr>
              <w:jc w:val="center"/>
              <w:rPr>
                <w:color w:val="000000"/>
                <w:sz w:val="16"/>
                <w:szCs w:val="16"/>
              </w:rPr>
            </w:pPr>
            <w:r w:rsidRPr="00492B11">
              <w:rPr>
                <w:color w:val="000000"/>
                <w:sz w:val="16"/>
                <w:szCs w:val="16"/>
              </w:rPr>
              <w:t>2 418,34</w:t>
            </w:r>
          </w:p>
        </w:tc>
        <w:tc>
          <w:tcPr>
            <w:tcW w:w="207" w:type="pct"/>
            <w:tcBorders>
              <w:top w:val="nil"/>
              <w:left w:val="nil"/>
              <w:bottom w:val="single" w:sz="4" w:space="0" w:color="1F497D"/>
              <w:right w:val="single" w:sz="4" w:space="0" w:color="1F497D"/>
            </w:tcBorders>
            <w:shd w:val="clear" w:color="000000" w:fill="FFFFFF"/>
            <w:noWrap/>
            <w:vAlign w:val="center"/>
            <w:hideMark/>
          </w:tcPr>
          <w:p w:rsidR="00492B11" w:rsidRPr="00492B11" w:rsidRDefault="00492B11" w:rsidP="00492B11">
            <w:pPr>
              <w:jc w:val="center"/>
              <w:rPr>
                <w:color w:val="000000"/>
                <w:sz w:val="16"/>
                <w:szCs w:val="16"/>
              </w:rPr>
            </w:pPr>
            <w:r w:rsidRPr="00492B11">
              <w:rPr>
                <w:color w:val="000000"/>
                <w:sz w:val="16"/>
                <w:szCs w:val="16"/>
              </w:rPr>
              <w:t>61,59</w:t>
            </w:r>
          </w:p>
        </w:tc>
        <w:tc>
          <w:tcPr>
            <w:tcW w:w="207" w:type="pct"/>
            <w:tcBorders>
              <w:top w:val="nil"/>
              <w:left w:val="nil"/>
              <w:bottom w:val="single" w:sz="4" w:space="0" w:color="1F497D"/>
              <w:right w:val="single" w:sz="4" w:space="0" w:color="1F497D"/>
            </w:tcBorders>
            <w:shd w:val="clear" w:color="000000" w:fill="FFFFFF"/>
            <w:noWrap/>
            <w:vAlign w:val="center"/>
            <w:hideMark/>
          </w:tcPr>
          <w:p w:rsidR="00492B11" w:rsidRPr="00492B11" w:rsidRDefault="00492B11" w:rsidP="00492B11">
            <w:pPr>
              <w:jc w:val="center"/>
              <w:rPr>
                <w:color w:val="000000"/>
                <w:sz w:val="16"/>
                <w:szCs w:val="16"/>
              </w:rPr>
            </w:pPr>
            <w:r w:rsidRPr="00492B11">
              <w:rPr>
                <w:color w:val="000000"/>
                <w:sz w:val="16"/>
                <w:szCs w:val="16"/>
              </w:rPr>
              <w:t>93,60</w:t>
            </w:r>
          </w:p>
        </w:tc>
      </w:tr>
      <w:tr w:rsidR="00492B11" w:rsidRPr="00492B11" w:rsidTr="00492B11">
        <w:trPr>
          <w:trHeight w:val="225"/>
        </w:trPr>
        <w:tc>
          <w:tcPr>
            <w:tcW w:w="241" w:type="pct"/>
            <w:vMerge/>
            <w:tcBorders>
              <w:top w:val="nil"/>
              <w:left w:val="single" w:sz="4" w:space="0" w:color="1F497D"/>
              <w:bottom w:val="single" w:sz="4" w:space="0" w:color="1F497D"/>
              <w:right w:val="single" w:sz="4" w:space="0" w:color="1F497D"/>
            </w:tcBorders>
            <w:vAlign w:val="center"/>
            <w:hideMark/>
          </w:tcPr>
          <w:p w:rsidR="00492B11" w:rsidRPr="00492B11" w:rsidRDefault="00492B11" w:rsidP="00492B11">
            <w:pPr>
              <w:rPr>
                <w:color w:val="000000"/>
                <w:sz w:val="16"/>
                <w:szCs w:val="16"/>
              </w:rPr>
            </w:pPr>
          </w:p>
        </w:tc>
        <w:tc>
          <w:tcPr>
            <w:tcW w:w="335" w:type="pct"/>
            <w:tcBorders>
              <w:top w:val="nil"/>
              <w:left w:val="nil"/>
              <w:bottom w:val="single" w:sz="4" w:space="0" w:color="1F497D"/>
              <w:right w:val="single" w:sz="4" w:space="0" w:color="1F497D"/>
            </w:tcBorders>
            <w:shd w:val="clear" w:color="000000" w:fill="FFFFFF"/>
            <w:vAlign w:val="center"/>
            <w:hideMark/>
          </w:tcPr>
          <w:p w:rsidR="00492B11" w:rsidRPr="00492B11" w:rsidRDefault="00492B11" w:rsidP="00492B11">
            <w:pPr>
              <w:jc w:val="center"/>
              <w:rPr>
                <w:color w:val="000000"/>
                <w:sz w:val="16"/>
                <w:szCs w:val="16"/>
              </w:rPr>
            </w:pPr>
            <w:r w:rsidRPr="00492B11">
              <w:rPr>
                <w:color w:val="000000"/>
                <w:sz w:val="16"/>
                <w:szCs w:val="16"/>
              </w:rPr>
              <w:t>2015/10/02</w:t>
            </w:r>
          </w:p>
        </w:tc>
        <w:tc>
          <w:tcPr>
            <w:tcW w:w="241" w:type="pct"/>
            <w:tcBorders>
              <w:top w:val="nil"/>
              <w:left w:val="nil"/>
              <w:bottom w:val="single" w:sz="4" w:space="0" w:color="1F497D"/>
              <w:right w:val="single" w:sz="4" w:space="0" w:color="1F497D"/>
            </w:tcBorders>
            <w:shd w:val="clear" w:color="000000" w:fill="FFFFFF"/>
            <w:noWrap/>
            <w:vAlign w:val="center"/>
            <w:hideMark/>
          </w:tcPr>
          <w:p w:rsidR="00492B11" w:rsidRPr="00492B11" w:rsidRDefault="00492B11" w:rsidP="00492B11">
            <w:pPr>
              <w:jc w:val="center"/>
              <w:rPr>
                <w:color w:val="000000"/>
                <w:sz w:val="16"/>
                <w:szCs w:val="16"/>
              </w:rPr>
            </w:pPr>
            <w:r w:rsidRPr="00492B11">
              <w:rPr>
                <w:color w:val="000000"/>
                <w:sz w:val="16"/>
                <w:szCs w:val="16"/>
              </w:rPr>
              <w:t>3 912,66</w:t>
            </w:r>
          </w:p>
        </w:tc>
        <w:tc>
          <w:tcPr>
            <w:tcW w:w="241" w:type="pct"/>
            <w:tcBorders>
              <w:top w:val="nil"/>
              <w:left w:val="nil"/>
              <w:bottom w:val="single" w:sz="4" w:space="0" w:color="1F497D"/>
              <w:right w:val="single" w:sz="4" w:space="0" w:color="1F497D"/>
            </w:tcBorders>
            <w:shd w:val="clear" w:color="000000" w:fill="FFFFFF"/>
            <w:noWrap/>
            <w:vAlign w:val="center"/>
            <w:hideMark/>
          </w:tcPr>
          <w:p w:rsidR="00492B11" w:rsidRPr="00492B11" w:rsidRDefault="00492B11" w:rsidP="00492B11">
            <w:pPr>
              <w:jc w:val="center"/>
              <w:rPr>
                <w:color w:val="000000"/>
                <w:sz w:val="16"/>
                <w:szCs w:val="16"/>
              </w:rPr>
            </w:pPr>
            <w:r w:rsidRPr="00492B11">
              <w:rPr>
                <w:color w:val="000000"/>
                <w:sz w:val="16"/>
                <w:szCs w:val="16"/>
              </w:rPr>
              <w:t>148,51</w:t>
            </w:r>
          </w:p>
        </w:tc>
        <w:tc>
          <w:tcPr>
            <w:tcW w:w="181" w:type="pct"/>
            <w:tcBorders>
              <w:top w:val="nil"/>
              <w:left w:val="nil"/>
              <w:bottom w:val="single" w:sz="4" w:space="0" w:color="1F497D"/>
              <w:right w:val="single" w:sz="4" w:space="0" w:color="1F497D"/>
            </w:tcBorders>
            <w:shd w:val="clear" w:color="000000" w:fill="FFFFFF"/>
            <w:vAlign w:val="center"/>
            <w:hideMark/>
          </w:tcPr>
          <w:p w:rsidR="00492B11" w:rsidRPr="00492B11" w:rsidRDefault="00492B11" w:rsidP="00492B11">
            <w:pPr>
              <w:jc w:val="center"/>
              <w:rPr>
                <w:color w:val="000000"/>
                <w:sz w:val="16"/>
                <w:szCs w:val="16"/>
              </w:rPr>
            </w:pPr>
            <w:r w:rsidRPr="00492B11">
              <w:rPr>
                <w:color w:val="000000"/>
                <w:sz w:val="16"/>
                <w:szCs w:val="16"/>
              </w:rPr>
              <w:t>6 069</w:t>
            </w:r>
          </w:p>
        </w:tc>
        <w:tc>
          <w:tcPr>
            <w:tcW w:w="268" w:type="pct"/>
            <w:tcBorders>
              <w:top w:val="nil"/>
              <w:left w:val="nil"/>
              <w:bottom w:val="single" w:sz="4" w:space="0" w:color="1F497D"/>
              <w:right w:val="single" w:sz="4" w:space="0" w:color="1F497D"/>
            </w:tcBorders>
            <w:shd w:val="clear" w:color="000000" w:fill="FFFFFF"/>
            <w:noWrap/>
            <w:vAlign w:val="center"/>
            <w:hideMark/>
          </w:tcPr>
          <w:p w:rsidR="00492B11" w:rsidRPr="00492B11" w:rsidRDefault="00492B11" w:rsidP="00492B11">
            <w:pPr>
              <w:jc w:val="center"/>
              <w:rPr>
                <w:color w:val="000000"/>
                <w:sz w:val="16"/>
                <w:szCs w:val="16"/>
              </w:rPr>
            </w:pPr>
            <w:r w:rsidRPr="00492B11">
              <w:rPr>
                <w:color w:val="000000"/>
                <w:sz w:val="16"/>
                <w:szCs w:val="16"/>
              </w:rPr>
              <w:t>5 618,21</w:t>
            </w:r>
          </w:p>
        </w:tc>
        <w:tc>
          <w:tcPr>
            <w:tcW w:w="207" w:type="pct"/>
            <w:tcBorders>
              <w:top w:val="nil"/>
              <w:left w:val="nil"/>
              <w:bottom w:val="single" w:sz="4" w:space="0" w:color="1F497D"/>
              <w:right w:val="single" w:sz="4" w:space="0" w:color="1F497D"/>
            </w:tcBorders>
            <w:shd w:val="clear" w:color="000000" w:fill="FFFFFF"/>
            <w:noWrap/>
            <w:vAlign w:val="center"/>
            <w:hideMark/>
          </w:tcPr>
          <w:p w:rsidR="00492B11" w:rsidRPr="00492B11" w:rsidRDefault="00492B11" w:rsidP="00492B11">
            <w:pPr>
              <w:jc w:val="center"/>
              <w:rPr>
                <w:color w:val="000000"/>
                <w:sz w:val="16"/>
                <w:szCs w:val="16"/>
              </w:rPr>
            </w:pPr>
            <w:r w:rsidRPr="00492B11">
              <w:rPr>
                <w:color w:val="000000"/>
                <w:sz w:val="16"/>
                <w:szCs w:val="16"/>
              </w:rPr>
              <w:t>143,59</w:t>
            </w:r>
          </w:p>
        </w:tc>
        <w:tc>
          <w:tcPr>
            <w:tcW w:w="234" w:type="pct"/>
            <w:tcBorders>
              <w:top w:val="nil"/>
              <w:left w:val="nil"/>
              <w:bottom w:val="single" w:sz="4" w:space="0" w:color="1F497D"/>
              <w:right w:val="single" w:sz="4" w:space="0" w:color="1F497D"/>
            </w:tcBorders>
            <w:shd w:val="clear" w:color="000000" w:fill="FFFFFF"/>
            <w:noWrap/>
            <w:vAlign w:val="center"/>
            <w:hideMark/>
          </w:tcPr>
          <w:p w:rsidR="00492B11" w:rsidRPr="00492B11" w:rsidRDefault="00492B11" w:rsidP="00492B11">
            <w:pPr>
              <w:jc w:val="center"/>
              <w:rPr>
                <w:color w:val="000000"/>
                <w:sz w:val="16"/>
                <w:szCs w:val="16"/>
              </w:rPr>
            </w:pPr>
            <w:r w:rsidRPr="00492B11">
              <w:rPr>
                <w:color w:val="000000"/>
                <w:sz w:val="16"/>
                <w:szCs w:val="16"/>
              </w:rPr>
              <w:t>211,20</w:t>
            </w:r>
          </w:p>
        </w:tc>
        <w:tc>
          <w:tcPr>
            <w:tcW w:w="174" w:type="pct"/>
            <w:tcBorders>
              <w:top w:val="nil"/>
              <w:left w:val="nil"/>
              <w:bottom w:val="single" w:sz="4" w:space="0" w:color="1F497D"/>
              <w:right w:val="single" w:sz="4" w:space="0" w:color="1F497D"/>
            </w:tcBorders>
            <w:shd w:val="clear" w:color="000000" w:fill="FFFFFF"/>
            <w:noWrap/>
            <w:vAlign w:val="center"/>
            <w:hideMark/>
          </w:tcPr>
          <w:p w:rsidR="00492B11" w:rsidRPr="00492B11" w:rsidRDefault="00492B11" w:rsidP="00492B11">
            <w:pPr>
              <w:jc w:val="center"/>
              <w:rPr>
                <w:color w:val="000000"/>
                <w:sz w:val="16"/>
                <w:szCs w:val="16"/>
              </w:rPr>
            </w:pPr>
            <w:r w:rsidRPr="00492B11">
              <w:rPr>
                <w:color w:val="000000"/>
                <w:sz w:val="16"/>
                <w:szCs w:val="16"/>
              </w:rPr>
              <w:t>5 672</w:t>
            </w:r>
          </w:p>
        </w:tc>
        <w:tc>
          <w:tcPr>
            <w:tcW w:w="261" w:type="pct"/>
            <w:tcBorders>
              <w:top w:val="nil"/>
              <w:left w:val="nil"/>
              <w:bottom w:val="single" w:sz="4" w:space="0" w:color="1F497D"/>
              <w:right w:val="single" w:sz="4" w:space="0" w:color="1F497D"/>
            </w:tcBorders>
            <w:shd w:val="clear" w:color="000000" w:fill="FFFFFF"/>
            <w:noWrap/>
            <w:vAlign w:val="center"/>
            <w:hideMark/>
          </w:tcPr>
          <w:p w:rsidR="00492B11" w:rsidRPr="00492B11" w:rsidRDefault="00492B11" w:rsidP="00492B11">
            <w:pPr>
              <w:jc w:val="center"/>
              <w:rPr>
                <w:color w:val="000000"/>
                <w:sz w:val="16"/>
                <w:szCs w:val="16"/>
              </w:rPr>
            </w:pPr>
            <w:r w:rsidRPr="00492B11">
              <w:rPr>
                <w:color w:val="000000"/>
                <w:sz w:val="16"/>
                <w:szCs w:val="16"/>
              </w:rPr>
              <w:t>4 322,32</w:t>
            </w:r>
          </w:p>
        </w:tc>
        <w:tc>
          <w:tcPr>
            <w:tcW w:w="214" w:type="pct"/>
            <w:tcBorders>
              <w:top w:val="nil"/>
              <w:left w:val="nil"/>
              <w:bottom w:val="single" w:sz="4" w:space="0" w:color="1F497D"/>
              <w:right w:val="single" w:sz="4" w:space="0" w:color="1F497D"/>
            </w:tcBorders>
            <w:shd w:val="clear" w:color="000000" w:fill="FFFFFF"/>
            <w:noWrap/>
            <w:vAlign w:val="center"/>
            <w:hideMark/>
          </w:tcPr>
          <w:p w:rsidR="00492B11" w:rsidRPr="00492B11" w:rsidRDefault="00492B11" w:rsidP="00492B11">
            <w:pPr>
              <w:jc w:val="center"/>
              <w:rPr>
                <w:color w:val="000000"/>
                <w:sz w:val="16"/>
                <w:szCs w:val="16"/>
              </w:rPr>
            </w:pPr>
            <w:r w:rsidRPr="00492B11">
              <w:rPr>
                <w:color w:val="000000"/>
                <w:sz w:val="16"/>
                <w:szCs w:val="16"/>
              </w:rPr>
              <w:t>110,47</w:t>
            </w:r>
          </w:p>
        </w:tc>
        <w:tc>
          <w:tcPr>
            <w:tcW w:w="214" w:type="pct"/>
            <w:tcBorders>
              <w:top w:val="nil"/>
              <w:left w:val="nil"/>
              <w:bottom w:val="single" w:sz="4" w:space="0" w:color="1F497D"/>
              <w:right w:val="single" w:sz="4" w:space="0" w:color="1F497D"/>
            </w:tcBorders>
            <w:shd w:val="clear" w:color="000000" w:fill="FFFFFF"/>
            <w:noWrap/>
            <w:vAlign w:val="center"/>
            <w:hideMark/>
          </w:tcPr>
          <w:p w:rsidR="00492B11" w:rsidRPr="00492B11" w:rsidRDefault="00492B11" w:rsidP="00492B11">
            <w:pPr>
              <w:jc w:val="center"/>
              <w:rPr>
                <w:color w:val="000000"/>
                <w:sz w:val="16"/>
                <w:szCs w:val="16"/>
              </w:rPr>
            </w:pPr>
            <w:r w:rsidRPr="00492B11">
              <w:rPr>
                <w:color w:val="000000"/>
                <w:sz w:val="16"/>
                <w:szCs w:val="16"/>
              </w:rPr>
              <w:t>163,57</w:t>
            </w:r>
          </w:p>
        </w:tc>
        <w:tc>
          <w:tcPr>
            <w:tcW w:w="261" w:type="pct"/>
            <w:tcBorders>
              <w:top w:val="nil"/>
              <w:left w:val="nil"/>
              <w:bottom w:val="single" w:sz="4" w:space="0" w:color="1F497D"/>
              <w:right w:val="single" w:sz="4" w:space="0" w:color="1F497D"/>
            </w:tcBorders>
            <w:shd w:val="clear" w:color="000000" w:fill="FFFFFF"/>
            <w:noWrap/>
            <w:vAlign w:val="center"/>
            <w:hideMark/>
          </w:tcPr>
          <w:p w:rsidR="00492B11" w:rsidRPr="00492B11" w:rsidRDefault="00492B11" w:rsidP="00492B11">
            <w:pPr>
              <w:jc w:val="center"/>
              <w:rPr>
                <w:color w:val="000000"/>
                <w:sz w:val="16"/>
                <w:szCs w:val="16"/>
              </w:rPr>
            </w:pPr>
            <w:r w:rsidRPr="00492B11">
              <w:rPr>
                <w:color w:val="000000"/>
                <w:sz w:val="16"/>
                <w:szCs w:val="16"/>
              </w:rPr>
              <w:t>2 730,32</w:t>
            </w:r>
          </w:p>
        </w:tc>
        <w:tc>
          <w:tcPr>
            <w:tcW w:w="228" w:type="pct"/>
            <w:tcBorders>
              <w:top w:val="nil"/>
              <w:left w:val="nil"/>
              <w:bottom w:val="single" w:sz="4" w:space="0" w:color="1F497D"/>
              <w:right w:val="single" w:sz="4" w:space="0" w:color="1F497D"/>
            </w:tcBorders>
            <w:shd w:val="clear" w:color="000000" w:fill="FFFFFF"/>
            <w:noWrap/>
            <w:vAlign w:val="center"/>
            <w:hideMark/>
          </w:tcPr>
          <w:p w:rsidR="00492B11" w:rsidRPr="00492B11" w:rsidRDefault="00492B11" w:rsidP="00492B11">
            <w:pPr>
              <w:jc w:val="center"/>
              <w:rPr>
                <w:color w:val="000000"/>
                <w:sz w:val="16"/>
                <w:szCs w:val="16"/>
              </w:rPr>
            </w:pPr>
            <w:r w:rsidRPr="00492B11">
              <w:rPr>
                <w:color w:val="000000"/>
                <w:sz w:val="16"/>
                <w:szCs w:val="16"/>
              </w:rPr>
              <w:t>69,78</w:t>
            </w:r>
          </w:p>
        </w:tc>
        <w:tc>
          <w:tcPr>
            <w:tcW w:w="254" w:type="pct"/>
            <w:tcBorders>
              <w:top w:val="nil"/>
              <w:left w:val="nil"/>
              <w:bottom w:val="single" w:sz="4" w:space="0" w:color="1F497D"/>
              <w:right w:val="single" w:sz="4" w:space="0" w:color="1F497D"/>
            </w:tcBorders>
            <w:shd w:val="clear" w:color="000000" w:fill="FFFFFF"/>
            <w:noWrap/>
            <w:vAlign w:val="center"/>
            <w:hideMark/>
          </w:tcPr>
          <w:p w:rsidR="00492B11" w:rsidRPr="00492B11" w:rsidRDefault="00492B11" w:rsidP="00492B11">
            <w:pPr>
              <w:jc w:val="center"/>
              <w:rPr>
                <w:color w:val="000000"/>
                <w:sz w:val="16"/>
                <w:szCs w:val="16"/>
              </w:rPr>
            </w:pPr>
            <w:r w:rsidRPr="00492B11">
              <w:rPr>
                <w:color w:val="000000"/>
                <w:sz w:val="16"/>
                <w:szCs w:val="16"/>
              </w:rPr>
              <w:t>105,06</w:t>
            </w:r>
          </w:p>
        </w:tc>
        <w:tc>
          <w:tcPr>
            <w:tcW w:w="288" w:type="pct"/>
            <w:tcBorders>
              <w:top w:val="nil"/>
              <w:left w:val="nil"/>
              <w:bottom w:val="single" w:sz="4" w:space="0" w:color="1F497D"/>
              <w:right w:val="single" w:sz="4" w:space="0" w:color="1F497D"/>
            </w:tcBorders>
            <w:shd w:val="clear" w:color="000000" w:fill="FFFFFF"/>
            <w:noWrap/>
            <w:vAlign w:val="center"/>
            <w:hideMark/>
          </w:tcPr>
          <w:p w:rsidR="00492B11" w:rsidRPr="00492B11" w:rsidRDefault="00492B11" w:rsidP="00492B11">
            <w:pPr>
              <w:jc w:val="center"/>
              <w:rPr>
                <w:color w:val="000000"/>
                <w:sz w:val="16"/>
                <w:szCs w:val="16"/>
              </w:rPr>
            </w:pPr>
            <w:r w:rsidRPr="00492B11">
              <w:rPr>
                <w:color w:val="000000"/>
                <w:sz w:val="16"/>
                <w:szCs w:val="16"/>
              </w:rPr>
              <w:t>2 631,56</w:t>
            </w:r>
          </w:p>
        </w:tc>
        <w:tc>
          <w:tcPr>
            <w:tcW w:w="214" w:type="pct"/>
            <w:tcBorders>
              <w:top w:val="nil"/>
              <w:left w:val="nil"/>
              <w:bottom w:val="single" w:sz="4" w:space="0" w:color="1F497D"/>
              <w:right w:val="single" w:sz="4" w:space="0" w:color="1F497D"/>
            </w:tcBorders>
            <w:shd w:val="clear" w:color="000000" w:fill="FFFFFF"/>
            <w:noWrap/>
            <w:vAlign w:val="center"/>
            <w:hideMark/>
          </w:tcPr>
          <w:p w:rsidR="00492B11" w:rsidRPr="00492B11" w:rsidRDefault="00492B11" w:rsidP="00492B11">
            <w:pPr>
              <w:jc w:val="center"/>
              <w:rPr>
                <w:color w:val="000000"/>
                <w:sz w:val="16"/>
                <w:szCs w:val="16"/>
              </w:rPr>
            </w:pPr>
            <w:r w:rsidRPr="00492B11">
              <w:rPr>
                <w:color w:val="000000"/>
                <w:sz w:val="16"/>
                <w:szCs w:val="16"/>
              </w:rPr>
              <w:t>67,26</w:t>
            </w:r>
          </w:p>
        </w:tc>
        <w:tc>
          <w:tcPr>
            <w:tcW w:w="254" w:type="pct"/>
            <w:tcBorders>
              <w:top w:val="nil"/>
              <w:left w:val="nil"/>
              <w:bottom w:val="single" w:sz="4" w:space="0" w:color="1F497D"/>
              <w:right w:val="single" w:sz="4" w:space="0" w:color="1F497D"/>
            </w:tcBorders>
            <w:shd w:val="clear" w:color="000000" w:fill="FFFFFF"/>
            <w:noWrap/>
            <w:vAlign w:val="center"/>
            <w:hideMark/>
          </w:tcPr>
          <w:p w:rsidR="00492B11" w:rsidRPr="00492B11" w:rsidRDefault="00492B11" w:rsidP="00492B11">
            <w:pPr>
              <w:jc w:val="center"/>
              <w:rPr>
                <w:color w:val="000000"/>
                <w:sz w:val="16"/>
                <w:szCs w:val="16"/>
              </w:rPr>
            </w:pPr>
            <w:r w:rsidRPr="00492B11">
              <w:rPr>
                <w:color w:val="000000"/>
                <w:sz w:val="16"/>
                <w:szCs w:val="16"/>
              </w:rPr>
              <w:t>101,43</w:t>
            </w:r>
          </w:p>
        </w:tc>
        <w:tc>
          <w:tcPr>
            <w:tcW w:w="274" w:type="pct"/>
            <w:tcBorders>
              <w:top w:val="nil"/>
              <w:left w:val="nil"/>
              <w:bottom w:val="single" w:sz="4" w:space="0" w:color="1F497D"/>
              <w:right w:val="single" w:sz="4" w:space="0" w:color="1F497D"/>
            </w:tcBorders>
            <w:shd w:val="clear" w:color="000000" w:fill="FFFFFF"/>
            <w:noWrap/>
            <w:vAlign w:val="center"/>
            <w:hideMark/>
          </w:tcPr>
          <w:p w:rsidR="00492B11" w:rsidRPr="00492B11" w:rsidRDefault="00492B11" w:rsidP="00492B11">
            <w:pPr>
              <w:jc w:val="center"/>
              <w:rPr>
                <w:color w:val="000000"/>
                <w:sz w:val="16"/>
                <w:szCs w:val="16"/>
              </w:rPr>
            </w:pPr>
            <w:r w:rsidRPr="00492B11">
              <w:rPr>
                <w:color w:val="000000"/>
                <w:sz w:val="16"/>
                <w:szCs w:val="16"/>
              </w:rPr>
              <w:t>2 479,87</w:t>
            </w:r>
          </w:p>
        </w:tc>
        <w:tc>
          <w:tcPr>
            <w:tcW w:w="207" w:type="pct"/>
            <w:tcBorders>
              <w:top w:val="nil"/>
              <w:left w:val="nil"/>
              <w:bottom w:val="single" w:sz="4" w:space="0" w:color="1F497D"/>
              <w:right w:val="single" w:sz="4" w:space="0" w:color="1F497D"/>
            </w:tcBorders>
            <w:shd w:val="clear" w:color="000000" w:fill="FFFFFF"/>
            <w:noWrap/>
            <w:vAlign w:val="center"/>
            <w:hideMark/>
          </w:tcPr>
          <w:p w:rsidR="00492B11" w:rsidRPr="00492B11" w:rsidRDefault="00492B11" w:rsidP="00492B11">
            <w:pPr>
              <w:jc w:val="center"/>
              <w:rPr>
                <w:color w:val="000000"/>
                <w:sz w:val="16"/>
                <w:szCs w:val="16"/>
              </w:rPr>
            </w:pPr>
            <w:r w:rsidRPr="00492B11">
              <w:rPr>
                <w:color w:val="000000"/>
                <w:sz w:val="16"/>
                <w:szCs w:val="16"/>
              </w:rPr>
              <w:t>63,38</w:t>
            </w:r>
          </w:p>
        </w:tc>
        <w:tc>
          <w:tcPr>
            <w:tcW w:w="207" w:type="pct"/>
            <w:tcBorders>
              <w:top w:val="nil"/>
              <w:left w:val="nil"/>
              <w:bottom w:val="single" w:sz="4" w:space="0" w:color="1F497D"/>
              <w:right w:val="single" w:sz="4" w:space="0" w:color="1F497D"/>
            </w:tcBorders>
            <w:shd w:val="clear" w:color="000000" w:fill="FFFFFF"/>
            <w:noWrap/>
            <w:vAlign w:val="center"/>
            <w:hideMark/>
          </w:tcPr>
          <w:p w:rsidR="00492B11" w:rsidRPr="00492B11" w:rsidRDefault="00492B11" w:rsidP="00492B11">
            <w:pPr>
              <w:jc w:val="center"/>
              <w:rPr>
                <w:color w:val="000000"/>
                <w:sz w:val="16"/>
                <w:szCs w:val="16"/>
              </w:rPr>
            </w:pPr>
            <w:r w:rsidRPr="00492B11">
              <w:rPr>
                <w:color w:val="000000"/>
                <w:sz w:val="16"/>
                <w:szCs w:val="16"/>
              </w:rPr>
              <w:t>95,78</w:t>
            </w:r>
          </w:p>
        </w:tc>
      </w:tr>
      <w:tr w:rsidR="00492B11" w:rsidRPr="00492B11" w:rsidTr="00492B11">
        <w:trPr>
          <w:trHeight w:val="225"/>
        </w:trPr>
        <w:tc>
          <w:tcPr>
            <w:tcW w:w="241" w:type="pct"/>
            <w:vMerge/>
            <w:tcBorders>
              <w:top w:val="nil"/>
              <w:left w:val="single" w:sz="4" w:space="0" w:color="1F497D"/>
              <w:bottom w:val="single" w:sz="4" w:space="0" w:color="1F497D"/>
              <w:right w:val="single" w:sz="4" w:space="0" w:color="1F497D"/>
            </w:tcBorders>
            <w:vAlign w:val="center"/>
            <w:hideMark/>
          </w:tcPr>
          <w:p w:rsidR="00492B11" w:rsidRPr="00492B11" w:rsidRDefault="00492B11" w:rsidP="00492B11">
            <w:pPr>
              <w:rPr>
                <w:color w:val="000000"/>
                <w:sz w:val="16"/>
                <w:szCs w:val="16"/>
              </w:rPr>
            </w:pPr>
          </w:p>
        </w:tc>
        <w:tc>
          <w:tcPr>
            <w:tcW w:w="335" w:type="pct"/>
            <w:tcBorders>
              <w:top w:val="nil"/>
              <w:left w:val="nil"/>
              <w:bottom w:val="single" w:sz="4" w:space="0" w:color="1F497D"/>
              <w:right w:val="single" w:sz="4" w:space="0" w:color="1F497D"/>
            </w:tcBorders>
            <w:shd w:val="clear" w:color="000000" w:fill="FFFFFF"/>
            <w:vAlign w:val="center"/>
            <w:hideMark/>
          </w:tcPr>
          <w:p w:rsidR="00492B11" w:rsidRPr="00492B11" w:rsidRDefault="00492B11" w:rsidP="00492B11">
            <w:pPr>
              <w:jc w:val="center"/>
              <w:rPr>
                <w:color w:val="000000"/>
                <w:sz w:val="16"/>
                <w:szCs w:val="16"/>
              </w:rPr>
            </w:pPr>
            <w:r w:rsidRPr="00492B11">
              <w:rPr>
                <w:color w:val="000000"/>
                <w:sz w:val="16"/>
                <w:szCs w:val="16"/>
              </w:rPr>
              <w:t>Rozdíl</w:t>
            </w:r>
          </w:p>
        </w:tc>
        <w:tc>
          <w:tcPr>
            <w:tcW w:w="241" w:type="pct"/>
            <w:tcBorders>
              <w:top w:val="nil"/>
              <w:left w:val="nil"/>
              <w:bottom w:val="single" w:sz="4" w:space="0" w:color="1F497D"/>
              <w:right w:val="single" w:sz="4" w:space="0" w:color="1F497D"/>
            </w:tcBorders>
            <w:shd w:val="clear" w:color="000000" w:fill="FFFFFF"/>
            <w:noWrap/>
            <w:vAlign w:val="center"/>
            <w:hideMark/>
          </w:tcPr>
          <w:p w:rsidR="00492B11" w:rsidRPr="00492B11" w:rsidRDefault="00492B11" w:rsidP="00492B11">
            <w:pPr>
              <w:jc w:val="center"/>
              <w:rPr>
                <w:color w:val="000000"/>
                <w:sz w:val="16"/>
                <w:szCs w:val="16"/>
              </w:rPr>
            </w:pPr>
          </w:p>
        </w:tc>
        <w:tc>
          <w:tcPr>
            <w:tcW w:w="241" w:type="pct"/>
            <w:tcBorders>
              <w:top w:val="nil"/>
              <w:left w:val="nil"/>
              <w:bottom w:val="single" w:sz="4" w:space="0" w:color="1F497D"/>
              <w:right w:val="single" w:sz="4" w:space="0" w:color="1F497D"/>
            </w:tcBorders>
            <w:shd w:val="clear" w:color="000000" w:fill="FFFFFF"/>
            <w:noWrap/>
            <w:vAlign w:val="center"/>
            <w:hideMark/>
          </w:tcPr>
          <w:p w:rsidR="00492B11" w:rsidRPr="00492B11" w:rsidRDefault="00492B11" w:rsidP="00492B11">
            <w:pPr>
              <w:jc w:val="center"/>
              <w:rPr>
                <w:color w:val="000000"/>
                <w:sz w:val="16"/>
                <w:szCs w:val="16"/>
              </w:rPr>
            </w:pPr>
          </w:p>
        </w:tc>
        <w:tc>
          <w:tcPr>
            <w:tcW w:w="181" w:type="pct"/>
            <w:tcBorders>
              <w:top w:val="nil"/>
              <w:left w:val="nil"/>
              <w:bottom w:val="single" w:sz="4" w:space="0" w:color="1F497D"/>
              <w:right w:val="single" w:sz="4" w:space="0" w:color="1F497D"/>
            </w:tcBorders>
            <w:shd w:val="clear" w:color="000000" w:fill="FFFFFF"/>
            <w:vAlign w:val="center"/>
            <w:hideMark/>
          </w:tcPr>
          <w:p w:rsidR="00492B11" w:rsidRPr="00492B11" w:rsidRDefault="00492B11" w:rsidP="00492B11">
            <w:pPr>
              <w:jc w:val="center"/>
              <w:rPr>
                <w:color w:val="000000"/>
                <w:sz w:val="16"/>
                <w:szCs w:val="16"/>
              </w:rPr>
            </w:pPr>
            <w:r w:rsidRPr="00492B11">
              <w:rPr>
                <w:color w:val="000000"/>
                <w:sz w:val="16"/>
                <w:szCs w:val="16"/>
              </w:rPr>
              <w:t>0</w:t>
            </w:r>
          </w:p>
        </w:tc>
        <w:tc>
          <w:tcPr>
            <w:tcW w:w="268" w:type="pct"/>
            <w:tcBorders>
              <w:top w:val="nil"/>
              <w:left w:val="nil"/>
              <w:bottom w:val="single" w:sz="4" w:space="0" w:color="1F497D"/>
              <w:right w:val="single" w:sz="4" w:space="0" w:color="1F497D"/>
            </w:tcBorders>
            <w:shd w:val="clear" w:color="000000" w:fill="FFFFFF"/>
            <w:noWrap/>
            <w:vAlign w:val="center"/>
            <w:hideMark/>
          </w:tcPr>
          <w:p w:rsidR="00492B11" w:rsidRPr="00492B11" w:rsidRDefault="00492B11" w:rsidP="00492B11">
            <w:pPr>
              <w:jc w:val="center"/>
              <w:rPr>
                <w:color w:val="000000"/>
                <w:sz w:val="16"/>
                <w:szCs w:val="16"/>
              </w:rPr>
            </w:pPr>
            <w:r w:rsidRPr="00492B11">
              <w:rPr>
                <w:color w:val="000000"/>
                <w:sz w:val="16"/>
                <w:szCs w:val="16"/>
              </w:rPr>
              <w:t>0,00</w:t>
            </w:r>
          </w:p>
        </w:tc>
        <w:tc>
          <w:tcPr>
            <w:tcW w:w="207" w:type="pct"/>
            <w:tcBorders>
              <w:top w:val="nil"/>
              <w:left w:val="nil"/>
              <w:bottom w:val="single" w:sz="4" w:space="0" w:color="1F497D"/>
              <w:right w:val="single" w:sz="4" w:space="0" w:color="1F497D"/>
            </w:tcBorders>
            <w:shd w:val="clear" w:color="000000" w:fill="FFFFFF"/>
            <w:noWrap/>
            <w:vAlign w:val="center"/>
            <w:hideMark/>
          </w:tcPr>
          <w:p w:rsidR="00492B11" w:rsidRPr="00492B11" w:rsidRDefault="00492B11" w:rsidP="00492B11">
            <w:pPr>
              <w:jc w:val="center"/>
              <w:rPr>
                <w:color w:val="000000"/>
                <w:sz w:val="16"/>
                <w:szCs w:val="16"/>
              </w:rPr>
            </w:pPr>
            <w:r w:rsidRPr="00492B11">
              <w:rPr>
                <w:color w:val="000000"/>
                <w:sz w:val="16"/>
                <w:szCs w:val="16"/>
              </w:rPr>
              <w:t>0,00</w:t>
            </w:r>
          </w:p>
        </w:tc>
        <w:tc>
          <w:tcPr>
            <w:tcW w:w="234" w:type="pct"/>
            <w:tcBorders>
              <w:top w:val="nil"/>
              <w:left w:val="nil"/>
              <w:bottom w:val="single" w:sz="4" w:space="0" w:color="1F497D"/>
              <w:right w:val="single" w:sz="4" w:space="0" w:color="1F497D"/>
            </w:tcBorders>
            <w:shd w:val="clear" w:color="000000" w:fill="FFFFFF"/>
            <w:noWrap/>
            <w:vAlign w:val="center"/>
            <w:hideMark/>
          </w:tcPr>
          <w:p w:rsidR="00492B11" w:rsidRPr="00492B11" w:rsidRDefault="00492B11" w:rsidP="00492B11">
            <w:pPr>
              <w:jc w:val="center"/>
              <w:rPr>
                <w:color w:val="000000"/>
                <w:sz w:val="16"/>
                <w:szCs w:val="16"/>
              </w:rPr>
            </w:pPr>
            <w:r w:rsidRPr="00492B11">
              <w:rPr>
                <w:color w:val="000000"/>
                <w:sz w:val="16"/>
                <w:szCs w:val="16"/>
              </w:rPr>
              <w:t>1,12</w:t>
            </w:r>
          </w:p>
        </w:tc>
        <w:tc>
          <w:tcPr>
            <w:tcW w:w="174" w:type="pct"/>
            <w:tcBorders>
              <w:top w:val="nil"/>
              <w:left w:val="nil"/>
              <w:bottom w:val="single" w:sz="4" w:space="0" w:color="1F497D"/>
              <w:right w:val="single" w:sz="4" w:space="0" w:color="1F497D"/>
            </w:tcBorders>
            <w:shd w:val="clear" w:color="000000" w:fill="FFFFFF"/>
            <w:noWrap/>
            <w:vAlign w:val="center"/>
            <w:hideMark/>
          </w:tcPr>
          <w:p w:rsidR="00492B11" w:rsidRPr="00492B11" w:rsidRDefault="00492B11" w:rsidP="00492B11">
            <w:pPr>
              <w:jc w:val="center"/>
              <w:rPr>
                <w:color w:val="000000"/>
                <w:sz w:val="16"/>
                <w:szCs w:val="16"/>
              </w:rPr>
            </w:pPr>
            <w:r w:rsidRPr="00492B11">
              <w:rPr>
                <w:color w:val="000000"/>
                <w:sz w:val="16"/>
                <w:szCs w:val="16"/>
              </w:rPr>
              <w:t>3</w:t>
            </w:r>
          </w:p>
        </w:tc>
        <w:tc>
          <w:tcPr>
            <w:tcW w:w="261" w:type="pct"/>
            <w:tcBorders>
              <w:top w:val="nil"/>
              <w:left w:val="nil"/>
              <w:bottom w:val="single" w:sz="4" w:space="0" w:color="1F497D"/>
              <w:right w:val="single" w:sz="4" w:space="0" w:color="1F497D"/>
            </w:tcBorders>
            <w:shd w:val="clear" w:color="000000" w:fill="FFFFFF"/>
            <w:noWrap/>
            <w:vAlign w:val="center"/>
            <w:hideMark/>
          </w:tcPr>
          <w:p w:rsidR="00492B11" w:rsidRPr="00492B11" w:rsidRDefault="00492B11" w:rsidP="00492B11">
            <w:pPr>
              <w:jc w:val="center"/>
              <w:rPr>
                <w:color w:val="000000"/>
                <w:sz w:val="16"/>
                <w:szCs w:val="16"/>
              </w:rPr>
            </w:pPr>
            <w:r w:rsidRPr="00492B11">
              <w:rPr>
                <w:color w:val="000000"/>
                <w:sz w:val="16"/>
                <w:szCs w:val="16"/>
              </w:rPr>
              <w:t>-20,65</w:t>
            </w:r>
          </w:p>
        </w:tc>
        <w:tc>
          <w:tcPr>
            <w:tcW w:w="214" w:type="pct"/>
            <w:tcBorders>
              <w:top w:val="nil"/>
              <w:left w:val="nil"/>
              <w:bottom w:val="single" w:sz="4" w:space="0" w:color="1F497D"/>
              <w:right w:val="single" w:sz="4" w:space="0" w:color="1F497D"/>
            </w:tcBorders>
            <w:shd w:val="clear" w:color="000000" w:fill="FFFFFF"/>
            <w:noWrap/>
            <w:vAlign w:val="center"/>
            <w:hideMark/>
          </w:tcPr>
          <w:p w:rsidR="00492B11" w:rsidRPr="00492B11" w:rsidRDefault="00492B11" w:rsidP="00492B11">
            <w:pPr>
              <w:jc w:val="center"/>
              <w:rPr>
                <w:color w:val="000000"/>
                <w:sz w:val="16"/>
                <w:szCs w:val="16"/>
              </w:rPr>
            </w:pPr>
            <w:r w:rsidRPr="00492B11">
              <w:rPr>
                <w:color w:val="000000"/>
                <w:sz w:val="16"/>
                <w:szCs w:val="16"/>
              </w:rPr>
              <w:t>-0,53</w:t>
            </w:r>
          </w:p>
        </w:tc>
        <w:tc>
          <w:tcPr>
            <w:tcW w:w="214" w:type="pct"/>
            <w:tcBorders>
              <w:top w:val="nil"/>
              <w:left w:val="nil"/>
              <w:bottom w:val="single" w:sz="4" w:space="0" w:color="1F497D"/>
              <w:right w:val="single" w:sz="4" w:space="0" w:color="1F497D"/>
            </w:tcBorders>
            <w:shd w:val="clear" w:color="000000" w:fill="FFFFFF"/>
            <w:noWrap/>
            <w:vAlign w:val="center"/>
            <w:hideMark/>
          </w:tcPr>
          <w:p w:rsidR="00492B11" w:rsidRPr="00492B11" w:rsidRDefault="00492B11" w:rsidP="00492B11">
            <w:pPr>
              <w:jc w:val="center"/>
              <w:rPr>
                <w:color w:val="000000"/>
                <w:sz w:val="16"/>
                <w:szCs w:val="16"/>
              </w:rPr>
            </w:pPr>
            <w:r w:rsidRPr="00492B11">
              <w:rPr>
                <w:color w:val="000000"/>
                <w:sz w:val="16"/>
                <w:szCs w:val="16"/>
              </w:rPr>
              <w:t>-0,09</w:t>
            </w:r>
          </w:p>
        </w:tc>
        <w:tc>
          <w:tcPr>
            <w:tcW w:w="261" w:type="pct"/>
            <w:tcBorders>
              <w:top w:val="nil"/>
              <w:left w:val="nil"/>
              <w:bottom w:val="single" w:sz="4" w:space="0" w:color="1F497D"/>
              <w:right w:val="single" w:sz="4" w:space="0" w:color="1F497D"/>
            </w:tcBorders>
            <w:shd w:val="clear" w:color="000000" w:fill="FFFFFF"/>
            <w:noWrap/>
            <w:vAlign w:val="center"/>
            <w:hideMark/>
          </w:tcPr>
          <w:p w:rsidR="00492B11" w:rsidRPr="00492B11" w:rsidRDefault="00492B11" w:rsidP="00492B11">
            <w:pPr>
              <w:jc w:val="center"/>
              <w:rPr>
                <w:color w:val="000000"/>
                <w:sz w:val="16"/>
                <w:szCs w:val="16"/>
              </w:rPr>
            </w:pPr>
            <w:r w:rsidRPr="00492B11">
              <w:rPr>
                <w:color w:val="000000"/>
                <w:sz w:val="16"/>
                <w:szCs w:val="16"/>
              </w:rPr>
              <w:t>228,02</w:t>
            </w:r>
          </w:p>
        </w:tc>
        <w:tc>
          <w:tcPr>
            <w:tcW w:w="228" w:type="pct"/>
            <w:tcBorders>
              <w:top w:val="nil"/>
              <w:left w:val="nil"/>
              <w:bottom w:val="single" w:sz="4" w:space="0" w:color="1F497D"/>
              <w:right w:val="single" w:sz="4" w:space="0" w:color="1F497D"/>
            </w:tcBorders>
            <w:shd w:val="clear" w:color="000000" w:fill="FFFFFF"/>
            <w:noWrap/>
            <w:vAlign w:val="center"/>
            <w:hideMark/>
          </w:tcPr>
          <w:p w:rsidR="00492B11" w:rsidRPr="00492B11" w:rsidRDefault="00492B11" w:rsidP="00492B11">
            <w:pPr>
              <w:jc w:val="center"/>
              <w:rPr>
                <w:color w:val="000000"/>
                <w:sz w:val="16"/>
                <w:szCs w:val="16"/>
              </w:rPr>
            </w:pPr>
            <w:r w:rsidRPr="00492B11">
              <w:rPr>
                <w:color w:val="000000"/>
                <w:sz w:val="16"/>
                <w:szCs w:val="16"/>
              </w:rPr>
              <w:t>5,83</w:t>
            </w:r>
          </w:p>
        </w:tc>
        <w:tc>
          <w:tcPr>
            <w:tcW w:w="254" w:type="pct"/>
            <w:tcBorders>
              <w:top w:val="nil"/>
              <w:left w:val="nil"/>
              <w:bottom w:val="single" w:sz="4" w:space="0" w:color="1F497D"/>
              <w:right w:val="single" w:sz="4" w:space="0" w:color="1F497D"/>
            </w:tcBorders>
            <w:shd w:val="clear" w:color="000000" w:fill="FFFFFF"/>
            <w:noWrap/>
            <w:vAlign w:val="center"/>
            <w:hideMark/>
          </w:tcPr>
          <w:p w:rsidR="00492B11" w:rsidRPr="00492B11" w:rsidRDefault="00492B11" w:rsidP="00492B11">
            <w:pPr>
              <w:jc w:val="center"/>
              <w:rPr>
                <w:color w:val="000000"/>
                <w:sz w:val="16"/>
                <w:szCs w:val="16"/>
              </w:rPr>
            </w:pPr>
            <w:r w:rsidRPr="00492B11">
              <w:rPr>
                <w:color w:val="000000"/>
                <w:sz w:val="16"/>
                <w:szCs w:val="16"/>
              </w:rPr>
              <w:t>8,39</w:t>
            </w:r>
          </w:p>
        </w:tc>
        <w:tc>
          <w:tcPr>
            <w:tcW w:w="288" w:type="pct"/>
            <w:tcBorders>
              <w:top w:val="nil"/>
              <w:left w:val="nil"/>
              <w:bottom w:val="single" w:sz="4" w:space="0" w:color="1F497D"/>
              <w:right w:val="single" w:sz="4" w:space="0" w:color="1F497D"/>
            </w:tcBorders>
            <w:shd w:val="clear" w:color="000000" w:fill="FFFFFF"/>
            <w:noWrap/>
            <w:vAlign w:val="center"/>
            <w:hideMark/>
          </w:tcPr>
          <w:p w:rsidR="00492B11" w:rsidRPr="00492B11" w:rsidRDefault="00492B11" w:rsidP="00492B11">
            <w:pPr>
              <w:jc w:val="center"/>
              <w:rPr>
                <w:color w:val="000000"/>
                <w:sz w:val="16"/>
                <w:szCs w:val="16"/>
              </w:rPr>
            </w:pPr>
            <w:r w:rsidRPr="00492B11">
              <w:rPr>
                <w:color w:val="000000"/>
                <w:sz w:val="16"/>
                <w:szCs w:val="16"/>
              </w:rPr>
              <w:t>194,80</w:t>
            </w:r>
          </w:p>
        </w:tc>
        <w:tc>
          <w:tcPr>
            <w:tcW w:w="214" w:type="pct"/>
            <w:tcBorders>
              <w:top w:val="nil"/>
              <w:left w:val="nil"/>
              <w:bottom w:val="single" w:sz="4" w:space="0" w:color="1F497D"/>
              <w:right w:val="single" w:sz="4" w:space="0" w:color="1F497D"/>
            </w:tcBorders>
            <w:shd w:val="clear" w:color="000000" w:fill="FFFFFF"/>
            <w:noWrap/>
            <w:vAlign w:val="center"/>
            <w:hideMark/>
          </w:tcPr>
          <w:p w:rsidR="00492B11" w:rsidRPr="00492B11" w:rsidRDefault="00492B11" w:rsidP="00492B11">
            <w:pPr>
              <w:jc w:val="center"/>
              <w:rPr>
                <w:color w:val="000000"/>
                <w:sz w:val="16"/>
                <w:szCs w:val="16"/>
              </w:rPr>
            </w:pPr>
            <w:r w:rsidRPr="00492B11">
              <w:rPr>
                <w:color w:val="000000"/>
                <w:sz w:val="16"/>
                <w:szCs w:val="16"/>
              </w:rPr>
              <w:t>4,98</w:t>
            </w:r>
          </w:p>
        </w:tc>
        <w:tc>
          <w:tcPr>
            <w:tcW w:w="254" w:type="pct"/>
            <w:tcBorders>
              <w:top w:val="nil"/>
              <w:left w:val="nil"/>
              <w:bottom w:val="single" w:sz="4" w:space="0" w:color="1F497D"/>
              <w:right w:val="single" w:sz="4" w:space="0" w:color="1F497D"/>
            </w:tcBorders>
            <w:shd w:val="clear" w:color="000000" w:fill="FFFFFF"/>
            <w:noWrap/>
            <w:vAlign w:val="center"/>
            <w:hideMark/>
          </w:tcPr>
          <w:p w:rsidR="00492B11" w:rsidRPr="00492B11" w:rsidRDefault="00492B11" w:rsidP="00492B11">
            <w:pPr>
              <w:jc w:val="center"/>
              <w:rPr>
                <w:color w:val="000000"/>
                <w:sz w:val="16"/>
                <w:szCs w:val="16"/>
              </w:rPr>
            </w:pPr>
            <w:r w:rsidRPr="00492B11">
              <w:rPr>
                <w:color w:val="000000"/>
                <w:sz w:val="16"/>
                <w:szCs w:val="16"/>
              </w:rPr>
              <w:t>7,15</w:t>
            </w:r>
          </w:p>
        </w:tc>
        <w:tc>
          <w:tcPr>
            <w:tcW w:w="274" w:type="pct"/>
            <w:tcBorders>
              <w:top w:val="nil"/>
              <w:left w:val="nil"/>
              <w:bottom w:val="single" w:sz="4" w:space="0" w:color="1F497D"/>
              <w:right w:val="single" w:sz="4" w:space="0" w:color="1F497D"/>
            </w:tcBorders>
            <w:shd w:val="clear" w:color="000000" w:fill="FFFFFF"/>
            <w:noWrap/>
            <w:vAlign w:val="center"/>
            <w:hideMark/>
          </w:tcPr>
          <w:p w:rsidR="00492B11" w:rsidRPr="00492B11" w:rsidRDefault="00492B11" w:rsidP="00492B11">
            <w:pPr>
              <w:jc w:val="center"/>
              <w:rPr>
                <w:color w:val="000000"/>
                <w:sz w:val="16"/>
                <w:szCs w:val="16"/>
              </w:rPr>
            </w:pPr>
            <w:r w:rsidRPr="00492B11">
              <w:rPr>
                <w:color w:val="000000"/>
                <w:sz w:val="16"/>
                <w:szCs w:val="16"/>
              </w:rPr>
              <w:t>61,52</w:t>
            </w:r>
          </w:p>
        </w:tc>
        <w:tc>
          <w:tcPr>
            <w:tcW w:w="207" w:type="pct"/>
            <w:tcBorders>
              <w:top w:val="nil"/>
              <w:left w:val="nil"/>
              <w:bottom w:val="single" w:sz="4" w:space="0" w:color="1F497D"/>
              <w:right w:val="single" w:sz="4" w:space="0" w:color="1F497D"/>
            </w:tcBorders>
            <w:shd w:val="clear" w:color="000000" w:fill="FFFFFF"/>
            <w:noWrap/>
            <w:vAlign w:val="center"/>
            <w:hideMark/>
          </w:tcPr>
          <w:p w:rsidR="00492B11" w:rsidRPr="00492B11" w:rsidRDefault="00492B11" w:rsidP="00492B11">
            <w:pPr>
              <w:jc w:val="center"/>
              <w:rPr>
                <w:color w:val="000000"/>
                <w:sz w:val="16"/>
                <w:szCs w:val="16"/>
              </w:rPr>
            </w:pPr>
            <w:r w:rsidRPr="00492B11">
              <w:rPr>
                <w:color w:val="000000"/>
                <w:sz w:val="16"/>
                <w:szCs w:val="16"/>
              </w:rPr>
              <w:t>1,57</w:t>
            </w:r>
          </w:p>
        </w:tc>
        <w:tc>
          <w:tcPr>
            <w:tcW w:w="207" w:type="pct"/>
            <w:tcBorders>
              <w:top w:val="nil"/>
              <w:left w:val="nil"/>
              <w:bottom w:val="single" w:sz="4" w:space="0" w:color="1F497D"/>
              <w:right w:val="single" w:sz="4" w:space="0" w:color="1F497D"/>
            </w:tcBorders>
            <w:shd w:val="clear" w:color="000000" w:fill="FFFFFF"/>
            <w:noWrap/>
            <w:vAlign w:val="center"/>
            <w:hideMark/>
          </w:tcPr>
          <w:p w:rsidR="00492B11" w:rsidRPr="00492B11" w:rsidRDefault="00492B11" w:rsidP="00492B11">
            <w:pPr>
              <w:jc w:val="center"/>
              <w:rPr>
                <w:color w:val="000000"/>
                <w:sz w:val="16"/>
                <w:szCs w:val="16"/>
              </w:rPr>
            </w:pPr>
            <w:r w:rsidRPr="00492B11">
              <w:rPr>
                <w:color w:val="000000"/>
                <w:sz w:val="16"/>
                <w:szCs w:val="16"/>
              </w:rPr>
              <w:t>2,19</w:t>
            </w:r>
          </w:p>
        </w:tc>
      </w:tr>
    </w:tbl>
    <w:p w:rsidR="00D15C73" w:rsidRDefault="003B5A73" w:rsidP="00D15C73">
      <w:pPr>
        <w:rPr>
          <w:i/>
          <w:sz w:val="18"/>
          <w:szCs w:val="18"/>
        </w:rPr>
      </w:pPr>
      <w:r w:rsidRPr="00C9059F">
        <w:rPr>
          <w:i/>
          <w:sz w:val="18"/>
          <w:szCs w:val="18"/>
        </w:rPr>
        <w:t xml:space="preserve">Zdroj: Aktuální </w:t>
      </w:r>
      <w:proofErr w:type="spellStart"/>
      <w:r w:rsidRPr="00C9059F">
        <w:rPr>
          <w:i/>
          <w:sz w:val="18"/>
          <w:szCs w:val="18"/>
        </w:rPr>
        <w:t>MoV</w:t>
      </w:r>
      <w:proofErr w:type="spellEnd"/>
      <w:r w:rsidRPr="00C9059F">
        <w:rPr>
          <w:i/>
          <w:sz w:val="18"/>
          <w:szCs w:val="18"/>
        </w:rPr>
        <w:t xml:space="preserve"> – MSC2007 ke </w:t>
      </w:r>
      <w:r w:rsidRPr="00F42CC8">
        <w:rPr>
          <w:i/>
          <w:sz w:val="18"/>
          <w:szCs w:val="18"/>
        </w:rPr>
        <w:t xml:space="preserve">dni </w:t>
      </w:r>
      <w:r w:rsidR="0015783A">
        <w:rPr>
          <w:i/>
          <w:sz w:val="18"/>
          <w:szCs w:val="18"/>
        </w:rPr>
        <w:t>30. 9. 2015</w:t>
      </w:r>
      <w:r w:rsidR="00D15C73">
        <w:rPr>
          <w:i/>
          <w:sz w:val="18"/>
          <w:szCs w:val="18"/>
        </w:rPr>
        <w:t xml:space="preserve">; Data za certifikované prostředky byla v celé zprávě generována k datu 8. 10. 2015, důvodem je technická chyba způsobena chybným přenosem dat </w:t>
      </w:r>
      <w:proofErr w:type="gramStart"/>
      <w:r w:rsidR="00D15C73">
        <w:rPr>
          <w:i/>
          <w:sz w:val="18"/>
          <w:szCs w:val="18"/>
        </w:rPr>
        <w:t>mezi</w:t>
      </w:r>
      <w:proofErr w:type="gramEnd"/>
      <w:r w:rsidR="00D15C73">
        <w:rPr>
          <w:i/>
          <w:sz w:val="18"/>
          <w:szCs w:val="18"/>
        </w:rPr>
        <w:t xml:space="preserve"> IS Viola a MSC2007</w:t>
      </w:r>
    </w:p>
    <w:p w:rsidR="003B5A73" w:rsidRPr="00F42CC8" w:rsidRDefault="003B5A73" w:rsidP="00D15C73">
      <w:pPr>
        <w:rPr>
          <w:i/>
          <w:sz w:val="18"/>
          <w:szCs w:val="18"/>
        </w:rPr>
      </w:pPr>
      <w:r w:rsidRPr="00F42CC8">
        <w:rPr>
          <w:i/>
          <w:sz w:val="18"/>
          <w:szCs w:val="18"/>
        </w:rPr>
        <w:t xml:space="preserve">    Předchozí </w:t>
      </w:r>
      <w:proofErr w:type="spellStart"/>
      <w:r w:rsidRPr="00F42CC8">
        <w:rPr>
          <w:i/>
          <w:sz w:val="18"/>
          <w:szCs w:val="18"/>
        </w:rPr>
        <w:t>MoV</w:t>
      </w:r>
      <w:proofErr w:type="spellEnd"/>
      <w:r w:rsidRPr="00F42CC8">
        <w:rPr>
          <w:i/>
          <w:sz w:val="18"/>
          <w:szCs w:val="18"/>
        </w:rPr>
        <w:t xml:space="preserve"> – MSC2007+ ke dni.</w:t>
      </w:r>
      <w:r w:rsidR="00FB4D56" w:rsidRPr="00FB4D56">
        <w:rPr>
          <w:i/>
          <w:sz w:val="18"/>
          <w:szCs w:val="18"/>
        </w:rPr>
        <w:t xml:space="preserve"> </w:t>
      </w:r>
      <w:r w:rsidR="00C06B55">
        <w:rPr>
          <w:i/>
          <w:sz w:val="18"/>
          <w:szCs w:val="18"/>
        </w:rPr>
        <w:t>16</w:t>
      </w:r>
      <w:r w:rsidR="00FB4D56" w:rsidRPr="00F42CC8">
        <w:rPr>
          <w:i/>
          <w:sz w:val="18"/>
          <w:szCs w:val="18"/>
        </w:rPr>
        <w:t xml:space="preserve">. </w:t>
      </w:r>
      <w:r w:rsidR="00C06B55">
        <w:rPr>
          <w:i/>
          <w:sz w:val="18"/>
          <w:szCs w:val="18"/>
        </w:rPr>
        <w:t>4</w:t>
      </w:r>
      <w:r w:rsidR="00FB4D56" w:rsidRPr="00F42CC8">
        <w:rPr>
          <w:i/>
          <w:sz w:val="18"/>
          <w:szCs w:val="18"/>
        </w:rPr>
        <w:t>. 201</w:t>
      </w:r>
      <w:r w:rsidR="00C06B55">
        <w:rPr>
          <w:i/>
          <w:sz w:val="18"/>
          <w:szCs w:val="18"/>
        </w:rPr>
        <w:t>5</w:t>
      </w:r>
    </w:p>
    <w:p w:rsidR="009E5200" w:rsidRPr="00311886" w:rsidRDefault="009E5200" w:rsidP="00311886">
      <w:pPr>
        <w:pStyle w:val="TabulkaNOK-poznmka"/>
        <w:ind w:left="0" w:firstLine="0"/>
      </w:pPr>
      <w:r w:rsidRPr="00277C9A">
        <w:rPr>
          <w:i/>
        </w:rPr>
        <w:t xml:space="preserve">Kurz CZK/EUR: Aktuální </w:t>
      </w:r>
      <w:proofErr w:type="spellStart"/>
      <w:r w:rsidRPr="00277C9A">
        <w:rPr>
          <w:i/>
        </w:rPr>
        <w:t>MoV</w:t>
      </w:r>
      <w:proofErr w:type="spellEnd"/>
      <w:r w:rsidRPr="00277C9A">
        <w:rPr>
          <w:i/>
        </w:rPr>
        <w:t xml:space="preserve"> </w:t>
      </w:r>
      <w:r w:rsidRPr="00737479">
        <w:rPr>
          <w:i/>
        </w:rPr>
        <w:t xml:space="preserve">– </w:t>
      </w:r>
      <w:r w:rsidR="00C06B55">
        <w:rPr>
          <w:i/>
        </w:rPr>
        <w:t>27,208</w:t>
      </w:r>
    </w:p>
    <w:p w:rsidR="009E5200" w:rsidRPr="00277C9A" w:rsidRDefault="009E5200" w:rsidP="009E5200">
      <w:pPr>
        <w:jc w:val="both"/>
        <w:rPr>
          <w:i/>
          <w:sz w:val="18"/>
          <w:szCs w:val="18"/>
        </w:rPr>
      </w:pPr>
      <w:r w:rsidRPr="00277C9A">
        <w:rPr>
          <w:i/>
          <w:sz w:val="18"/>
          <w:szCs w:val="18"/>
        </w:rPr>
        <w:t xml:space="preserve">                            Předchozí </w:t>
      </w:r>
      <w:proofErr w:type="spellStart"/>
      <w:r w:rsidRPr="00277C9A">
        <w:rPr>
          <w:i/>
          <w:sz w:val="18"/>
          <w:szCs w:val="18"/>
        </w:rPr>
        <w:t>MoV</w:t>
      </w:r>
      <w:proofErr w:type="spellEnd"/>
      <w:r>
        <w:rPr>
          <w:i/>
          <w:sz w:val="18"/>
          <w:szCs w:val="18"/>
        </w:rPr>
        <w:t xml:space="preserve"> </w:t>
      </w:r>
      <w:r w:rsidRPr="00277C9A">
        <w:rPr>
          <w:i/>
          <w:sz w:val="18"/>
          <w:szCs w:val="18"/>
        </w:rPr>
        <w:t xml:space="preserve">– </w:t>
      </w:r>
      <w:r w:rsidR="00C06B55">
        <w:rPr>
          <w:i/>
        </w:rPr>
        <w:t>27,473</w:t>
      </w:r>
    </w:p>
    <w:p w:rsidR="009E5200" w:rsidRPr="00501B7E" w:rsidRDefault="009E5200" w:rsidP="009E5200">
      <w:pPr>
        <w:jc w:val="both"/>
        <w:rPr>
          <w:i/>
          <w:sz w:val="18"/>
          <w:szCs w:val="18"/>
        </w:rPr>
      </w:pPr>
      <w:r w:rsidRPr="00277C9A">
        <w:rPr>
          <w:i/>
          <w:sz w:val="18"/>
          <w:szCs w:val="18"/>
        </w:rPr>
        <w:t xml:space="preserve">Zdroj financování – </w:t>
      </w:r>
      <w:r>
        <w:rPr>
          <w:i/>
          <w:sz w:val="18"/>
          <w:szCs w:val="18"/>
        </w:rPr>
        <w:t xml:space="preserve">podíl EU </w:t>
      </w:r>
    </w:p>
    <w:p w:rsidR="00D9591B" w:rsidRDefault="00D9591B" w:rsidP="002F2C3F">
      <w:pPr>
        <w:jc w:val="both"/>
        <w:rPr>
          <w:b/>
          <w:sz w:val="28"/>
          <w:szCs w:val="28"/>
        </w:rPr>
      </w:pPr>
    </w:p>
    <w:p w:rsidR="008A34EC" w:rsidRDefault="008A34EC" w:rsidP="002F2C3F">
      <w:pPr>
        <w:jc w:val="both"/>
        <w:rPr>
          <w:b/>
          <w:sz w:val="28"/>
          <w:szCs w:val="28"/>
        </w:rPr>
      </w:pPr>
    </w:p>
    <w:p w:rsidR="008A34EC" w:rsidRDefault="008A34EC" w:rsidP="002F2C3F">
      <w:pPr>
        <w:jc w:val="both"/>
        <w:rPr>
          <w:b/>
          <w:sz w:val="28"/>
          <w:szCs w:val="28"/>
        </w:rPr>
        <w:sectPr w:rsidR="008A34EC" w:rsidSect="00356E21">
          <w:pgSz w:w="16840" w:h="11907" w:orient="landscape" w:code="9"/>
          <w:pgMar w:top="1418" w:right="1418" w:bottom="1418" w:left="1418" w:header="709" w:footer="709" w:gutter="0"/>
          <w:cols w:space="708"/>
          <w:docGrid w:linePitch="272"/>
        </w:sectPr>
      </w:pPr>
    </w:p>
    <w:p w:rsidR="002F2C3F" w:rsidRDefault="002F2C3F" w:rsidP="002F2C3F">
      <w:pPr>
        <w:pStyle w:val="Nadpis3"/>
        <w:rPr>
          <w:rFonts w:ascii="Times New Roman" w:hAnsi="Times New Roman"/>
          <w:sz w:val="24"/>
          <w:szCs w:val="24"/>
        </w:rPr>
      </w:pPr>
      <w:bookmarkStart w:id="84" w:name="_Toc306893710"/>
      <w:bookmarkStart w:id="85" w:name="_Toc433873497"/>
      <w:r w:rsidRPr="006266F5">
        <w:rPr>
          <w:rFonts w:ascii="Times New Roman" w:hAnsi="Times New Roman"/>
          <w:sz w:val="24"/>
          <w:szCs w:val="24"/>
        </w:rPr>
        <w:lastRenderedPageBreak/>
        <w:t>3.2.3 Naplňování indikátorů</w:t>
      </w:r>
      <w:bookmarkEnd w:id="84"/>
      <w:bookmarkEnd w:id="85"/>
    </w:p>
    <w:p w:rsidR="009D20A1" w:rsidRPr="009D20A1" w:rsidRDefault="009D20A1" w:rsidP="009D20A1">
      <w:pPr>
        <w:jc w:val="both"/>
        <w:rPr>
          <w:sz w:val="22"/>
          <w:szCs w:val="22"/>
        </w:rPr>
      </w:pPr>
      <w:r w:rsidRPr="009D20A1">
        <w:rPr>
          <w:sz w:val="22"/>
          <w:szCs w:val="22"/>
        </w:rPr>
        <w:t>Projekty mají stanovena data naplnění monitorovacích indikátorů na konec realizace projektu, spolu s posunem data dokončení projektů dochází k posunu data naplnění monitorovacího indikátoru.</w:t>
      </w:r>
    </w:p>
    <w:p w:rsidR="009D20A1" w:rsidRPr="009D20A1" w:rsidRDefault="009D20A1" w:rsidP="009D20A1">
      <w:pPr>
        <w:jc w:val="both"/>
      </w:pPr>
    </w:p>
    <w:p w:rsidR="009D20A1" w:rsidRPr="009D20A1" w:rsidRDefault="009D20A1" w:rsidP="009D20A1">
      <w:pPr>
        <w:jc w:val="both"/>
        <w:rPr>
          <w:sz w:val="22"/>
          <w:szCs w:val="22"/>
        </w:rPr>
      </w:pPr>
      <w:r w:rsidRPr="009D20A1">
        <w:rPr>
          <w:sz w:val="22"/>
          <w:szCs w:val="22"/>
        </w:rPr>
        <w:t xml:space="preserve">U indikátoru </w:t>
      </w:r>
      <w:r w:rsidRPr="009D20A1">
        <w:rPr>
          <w:b/>
          <w:bCs/>
          <w:sz w:val="22"/>
          <w:szCs w:val="22"/>
        </w:rPr>
        <w:t>150105 Počet kontaktních míst veřejné správy (Czech Point)</w:t>
      </w:r>
      <w:r w:rsidRPr="009D20A1">
        <w:rPr>
          <w:sz w:val="22"/>
          <w:szCs w:val="22"/>
        </w:rPr>
        <w:t xml:space="preserve"> jsou všechny projekty </w:t>
      </w:r>
      <w:r w:rsidRPr="009D20A1">
        <w:rPr>
          <w:sz w:val="22"/>
          <w:szCs w:val="22"/>
        </w:rPr>
        <w:br/>
        <w:t>až na jednotlivé výjimky dokončeny. Indikátor je ke konci sledovaného období naplněn. Došlo k pře</w:t>
      </w:r>
      <w:r w:rsidR="00C45BDC">
        <w:rPr>
          <w:sz w:val="22"/>
          <w:szCs w:val="22"/>
        </w:rPr>
        <w:t xml:space="preserve">kročení </w:t>
      </w:r>
      <w:r w:rsidR="001A6209">
        <w:rPr>
          <w:sz w:val="22"/>
          <w:szCs w:val="22"/>
        </w:rPr>
        <w:t>cílové</w:t>
      </w:r>
      <w:r w:rsidR="00C45BDC">
        <w:rPr>
          <w:sz w:val="22"/>
          <w:szCs w:val="22"/>
        </w:rPr>
        <w:t xml:space="preserve"> hodnoty</w:t>
      </w:r>
      <w:r w:rsidRPr="009D20A1">
        <w:rPr>
          <w:sz w:val="22"/>
          <w:szCs w:val="22"/>
        </w:rPr>
        <w:t xml:space="preserve"> indikátoru o cca 5</w:t>
      </w:r>
      <w:r w:rsidR="00C45BDC">
        <w:rPr>
          <w:sz w:val="22"/>
          <w:szCs w:val="22"/>
        </w:rPr>
        <w:t xml:space="preserve"> </w:t>
      </w:r>
      <w:r w:rsidRPr="009D20A1">
        <w:rPr>
          <w:sz w:val="22"/>
          <w:szCs w:val="22"/>
          <w:lang w:val="en-US"/>
        </w:rPr>
        <w:t>%</w:t>
      </w:r>
      <w:r w:rsidRPr="009D20A1">
        <w:rPr>
          <w:sz w:val="22"/>
          <w:szCs w:val="22"/>
        </w:rPr>
        <w:t>, což je zapříčiněno zvýšenou potřebou na kontaktní místa, která se projevila v průběhu programového období 2007 – 2013.</w:t>
      </w:r>
    </w:p>
    <w:p w:rsidR="009D20A1" w:rsidRPr="009D20A1" w:rsidRDefault="009D20A1" w:rsidP="009D20A1">
      <w:pPr>
        <w:jc w:val="both"/>
        <w:rPr>
          <w:sz w:val="22"/>
          <w:szCs w:val="22"/>
        </w:rPr>
      </w:pPr>
    </w:p>
    <w:p w:rsidR="009D20A1" w:rsidRPr="009D20A1" w:rsidRDefault="009D20A1" w:rsidP="009D20A1">
      <w:pPr>
        <w:jc w:val="both"/>
        <w:rPr>
          <w:sz w:val="22"/>
          <w:szCs w:val="22"/>
          <w:lang w:val="en-US"/>
        </w:rPr>
      </w:pPr>
      <w:r w:rsidRPr="009D20A1">
        <w:rPr>
          <w:sz w:val="22"/>
          <w:szCs w:val="22"/>
        </w:rPr>
        <w:t xml:space="preserve">U indikátorů </w:t>
      </w:r>
      <w:r w:rsidRPr="009D20A1">
        <w:rPr>
          <w:b/>
          <w:bCs/>
          <w:sz w:val="22"/>
          <w:szCs w:val="22"/>
        </w:rPr>
        <w:t>150117 Podíl registrů místní veřejné správy napojených na centrální registry</w:t>
      </w:r>
      <w:r w:rsidRPr="009D20A1">
        <w:rPr>
          <w:sz w:val="22"/>
          <w:szCs w:val="22"/>
        </w:rPr>
        <w:t xml:space="preserve">, </w:t>
      </w:r>
      <w:r w:rsidRPr="009D20A1">
        <w:rPr>
          <w:b/>
          <w:bCs/>
          <w:sz w:val="22"/>
          <w:szCs w:val="22"/>
        </w:rPr>
        <w:t>150115 Podíl lokálních sítí zapojených do KIVS</w:t>
      </w:r>
      <w:r w:rsidRPr="009D20A1">
        <w:rPr>
          <w:sz w:val="22"/>
          <w:szCs w:val="22"/>
        </w:rPr>
        <w:t xml:space="preserve"> a </w:t>
      </w:r>
      <w:r w:rsidRPr="009D20A1">
        <w:rPr>
          <w:b/>
          <w:bCs/>
          <w:sz w:val="22"/>
          <w:szCs w:val="22"/>
        </w:rPr>
        <w:t xml:space="preserve">150116 Podíl regionálních portálů integrovaných s Portálem veřejné správy </w:t>
      </w:r>
      <w:r w:rsidRPr="009D20A1">
        <w:rPr>
          <w:sz w:val="22"/>
          <w:szCs w:val="22"/>
        </w:rPr>
        <w:t>došlo ve sledovaném období k naplnění indikátorů.</w:t>
      </w:r>
      <w:r w:rsidRPr="009D20A1">
        <w:rPr>
          <w:b/>
          <w:bCs/>
          <w:sz w:val="22"/>
          <w:szCs w:val="22"/>
        </w:rPr>
        <w:t xml:space="preserve"> </w:t>
      </w:r>
      <w:r w:rsidRPr="009D20A1">
        <w:rPr>
          <w:bCs/>
          <w:sz w:val="22"/>
          <w:szCs w:val="22"/>
        </w:rPr>
        <w:t>Zároveň došlo k</w:t>
      </w:r>
      <w:r w:rsidR="003715C2">
        <w:rPr>
          <w:bCs/>
          <w:sz w:val="22"/>
          <w:szCs w:val="22"/>
        </w:rPr>
        <w:t xml:space="preserve"> překročení cílové hodnoty </w:t>
      </w:r>
      <w:r w:rsidR="00101E17" w:rsidRPr="009D20A1">
        <w:rPr>
          <w:bCs/>
          <w:sz w:val="22"/>
          <w:szCs w:val="22"/>
        </w:rPr>
        <w:t>indikátoru ze 75</w:t>
      </w:r>
      <w:r w:rsidR="00C45BDC">
        <w:rPr>
          <w:bCs/>
          <w:sz w:val="22"/>
          <w:szCs w:val="22"/>
        </w:rPr>
        <w:t xml:space="preserve"> </w:t>
      </w:r>
      <w:r w:rsidRPr="009D20A1">
        <w:rPr>
          <w:bCs/>
          <w:sz w:val="22"/>
          <w:szCs w:val="22"/>
          <w:lang w:val="en-US"/>
        </w:rPr>
        <w:t>%</w:t>
      </w:r>
      <w:r w:rsidRPr="009D20A1">
        <w:rPr>
          <w:bCs/>
          <w:sz w:val="22"/>
          <w:szCs w:val="22"/>
        </w:rPr>
        <w:t xml:space="preserve"> na 100</w:t>
      </w:r>
      <w:r w:rsidR="00C45BDC">
        <w:rPr>
          <w:bCs/>
          <w:sz w:val="22"/>
          <w:szCs w:val="22"/>
        </w:rPr>
        <w:t xml:space="preserve"> </w:t>
      </w:r>
      <w:r w:rsidRPr="009D20A1">
        <w:rPr>
          <w:bCs/>
          <w:sz w:val="22"/>
          <w:szCs w:val="22"/>
          <w:lang w:val="en-US"/>
        </w:rPr>
        <w:t>%.</w:t>
      </w:r>
    </w:p>
    <w:p w:rsidR="009D20A1" w:rsidRPr="009D20A1" w:rsidRDefault="009D20A1" w:rsidP="009D20A1">
      <w:pPr>
        <w:jc w:val="both"/>
        <w:rPr>
          <w:sz w:val="22"/>
          <w:szCs w:val="22"/>
        </w:rPr>
      </w:pPr>
    </w:p>
    <w:p w:rsidR="00393EAA" w:rsidRPr="00393EAA" w:rsidRDefault="00393EAA" w:rsidP="00393EAA">
      <w:pPr>
        <w:jc w:val="both"/>
        <w:rPr>
          <w:sz w:val="22"/>
          <w:szCs w:val="22"/>
        </w:rPr>
      </w:pPr>
      <w:r w:rsidRPr="00393EAA">
        <w:rPr>
          <w:sz w:val="22"/>
          <w:szCs w:val="22"/>
        </w:rPr>
        <w:t>U indikátoru  </w:t>
      </w:r>
      <w:r w:rsidRPr="00393EAA">
        <w:rPr>
          <w:b/>
          <w:bCs/>
          <w:sz w:val="22"/>
          <w:szCs w:val="22"/>
        </w:rPr>
        <w:t>150114 Počet nové plně elektronizované agendy místní veřejné správy</w:t>
      </w:r>
      <w:r w:rsidRPr="00393EAA">
        <w:rPr>
          <w:sz w:val="22"/>
          <w:szCs w:val="22"/>
        </w:rPr>
        <w:t xml:space="preserve"> došlo k překročení plánované hodnoty v souvislosti s projekty výzvy 22. Důvodem překročení plánované hodnoty indikátoru je zvýšená absorpční kapacita, které se projevila v průběhu programového období.</w:t>
      </w:r>
      <w:r w:rsidRPr="00393EAA">
        <w:rPr>
          <w:rStyle w:val="Odkaznakoment"/>
          <w:sz w:val="22"/>
          <w:szCs w:val="22"/>
        </w:rPr>
        <w:t xml:space="preserve">  </w:t>
      </w:r>
      <w:r w:rsidRPr="00393EAA">
        <w:rPr>
          <w:sz w:val="22"/>
          <w:szCs w:val="22"/>
        </w:rPr>
        <w:t xml:space="preserve">Dále dochází k postupnému dokončování projektů 6, 8 a 9 výzvy. </w:t>
      </w:r>
    </w:p>
    <w:p w:rsidR="009D20A1" w:rsidRPr="009D20A1" w:rsidRDefault="009D20A1" w:rsidP="009D20A1">
      <w:pPr>
        <w:jc w:val="both"/>
        <w:rPr>
          <w:sz w:val="22"/>
          <w:szCs w:val="22"/>
        </w:rPr>
      </w:pPr>
    </w:p>
    <w:p w:rsidR="009D20A1" w:rsidRPr="003715C2" w:rsidRDefault="009D20A1" w:rsidP="009D20A1">
      <w:pPr>
        <w:jc w:val="both"/>
        <w:rPr>
          <w:bCs/>
          <w:sz w:val="22"/>
          <w:szCs w:val="22"/>
          <w:highlight w:val="yellow"/>
        </w:rPr>
      </w:pPr>
      <w:r w:rsidRPr="002B1255">
        <w:rPr>
          <w:sz w:val="22"/>
          <w:szCs w:val="22"/>
        </w:rPr>
        <w:t xml:space="preserve">U indikátoru </w:t>
      </w:r>
      <w:r w:rsidRPr="002B1255">
        <w:rPr>
          <w:b/>
          <w:bCs/>
          <w:sz w:val="22"/>
          <w:szCs w:val="22"/>
        </w:rPr>
        <w:t xml:space="preserve">150112 Podíl digitalizovaných dokumentů </w:t>
      </w:r>
      <w:r w:rsidRPr="002B1255">
        <w:rPr>
          <w:sz w:val="22"/>
          <w:szCs w:val="22"/>
        </w:rPr>
        <w:t xml:space="preserve">došlo ve sledovaném období k naplnění </w:t>
      </w:r>
      <w:r w:rsidR="00C45BDC" w:rsidRPr="002B1255">
        <w:rPr>
          <w:sz w:val="22"/>
          <w:szCs w:val="22"/>
        </w:rPr>
        <w:t>plánované hodnoty</w:t>
      </w:r>
      <w:r w:rsidRPr="002B1255">
        <w:rPr>
          <w:sz w:val="22"/>
          <w:szCs w:val="22"/>
        </w:rPr>
        <w:t>.</w:t>
      </w:r>
      <w:r w:rsidRPr="002B1255">
        <w:rPr>
          <w:bCs/>
          <w:sz w:val="22"/>
          <w:szCs w:val="22"/>
        </w:rPr>
        <w:t xml:space="preserve"> Zároveň došlo k</w:t>
      </w:r>
      <w:r w:rsidR="003715C2" w:rsidRPr="002B1255">
        <w:rPr>
          <w:bCs/>
          <w:sz w:val="22"/>
          <w:szCs w:val="22"/>
        </w:rPr>
        <w:t xml:space="preserve"> překročení cílové hodnoty </w:t>
      </w:r>
      <w:r w:rsidRPr="002B1255">
        <w:rPr>
          <w:bCs/>
          <w:sz w:val="22"/>
          <w:szCs w:val="22"/>
        </w:rPr>
        <w:t>indikátoru z cílové</w:t>
      </w:r>
      <w:r w:rsidRPr="009D20A1">
        <w:rPr>
          <w:bCs/>
          <w:sz w:val="22"/>
          <w:szCs w:val="22"/>
        </w:rPr>
        <w:t xml:space="preserve"> hodnoty 20</w:t>
      </w:r>
      <w:r w:rsidR="00C45BDC">
        <w:rPr>
          <w:bCs/>
          <w:sz w:val="22"/>
          <w:szCs w:val="22"/>
        </w:rPr>
        <w:t xml:space="preserve"> </w:t>
      </w:r>
      <w:r w:rsidRPr="009D20A1">
        <w:rPr>
          <w:bCs/>
          <w:sz w:val="22"/>
          <w:szCs w:val="22"/>
        </w:rPr>
        <w:t>% na 25,08 %, což bylo způsobeno nepřesným nastavením cílové hodnoty indikátoru.</w:t>
      </w:r>
    </w:p>
    <w:p w:rsidR="009D20A1" w:rsidRPr="009D20A1" w:rsidRDefault="009D20A1" w:rsidP="009D20A1">
      <w:pPr>
        <w:jc w:val="both"/>
        <w:rPr>
          <w:b/>
          <w:bCs/>
          <w:sz w:val="22"/>
          <w:szCs w:val="22"/>
        </w:rPr>
      </w:pPr>
    </w:p>
    <w:p w:rsidR="00393EAA" w:rsidRPr="00393EAA" w:rsidRDefault="00393EAA" w:rsidP="00393EAA">
      <w:pPr>
        <w:jc w:val="both"/>
        <w:rPr>
          <w:sz w:val="22"/>
          <w:szCs w:val="22"/>
        </w:rPr>
      </w:pPr>
      <w:r w:rsidRPr="00393EAA">
        <w:rPr>
          <w:sz w:val="22"/>
          <w:szCs w:val="22"/>
        </w:rPr>
        <w:t xml:space="preserve">U indikátoru </w:t>
      </w:r>
      <w:r w:rsidRPr="00393EAA">
        <w:rPr>
          <w:b/>
          <w:bCs/>
          <w:sz w:val="22"/>
          <w:szCs w:val="22"/>
        </w:rPr>
        <w:t>150113 Podíl úřadů s elektronickou spisovou službou a elektronicky řízeným oběhem dokumentů</w:t>
      </w:r>
      <w:r w:rsidRPr="00393EAA">
        <w:rPr>
          <w:sz w:val="22"/>
          <w:szCs w:val="22"/>
        </w:rPr>
        <w:t xml:space="preserve"> nejsou započítány úřady obcí využívající hostovanou </w:t>
      </w:r>
      <w:proofErr w:type="spellStart"/>
      <w:r w:rsidRPr="00393EAA">
        <w:rPr>
          <w:sz w:val="22"/>
          <w:szCs w:val="22"/>
        </w:rPr>
        <w:t>eSSl</w:t>
      </w:r>
      <w:proofErr w:type="spellEnd"/>
      <w:r w:rsidRPr="00393EAA">
        <w:rPr>
          <w:sz w:val="22"/>
          <w:szCs w:val="22"/>
        </w:rPr>
        <w:t xml:space="preserve"> nadřazeného ORP nebo kraje, takže indikátor nebude naplněn, ovšem zamýšlený počet úřadů byl podpořen. Možnost sdílení hostované </w:t>
      </w:r>
      <w:proofErr w:type="spellStart"/>
      <w:r w:rsidRPr="00393EAA">
        <w:rPr>
          <w:sz w:val="22"/>
          <w:szCs w:val="22"/>
        </w:rPr>
        <w:t>eSSI</w:t>
      </w:r>
      <w:proofErr w:type="spellEnd"/>
      <w:r w:rsidRPr="00393EAA">
        <w:rPr>
          <w:sz w:val="22"/>
          <w:szCs w:val="22"/>
        </w:rPr>
        <w:t xml:space="preserve"> se objevila v průběhu programového období, a byla využita především pro svou hospodárnost a efektivitu.</w:t>
      </w:r>
    </w:p>
    <w:p w:rsidR="00A12DE2" w:rsidRDefault="00A12DE2" w:rsidP="00C05CC8">
      <w:pPr>
        <w:jc w:val="both"/>
        <w:rPr>
          <w:color w:val="00B050"/>
          <w:sz w:val="22"/>
          <w:szCs w:val="22"/>
        </w:rPr>
      </w:pPr>
    </w:p>
    <w:p w:rsidR="005173B8" w:rsidRDefault="00B853A0" w:rsidP="0081252F">
      <w:pPr>
        <w:pStyle w:val="Tabulkanzev"/>
        <w:rPr>
          <w:rStyle w:val="Siln"/>
        </w:rPr>
      </w:pPr>
      <w:bookmarkStart w:id="86" w:name="_Toc433873552"/>
      <w:r w:rsidRPr="0027677A">
        <w:rPr>
          <w:rStyle w:val="Siln"/>
        </w:rPr>
        <w:t>Indikátory výstupu</w:t>
      </w:r>
      <w:bookmarkEnd w:id="86"/>
    </w:p>
    <w:tbl>
      <w:tblPr>
        <w:tblW w:w="9149" w:type="dxa"/>
        <w:tblInd w:w="55" w:type="dxa"/>
        <w:tblCellMar>
          <w:left w:w="70" w:type="dxa"/>
          <w:right w:w="70" w:type="dxa"/>
        </w:tblCellMar>
        <w:tblLook w:val="04A0" w:firstRow="1" w:lastRow="0" w:firstColumn="1" w:lastColumn="0" w:noHBand="0" w:noVBand="1"/>
      </w:tblPr>
      <w:tblGrid>
        <w:gridCol w:w="948"/>
        <w:gridCol w:w="1484"/>
        <w:gridCol w:w="1012"/>
        <w:gridCol w:w="995"/>
        <w:gridCol w:w="995"/>
        <w:gridCol w:w="1300"/>
        <w:gridCol w:w="1054"/>
        <w:gridCol w:w="1361"/>
      </w:tblGrid>
      <w:tr w:rsidR="00461AD1" w:rsidRPr="00461AD1" w:rsidTr="00B97BC0">
        <w:trPr>
          <w:trHeight w:val="1276"/>
          <w:tblHeader/>
        </w:trPr>
        <w:tc>
          <w:tcPr>
            <w:tcW w:w="948" w:type="dxa"/>
            <w:tcBorders>
              <w:top w:val="single" w:sz="8" w:space="0" w:color="1F497D"/>
              <w:left w:val="single" w:sz="8" w:space="0" w:color="1F497D"/>
              <w:bottom w:val="single" w:sz="8" w:space="0" w:color="1F497D"/>
              <w:right w:val="single" w:sz="8" w:space="0" w:color="1F497D"/>
            </w:tcBorders>
            <w:shd w:val="clear" w:color="000000" w:fill="C5D9F1"/>
            <w:vAlign w:val="center"/>
            <w:hideMark/>
          </w:tcPr>
          <w:p w:rsidR="00461AD1" w:rsidRPr="00461AD1" w:rsidRDefault="00461AD1" w:rsidP="00461AD1">
            <w:pPr>
              <w:jc w:val="center"/>
              <w:rPr>
                <w:b/>
                <w:bCs/>
              </w:rPr>
            </w:pPr>
            <w:r w:rsidRPr="00461AD1">
              <w:rPr>
                <w:b/>
                <w:bCs/>
              </w:rPr>
              <w:t>Kód</w:t>
            </w:r>
          </w:p>
        </w:tc>
        <w:tc>
          <w:tcPr>
            <w:tcW w:w="1484" w:type="dxa"/>
            <w:tcBorders>
              <w:top w:val="single" w:sz="8" w:space="0" w:color="1F497D"/>
              <w:left w:val="nil"/>
              <w:bottom w:val="single" w:sz="8" w:space="0" w:color="1F497D"/>
              <w:right w:val="single" w:sz="8" w:space="0" w:color="1F497D"/>
            </w:tcBorders>
            <w:shd w:val="clear" w:color="000000" w:fill="C5D9F1"/>
            <w:vAlign w:val="center"/>
            <w:hideMark/>
          </w:tcPr>
          <w:p w:rsidR="00461AD1" w:rsidRPr="00461AD1" w:rsidRDefault="00461AD1" w:rsidP="00461AD1">
            <w:pPr>
              <w:jc w:val="center"/>
              <w:rPr>
                <w:b/>
                <w:bCs/>
              </w:rPr>
            </w:pPr>
            <w:r w:rsidRPr="00461AD1">
              <w:rPr>
                <w:b/>
                <w:bCs/>
              </w:rPr>
              <w:t>Název indikátoru</w:t>
            </w:r>
          </w:p>
        </w:tc>
        <w:tc>
          <w:tcPr>
            <w:tcW w:w="1012" w:type="dxa"/>
            <w:tcBorders>
              <w:top w:val="single" w:sz="8" w:space="0" w:color="1F497D"/>
              <w:left w:val="nil"/>
              <w:bottom w:val="single" w:sz="8" w:space="0" w:color="1F497D"/>
              <w:right w:val="single" w:sz="8" w:space="0" w:color="1F497D"/>
            </w:tcBorders>
            <w:shd w:val="clear" w:color="000000" w:fill="C5D9F1"/>
            <w:vAlign w:val="center"/>
            <w:hideMark/>
          </w:tcPr>
          <w:p w:rsidR="00461AD1" w:rsidRPr="00461AD1" w:rsidRDefault="00461AD1" w:rsidP="00461AD1">
            <w:pPr>
              <w:jc w:val="center"/>
              <w:rPr>
                <w:b/>
                <w:bCs/>
              </w:rPr>
            </w:pPr>
            <w:r w:rsidRPr="00461AD1">
              <w:rPr>
                <w:b/>
                <w:bCs/>
              </w:rPr>
              <w:t>Měrná jednotka</w:t>
            </w:r>
          </w:p>
        </w:tc>
        <w:tc>
          <w:tcPr>
            <w:tcW w:w="995" w:type="dxa"/>
            <w:tcBorders>
              <w:top w:val="single" w:sz="8" w:space="0" w:color="1F497D"/>
              <w:left w:val="nil"/>
              <w:bottom w:val="single" w:sz="8" w:space="0" w:color="1F497D"/>
              <w:right w:val="single" w:sz="8" w:space="0" w:color="1F497D"/>
            </w:tcBorders>
            <w:shd w:val="clear" w:color="000000" w:fill="C5D9F1"/>
            <w:vAlign w:val="center"/>
            <w:hideMark/>
          </w:tcPr>
          <w:p w:rsidR="00461AD1" w:rsidRPr="00461AD1" w:rsidRDefault="00461AD1" w:rsidP="00461AD1">
            <w:pPr>
              <w:jc w:val="center"/>
              <w:rPr>
                <w:b/>
                <w:bCs/>
              </w:rPr>
            </w:pPr>
            <w:r w:rsidRPr="00461AD1">
              <w:rPr>
                <w:b/>
                <w:bCs/>
              </w:rPr>
              <w:t xml:space="preserve">Výchozí hodnota </w:t>
            </w:r>
          </w:p>
        </w:tc>
        <w:tc>
          <w:tcPr>
            <w:tcW w:w="995" w:type="dxa"/>
            <w:tcBorders>
              <w:top w:val="single" w:sz="8" w:space="0" w:color="1F497D"/>
              <w:left w:val="nil"/>
              <w:bottom w:val="single" w:sz="8" w:space="0" w:color="1F497D"/>
              <w:right w:val="single" w:sz="8" w:space="0" w:color="1F497D"/>
            </w:tcBorders>
            <w:shd w:val="clear" w:color="000000" w:fill="C5D9F1"/>
            <w:vAlign w:val="center"/>
            <w:hideMark/>
          </w:tcPr>
          <w:p w:rsidR="00461AD1" w:rsidRPr="00461AD1" w:rsidRDefault="00461AD1" w:rsidP="00461AD1">
            <w:pPr>
              <w:jc w:val="center"/>
              <w:rPr>
                <w:b/>
                <w:bCs/>
              </w:rPr>
            </w:pPr>
            <w:r w:rsidRPr="00461AD1">
              <w:rPr>
                <w:b/>
                <w:bCs/>
              </w:rPr>
              <w:t>Cílová hodnota</w:t>
            </w:r>
          </w:p>
        </w:tc>
        <w:tc>
          <w:tcPr>
            <w:tcW w:w="1300" w:type="dxa"/>
            <w:tcBorders>
              <w:top w:val="single" w:sz="8" w:space="0" w:color="1F497D"/>
              <w:left w:val="nil"/>
              <w:bottom w:val="single" w:sz="8" w:space="0" w:color="1F497D"/>
              <w:right w:val="single" w:sz="8" w:space="0" w:color="1F497D"/>
            </w:tcBorders>
            <w:shd w:val="clear" w:color="000000" w:fill="C5D9F1"/>
            <w:vAlign w:val="center"/>
            <w:hideMark/>
          </w:tcPr>
          <w:p w:rsidR="00461AD1" w:rsidRPr="00461AD1" w:rsidRDefault="00461AD1" w:rsidP="00461AD1">
            <w:pPr>
              <w:jc w:val="center"/>
              <w:rPr>
                <w:b/>
                <w:bCs/>
              </w:rPr>
            </w:pPr>
            <w:r w:rsidRPr="00461AD1">
              <w:rPr>
                <w:b/>
                <w:bCs/>
              </w:rPr>
              <w:t>Závazek ze schválených projektů</w:t>
            </w:r>
          </w:p>
        </w:tc>
        <w:tc>
          <w:tcPr>
            <w:tcW w:w="1054" w:type="dxa"/>
            <w:tcBorders>
              <w:top w:val="single" w:sz="8" w:space="0" w:color="1F497D"/>
              <w:left w:val="nil"/>
              <w:bottom w:val="single" w:sz="8" w:space="0" w:color="1F497D"/>
              <w:right w:val="single" w:sz="8" w:space="0" w:color="1F497D"/>
            </w:tcBorders>
            <w:shd w:val="clear" w:color="000000" w:fill="C5D9F1"/>
            <w:vAlign w:val="center"/>
            <w:hideMark/>
          </w:tcPr>
          <w:p w:rsidR="00461AD1" w:rsidRPr="00461AD1" w:rsidRDefault="00461AD1" w:rsidP="00461AD1">
            <w:pPr>
              <w:jc w:val="center"/>
              <w:rPr>
                <w:b/>
                <w:bCs/>
              </w:rPr>
            </w:pPr>
            <w:r w:rsidRPr="00461AD1">
              <w:rPr>
                <w:b/>
                <w:bCs/>
              </w:rPr>
              <w:t>Dosažená hodnota k 30. 9. 2015</w:t>
            </w:r>
          </w:p>
        </w:tc>
        <w:tc>
          <w:tcPr>
            <w:tcW w:w="1361" w:type="dxa"/>
            <w:tcBorders>
              <w:top w:val="single" w:sz="8" w:space="0" w:color="1F497D"/>
              <w:left w:val="nil"/>
              <w:bottom w:val="single" w:sz="8" w:space="0" w:color="1F497D"/>
              <w:right w:val="single" w:sz="8" w:space="0" w:color="1F497D"/>
            </w:tcBorders>
            <w:shd w:val="clear" w:color="000000" w:fill="C5D9F1"/>
            <w:vAlign w:val="center"/>
            <w:hideMark/>
          </w:tcPr>
          <w:p w:rsidR="00461AD1" w:rsidRPr="00461AD1" w:rsidRDefault="00461AD1" w:rsidP="00461AD1">
            <w:pPr>
              <w:jc w:val="center"/>
              <w:rPr>
                <w:b/>
                <w:bCs/>
              </w:rPr>
            </w:pPr>
            <w:r w:rsidRPr="00461AD1">
              <w:rPr>
                <w:b/>
                <w:bCs/>
              </w:rPr>
              <w:t>V Rozhodnutí k 30. 9. 2015</w:t>
            </w:r>
          </w:p>
        </w:tc>
      </w:tr>
      <w:tr w:rsidR="00461AD1" w:rsidRPr="00461AD1" w:rsidTr="00461AD1">
        <w:trPr>
          <w:trHeight w:val="930"/>
        </w:trPr>
        <w:tc>
          <w:tcPr>
            <w:tcW w:w="948" w:type="dxa"/>
            <w:tcBorders>
              <w:top w:val="nil"/>
              <w:left w:val="single" w:sz="8" w:space="0" w:color="1F497D"/>
              <w:bottom w:val="single" w:sz="8" w:space="0" w:color="1F497D"/>
              <w:right w:val="single" w:sz="8" w:space="0" w:color="1F497D"/>
            </w:tcBorders>
            <w:shd w:val="clear" w:color="auto" w:fill="auto"/>
            <w:noWrap/>
            <w:vAlign w:val="center"/>
            <w:hideMark/>
          </w:tcPr>
          <w:p w:rsidR="00461AD1" w:rsidRPr="00461AD1" w:rsidRDefault="00461AD1" w:rsidP="00461AD1">
            <w:pPr>
              <w:jc w:val="center"/>
            </w:pPr>
            <w:r w:rsidRPr="00461AD1">
              <w:t>150105</w:t>
            </w:r>
          </w:p>
        </w:tc>
        <w:tc>
          <w:tcPr>
            <w:tcW w:w="1484" w:type="dxa"/>
            <w:tcBorders>
              <w:top w:val="nil"/>
              <w:left w:val="nil"/>
              <w:bottom w:val="single" w:sz="8" w:space="0" w:color="1F497D"/>
              <w:right w:val="single" w:sz="8" w:space="0" w:color="1F497D"/>
            </w:tcBorders>
            <w:shd w:val="clear" w:color="auto" w:fill="auto"/>
            <w:vAlign w:val="center"/>
            <w:hideMark/>
          </w:tcPr>
          <w:p w:rsidR="00461AD1" w:rsidRPr="00461AD1" w:rsidRDefault="00461AD1" w:rsidP="00461AD1">
            <w:r w:rsidRPr="00461AD1">
              <w:t xml:space="preserve">Počet kontaktních míst veřejné správy (Czech Point) </w:t>
            </w:r>
          </w:p>
        </w:tc>
        <w:tc>
          <w:tcPr>
            <w:tcW w:w="1012" w:type="dxa"/>
            <w:tcBorders>
              <w:top w:val="nil"/>
              <w:left w:val="nil"/>
              <w:bottom w:val="single" w:sz="4" w:space="0" w:color="auto"/>
              <w:right w:val="single" w:sz="4" w:space="0" w:color="auto"/>
            </w:tcBorders>
            <w:shd w:val="clear" w:color="auto" w:fill="auto"/>
            <w:noWrap/>
            <w:vAlign w:val="center"/>
            <w:hideMark/>
          </w:tcPr>
          <w:p w:rsidR="00461AD1" w:rsidRPr="00461AD1" w:rsidRDefault="00461AD1" w:rsidP="00461AD1">
            <w:pPr>
              <w:jc w:val="center"/>
            </w:pPr>
            <w:r w:rsidRPr="00461AD1">
              <w:t>Počet</w:t>
            </w:r>
          </w:p>
        </w:tc>
        <w:tc>
          <w:tcPr>
            <w:tcW w:w="995" w:type="dxa"/>
            <w:tcBorders>
              <w:top w:val="nil"/>
              <w:left w:val="nil"/>
              <w:bottom w:val="single" w:sz="4" w:space="0" w:color="auto"/>
              <w:right w:val="single" w:sz="4" w:space="0" w:color="auto"/>
            </w:tcBorders>
            <w:shd w:val="clear" w:color="auto" w:fill="auto"/>
            <w:noWrap/>
            <w:vAlign w:val="center"/>
            <w:hideMark/>
          </w:tcPr>
          <w:p w:rsidR="00461AD1" w:rsidRPr="00461AD1" w:rsidRDefault="00461AD1" w:rsidP="00461AD1">
            <w:pPr>
              <w:jc w:val="center"/>
            </w:pPr>
            <w:r w:rsidRPr="00461AD1">
              <w:t>1300</w:t>
            </w:r>
          </w:p>
        </w:tc>
        <w:tc>
          <w:tcPr>
            <w:tcW w:w="995" w:type="dxa"/>
            <w:tcBorders>
              <w:top w:val="nil"/>
              <w:left w:val="nil"/>
              <w:bottom w:val="single" w:sz="4" w:space="0" w:color="auto"/>
              <w:right w:val="single" w:sz="4" w:space="0" w:color="auto"/>
            </w:tcBorders>
            <w:shd w:val="clear" w:color="auto" w:fill="auto"/>
            <w:noWrap/>
            <w:vAlign w:val="center"/>
            <w:hideMark/>
          </w:tcPr>
          <w:p w:rsidR="00461AD1" w:rsidRPr="00461AD1" w:rsidRDefault="00461AD1" w:rsidP="00461AD1">
            <w:pPr>
              <w:jc w:val="center"/>
            </w:pPr>
            <w:r w:rsidRPr="00461AD1">
              <w:t>6244</w:t>
            </w:r>
          </w:p>
        </w:tc>
        <w:tc>
          <w:tcPr>
            <w:tcW w:w="1300" w:type="dxa"/>
            <w:tcBorders>
              <w:top w:val="nil"/>
              <w:left w:val="nil"/>
              <w:bottom w:val="single" w:sz="8" w:space="0" w:color="1F497D"/>
              <w:right w:val="single" w:sz="8" w:space="0" w:color="1F497D"/>
            </w:tcBorders>
            <w:shd w:val="clear" w:color="000000" w:fill="FFFFFF"/>
            <w:noWrap/>
            <w:vAlign w:val="center"/>
            <w:hideMark/>
          </w:tcPr>
          <w:p w:rsidR="00461AD1" w:rsidRPr="00461AD1" w:rsidRDefault="00461AD1" w:rsidP="00461AD1">
            <w:pPr>
              <w:jc w:val="center"/>
            </w:pPr>
            <w:r w:rsidRPr="00461AD1">
              <w:t>6 571,00</w:t>
            </w:r>
          </w:p>
        </w:tc>
        <w:tc>
          <w:tcPr>
            <w:tcW w:w="1054" w:type="dxa"/>
            <w:tcBorders>
              <w:top w:val="nil"/>
              <w:left w:val="nil"/>
              <w:bottom w:val="single" w:sz="8" w:space="0" w:color="1F497D"/>
              <w:right w:val="single" w:sz="8" w:space="0" w:color="1F497D"/>
            </w:tcBorders>
            <w:shd w:val="clear" w:color="000000" w:fill="FFFFFF"/>
            <w:noWrap/>
            <w:vAlign w:val="center"/>
            <w:hideMark/>
          </w:tcPr>
          <w:p w:rsidR="00461AD1" w:rsidRPr="00461AD1" w:rsidRDefault="00461AD1" w:rsidP="00461AD1">
            <w:pPr>
              <w:jc w:val="center"/>
            </w:pPr>
            <w:r w:rsidRPr="00461AD1">
              <w:t>6 559,00</w:t>
            </w:r>
          </w:p>
        </w:tc>
        <w:tc>
          <w:tcPr>
            <w:tcW w:w="1361" w:type="dxa"/>
            <w:tcBorders>
              <w:top w:val="nil"/>
              <w:left w:val="nil"/>
              <w:bottom w:val="single" w:sz="8" w:space="0" w:color="1F497D"/>
              <w:right w:val="single" w:sz="8" w:space="0" w:color="1F497D"/>
            </w:tcBorders>
            <w:shd w:val="clear" w:color="000000" w:fill="FFFFFF"/>
            <w:noWrap/>
            <w:vAlign w:val="center"/>
            <w:hideMark/>
          </w:tcPr>
          <w:p w:rsidR="00461AD1" w:rsidRPr="00461AD1" w:rsidRDefault="00461AD1" w:rsidP="00461AD1">
            <w:pPr>
              <w:jc w:val="center"/>
            </w:pPr>
            <w:r w:rsidRPr="00461AD1">
              <w:t>419 435 582</w:t>
            </w:r>
          </w:p>
        </w:tc>
      </w:tr>
      <w:tr w:rsidR="00461AD1" w:rsidRPr="00461AD1" w:rsidTr="00461AD1">
        <w:trPr>
          <w:trHeight w:val="1242"/>
        </w:trPr>
        <w:tc>
          <w:tcPr>
            <w:tcW w:w="948" w:type="dxa"/>
            <w:tcBorders>
              <w:top w:val="nil"/>
              <w:left w:val="single" w:sz="8" w:space="0" w:color="1F497D"/>
              <w:bottom w:val="single" w:sz="8" w:space="0" w:color="1F497D"/>
              <w:right w:val="single" w:sz="8" w:space="0" w:color="1F497D"/>
            </w:tcBorders>
            <w:shd w:val="clear" w:color="auto" w:fill="auto"/>
            <w:noWrap/>
            <w:vAlign w:val="center"/>
            <w:hideMark/>
          </w:tcPr>
          <w:p w:rsidR="00461AD1" w:rsidRPr="00461AD1" w:rsidRDefault="00461AD1" w:rsidP="00461AD1">
            <w:pPr>
              <w:jc w:val="center"/>
            </w:pPr>
            <w:r w:rsidRPr="00461AD1">
              <w:t>150117</w:t>
            </w:r>
          </w:p>
        </w:tc>
        <w:tc>
          <w:tcPr>
            <w:tcW w:w="1484" w:type="dxa"/>
            <w:tcBorders>
              <w:top w:val="nil"/>
              <w:left w:val="nil"/>
              <w:bottom w:val="single" w:sz="8" w:space="0" w:color="1F497D"/>
              <w:right w:val="single" w:sz="8" w:space="0" w:color="1F497D"/>
            </w:tcBorders>
            <w:shd w:val="clear" w:color="auto" w:fill="auto"/>
            <w:vAlign w:val="center"/>
            <w:hideMark/>
          </w:tcPr>
          <w:p w:rsidR="00461AD1" w:rsidRPr="00461AD1" w:rsidRDefault="00461AD1" w:rsidP="00461AD1">
            <w:r w:rsidRPr="00461AD1">
              <w:t xml:space="preserve">Podíl registrů místní veřejné správy napojených na centrální registry </w:t>
            </w:r>
          </w:p>
        </w:tc>
        <w:tc>
          <w:tcPr>
            <w:tcW w:w="1012" w:type="dxa"/>
            <w:tcBorders>
              <w:top w:val="nil"/>
              <w:left w:val="nil"/>
              <w:bottom w:val="single" w:sz="4" w:space="0" w:color="auto"/>
              <w:right w:val="single" w:sz="4" w:space="0" w:color="auto"/>
            </w:tcBorders>
            <w:shd w:val="clear" w:color="auto" w:fill="auto"/>
            <w:noWrap/>
            <w:vAlign w:val="center"/>
            <w:hideMark/>
          </w:tcPr>
          <w:p w:rsidR="00461AD1" w:rsidRPr="00461AD1" w:rsidRDefault="00461AD1" w:rsidP="00461AD1">
            <w:pPr>
              <w:jc w:val="center"/>
            </w:pPr>
            <w:r w:rsidRPr="00461AD1">
              <w:t>%</w:t>
            </w:r>
          </w:p>
        </w:tc>
        <w:tc>
          <w:tcPr>
            <w:tcW w:w="995" w:type="dxa"/>
            <w:tcBorders>
              <w:top w:val="nil"/>
              <w:left w:val="nil"/>
              <w:bottom w:val="single" w:sz="4" w:space="0" w:color="auto"/>
              <w:right w:val="single" w:sz="4" w:space="0" w:color="auto"/>
            </w:tcBorders>
            <w:shd w:val="clear" w:color="auto" w:fill="auto"/>
            <w:noWrap/>
            <w:vAlign w:val="center"/>
            <w:hideMark/>
          </w:tcPr>
          <w:p w:rsidR="00461AD1" w:rsidRPr="00461AD1" w:rsidRDefault="00461AD1" w:rsidP="00461AD1">
            <w:pPr>
              <w:jc w:val="center"/>
            </w:pPr>
            <w:r w:rsidRPr="00461AD1">
              <w:t>0</w:t>
            </w:r>
          </w:p>
        </w:tc>
        <w:tc>
          <w:tcPr>
            <w:tcW w:w="995" w:type="dxa"/>
            <w:tcBorders>
              <w:top w:val="nil"/>
              <w:left w:val="nil"/>
              <w:bottom w:val="single" w:sz="4" w:space="0" w:color="auto"/>
              <w:right w:val="single" w:sz="4" w:space="0" w:color="auto"/>
            </w:tcBorders>
            <w:shd w:val="clear" w:color="auto" w:fill="auto"/>
            <w:noWrap/>
            <w:vAlign w:val="center"/>
            <w:hideMark/>
          </w:tcPr>
          <w:p w:rsidR="00461AD1" w:rsidRPr="00461AD1" w:rsidRDefault="00461AD1" w:rsidP="00461AD1">
            <w:pPr>
              <w:jc w:val="center"/>
            </w:pPr>
            <w:r w:rsidRPr="00461AD1">
              <w:t>75</w:t>
            </w:r>
          </w:p>
        </w:tc>
        <w:tc>
          <w:tcPr>
            <w:tcW w:w="1300" w:type="dxa"/>
            <w:tcBorders>
              <w:top w:val="nil"/>
              <w:left w:val="nil"/>
              <w:bottom w:val="single" w:sz="8" w:space="0" w:color="1F497D"/>
              <w:right w:val="single" w:sz="8" w:space="0" w:color="1F497D"/>
            </w:tcBorders>
            <w:shd w:val="clear" w:color="000000" w:fill="FFFFFF"/>
            <w:noWrap/>
            <w:vAlign w:val="center"/>
            <w:hideMark/>
          </w:tcPr>
          <w:p w:rsidR="00461AD1" w:rsidRPr="00461AD1" w:rsidRDefault="00461AD1" w:rsidP="00461AD1">
            <w:pPr>
              <w:jc w:val="center"/>
            </w:pPr>
            <w:r w:rsidRPr="00461AD1">
              <w:t>100,00</w:t>
            </w:r>
          </w:p>
        </w:tc>
        <w:tc>
          <w:tcPr>
            <w:tcW w:w="1054" w:type="dxa"/>
            <w:tcBorders>
              <w:top w:val="nil"/>
              <w:left w:val="nil"/>
              <w:bottom w:val="single" w:sz="8" w:space="0" w:color="1F497D"/>
              <w:right w:val="single" w:sz="8" w:space="0" w:color="1F497D"/>
            </w:tcBorders>
            <w:shd w:val="clear" w:color="000000" w:fill="FFFFFF"/>
            <w:vAlign w:val="center"/>
            <w:hideMark/>
          </w:tcPr>
          <w:p w:rsidR="00461AD1" w:rsidRPr="00461AD1" w:rsidRDefault="00461AD1" w:rsidP="00461AD1">
            <w:pPr>
              <w:jc w:val="center"/>
            </w:pPr>
            <w:r w:rsidRPr="00461AD1">
              <w:t>100,00</w:t>
            </w:r>
          </w:p>
        </w:tc>
        <w:tc>
          <w:tcPr>
            <w:tcW w:w="1361" w:type="dxa"/>
            <w:tcBorders>
              <w:top w:val="nil"/>
              <w:left w:val="nil"/>
              <w:bottom w:val="single" w:sz="8" w:space="0" w:color="1F497D"/>
              <w:right w:val="single" w:sz="8" w:space="0" w:color="1F497D"/>
            </w:tcBorders>
            <w:shd w:val="clear" w:color="000000" w:fill="FFFFFF"/>
            <w:vAlign w:val="center"/>
            <w:hideMark/>
          </w:tcPr>
          <w:p w:rsidR="00461AD1" w:rsidRPr="00461AD1" w:rsidRDefault="00461AD1" w:rsidP="00461AD1">
            <w:pPr>
              <w:jc w:val="center"/>
            </w:pPr>
            <w:r w:rsidRPr="00461AD1">
              <w:t>210 180 421</w:t>
            </w:r>
          </w:p>
        </w:tc>
      </w:tr>
      <w:tr w:rsidR="00461AD1" w:rsidRPr="00461AD1" w:rsidTr="00461AD1">
        <w:trPr>
          <w:trHeight w:val="992"/>
        </w:trPr>
        <w:tc>
          <w:tcPr>
            <w:tcW w:w="948" w:type="dxa"/>
            <w:tcBorders>
              <w:top w:val="nil"/>
              <w:left w:val="single" w:sz="8" w:space="0" w:color="1F497D"/>
              <w:bottom w:val="single" w:sz="8" w:space="0" w:color="1F497D"/>
              <w:right w:val="single" w:sz="8" w:space="0" w:color="1F497D"/>
            </w:tcBorders>
            <w:shd w:val="clear" w:color="auto" w:fill="auto"/>
            <w:noWrap/>
            <w:vAlign w:val="center"/>
            <w:hideMark/>
          </w:tcPr>
          <w:p w:rsidR="00461AD1" w:rsidRPr="00461AD1" w:rsidRDefault="00461AD1" w:rsidP="00461AD1">
            <w:pPr>
              <w:jc w:val="center"/>
            </w:pPr>
            <w:r w:rsidRPr="00461AD1">
              <w:t>150115</w:t>
            </w:r>
          </w:p>
        </w:tc>
        <w:tc>
          <w:tcPr>
            <w:tcW w:w="1484" w:type="dxa"/>
            <w:tcBorders>
              <w:top w:val="nil"/>
              <w:left w:val="nil"/>
              <w:bottom w:val="single" w:sz="8" w:space="0" w:color="1F497D"/>
              <w:right w:val="single" w:sz="8" w:space="0" w:color="1F497D"/>
            </w:tcBorders>
            <w:shd w:val="clear" w:color="auto" w:fill="auto"/>
            <w:vAlign w:val="center"/>
            <w:hideMark/>
          </w:tcPr>
          <w:p w:rsidR="00461AD1" w:rsidRPr="00461AD1" w:rsidRDefault="00461AD1" w:rsidP="00461AD1">
            <w:r w:rsidRPr="00461AD1">
              <w:t xml:space="preserve">Podíl lokálních sítí zapojených do KIVS </w:t>
            </w:r>
          </w:p>
        </w:tc>
        <w:tc>
          <w:tcPr>
            <w:tcW w:w="1012" w:type="dxa"/>
            <w:tcBorders>
              <w:top w:val="nil"/>
              <w:left w:val="nil"/>
              <w:bottom w:val="single" w:sz="4" w:space="0" w:color="auto"/>
              <w:right w:val="single" w:sz="4" w:space="0" w:color="auto"/>
            </w:tcBorders>
            <w:shd w:val="clear" w:color="auto" w:fill="auto"/>
            <w:noWrap/>
            <w:vAlign w:val="center"/>
            <w:hideMark/>
          </w:tcPr>
          <w:p w:rsidR="00461AD1" w:rsidRPr="00461AD1" w:rsidRDefault="00461AD1" w:rsidP="00461AD1">
            <w:pPr>
              <w:jc w:val="center"/>
            </w:pPr>
            <w:r w:rsidRPr="00461AD1">
              <w:t>%</w:t>
            </w:r>
          </w:p>
        </w:tc>
        <w:tc>
          <w:tcPr>
            <w:tcW w:w="995" w:type="dxa"/>
            <w:tcBorders>
              <w:top w:val="nil"/>
              <w:left w:val="nil"/>
              <w:bottom w:val="single" w:sz="4" w:space="0" w:color="auto"/>
              <w:right w:val="single" w:sz="4" w:space="0" w:color="auto"/>
            </w:tcBorders>
            <w:shd w:val="clear" w:color="auto" w:fill="auto"/>
            <w:noWrap/>
            <w:vAlign w:val="center"/>
            <w:hideMark/>
          </w:tcPr>
          <w:p w:rsidR="00461AD1" w:rsidRPr="00461AD1" w:rsidRDefault="00461AD1" w:rsidP="00461AD1">
            <w:pPr>
              <w:jc w:val="center"/>
            </w:pPr>
            <w:r w:rsidRPr="00461AD1">
              <w:t>10</w:t>
            </w:r>
          </w:p>
        </w:tc>
        <w:tc>
          <w:tcPr>
            <w:tcW w:w="995" w:type="dxa"/>
            <w:tcBorders>
              <w:top w:val="nil"/>
              <w:left w:val="nil"/>
              <w:bottom w:val="single" w:sz="4" w:space="0" w:color="auto"/>
              <w:right w:val="single" w:sz="4" w:space="0" w:color="auto"/>
            </w:tcBorders>
            <w:shd w:val="clear" w:color="auto" w:fill="auto"/>
            <w:noWrap/>
            <w:vAlign w:val="center"/>
            <w:hideMark/>
          </w:tcPr>
          <w:p w:rsidR="00461AD1" w:rsidRPr="00461AD1" w:rsidRDefault="00461AD1" w:rsidP="00461AD1">
            <w:pPr>
              <w:jc w:val="center"/>
            </w:pPr>
            <w:r w:rsidRPr="00461AD1">
              <w:t>85</w:t>
            </w:r>
          </w:p>
        </w:tc>
        <w:tc>
          <w:tcPr>
            <w:tcW w:w="1300" w:type="dxa"/>
            <w:tcBorders>
              <w:top w:val="nil"/>
              <w:left w:val="nil"/>
              <w:bottom w:val="single" w:sz="8" w:space="0" w:color="1F497D"/>
              <w:right w:val="single" w:sz="8" w:space="0" w:color="1F497D"/>
            </w:tcBorders>
            <w:shd w:val="clear" w:color="000000" w:fill="FFFFFF"/>
            <w:noWrap/>
            <w:vAlign w:val="center"/>
            <w:hideMark/>
          </w:tcPr>
          <w:p w:rsidR="00461AD1" w:rsidRPr="00461AD1" w:rsidRDefault="00461AD1" w:rsidP="00461AD1">
            <w:pPr>
              <w:jc w:val="center"/>
            </w:pPr>
            <w:r w:rsidRPr="00461AD1">
              <w:t>80,77</w:t>
            </w:r>
          </w:p>
        </w:tc>
        <w:tc>
          <w:tcPr>
            <w:tcW w:w="1054" w:type="dxa"/>
            <w:tcBorders>
              <w:top w:val="nil"/>
              <w:left w:val="nil"/>
              <w:bottom w:val="single" w:sz="8" w:space="0" w:color="1F497D"/>
              <w:right w:val="single" w:sz="8" w:space="0" w:color="1F497D"/>
            </w:tcBorders>
            <w:shd w:val="clear" w:color="000000" w:fill="FFFFFF"/>
            <w:vAlign w:val="center"/>
            <w:hideMark/>
          </w:tcPr>
          <w:p w:rsidR="00461AD1" w:rsidRPr="00461AD1" w:rsidRDefault="00461AD1" w:rsidP="00461AD1">
            <w:pPr>
              <w:jc w:val="center"/>
            </w:pPr>
            <w:r w:rsidRPr="00461AD1">
              <w:t>70,74</w:t>
            </w:r>
          </w:p>
        </w:tc>
        <w:tc>
          <w:tcPr>
            <w:tcW w:w="1361" w:type="dxa"/>
            <w:tcBorders>
              <w:top w:val="nil"/>
              <w:left w:val="nil"/>
              <w:bottom w:val="single" w:sz="8" w:space="0" w:color="1F497D"/>
              <w:right w:val="single" w:sz="8" w:space="0" w:color="1F497D"/>
            </w:tcBorders>
            <w:shd w:val="clear" w:color="000000" w:fill="FFFFFF"/>
            <w:vAlign w:val="center"/>
            <w:hideMark/>
          </w:tcPr>
          <w:p w:rsidR="00461AD1" w:rsidRPr="00461AD1" w:rsidRDefault="00461AD1" w:rsidP="00461AD1">
            <w:pPr>
              <w:jc w:val="center"/>
            </w:pPr>
            <w:r w:rsidRPr="00461AD1">
              <w:t>630 551 561</w:t>
            </w:r>
          </w:p>
        </w:tc>
      </w:tr>
      <w:tr w:rsidR="00461AD1" w:rsidRPr="00461AD1" w:rsidTr="00461AD1">
        <w:trPr>
          <w:trHeight w:val="1044"/>
        </w:trPr>
        <w:tc>
          <w:tcPr>
            <w:tcW w:w="948" w:type="dxa"/>
            <w:tcBorders>
              <w:top w:val="nil"/>
              <w:left w:val="single" w:sz="8" w:space="0" w:color="1F497D"/>
              <w:bottom w:val="single" w:sz="8" w:space="0" w:color="1F497D"/>
              <w:right w:val="single" w:sz="8" w:space="0" w:color="1F497D"/>
            </w:tcBorders>
            <w:shd w:val="clear" w:color="auto" w:fill="auto"/>
            <w:noWrap/>
            <w:vAlign w:val="center"/>
            <w:hideMark/>
          </w:tcPr>
          <w:p w:rsidR="00461AD1" w:rsidRPr="00461AD1" w:rsidRDefault="00461AD1" w:rsidP="00461AD1">
            <w:pPr>
              <w:jc w:val="center"/>
            </w:pPr>
            <w:r w:rsidRPr="00461AD1">
              <w:t>150116</w:t>
            </w:r>
          </w:p>
        </w:tc>
        <w:tc>
          <w:tcPr>
            <w:tcW w:w="1484" w:type="dxa"/>
            <w:tcBorders>
              <w:top w:val="nil"/>
              <w:left w:val="nil"/>
              <w:bottom w:val="single" w:sz="8" w:space="0" w:color="1F497D"/>
              <w:right w:val="single" w:sz="8" w:space="0" w:color="1F497D"/>
            </w:tcBorders>
            <w:shd w:val="clear" w:color="auto" w:fill="auto"/>
            <w:vAlign w:val="center"/>
            <w:hideMark/>
          </w:tcPr>
          <w:p w:rsidR="00461AD1" w:rsidRPr="00461AD1" w:rsidRDefault="00461AD1" w:rsidP="00461AD1">
            <w:r w:rsidRPr="00461AD1">
              <w:t>Podíl regionálních portálů integrovaných s Portálem veřejné správy</w:t>
            </w:r>
          </w:p>
        </w:tc>
        <w:tc>
          <w:tcPr>
            <w:tcW w:w="1012" w:type="dxa"/>
            <w:tcBorders>
              <w:top w:val="nil"/>
              <w:left w:val="nil"/>
              <w:bottom w:val="single" w:sz="4" w:space="0" w:color="auto"/>
              <w:right w:val="single" w:sz="4" w:space="0" w:color="auto"/>
            </w:tcBorders>
            <w:shd w:val="clear" w:color="auto" w:fill="auto"/>
            <w:noWrap/>
            <w:vAlign w:val="center"/>
            <w:hideMark/>
          </w:tcPr>
          <w:p w:rsidR="00461AD1" w:rsidRPr="00461AD1" w:rsidRDefault="00461AD1" w:rsidP="00461AD1">
            <w:pPr>
              <w:jc w:val="center"/>
            </w:pPr>
            <w:r w:rsidRPr="00461AD1">
              <w:t>%</w:t>
            </w:r>
          </w:p>
        </w:tc>
        <w:tc>
          <w:tcPr>
            <w:tcW w:w="995" w:type="dxa"/>
            <w:tcBorders>
              <w:top w:val="nil"/>
              <w:left w:val="nil"/>
              <w:bottom w:val="single" w:sz="4" w:space="0" w:color="auto"/>
              <w:right w:val="single" w:sz="4" w:space="0" w:color="auto"/>
            </w:tcBorders>
            <w:shd w:val="clear" w:color="auto" w:fill="auto"/>
            <w:noWrap/>
            <w:vAlign w:val="center"/>
            <w:hideMark/>
          </w:tcPr>
          <w:p w:rsidR="00461AD1" w:rsidRPr="00461AD1" w:rsidRDefault="00461AD1" w:rsidP="00461AD1">
            <w:pPr>
              <w:jc w:val="center"/>
            </w:pPr>
            <w:r w:rsidRPr="00461AD1">
              <w:t>0</w:t>
            </w:r>
          </w:p>
        </w:tc>
        <w:tc>
          <w:tcPr>
            <w:tcW w:w="995" w:type="dxa"/>
            <w:tcBorders>
              <w:top w:val="nil"/>
              <w:left w:val="nil"/>
              <w:bottom w:val="single" w:sz="4" w:space="0" w:color="auto"/>
              <w:right w:val="single" w:sz="4" w:space="0" w:color="auto"/>
            </w:tcBorders>
            <w:shd w:val="clear" w:color="auto" w:fill="auto"/>
            <w:noWrap/>
            <w:vAlign w:val="center"/>
            <w:hideMark/>
          </w:tcPr>
          <w:p w:rsidR="00461AD1" w:rsidRPr="00461AD1" w:rsidRDefault="00461AD1" w:rsidP="00461AD1">
            <w:pPr>
              <w:jc w:val="center"/>
            </w:pPr>
            <w:r w:rsidRPr="00461AD1">
              <w:t>75</w:t>
            </w:r>
          </w:p>
        </w:tc>
        <w:tc>
          <w:tcPr>
            <w:tcW w:w="1300" w:type="dxa"/>
            <w:tcBorders>
              <w:top w:val="nil"/>
              <w:left w:val="nil"/>
              <w:bottom w:val="single" w:sz="8" w:space="0" w:color="1F497D"/>
              <w:right w:val="single" w:sz="8" w:space="0" w:color="1F497D"/>
            </w:tcBorders>
            <w:shd w:val="clear" w:color="000000" w:fill="FFFFFF"/>
            <w:noWrap/>
            <w:vAlign w:val="center"/>
            <w:hideMark/>
          </w:tcPr>
          <w:p w:rsidR="00461AD1" w:rsidRPr="00461AD1" w:rsidRDefault="00461AD1" w:rsidP="00461AD1">
            <w:pPr>
              <w:jc w:val="center"/>
            </w:pPr>
            <w:r w:rsidRPr="00461AD1">
              <w:t>60,30</w:t>
            </w:r>
          </w:p>
        </w:tc>
        <w:tc>
          <w:tcPr>
            <w:tcW w:w="1054" w:type="dxa"/>
            <w:tcBorders>
              <w:top w:val="nil"/>
              <w:left w:val="nil"/>
              <w:bottom w:val="single" w:sz="8" w:space="0" w:color="1F497D"/>
              <w:right w:val="single" w:sz="8" w:space="0" w:color="1F497D"/>
            </w:tcBorders>
            <w:shd w:val="clear" w:color="000000" w:fill="FFFFFF"/>
            <w:vAlign w:val="center"/>
            <w:hideMark/>
          </w:tcPr>
          <w:p w:rsidR="00461AD1" w:rsidRPr="00461AD1" w:rsidRDefault="00461AD1" w:rsidP="00461AD1">
            <w:pPr>
              <w:jc w:val="center"/>
            </w:pPr>
            <w:r w:rsidRPr="00461AD1">
              <w:t>63,00</w:t>
            </w:r>
          </w:p>
        </w:tc>
        <w:tc>
          <w:tcPr>
            <w:tcW w:w="1361" w:type="dxa"/>
            <w:tcBorders>
              <w:top w:val="nil"/>
              <w:left w:val="nil"/>
              <w:bottom w:val="single" w:sz="8" w:space="0" w:color="1F497D"/>
              <w:right w:val="single" w:sz="8" w:space="0" w:color="1F497D"/>
            </w:tcBorders>
            <w:shd w:val="clear" w:color="000000" w:fill="FFFFFF"/>
            <w:vAlign w:val="center"/>
            <w:hideMark/>
          </w:tcPr>
          <w:p w:rsidR="00461AD1" w:rsidRPr="00461AD1" w:rsidRDefault="00461AD1" w:rsidP="00461AD1">
            <w:pPr>
              <w:jc w:val="center"/>
            </w:pPr>
            <w:r w:rsidRPr="00461AD1">
              <w:t>419 435 582</w:t>
            </w:r>
          </w:p>
        </w:tc>
      </w:tr>
      <w:tr w:rsidR="00461AD1" w:rsidRPr="00461AD1" w:rsidTr="00461AD1">
        <w:trPr>
          <w:trHeight w:val="1470"/>
        </w:trPr>
        <w:tc>
          <w:tcPr>
            <w:tcW w:w="948" w:type="dxa"/>
            <w:tcBorders>
              <w:top w:val="nil"/>
              <w:left w:val="single" w:sz="8" w:space="0" w:color="1F497D"/>
              <w:bottom w:val="single" w:sz="8" w:space="0" w:color="1F497D"/>
              <w:right w:val="single" w:sz="8" w:space="0" w:color="1F497D"/>
            </w:tcBorders>
            <w:shd w:val="clear" w:color="auto" w:fill="auto"/>
            <w:noWrap/>
            <w:vAlign w:val="center"/>
            <w:hideMark/>
          </w:tcPr>
          <w:p w:rsidR="00461AD1" w:rsidRPr="00461AD1" w:rsidRDefault="00461AD1" w:rsidP="00461AD1">
            <w:pPr>
              <w:jc w:val="center"/>
            </w:pPr>
            <w:r w:rsidRPr="00461AD1">
              <w:lastRenderedPageBreak/>
              <w:t>150114</w:t>
            </w:r>
          </w:p>
        </w:tc>
        <w:tc>
          <w:tcPr>
            <w:tcW w:w="1484" w:type="dxa"/>
            <w:tcBorders>
              <w:top w:val="nil"/>
              <w:left w:val="nil"/>
              <w:bottom w:val="single" w:sz="8" w:space="0" w:color="1F497D"/>
              <w:right w:val="single" w:sz="8" w:space="0" w:color="1F497D"/>
            </w:tcBorders>
            <w:shd w:val="clear" w:color="auto" w:fill="auto"/>
            <w:vAlign w:val="center"/>
            <w:hideMark/>
          </w:tcPr>
          <w:p w:rsidR="00461AD1" w:rsidRPr="00461AD1" w:rsidRDefault="00461AD1" w:rsidP="00461AD1">
            <w:r w:rsidRPr="00461AD1">
              <w:t>Počet nové plně elektronizované agendy místní veřejné správy</w:t>
            </w:r>
          </w:p>
        </w:tc>
        <w:tc>
          <w:tcPr>
            <w:tcW w:w="1012" w:type="dxa"/>
            <w:tcBorders>
              <w:top w:val="nil"/>
              <w:left w:val="nil"/>
              <w:bottom w:val="single" w:sz="4" w:space="0" w:color="auto"/>
              <w:right w:val="single" w:sz="4" w:space="0" w:color="auto"/>
            </w:tcBorders>
            <w:shd w:val="clear" w:color="auto" w:fill="auto"/>
            <w:noWrap/>
            <w:vAlign w:val="center"/>
            <w:hideMark/>
          </w:tcPr>
          <w:p w:rsidR="00461AD1" w:rsidRPr="00461AD1" w:rsidRDefault="00461AD1" w:rsidP="00461AD1">
            <w:pPr>
              <w:jc w:val="center"/>
            </w:pPr>
            <w:r w:rsidRPr="00461AD1">
              <w:t>Počet</w:t>
            </w:r>
          </w:p>
        </w:tc>
        <w:tc>
          <w:tcPr>
            <w:tcW w:w="995" w:type="dxa"/>
            <w:tcBorders>
              <w:top w:val="nil"/>
              <w:left w:val="nil"/>
              <w:bottom w:val="single" w:sz="4" w:space="0" w:color="auto"/>
              <w:right w:val="single" w:sz="4" w:space="0" w:color="auto"/>
            </w:tcBorders>
            <w:shd w:val="clear" w:color="auto" w:fill="auto"/>
            <w:noWrap/>
            <w:vAlign w:val="center"/>
            <w:hideMark/>
          </w:tcPr>
          <w:p w:rsidR="00461AD1" w:rsidRPr="00461AD1" w:rsidRDefault="00461AD1" w:rsidP="00461AD1">
            <w:pPr>
              <w:jc w:val="center"/>
            </w:pPr>
            <w:r w:rsidRPr="00461AD1">
              <w:t>0</w:t>
            </w:r>
          </w:p>
        </w:tc>
        <w:tc>
          <w:tcPr>
            <w:tcW w:w="995" w:type="dxa"/>
            <w:tcBorders>
              <w:top w:val="nil"/>
              <w:left w:val="nil"/>
              <w:bottom w:val="single" w:sz="4" w:space="0" w:color="auto"/>
              <w:right w:val="single" w:sz="4" w:space="0" w:color="auto"/>
            </w:tcBorders>
            <w:shd w:val="clear" w:color="auto" w:fill="auto"/>
            <w:noWrap/>
            <w:vAlign w:val="center"/>
            <w:hideMark/>
          </w:tcPr>
          <w:p w:rsidR="00461AD1" w:rsidRPr="00461AD1" w:rsidRDefault="00461AD1" w:rsidP="00461AD1">
            <w:pPr>
              <w:jc w:val="center"/>
            </w:pPr>
            <w:r w:rsidRPr="00461AD1">
              <w:t>126</w:t>
            </w:r>
          </w:p>
        </w:tc>
        <w:tc>
          <w:tcPr>
            <w:tcW w:w="1300" w:type="dxa"/>
            <w:tcBorders>
              <w:top w:val="nil"/>
              <w:left w:val="nil"/>
              <w:bottom w:val="single" w:sz="8" w:space="0" w:color="1F497D"/>
              <w:right w:val="single" w:sz="8" w:space="0" w:color="1F497D"/>
            </w:tcBorders>
            <w:shd w:val="clear" w:color="000000" w:fill="FFFFFF"/>
            <w:noWrap/>
            <w:vAlign w:val="center"/>
            <w:hideMark/>
          </w:tcPr>
          <w:p w:rsidR="00461AD1" w:rsidRPr="00461AD1" w:rsidRDefault="00461AD1" w:rsidP="00461AD1">
            <w:pPr>
              <w:jc w:val="center"/>
            </w:pPr>
            <w:r w:rsidRPr="00461AD1">
              <w:t>322,00</w:t>
            </w:r>
          </w:p>
        </w:tc>
        <w:tc>
          <w:tcPr>
            <w:tcW w:w="1054" w:type="dxa"/>
            <w:tcBorders>
              <w:top w:val="nil"/>
              <w:left w:val="nil"/>
              <w:bottom w:val="single" w:sz="8" w:space="0" w:color="1F497D"/>
              <w:right w:val="single" w:sz="8" w:space="0" w:color="1F497D"/>
            </w:tcBorders>
            <w:shd w:val="clear" w:color="000000" w:fill="FFFFFF"/>
            <w:vAlign w:val="center"/>
            <w:hideMark/>
          </w:tcPr>
          <w:p w:rsidR="00461AD1" w:rsidRPr="00461AD1" w:rsidRDefault="00461AD1" w:rsidP="00461AD1">
            <w:pPr>
              <w:jc w:val="center"/>
            </w:pPr>
            <w:r w:rsidRPr="00461AD1">
              <w:t>105,00</w:t>
            </w:r>
          </w:p>
        </w:tc>
        <w:tc>
          <w:tcPr>
            <w:tcW w:w="1361" w:type="dxa"/>
            <w:tcBorders>
              <w:top w:val="nil"/>
              <w:left w:val="nil"/>
              <w:bottom w:val="single" w:sz="8" w:space="0" w:color="1F497D"/>
              <w:right w:val="single" w:sz="8" w:space="0" w:color="1F497D"/>
            </w:tcBorders>
            <w:shd w:val="clear" w:color="000000" w:fill="FFFFFF"/>
            <w:vAlign w:val="center"/>
            <w:hideMark/>
          </w:tcPr>
          <w:p w:rsidR="00461AD1" w:rsidRPr="00461AD1" w:rsidRDefault="00461AD1" w:rsidP="00461AD1">
            <w:pPr>
              <w:jc w:val="center"/>
            </w:pPr>
            <w:r w:rsidRPr="00461AD1">
              <w:t>3 062 154 889</w:t>
            </w:r>
          </w:p>
        </w:tc>
      </w:tr>
      <w:tr w:rsidR="00461AD1" w:rsidRPr="00461AD1" w:rsidTr="00461AD1">
        <w:trPr>
          <w:trHeight w:val="964"/>
        </w:trPr>
        <w:tc>
          <w:tcPr>
            <w:tcW w:w="948" w:type="dxa"/>
            <w:tcBorders>
              <w:top w:val="nil"/>
              <w:left w:val="single" w:sz="8" w:space="0" w:color="1F497D"/>
              <w:bottom w:val="single" w:sz="8" w:space="0" w:color="1F497D"/>
              <w:right w:val="single" w:sz="8" w:space="0" w:color="1F497D"/>
            </w:tcBorders>
            <w:shd w:val="clear" w:color="auto" w:fill="auto"/>
            <w:noWrap/>
            <w:vAlign w:val="center"/>
            <w:hideMark/>
          </w:tcPr>
          <w:p w:rsidR="00461AD1" w:rsidRPr="00461AD1" w:rsidRDefault="00461AD1" w:rsidP="00461AD1">
            <w:pPr>
              <w:jc w:val="center"/>
            </w:pPr>
            <w:r w:rsidRPr="00461AD1">
              <w:t>150112</w:t>
            </w:r>
          </w:p>
        </w:tc>
        <w:tc>
          <w:tcPr>
            <w:tcW w:w="1484" w:type="dxa"/>
            <w:tcBorders>
              <w:top w:val="nil"/>
              <w:left w:val="nil"/>
              <w:bottom w:val="single" w:sz="8" w:space="0" w:color="1F497D"/>
              <w:right w:val="single" w:sz="8" w:space="0" w:color="1F497D"/>
            </w:tcBorders>
            <w:shd w:val="clear" w:color="auto" w:fill="auto"/>
            <w:vAlign w:val="center"/>
            <w:hideMark/>
          </w:tcPr>
          <w:p w:rsidR="00461AD1" w:rsidRPr="00461AD1" w:rsidRDefault="00461AD1" w:rsidP="00461AD1">
            <w:r w:rsidRPr="00461AD1">
              <w:t>Podíl digitalizovaných dokumentů</w:t>
            </w:r>
          </w:p>
        </w:tc>
        <w:tc>
          <w:tcPr>
            <w:tcW w:w="1012" w:type="dxa"/>
            <w:tcBorders>
              <w:top w:val="nil"/>
              <w:left w:val="nil"/>
              <w:bottom w:val="single" w:sz="4" w:space="0" w:color="auto"/>
              <w:right w:val="single" w:sz="4" w:space="0" w:color="auto"/>
            </w:tcBorders>
            <w:shd w:val="clear" w:color="auto" w:fill="auto"/>
            <w:noWrap/>
            <w:vAlign w:val="center"/>
            <w:hideMark/>
          </w:tcPr>
          <w:p w:rsidR="00461AD1" w:rsidRPr="00461AD1" w:rsidRDefault="00461AD1" w:rsidP="00461AD1">
            <w:pPr>
              <w:jc w:val="center"/>
            </w:pPr>
            <w:r w:rsidRPr="00461AD1">
              <w:t>%</w:t>
            </w:r>
          </w:p>
        </w:tc>
        <w:tc>
          <w:tcPr>
            <w:tcW w:w="995" w:type="dxa"/>
            <w:tcBorders>
              <w:top w:val="nil"/>
              <w:left w:val="nil"/>
              <w:bottom w:val="single" w:sz="4" w:space="0" w:color="auto"/>
              <w:right w:val="single" w:sz="4" w:space="0" w:color="auto"/>
            </w:tcBorders>
            <w:shd w:val="clear" w:color="auto" w:fill="auto"/>
            <w:noWrap/>
            <w:vAlign w:val="center"/>
            <w:hideMark/>
          </w:tcPr>
          <w:p w:rsidR="00461AD1" w:rsidRPr="00461AD1" w:rsidRDefault="00461AD1" w:rsidP="00461AD1">
            <w:pPr>
              <w:jc w:val="center"/>
            </w:pPr>
            <w:r w:rsidRPr="00461AD1">
              <w:t>0</w:t>
            </w:r>
          </w:p>
        </w:tc>
        <w:tc>
          <w:tcPr>
            <w:tcW w:w="995" w:type="dxa"/>
            <w:tcBorders>
              <w:top w:val="nil"/>
              <w:left w:val="nil"/>
              <w:bottom w:val="single" w:sz="4" w:space="0" w:color="auto"/>
              <w:right w:val="single" w:sz="4" w:space="0" w:color="auto"/>
            </w:tcBorders>
            <w:shd w:val="clear" w:color="auto" w:fill="auto"/>
            <w:noWrap/>
            <w:vAlign w:val="center"/>
            <w:hideMark/>
          </w:tcPr>
          <w:p w:rsidR="00461AD1" w:rsidRPr="00461AD1" w:rsidRDefault="00461AD1" w:rsidP="00461AD1">
            <w:pPr>
              <w:jc w:val="center"/>
            </w:pPr>
            <w:r w:rsidRPr="00461AD1">
              <w:t>20</w:t>
            </w:r>
          </w:p>
        </w:tc>
        <w:tc>
          <w:tcPr>
            <w:tcW w:w="1300" w:type="dxa"/>
            <w:tcBorders>
              <w:top w:val="nil"/>
              <w:left w:val="nil"/>
              <w:bottom w:val="single" w:sz="8" w:space="0" w:color="1F497D"/>
              <w:right w:val="single" w:sz="8" w:space="0" w:color="1F497D"/>
            </w:tcBorders>
            <w:shd w:val="clear" w:color="000000" w:fill="FFFFFF"/>
            <w:noWrap/>
            <w:vAlign w:val="center"/>
            <w:hideMark/>
          </w:tcPr>
          <w:p w:rsidR="00461AD1" w:rsidRPr="00461AD1" w:rsidRDefault="00461AD1" w:rsidP="00461AD1">
            <w:pPr>
              <w:jc w:val="center"/>
            </w:pPr>
            <w:r w:rsidRPr="00461AD1">
              <w:t>23,09</w:t>
            </w:r>
          </w:p>
        </w:tc>
        <w:tc>
          <w:tcPr>
            <w:tcW w:w="1054" w:type="dxa"/>
            <w:tcBorders>
              <w:top w:val="nil"/>
              <w:left w:val="nil"/>
              <w:bottom w:val="single" w:sz="8" w:space="0" w:color="1F497D"/>
              <w:right w:val="single" w:sz="8" w:space="0" w:color="1F497D"/>
            </w:tcBorders>
            <w:shd w:val="clear" w:color="000000" w:fill="FFFFFF"/>
            <w:vAlign w:val="center"/>
            <w:hideMark/>
          </w:tcPr>
          <w:p w:rsidR="00461AD1" w:rsidRPr="00461AD1" w:rsidRDefault="00461AD1" w:rsidP="00461AD1">
            <w:pPr>
              <w:jc w:val="center"/>
            </w:pPr>
            <w:r w:rsidRPr="00461AD1">
              <w:t>25,09</w:t>
            </w:r>
          </w:p>
        </w:tc>
        <w:tc>
          <w:tcPr>
            <w:tcW w:w="1361" w:type="dxa"/>
            <w:tcBorders>
              <w:top w:val="nil"/>
              <w:left w:val="nil"/>
              <w:bottom w:val="single" w:sz="8" w:space="0" w:color="1F497D"/>
              <w:right w:val="single" w:sz="8" w:space="0" w:color="1F497D"/>
            </w:tcBorders>
            <w:shd w:val="clear" w:color="000000" w:fill="FFFFFF"/>
            <w:vAlign w:val="center"/>
            <w:hideMark/>
          </w:tcPr>
          <w:p w:rsidR="00461AD1" w:rsidRPr="00461AD1" w:rsidRDefault="00461AD1" w:rsidP="00461AD1">
            <w:pPr>
              <w:jc w:val="center"/>
            </w:pPr>
            <w:r w:rsidRPr="00461AD1">
              <w:t>3 062 154 889</w:t>
            </w:r>
          </w:p>
        </w:tc>
      </w:tr>
      <w:tr w:rsidR="00461AD1" w:rsidRPr="00461AD1" w:rsidTr="00461AD1">
        <w:trPr>
          <w:trHeight w:val="2001"/>
        </w:trPr>
        <w:tc>
          <w:tcPr>
            <w:tcW w:w="948" w:type="dxa"/>
            <w:tcBorders>
              <w:top w:val="nil"/>
              <w:left w:val="single" w:sz="8" w:space="0" w:color="1F497D"/>
              <w:bottom w:val="single" w:sz="8" w:space="0" w:color="1F497D"/>
              <w:right w:val="single" w:sz="8" w:space="0" w:color="1F497D"/>
            </w:tcBorders>
            <w:shd w:val="clear" w:color="auto" w:fill="auto"/>
            <w:noWrap/>
            <w:vAlign w:val="center"/>
            <w:hideMark/>
          </w:tcPr>
          <w:p w:rsidR="00461AD1" w:rsidRPr="00461AD1" w:rsidRDefault="00461AD1" w:rsidP="00461AD1">
            <w:pPr>
              <w:jc w:val="center"/>
            </w:pPr>
            <w:r w:rsidRPr="00461AD1">
              <w:t>150113</w:t>
            </w:r>
          </w:p>
        </w:tc>
        <w:tc>
          <w:tcPr>
            <w:tcW w:w="1484" w:type="dxa"/>
            <w:tcBorders>
              <w:top w:val="nil"/>
              <w:left w:val="nil"/>
              <w:bottom w:val="single" w:sz="8" w:space="0" w:color="1F497D"/>
              <w:right w:val="single" w:sz="8" w:space="0" w:color="1F497D"/>
            </w:tcBorders>
            <w:shd w:val="clear" w:color="auto" w:fill="auto"/>
            <w:vAlign w:val="center"/>
            <w:hideMark/>
          </w:tcPr>
          <w:p w:rsidR="00461AD1" w:rsidRPr="00461AD1" w:rsidRDefault="00461AD1" w:rsidP="00461AD1">
            <w:r w:rsidRPr="00461AD1">
              <w:t>Podíl úřadů s elektronickou spisovou službou a elektronicky řízeným oběhem dokumentů</w:t>
            </w:r>
          </w:p>
        </w:tc>
        <w:tc>
          <w:tcPr>
            <w:tcW w:w="1012" w:type="dxa"/>
            <w:tcBorders>
              <w:top w:val="nil"/>
              <w:left w:val="nil"/>
              <w:bottom w:val="single" w:sz="4" w:space="0" w:color="auto"/>
              <w:right w:val="single" w:sz="4" w:space="0" w:color="auto"/>
            </w:tcBorders>
            <w:shd w:val="clear" w:color="auto" w:fill="auto"/>
            <w:noWrap/>
            <w:vAlign w:val="center"/>
            <w:hideMark/>
          </w:tcPr>
          <w:p w:rsidR="00461AD1" w:rsidRPr="00461AD1" w:rsidRDefault="00461AD1" w:rsidP="00461AD1">
            <w:pPr>
              <w:jc w:val="center"/>
            </w:pPr>
            <w:r w:rsidRPr="00461AD1">
              <w:t>%</w:t>
            </w:r>
          </w:p>
        </w:tc>
        <w:tc>
          <w:tcPr>
            <w:tcW w:w="995" w:type="dxa"/>
            <w:tcBorders>
              <w:top w:val="nil"/>
              <w:left w:val="nil"/>
              <w:bottom w:val="single" w:sz="4" w:space="0" w:color="auto"/>
              <w:right w:val="single" w:sz="4" w:space="0" w:color="auto"/>
            </w:tcBorders>
            <w:shd w:val="clear" w:color="auto" w:fill="auto"/>
            <w:noWrap/>
            <w:vAlign w:val="center"/>
            <w:hideMark/>
          </w:tcPr>
          <w:p w:rsidR="00461AD1" w:rsidRPr="00461AD1" w:rsidRDefault="00461AD1" w:rsidP="00461AD1">
            <w:pPr>
              <w:jc w:val="center"/>
            </w:pPr>
            <w:r w:rsidRPr="00461AD1">
              <w:t>20</w:t>
            </w:r>
          </w:p>
        </w:tc>
        <w:tc>
          <w:tcPr>
            <w:tcW w:w="995" w:type="dxa"/>
            <w:tcBorders>
              <w:top w:val="nil"/>
              <w:left w:val="nil"/>
              <w:bottom w:val="single" w:sz="4" w:space="0" w:color="auto"/>
              <w:right w:val="single" w:sz="4" w:space="0" w:color="auto"/>
            </w:tcBorders>
            <w:shd w:val="clear" w:color="auto" w:fill="auto"/>
            <w:noWrap/>
            <w:vAlign w:val="center"/>
            <w:hideMark/>
          </w:tcPr>
          <w:p w:rsidR="00461AD1" w:rsidRPr="00461AD1" w:rsidRDefault="00461AD1" w:rsidP="00461AD1">
            <w:pPr>
              <w:jc w:val="center"/>
            </w:pPr>
            <w:r w:rsidRPr="00461AD1">
              <w:t>100</w:t>
            </w:r>
          </w:p>
        </w:tc>
        <w:tc>
          <w:tcPr>
            <w:tcW w:w="1300" w:type="dxa"/>
            <w:tcBorders>
              <w:top w:val="nil"/>
              <w:left w:val="nil"/>
              <w:bottom w:val="single" w:sz="8" w:space="0" w:color="1F497D"/>
              <w:right w:val="single" w:sz="8" w:space="0" w:color="1F497D"/>
            </w:tcBorders>
            <w:shd w:val="clear" w:color="000000" w:fill="FFFFFF"/>
            <w:noWrap/>
            <w:vAlign w:val="center"/>
            <w:hideMark/>
          </w:tcPr>
          <w:p w:rsidR="00461AD1" w:rsidRPr="00461AD1" w:rsidRDefault="00461AD1" w:rsidP="00461AD1">
            <w:pPr>
              <w:jc w:val="center"/>
            </w:pPr>
            <w:r w:rsidRPr="00461AD1">
              <w:t>54,03</w:t>
            </w:r>
          </w:p>
        </w:tc>
        <w:tc>
          <w:tcPr>
            <w:tcW w:w="1054" w:type="dxa"/>
            <w:tcBorders>
              <w:top w:val="nil"/>
              <w:left w:val="nil"/>
              <w:bottom w:val="single" w:sz="8" w:space="0" w:color="1F497D"/>
              <w:right w:val="single" w:sz="8" w:space="0" w:color="1F497D"/>
            </w:tcBorders>
            <w:shd w:val="clear" w:color="000000" w:fill="FFFFFF"/>
            <w:vAlign w:val="center"/>
            <w:hideMark/>
          </w:tcPr>
          <w:p w:rsidR="00461AD1" w:rsidRPr="00461AD1" w:rsidRDefault="00461AD1" w:rsidP="00461AD1">
            <w:pPr>
              <w:jc w:val="center"/>
            </w:pPr>
            <w:r w:rsidRPr="00461AD1">
              <w:t>53,79</w:t>
            </w:r>
          </w:p>
        </w:tc>
        <w:tc>
          <w:tcPr>
            <w:tcW w:w="1361" w:type="dxa"/>
            <w:tcBorders>
              <w:top w:val="nil"/>
              <w:left w:val="nil"/>
              <w:bottom w:val="single" w:sz="8" w:space="0" w:color="1F497D"/>
              <w:right w:val="single" w:sz="8" w:space="0" w:color="1F497D"/>
            </w:tcBorders>
            <w:shd w:val="clear" w:color="000000" w:fill="FFFFFF"/>
            <w:vAlign w:val="center"/>
            <w:hideMark/>
          </w:tcPr>
          <w:p w:rsidR="00461AD1" w:rsidRPr="00461AD1" w:rsidRDefault="00461AD1" w:rsidP="00461AD1">
            <w:pPr>
              <w:jc w:val="center"/>
            </w:pPr>
            <w:r w:rsidRPr="00461AD1">
              <w:t>3 062 154 889</w:t>
            </w:r>
          </w:p>
        </w:tc>
      </w:tr>
      <w:tr w:rsidR="00461AD1" w:rsidRPr="00461AD1" w:rsidTr="00461AD1">
        <w:trPr>
          <w:trHeight w:val="905"/>
        </w:trPr>
        <w:tc>
          <w:tcPr>
            <w:tcW w:w="948" w:type="dxa"/>
            <w:tcBorders>
              <w:top w:val="nil"/>
              <w:left w:val="single" w:sz="8" w:space="0" w:color="1F497D"/>
              <w:bottom w:val="single" w:sz="8" w:space="0" w:color="1F497D"/>
              <w:right w:val="single" w:sz="8" w:space="0" w:color="1F497D"/>
            </w:tcBorders>
            <w:shd w:val="clear" w:color="auto" w:fill="auto"/>
            <w:noWrap/>
            <w:vAlign w:val="center"/>
            <w:hideMark/>
          </w:tcPr>
          <w:p w:rsidR="00461AD1" w:rsidRPr="00461AD1" w:rsidRDefault="00461AD1" w:rsidP="00461AD1">
            <w:pPr>
              <w:jc w:val="center"/>
            </w:pPr>
            <w:r w:rsidRPr="00461AD1">
              <w:t>152000</w:t>
            </w:r>
          </w:p>
        </w:tc>
        <w:tc>
          <w:tcPr>
            <w:tcW w:w="1484"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461AD1" w:rsidRPr="00461AD1" w:rsidRDefault="00461AD1" w:rsidP="00437CAE">
            <w:r w:rsidRPr="00461AD1">
              <w:t>Dostupnost služeb E-</w:t>
            </w:r>
            <w:proofErr w:type="spellStart"/>
            <w:r w:rsidRPr="00461AD1">
              <w:t>govermentu</w:t>
            </w:r>
            <w:proofErr w:type="spellEnd"/>
            <w:r w:rsidRPr="00461AD1">
              <w:t xml:space="preserve"> on-line</w:t>
            </w:r>
          </w:p>
        </w:tc>
        <w:tc>
          <w:tcPr>
            <w:tcW w:w="1012" w:type="dxa"/>
            <w:tcBorders>
              <w:top w:val="nil"/>
              <w:left w:val="nil"/>
              <w:bottom w:val="single" w:sz="8" w:space="0" w:color="1F497D"/>
              <w:right w:val="single" w:sz="8" w:space="0" w:color="1F497D"/>
            </w:tcBorders>
            <w:shd w:val="clear" w:color="000000" w:fill="FFFFFF"/>
            <w:noWrap/>
            <w:vAlign w:val="center"/>
            <w:hideMark/>
          </w:tcPr>
          <w:p w:rsidR="00461AD1" w:rsidRPr="00461AD1" w:rsidRDefault="00461AD1" w:rsidP="00461AD1">
            <w:pPr>
              <w:jc w:val="center"/>
            </w:pPr>
            <w:r w:rsidRPr="00461AD1">
              <w:t>%</w:t>
            </w:r>
          </w:p>
        </w:tc>
        <w:tc>
          <w:tcPr>
            <w:tcW w:w="995" w:type="dxa"/>
            <w:tcBorders>
              <w:top w:val="nil"/>
              <w:left w:val="nil"/>
              <w:bottom w:val="single" w:sz="8" w:space="0" w:color="1F497D"/>
              <w:right w:val="single" w:sz="8" w:space="0" w:color="1F497D"/>
            </w:tcBorders>
            <w:shd w:val="clear" w:color="000000" w:fill="FFFFFF"/>
            <w:noWrap/>
            <w:vAlign w:val="center"/>
            <w:hideMark/>
          </w:tcPr>
          <w:p w:rsidR="00461AD1" w:rsidRPr="00461AD1" w:rsidRDefault="00461AD1" w:rsidP="00461AD1">
            <w:pPr>
              <w:jc w:val="center"/>
            </w:pPr>
            <w:r w:rsidRPr="00461AD1">
              <w:t>30</w:t>
            </w:r>
          </w:p>
        </w:tc>
        <w:tc>
          <w:tcPr>
            <w:tcW w:w="995" w:type="dxa"/>
            <w:tcBorders>
              <w:top w:val="nil"/>
              <w:left w:val="nil"/>
              <w:bottom w:val="single" w:sz="8" w:space="0" w:color="1F497D"/>
              <w:right w:val="single" w:sz="8" w:space="0" w:color="1F497D"/>
            </w:tcBorders>
            <w:shd w:val="clear" w:color="000000" w:fill="FFFFFF"/>
            <w:noWrap/>
            <w:vAlign w:val="center"/>
            <w:hideMark/>
          </w:tcPr>
          <w:p w:rsidR="00461AD1" w:rsidRPr="00461AD1" w:rsidRDefault="00461AD1" w:rsidP="00461AD1">
            <w:pPr>
              <w:jc w:val="center"/>
            </w:pPr>
            <w:r w:rsidRPr="00461AD1">
              <w:t>75</w:t>
            </w:r>
          </w:p>
        </w:tc>
        <w:tc>
          <w:tcPr>
            <w:tcW w:w="1300" w:type="dxa"/>
            <w:tcBorders>
              <w:top w:val="nil"/>
              <w:left w:val="nil"/>
              <w:bottom w:val="single" w:sz="8" w:space="0" w:color="1F497D"/>
              <w:right w:val="single" w:sz="8" w:space="0" w:color="1F497D"/>
            </w:tcBorders>
            <w:shd w:val="clear" w:color="000000" w:fill="FFFFFF"/>
            <w:noWrap/>
            <w:vAlign w:val="center"/>
            <w:hideMark/>
          </w:tcPr>
          <w:p w:rsidR="00461AD1" w:rsidRPr="00461AD1" w:rsidRDefault="00461AD1" w:rsidP="00461AD1">
            <w:pPr>
              <w:jc w:val="center"/>
            </w:pPr>
            <w:r w:rsidRPr="00461AD1">
              <w:t>0,00</w:t>
            </w:r>
          </w:p>
        </w:tc>
        <w:tc>
          <w:tcPr>
            <w:tcW w:w="1054" w:type="dxa"/>
            <w:tcBorders>
              <w:top w:val="nil"/>
              <w:left w:val="nil"/>
              <w:bottom w:val="single" w:sz="8" w:space="0" w:color="1F497D"/>
              <w:right w:val="single" w:sz="8" w:space="0" w:color="1F497D"/>
            </w:tcBorders>
            <w:shd w:val="clear" w:color="000000" w:fill="FFFFFF"/>
            <w:vAlign w:val="center"/>
            <w:hideMark/>
          </w:tcPr>
          <w:p w:rsidR="00461AD1" w:rsidRPr="00461AD1" w:rsidRDefault="00461AD1" w:rsidP="00461AD1">
            <w:pPr>
              <w:jc w:val="center"/>
            </w:pPr>
            <w:r w:rsidRPr="00461AD1">
              <w:t>0,00</w:t>
            </w:r>
          </w:p>
        </w:tc>
        <w:tc>
          <w:tcPr>
            <w:tcW w:w="1361" w:type="dxa"/>
            <w:tcBorders>
              <w:top w:val="nil"/>
              <w:left w:val="nil"/>
              <w:bottom w:val="single" w:sz="8" w:space="0" w:color="1F497D"/>
              <w:right w:val="single" w:sz="8" w:space="0" w:color="1F497D"/>
            </w:tcBorders>
            <w:shd w:val="clear" w:color="000000" w:fill="FFFFFF"/>
            <w:vAlign w:val="center"/>
            <w:hideMark/>
          </w:tcPr>
          <w:p w:rsidR="00461AD1" w:rsidRPr="00461AD1" w:rsidRDefault="00461AD1" w:rsidP="00461AD1">
            <w:pPr>
              <w:jc w:val="center"/>
            </w:pPr>
            <w:r w:rsidRPr="00461AD1">
              <w:t> </w:t>
            </w:r>
          </w:p>
        </w:tc>
      </w:tr>
    </w:tbl>
    <w:p w:rsidR="00F170C7" w:rsidRDefault="00F170C7" w:rsidP="0081252F">
      <w:pPr>
        <w:rPr>
          <w:rStyle w:val="Siln"/>
          <w:b w:val="0"/>
          <w:i/>
          <w:sz w:val="18"/>
          <w:szCs w:val="18"/>
        </w:rPr>
      </w:pPr>
      <w:r w:rsidRPr="00461326">
        <w:rPr>
          <w:rStyle w:val="Siln"/>
          <w:b w:val="0"/>
          <w:i/>
          <w:sz w:val="18"/>
          <w:szCs w:val="18"/>
        </w:rPr>
        <w:t xml:space="preserve">Zdroj: </w:t>
      </w:r>
      <w:r w:rsidR="00275DC0">
        <w:rPr>
          <w:rStyle w:val="Siln"/>
          <w:b w:val="0"/>
          <w:i/>
          <w:sz w:val="18"/>
          <w:szCs w:val="18"/>
        </w:rPr>
        <w:t xml:space="preserve">MSC2007 </w:t>
      </w:r>
      <w:r w:rsidR="00914BC7">
        <w:rPr>
          <w:rStyle w:val="Siln"/>
          <w:b w:val="0"/>
          <w:i/>
          <w:sz w:val="18"/>
          <w:szCs w:val="18"/>
        </w:rPr>
        <w:t>k 30. 9. 2015</w:t>
      </w:r>
      <w:r w:rsidR="002D1C24" w:rsidRPr="00461326">
        <w:rPr>
          <w:rStyle w:val="Siln"/>
          <w:b w:val="0"/>
          <w:i/>
          <w:sz w:val="18"/>
          <w:szCs w:val="18"/>
        </w:rPr>
        <w:t>, informace od ZS u podílových indikátorů</w:t>
      </w:r>
    </w:p>
    <w:p w:rsidR="00BF5858" w:rsidRDefault="00BF5858" w:rsidP="0081252F">
      <w:pPr>
        <w:rPr>
          <w:rStyle w:val="Siln"/>
          <w:b w:val="0"/>
          <w:i/>
          <w:sz w:val="18"/>
          <w:szCs w:val="18"/>
        </w:rPr>
      </w:pPr>
    </w:p>
    <w:p w:rsidR="005E04AB" w:rsidRPr="0081252F" w:rsidRDefault="005E04AB" w:rsidP="0081252F">
      <w:pPr>
        <w:rPr>
          <w:rStyle w:val="Siln"/>
          <w:b w:val="0"/>
          <w:i/>
          <w:sz w:val="18"/>
          <w:szCs w:val="18"/>
        </w:rPr>
      </w:pPr>
    </w:p>
    <w:p w:rsidR="00437CAE" w:rsidRDefault="00C109C8" w:rsidP="00437CAE">
      <w:pPr>
        <w:pStyle w:val="Tabulkanzev"/>
        <w:rPr>
          <w:rStyle w:val="Siln"/>
        </w:rPr>
      </w:pPr>
      <w:bookmarkStart w:id="87" w:name="_Toc433873553"/>
      <w:r w:rsidRPr="0027677A">
        <w:rPr>
          <w:rStyle w:val="Siln"/>
        </w:rPr>
        <w:t>Indikátory výsledku</w:t>
      </w:r>
      <w:bookmarkEnd w:id="87"/>
    </w:p>
    <w:tbl>
      <w:tblPr>
        <w:tblW w:w="9155" w:type="dxa"/>
        <w:tblInd w:w="55" w:type="dxa"/>
        <w:tblCellMar>
          <w:left w:w="70" w:type="dxa"/>
          <w:right w:w="70" w:type="dxa"/>
        </w:tblCellMar>
        <w:tblLook w:val="04A0" w:firstRow="1" w:lastRow="0" w:firstColumn="1" w:lastColumn="0" w:noHBand="0" w:noVBand="1"/>
      </w:tblPr>
      <w:tblGrid>
        <w:gridCol w:w="920"/>
        <w:gridCol w:w="1677"/>
        <w:gridCol w:w="986"/>
        <w:gridCol w:w="970"/>
        <w:gridCol w:w="970"/>
        <w:gridCol w:w="1270"/>
        <w:gridCol w:w="1030"/>
        <w:gridCol w:w="1332"/>
      </w:tblGrid>
      <w:tr w:rsidR="00CC1FC4" w:rsidRPr="00CC1FC4" w:rsidTr="00CC1FC4">
        <w:trPr>
          <w:trHeight w:val="993"/>
        </w:trPr>
        <w:tc>
          <w:tcPr>
            <w:tcW w:w="920" w:type="dxa"/>
            <w:tcBorders>
              <w:top w:val="single" w:sz="8" w:space="0" w:color="1F497D"/>
              <w:left w:val="single" w:sz="8" w:space="0" w:color="1F497D"/>
              <w:bottom w:val="single" w:sz="8" w:space="0" w:color="1F497D"/>
              <w:right w:val="single" w:sz="8" w:space="0" w:color="1F497D"/>
            </w:tcBorders>
            <w:shd w:val="clear" w:color="000000" w:fill="C5D9F1"/>
            <w:vAlign w:val="center"/>
            <w:hideMark/>
          </w:tcPr>
          <w:p w:rsidR="00CC1FC4" w:rsidRPr="00CC1FC4" w:rsidRDefault="00CC1FC4" w:rsidP="00CC1FC4">
            <w:pPr>
              <w:jc w:val="center"/>
              <w:rPr>
                <w:b/>
                <w:bCs/>
              </w:rPr>
            </w:pPr>
            <w:r w:rsidRPr="00CC1FC4">
              <w:rPr>
                <w:b/>
                <w:bCs/>
              </w:rPr>
              <w:t>Kód</w:t>
            </w:r>
          </w:p>
        </w:tc>
        <w:tc>
          <w:tcPr>
            <w:tcW w:w="1677" w:type="dxa"/>
            <w:tcBorders>
              <w:top w:val="single" w:sz="8" w:space="0" w:color="1F497D"/>
              <w:left w:val="nil"/>
              <w:bottom w:val="single" w:sz="8" w:space="0" w:color="1F497D"/>
              <w:right w:val="single" w:sz="8" w:space="0" w:color="1F497D"/>
            </w:tcBorders>
            <w:shd w:val="clear" w:color="000000" w:fill="C5D9F1"/>
            <w:vAlign w:val="center"/>
            <w:hideMark/>
          </w:tcPr>
          <w:p w:rsidR="00CC1FC4" w:rsidRPr="00CC1FC4" w:rsidRDefault="00CC1FC4" w:rsidP="00CC1FC4">
            <w:pPr>
              <w:jc w:val="center"/>
              <w:rPr>
                <w:b/>
                <w:bCs/>
              </w:rPr>
            </w:pPr>
            <w:r w:rsidRPr="00CC1FC4">
              <w:rPr>
                <w:b/>
                <w:bCs/>
              </w:rPr>
              <w:t>Název indikátoru</w:t>
            </w:r>
          </w:p>
        </w:tc>
        <w:tc>
          <w:tcPr>
            <w:tcW w:w="986" w:type="dxa"/>
            <w:tcBorders>
              <w:top w:val="single" w:sz="8" w:space="0" w:color="1F497D"/>
              <w:left w:val="nil"/>
              <w:bottom w:val="single" w:sz="8" w:space="0" w:color="1F497D"/>
              <w:right w:val="single" w:sz="8" w:space="0" w:color="1F497D"/>
            </w:tcBorders>
            <w:shd w:val="clear" w:color="000000" w:fill="C5D9F1"/>
            <w:vAlign w:val="center"/>
            <w:hideMark/>
          </w:tcPr>
          <w:p w:rsidR="00CC1FC4" w:rsidRPr="00CC1FC4" w:rsidRDefault="00CC1FC4" w:rsidP="00CC1FC4">
            <w:pPr>
              <w:jc w:val="center"/>
              <w:rPr>
                <w:b/>
                <w:bCs/>
              </w:rPr>
            </w:pPr>
            <w:r w:rsidRPr="00CC1FC4">
              <w:rPr>
                <w:b/>
                <w:bCs/>
              </w:rPr>
              <w:t>Měrná jednotka</w:t>
            </w:r>
          </w:p>
        </w:tc>
        <w:tc>
          <w:tcPr>
            <w:tcW w:w="970" w:type="dxa"/>
            <w:tcBorders>
              <w:top w:val="single" w:sz="8" w:space="0" w:color="1F497D"/>
              <w:left w:val="nil"/>
              <w:bottom w:val="single" w:sz="8" w:space="0" w:color="1F497D"/>
              <w:right w:val="single" w:sz="8" w:space="0" w:color="1F497D"/>
            </w:tcBorders>
            <w:shd w:val="clear" w:color="000000" w:fill="C5D9F1"/>
            <w:vAlign w:val="center"/>
            <w:hideMark/>
          </w:tcPr>
          <w:p w:rsidR="00CC1FC4" w:rsidRPr="00CC1FC4" w:rsidRDefault="00CC1FC4" w:rsidP="00CC1FC4">
            <w:pPr>
              <w:jc w:val="center"/>
              <w:rPr>
                <w:b/>
                <w:bCs/>
              </w:rPr>
            </w:pPr>
            <w:r w:rsidRPr="00CC1FC4">
              <w:rPr>
                <w:b/>
                <w:bCs/>
              </w:rPr>
              <w:t xml:space="preserve">Výchozí hodnota </w:t>
            </w:r>
          </w:p>
        </w:tc>
        <w:tc>
          <w:tcPr>
            <w:tcW w:w="970" w:type="dxa"/>
            <w:tcBorders>
              <w:top w:val="single" w:sz="8" w:space="0" w:color="1F497D"/>
              <w:left w:val="nil"/>
              <w:bottom w:val="single" w:sz="8" w:space="0" w:color="1F497D"/>
              <w:right w:val="single" w:sz="8" w:space="0" w:color="1F497D"/>
            </w:tcBorders>
            <w:shd w:val="clear" w:color="000000" w:fill="C5D9F1"/>
            <w:vAlign w:val="center"/>
            <w:hideMark/>
          </w:tcPr>
          <w:p w:rsidR="00CC1FC4" w:rsidRPr="00CC1FC4" w:rsidRDefault="00CC1FC4" w:rsidP="00CC1FC4">
            <w:pPr>
              <w:jc w:val="center"/>
              <w:rPr>
                <w:b/>
                <w:bCs/>
              </w:rPr>
            </w:pPr>
            <w:r w:rsidRPr="00CC1FC4">
              <w:rPr>
                <w:b/>
                <w:bCs/>
              </w:rPr>
              <w:t>Cílová hodnota</w:t>
            </w:r>
          </w:p>
        </w:tc>
        <w:tc>
          <w:tcPr>
            <w:tcW w:w="1270" w:type="dxa"/>
            <w:tcBorders>
              <w:top w:val="single" w:sz="8" w:space="0" w:color="1F497D"/>
              <w:left w:val="nil"/>
              <w:bottom w:val="single" w:sz="8" w:space="0" w:color="1F497D"/>
              <w:right w:val="single" w:sz="8" w:space="0" w:color="1F497D"/>
            </w:tcBorders>
            <w:shd w:val="clear" w:color="000000" w:fill="C5D9F1"/>
            <w:vAlign w:val="center"/>
            <w:hideMark/>
          </w:tcPr>
          <w:p w:rsidR="00CC1FC4" w:rsidRPr="00CC1FC4" w:rsidRDefault="00CC1FC4" w:rsidP="00CC1FC4">
            <w:pPr>
              <w:jc w:val="center"/>
              <w:rPr>
                <w:b/>
                <w:bCs/>
              </w:rPr>
            </w:pPr>
            <w:r w:rsidRPr="00CC1FC4">
              <w:rPr>
                <w:b/>
                <w:bCs/>
              </w:rPr>
              <w:t>Závazek ze schválených projektů</w:t>
            </w:r>
          </w:p>
        </w:tc>
        <w:tc>
          <w:tcPr>
            <w:tcW w:w="1030" w:type="dxa"/>
            <w:tcBorders>
              <w:top w:val="single" w:sz="8" w:space="0" w:color="1F497D"/>
              <w:left w:val="nil"/>
              <w:bottom w:val="single" w:sz="8" w:space="0" w:color="1F497D"/>
              <w:right w:val="single" w:sz="8" w:space="0" w:color="1F497D"/>
            </w:tcBorders>
            <w:shd w:val="clear" w:color="000000" w:fill="C5D9F1"/>
            <w:vAlign w:val="center"/>
            <w:hideMark/>
          </w:tcPr>
          <w:p w:rsidR="00CC1FC4" w:rsidRPr="00CC1FC4" w:rsidRDefault="00CC1FC4" w:rsidP="00CC1FC4">
            <w:pPr>
              <w:jc w:val="center"/>
              <w:rPr>
                <w:b/>
                <w:bCs/>
              </w:rPr>
            </w:pPr>
            <w:r w:rsidRPr="00CC1FC4">
              <w:rPr>
                <w:b/>
                <w:bCs/>
              </w:rPr>
              <w:t>Dosažená hodnota k 30. 9. 2015</w:t>
            </w:r>
          </w:p>
        </w:tc>
        <w:tc>
          <w:tcPr>
            <w:tcW w:w="1332" w:type="dxa"/>
            <w:tcBorders>
              <w:top w:val="single" w:sz="8" w:space="0" w:color="1F497D"/>
              <w:left w:val="nil"/>
              <w:bottom w:val="single" w:sz="8" w:space="0" w:color="1F497D"/>
              <w:right w:val="single" w:sz="8" w:space="0" w:color="1F497D"/>
            </w:tcBorders>
            <w:shd w:val="clear" w:color="000000" w:fill="C5D9F1"/>
            <w:vAlign w:val="center"/>
            <w:hideMark/>
          </w:tcPr>
          <w:p w:rsidR="00CC1FC4" w:rsidRPr="00CC1FC4" w:rsidRDefault="00CC1FC4" w:rsidP="00CC1FC4">
            <w:pPr>
              <w:jc w:val="center"/>
              <w:rPr>
                <w:b/>
                <w:bCs/>
              </w:rPr>
            </w:pPr>
            <w:r w:rsidRPr="00CC1FC4">
              <w:rPr>
                <w:b/>
                <w:bCs/>
              </w:rPr>
              <w:t>V Rozhodnutí k 30. 9. 2015</w:t>
            </w:r>
          </w:p>
        </w:tc>
      </w:tr>
      <w:tr w:rsidR="00CC1FC4" w:rsidRPr="00CC1FC4" w:rsidTr="00CC1FC4">
        <w:trPr>
          <w:trHeight w:val="1252"/>
        </w:trPr>
        <w:tc>
          <w:tcPr>
            <w:tcW w:w="920" w:type="dxa"/>
            <w:tcBorders>
              <w:top w:val="single" w:sz="4" w:space="0" w:color="auto"/>
              <w:left w:val="single" w:sz="8" w:space="0" w:color="auto"/>
              <w:bottom w:val="single" w:sz="4" w:space="0" w:color="auto"/>
              <w:right w:val="nil"/>
            </w:tcBorders>
            <w:shd w:val="clear" w:color="000000" w:fill="FFFFFF"/>
            <w:noWrap/>
            <w:vAlign w:val="center"/>
            <w:hideMark/>
          </w:tcPr>
          <w:p w:rsidR="00CC1FC4" w:rsidRPr="00CC1FC4" w:rsidRDefault="00CC1FC4" w:rsidP="00CC1FC4">
            <w:pPr>
              <w:jc w:val="center"/>
            </w:pPr>
            <w:r w:rsidRPr="00CC1FC4">
              <w:t>152105</w:t>
            </w:r>
          </w:p>
        </w:tc>
        <w:tc>
          <w:tcPr>
            <w:tcW w:w="167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C1FC4" w:rsidRPr="00CC1FC4" w:rsidRDefault="00CC1FC4" w:rsidP="00CC1FC4">
            <w:r w:rsidRPr="00CC1FC4">
              <w:t>Snížení administrativního zatížení občanů, podnikatelů a veřejného sektoru</w:t>
            </w:r>
          </w:p>
        </w:tc>
        <w:tc>
          <w:tcPr>
            <w:tcW w:w="986" w:type="dxa"/>
            <w:tcBorders>
              <w:top w:val="single" w:sz="4" w:space="0" w:color="auto"/>
              <w:left w:val="nil"/>
              <w:bottom w:val="single" w:sz="4" w:space="0" w:color="auto"/>
              <w:right w:val="single" w:sz="4" w:space="0" w:color="auto"/>
            </w:tcBorders>
            <w:shd w:val="clear" w:color="000000" w:fill="FFFFFF"/>
            <w:noWrap/>
            <w:vAlign w:val="center"/>
            <w:hideMark/>
          </w:tcPr>
          <w:p w:rsidR="00CC1FC4" w:rsidRPr="00CC1FC4" w:rsidRDefault="00CC1FC4" w:rsidP="00CC1FC4">
            <w:pPr>
              <w:jc w:val="center"/>
            </w:pPr>
            <w:r w:rsidRPr="00CC1FC4">
              <w:t>%</w:t>
            </w:r>
          </w:p>
        </w:tc>
        <w:tc>
          <w:tcPr>
            <w:tcW w:w="970" w:type="dxa"/>
            <w:tcBorders>
              <w:top w:val="single" w:sz="4" w:space="0" w:color="auto"/>
              <w:left w:val="nil"/>
              <w:bottom w:val="single" w:sz="4" w:space="0" w:color="auto"/>
              <w:right w:val="single" w:sz="4" w:space="0" w:color="auto"/>
            </w:tcBorders>
            <w:shd w:val="clear" w:color="000000" w:fill="FFFFFF"/>
            <w:noWrap/>
            <w:vAlign w:val="center"/>
            <w:hideMark/>
          </w:tcPr>
          <w:p w:rsidR="00CC1FC4" w:rsidRPr="00CC1FC4" w:rsidRDefault="00CC1FC4" w:rsidP="00CC1FC4">
            <w:pPr>
              <w:jc w:val="center"/>
            </w:pPr>
            <w:r w:rsidRPr="00CC1FC4">
              <w:t>100,00</w:t>
            </w:r>
          </w:p>
        </w:tc>
        <w:tc>
          <w:tcPr>
            <w:tcW w:w="970" w:type="dxa"/>
            <w:tcBorders>
              <w:top w:val="single" w:sz="4" w:space="0" w:color="auto"/>
              <w:left w:val="nil"/>
              <w:bottom w:val="single" w:sz="4" w:space="0" w:color="auto"/>
              <w:right w:val="single" w:sz="4" w:space="0" w:color="auto"/>
            </w:tcBorders>
            <w:shd w:val="clear" w:color="000000" w:fill="FFFFFF"/>
            <w:noWrap/>
            <w:vAlign w:val="center"/>
            <w:hideMark/>
          </w:tcPr>
          <w:p w:rsidR="00CC1FC4" w:rsidRPr="00CC1FC4" w:rsidRDefault="00CC1FC4" w:rsidP="00CC1FC4">
            <w:pPr>
              <w:jc w:val="center"/>
            </w:pPr>
            <w:r w:rsidRPr="00CC1FC4">
              <w:t>75,00</w:t>
            </w:r>
          </w:p>
        </w:tc>
        <w:tc>
          <w:tcPr>
            <w:tcW w:w="1270" w:type="dxa"/>
            <w:tcBorders>
              <w:top w:val="single" w:sz="4" w:space="0" w:color="auto"/>
              <w:left w:val="nil"/>
              <w:bottom w:val="single" w:sz="4" w:space="0" w:color="auto"/>
              <w:right w:val="single" w:sz="4" w:space="0" w:color="auto"/>
            </w:tcBorders>
            <w:shd w:val="clear" w:color="000000" w:fill="FFFFFF"/>
            <w:vAlign w:val="center"/>
            <w:hideMark/>
          </w:tcPr>
          <w:p w:rsidR="00CC1FC4" w:rsidRPr="00CC1FC4" w:rsidRDefault="00CC1FC4" w:rsidP="00CC1FC4">
            <w:pPr>
              <w:jc w:val="center"/>
            </w:pPr>
            <w:r w:rsidRPr="00CC1FC4">
              <w:t>0,00</w:t>
            </w:r>
          </w:p>
        </w:tc>
        <w:tc>
          <w:tcPr>
            <w:tcW w:w="1030" w:type="dxa"/>
            <w:tcBorders>
              <w:top w:val="single" w:sz="4" w:space="0" w:color="auto"/>
              <w:left w:val="nil"/>
              <w:bottom w:val="single" w:sz="4" w:space="0" w:color="auto"/>
              <w:right w:val="single" w:sz="4" w:space="0" w:color="auto"/>
            </w:tcBorders>
            <w:shd w:val="clear" w:color="000000" w:fill="FFFFFF"/>
            <w:vAlign w:val="center"/>
            <w:hideMark/>
          </w:tcPr>
          <w:p w:rsidR="00CC1FC4" w:rsidRPr="00CC1FC4" w:rsidRDefault="00CC1FC4" w:rsidP="00CC1FC4">
            <w:pPr>
              <w:jc w:val="center"/>
            </w:pPr>
            <w:r w:rsidRPr="00CC1FC4">
              <w:t>0,00</w:t>
            </w:r>
          </w:p>
        </w:tc>
        <w:tc>
          <w:tcPr>
            <w:tcW w:w="1332" w:type="dxa"/>
            <w:tcBorders>
              <w:top w:val="single" w:sz="4" w:space="0" w:color="auto"/>
              <w:left w:val="nil"/>
              <w:bottom w:val="single" w:sz="4" w:space="0" w:color="auto"/>
              <w:right w:val="single" w:sz="4" w:space="0" w:color="auto"/>
            </w:tcBorders>
            <w:shd w:val="clear" w:color="000000" w:fill="FFFFFF"/>
            <w:noWrap/>
            <w:vAlign w:val="center"/>
            <w:hideMark/>
          </w:tcPr>
          <w:p w:rsidR="00CC1FC4" w:rsidRPr="00CC1FC4" w:rsidRDefault="00CC1FC4" w:rsidP="00CC1FC4">
            <w:pPr>
              <w:jc w:val="right"/>
            </w:pPr>
            <w:r w:rsidRPr="00CC1FC4">
              <w:t>4 322 322 452</w:t>
            </w:r>
          </w:p>
        </w:tc>
      </w:tr>
    </w:tbl>
    <w:p w:rsidR="002D1C24" w:rsidRPr="00F45842" w:rsidRDefault="002D1C24" w:rsidP="00F45842">
      <w:pPr>
        <w:rPr>
          <w:rStyle w:val="Siln"/>
          <w:b w:val="0"/>
          <w:i/>
          <w:sz w:val="18"/>
          <w:szCs w:val="18"/>
        </w:rPr>
      </w:pPr>
      <w:r w:rsidRPr="00F45842">
        <w:rPr>
          <w:rStyle w:val="Siln"/>
          <w:b w:val="0"/>
          <w:i/>
          <w:sz w:val="18"/>
          <w:szCs w:val="18"/>
        </w:rPr>
        <w:t xml:space="preserve">Zdroj: </w:t>
      </w:r>
      <w:r w:rsidR="00275DC0">
        <w:rPr>
          <w:rStyle w:val="Siln"/>
          <w:b w:val="0"/>
          <w:i/>
          <w:sz w:val="18"/>
          <w:szCs w:val="18"/>
        </w:rPr>
        <w:t xml:space="preserve">MSC2007 </w:t>
      </w:r>
      <w:r w:rsidR="00914BC7">
        <w:rPr>
          <w:rStyle w:val="Siln"/>
          <w:b w:val="0"/>
          <w:i/>
          <w:sz w:val="18"/>
          <w:szCs w:val="18"/>
        </w:rPr>
        <w:t>k 30. 9. 2015</w:t>
      </w:r>
      <w:r w:rsidRPr="00F45842">
        <w:rPr>
          <w:rStyle w:val="Siln"/>
          <w:b w:val="0"/>
          <w:i/>
          <w:sz w:val="18"/>
          <w:szCs w:val="18"/>
        </w:rPr>
        <w:t>, informace od ZS u podílových indikátorů</w:t>
      </w:r>
    </w:p>
    <w:p w:rsidR="00A252B8" w:rsidRDefault="00A252B8" w:rsidP="00A252B8">
      <w:pPr>
        <w:jc w:val="both"/>
        <w:rPr>
          <w:sz w:val="22"/>
          <w:szCs w:val="22"/>
        </w:rPr>
      </w:pPr>
    </w:p>
    <w:p w:rsidR="00A252B8" w:rsidRDefault="00A252B8" w:rsidP="00A252B8">
      <w:pPr>
        <w:jc w:val="both"/>
        <w:rPr>
          <w:sz w:val="22"/>
          <w:szCs w:val="22"/>
        </w:rPr>
      </w:pPr>
      <w:r>
        <w:rPr>
          <w:sz w:val="22"/>
          <w:szCs w:val="22"/>
        </w:rPr>
        <w:t>V g</w:t>
      </w:r>
      <w:r w:rsidRPr="00F04673">
        <w:rPr>
          <w:sz w:val="22"/>
          <w:szCs w:val="22"/>
        </w:rPr>
        <w:t>raf</w:t>
      </w:r>
      <w:r>
        <w:rPr>
          <w:sz w:val="22"/>
          <w:szCs w:val="22"/>
        </w:rPr>
        <w:t>ech</w:t>
      </w:r>
      <w:r w:rsidRPr="00F04673">
        <w:rPr>
          <w:sz w:val="22"/>
          <w:szCs w:val="22"/>
        </w:rPr>
        <w:t xml:space="preserve"> Porovnání věcného a finančního pokroku vyjadřuje </w:t>
      </w:r>
      <w:r>
        <w:rPr>
          <w:sz w:val="22"/>
          <w:szCs w:val="22"/>
        </w:rPr>
        <w:t>f</w:t>
      </w:r>
      <w:r w:rsidRPr="00F04673">
        <w:rPr>
          <w:sz w:val="22"/>
          <w:szCs w:val="22"/>
        </w:rPr>
        <w:t xml:space="preserve">ialový sloupec závazek ze schválených projektů, tj. celkovou plánovanou hodnotu indikátoru, kterou příjemci uvedli v žádostech </w:t>
      </w:r>
      <w:r>
        <w:rPr>
          <w:sz w:val="22"/>
          <w:szCs w:val="22"/>
        </w:rPr>
        <w:t>o dotaci</w:t>
      </w:r>
      <w:r w:rsidRPr="00F04673">
        <w:rPr>
          <w:sz w:val="22"/>
          <w:szCs w:val="22"/>
        </w:rPr>
        <w:t>, vyjádřen</w:t>
      </w:r>
      <w:r w:rsidR="006D1D5C">
        <w:rPr>
          <w:sz w:val="22"/>
          <w:szCs w:val="22"/>
        </w:rPr>
        <w:t>ou</w:t>
      </w:r>
      <w:r w:rsidRPr="00F04673">
        <w:rPr>
          <w:sz w:val="22"/>
          <w:szCs w:val="22"/>
        </w:rPr>
        <w:t xml:space="preserve"> v % z celkové hodnoty</w:t>
      </w:r>
      <w:r>
        <w:rPr>
          <w:sz w:val="22"/>
          <w:szCs w:val="22"/>
        </w:rPr>
        <w:t>,</w:t>
      </w:r>
      <w:r w:rsidRPr="00F04673">
        <w:rPr>
          <w:sz w:val="22"/>
          <w:szCs w:val="22"/>
        </w:rPr>
        <w:t xml:space="preserve"> stanovené v Programovém dokumentu IOP</w:t>
      </w:r>
      <w:r w:rsidR="006D1D5C">
        <w:rPr>
          <w:sz w:val="22"/>
          <w:szCs w:val="22"/>
        </w:rPr>
        <w:t>.</w:t>
      </w:r>
      <w:r w:rsidRPr="00F04673">
        <w:rPr>
          <w:sz w:val="22"/>
          <w:szCs w:val="22"/>
        </w:rPr>
        <w:t xml:space="preserve"> </w:t>
      </w:r>
      <w:r w:rsidR="006D1D5C">
        <w:rPr>
          <w:sz w:val="22"/>
          <w:szCs w:val="22"/>
        </w:rPr>
        <w:t>S</w:t>
      </w:r>
      <w:r w:rsidRPr="00F04673">
        <w:rPr>
          <w:sz w:val="22"/>
          <w:szCs w:val="22"/>
        </w:rPr>
        <w:t>tejný údaj je v tabulkách indikátorů</w:t>
      </w:r>
      <w:r>
        <w:rPr>
          <w:sz w:val="22"/>
          <w:szCs w:val="22"/>
        </w:rPr>
        <w:t>.</w:t>
      </w:r>
      <w:r w:rsidRPr="00F04673">
        <w:rPr>
          <w:sz w:val="22"/>
          <w:szCs w:val="22"/>
        </w:rPr>
        <w:t xml:space="preserve"> </w:t>
      </w:r>
      <w:r>
        <w:rPr>
          <w:sz w:val="22"/>
          <w:szCs w:val="22"/>
        </w:rPr>
        <w:t>M</w:t>
      </w:r>
      <w:r w:rsidRPr="00F04673">
        <w:rPr>
          <w:sz w:val="22"/>
          <w:szCs w:val="22"/>
        </w:rPr>
        <w:t>odrý sloupec zahrnuje finanční prostředky projektů, na které je vydáno Rozhodnutí</w:t>
      </w:r>
      <w:r>
        <w:rPr>
          <w:sz w:val="22"/>
          <w:szCs w:val="22"/>
        </w:rPr>
        <w:t xml:space="preserve"> o poskytnutí dotace</w:t>
      </w:r>
      <w:r w:rsidRPr="00F04673">
        <w:rPr>
          <w:sz w:val="22"/>
          <w:szCs w:val="22"/>
        </w:rPr>
        <w:t xml:space="preserve"> procentuálně vztažené k alokaci na aktivit</w:t>
      </w:r>
      <w:r>
        <w:rPr>
          <w:sz w:val="22"/>
          <w:szCs w:val="22"/>
        </w:rPr>
        <w:t>u</w:t>
      </w:r>
      <w:r w:rsidRPr="00F04673">
        <w:rPr>
          <w:sz w:val="22"/>
          <w:szCs w:val="22"/>
        </w:rPr>
        <w:t>, do kter</w:t>
      </w:r>
      <w:r>
        <w:rPr>
          <w:sz w:val="22"/>
          <w:szCs w:val="22"/>
        </w:rPr>
        <w:t>é</w:t>
      </w:r>
      <w:r w:rsidRPr="00F04673">
        <w:rPr>
          <w:sz w:val="22"/>
          <w:szCs w:val="22"/>
        </w:rPr>
        <w:t xml:space="preserve"> indikátor spadá.</w:t>
      </w:r>
    </w:p>
    <w:p w:rsidR="00A252B8" w:rsidRPr="00DE561F" w:rsidRDefault="00A252B8" w:rsidP="00DE561F">
      <w:pPr>
        <w:pStyle w:val="Graf"/>
        <w:keepNext/>
        <w:keepLines/>
        <w:spacing w:before="360"/>
        <w:rPr>
          <w:b w:val="0"/>
        </w:rPr>
      </w:pPr>
      <w:bookmarkStart w:id="88" w:name="_Toc433873588"/>
      <w:r w:rsidRPr="00DE561F">
        <w:rPr>
          <w:b w:val="0"/>
        </w:rPr>
        <w:lastRenderedPageBreak/>
        <w:t>Porovnání věcného a finančního pokroku v oblasti intervence 2.1</w:t>
      </w:r>
      <w:bookmarkEnd w:id="88"/>
    </w:p>
    <w:p w:rsidR="00C237DB" w:rsidRDefault="00A86148" w:rsidP="00695DD4">
      <w:pPr>
        <w:adjustRightInd w:val="0"/>
        <w:spacing w:after="120"/>
        <w:jc w:val="both"/>
        <w:rPr>
          <w:noProof/>
        </w:rPr>
      </w:pPr>
      <w:r>
        <w:rPr>
          <w:noProof/>
        </w:rPr>
        <w:drawing>
          <wp:inline distT="0" distB="0" distL="0" distR="0" wp14:anchorId="6298983F" wp14:editId="13158F78">
            <wp:extent cx="5760085" cy="3245023"/>
            <wp:effectExtent l="0" t="0" r="12065" b="12700"/>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E1F91" w:rsidRDefault="006E1F91" w:rsidP="00695DD4">
      <w:pPr>
        <w:adjustRightInd w:val="0"/>
        <w:spacing w:after="120"/>
        <w:jc w:val="both"/>
        <w:rPr>
          <w:i/>
          <w:noProof/>
          <w:sz w:val="18"/>
          <w:szCs w:val="18"/>
        </w:rPr>
      </w:pPr>
      <w:r w:rsidRPr="00B4517C">
        <w:rPr>
          <w:i/>
          <w:noProof/>
          <w:sz w:val="18"/>
          <w:szCs w:val="18"/>
        </w:rPr>
        <w:t xml:space="preserve">Zdroj: </w:t>
      </w:r>
      <w:r w:rsidR="00275DC0">
        <w:rPr>
          <w:i/>
          <w:noProof/>
          <w:sz w:val="18"/>
          <w:szCs w:val="18"/>
        </w:rPr>
        <w:t>MSC2007 k</w:t>
      </w:r>
      <w:r w:rsidR="00A86148">
        <w:rPr>
          <w:i/>
          <w:noProof/>
          <w:sz w:val="18"/>
          <w:szCs w:val="18"/>
        </w:rPr>
        <w:t> 30.9.2015</w:t>
      </w:r>
      <w:r w:rsidRPr="00B4517C">
        <w:rPr>
          <w:i/>
          <w:noProof/>
          <w:sz w:val="18"/>
          <w:szCs w:val="18"/>
        </w:rPr>
        <w:t>, informace od ZS u podílových indikátorů</w:t>
      </w:r>
    </w:p>
    <w:p w:rsidR="002F69C8" w:rsidRDefault="002F69C8" w:rsidP="00695DD4">
      <w:pPr>
        <w:adjustRightInd w:val="0"/>
        <w:spacing w:after="120"/>
        <w:jc w:val="both"/>
      </w:pPr>
    </w:p>
    <w:p w:rsidR="00D644B0" w:rsidRDefault="00D644B0">
      <w:pPr>
        <w:pStyle w:val="Nadpis3"/>
        <w:rPr>
          <w:rFonts w:ascii="Times New Roman" w:hAnsi="Times New Roman"/>
          <w:sz w:val="24"/>
          <w:szCs w:val="24"/>
        </w:rPr>
      </w:pPr>
      <w:bookmarkStart w:id="89" w:name="_Toc433873498"/>
      <w:r w:rsidRPr="006266F5">
        <w:rPr>
          <w:rFonts w:ascii="Times New Roman" w:hAnsi="Times New Roman"/>
          <w:sz w:val="24"/>
          <w:szCs w:val="24"/>
        </w:rPr>
        <w:t xml:space="preserve">3.2.4 Problémy a přijatá </w:t>
      </w:r>
      <w:r w:rsidR="001B7D47" w:rsidRPr="006266F5">
        <w:rPr>
          <w:rFonts w:ascii="Times New Roman" w:hAnsi="Times New Roman"/>
          <w:sz w:val="24"/>
          <w:szCs w:val="24"/>
        </w:rPr>
        <w:t>opatření</w:t>
      </w:r>
      <w:bookmarkEnd w:id="89"/>
    </w:p>
    <w:p w:rsidR="00224BDC" w:rsidRPr="00DE221A" w:rsidRDefault="00224BDC" w:rsidP="00224BDC">
      <w:pPr>
        <w:pStyle w:val="TextNOK"/>
        <w:spacing w:line="240" w:lineRule="auto"/>
        <w:rPr>
          <w:b/>
        </w:rPr>
      </w:pPr>
      <w:r w:rsidRPr="00DE221A">
        <w:rPr>
          <w:b/>
        </w:rPr>
        <w:t>Problém</w:t>
      </w:r>
    </w:p>
    <w:p w:rsidR="00224BDC" w:rsidRPr="000E2389" w:rsidRDefault="00224BDC" w:rsidP="00224BDC">
      <w:pPr>
        <w:pStyle w:val="TextNOK"/>
        <w:spacing w:line="240" w:lineRule="auto"/>
        <w:rPr>
          <w:bCs/>
          <w:iCs/>
          <w:szCs w:val="22"/>
        </w:rPr>
      </w:pPr>
      <w:r w:rsidRPr="000E2389">
        <w:rPr>
          <w:bCs/>
          <w:iCs/>
          <w:szCs w:val="22"/>
        </w:rPr>
        <w:t xml:space="preserve">Hlavním problémem ve sledovaném období byly především četné změny harmonogramů projektů </w:t>
      </w:r>
      <w:r w:rsidR="0056742D">
        <w:rPr>
          <w:bCs/>
          <w:iCs/>
          <w:szCs w:val="22"/>
        </w:rPr>
        <w:br/>
      </w:r>
      <w:r w:rsidRPr="000E2389">
        <w:rPr>
          <w:bCs/>
          <w:iCs/>
          <w:szCs w:val="22"/>
        </w:rPr>
        <w:t>a harmonogramů veřejných zakázek</w:t>
      </w:r>
      <w:r w:rsidR="007D66D0">
        <w:rPr>
          <w:bCs/>
          <w:iCs/>
          <w:szCs w:val="22"/>
        </w:rPr>
        <w:t xml:space="preserve">, </w:t>
      </w:r>
      <w:r w:rsidRPr="000E2389">
        <w:rPr>
          <w:bCs/>
          <w:iCs/>
          <w:szCs w:val="22"/>
        </w:rPr>
        <w:t xml:space="preserve">opakování VZ, rušení VZ, rušení aktivit, technické </w:t>
      </w:r>
      <w:r w:rsidR="007D66D0">
        <w:rPr>
          <w:bCs/>
          <w:iCs/>
          <w:szCs w:val="22"/>
        </w:rPr>
        <w:br/>
      </w:r>
      <w:r w:rsidRPr="000E2389">
        <w:rPr>
          <w:bCs/>
          <w:iCs/>
          <w:szCs w:val="22"/>
        </w:rPr>
        <w:t>a technologické problémy při implementaci výstupů, problematika způsobilosti výdajů (především servis, záruky, publicita).</w:t>
      </w:r>
    </w:p>
    <w:p w:rsidR="00224BDC" w:rsidRDefault="00224BDC" w:rsidP="00224BDC">
      <w:pPr>
        <w:pStyle w:val="TextNOK"/>
        <w:spacing w:line="240" w:lineRule="auto"/>
        <w:rPr>
          <w:b/>
          <w:bCs/>
          <w:i/>
          <w:iCs/>
          <w:sz w:val="20"/>
          <w:szCs w:val="20"/>
        </w:rPr>
      </w:pPr>
    </w:p>
    <w:p w:rsidR="00224BDC" w:rsidRPr="00224BDC" w:rsidRDefault="00224BDC" w:rsidP="00224BDC">
      <w:pPr>
        <w:pStyle w:val="TextNOK"/>
        <w:spacing w:line="240" w:lineRule="auto"/>
        <w:rPr>
          <w:b/>
        </w:rPr>
      </w:pPr>
      <w:r w:rsidRPr="00224BDC">
        <w:rPr>
          <w:b/>
        </w:rPr>
        <w:t>Přijatá opatření</w:t>
      </w:r>
    </w:p>
    <w:p w:rsidR="00224BDC" w:rsidRDefault="00224BDC" w:rsidP="00224BDC">
      <w:pPr>
        <w:pStyle w:val="TextNOK"/>
        <w:spacing w:line="240" w:lineRule="auto"/>
      </w:pPr>
      <w:r>
        <w:t>ZS CRR poskytuje příjemcům k</w:t>
      </w:r>
      <w:r w:rsidRPr="00DE221A">
        <w:t xml:space="preserve">onzultace </w:t>
      </w:r>
      <w:r>
        <w:t>k veřejným zakázkám</w:t>
      </w:r>
      <w:r w:rsidRPr="00DE221A">
        <w:t>, ke způsobilosti výdajů, k podání Ž</w:t>
      </w:r>
      <w:r>
        <w:t xml:space="preserve">ádosti </w:t>
      </w:r>
      <w:r w:rsidRPr="00DE221A">
        <w:t>o</w:t>
      </w:r>
      <w:r>
        <w:t xml:space="preserve"> </w:t>
      </w:r>
      <w:r w:rsidRPr="00DE221A">
        <w:t>P</w:t>
      </w:r>
      <w:r>
        <w:t>latbu/Monitorovacích zpráv</w:t>
      </w:r>
      <w:r w:rsidRPr="00DE221A">
        <w:t xml:space="preserve"> na krajských odděleních Centra</w:t>
      </w:r>
      <w:r>
        <w:t xml:space="preserve">. </w:t>
      </w:r>
      <w:r w:rsidR="00C45BDC">
        <w:t>Z</w:t>
      </w:r>
      <w:r>
        <w:t>veřejňuje nejčastěji kladené dotazy, kontroluje způsobilost</w:t>
      </w:r>
      <w:r w:rsidRPr="00DE221A">
        <w:t xml:space="preserve"> výdajů </w:t>
      </w:r>
      <w:r>
        <w:t xml:space="preserve">a </w:t>
      </w:r>
      <w:r w:rsidRPr="00DE221A">
        <w:t>změn</w:t>
      </w:r>
      <w:r>
        <w:t>y</w:t>
      </w:r>
      <w:r w:rsidRPr="00DE221A">
        <w:t xml:space="preserve"> </w:t>
      </w:r>
      <w:r w:rsidR="00C45BDC">
        <w:t xml:space="preserve">projektů </w:t>
      </w:r>
      <w:r>
        <w:t>pomocí expertních spolupracovníků. Složitější</w:t>
      </w:r>
      <w:r w:rsidRPr="00DE221A">
        <w:t xml:space="preserve"> </w:t>
      </w:r>
      <w:r>
        <w:t>výběrová</w:t>
      </w:r>
      <w:r w:rsidRPr="00DE221A">
        <w:t xml:space="preserve"> řízení </w:t>
      </w:r>
      <w:r>
        <w:t>jsou konzultována s pražskou centrálou</w:t>
      </w:r>
      <w:r w:rsidRPr="00DE221A">
        <w:t xml:space="preserve">. </w:t>
      </w:r>
      <w:r>
        <w:t>CRR sleduje předkládané</w:t>
      </w:r>
      <w:r w:rsidRPr="00DE221A">
        <w:t xml:space="preserve"> </w:t>
      </w:r>
      <w:r>
        <w:t>zadávací dokumentace</w:t>
      </w:r>
      <w:r w:rsidRPr="00DE221A">
        <w:t xml:space="preserve"> a stav </w:t>
      </w:r>
      <w:r>
        <w:t>zadávacích řízení prostřednictvím kontroly</w:t>
      </w:r>
      <w:r w:rsidRPr="00DE221A">
        <w:t xml:space="preserve"> termínu dodávek ve vztahu k datu ukončení realizace projektu. </w:t>
      </w:r>
    </w:p>
    <w:p w:rsidR="00224BDC" w:rsidRPr="00DE221A" w:rsidRDefault="00224BDC" w:rsidP="00605AE6">
      <w:pPr>
        <w:pStyle w:val="TextNOK"/>
        <w:spacing w:line="240" w:lineRule="auto"/>
      </w:pPr>
      <w:r>
        <w:t xml:space="preserve">Ve spolupráci s ŘO IOP </w:t>
      </w:r>
      <w:r w:rsidR="00C45BDC">
        <w:t>jsou</w:t>
      </w:r>
      <w:r>
        <w:t xml:space="preserve"> identifikovány a aktualizovány rizikové a spící“ projekty</w:t>
      </w:r>
      <w:r w:rsidRPr="00DE221A">
        <w:t xml:space="preserve">, </w:t>
      </w:r>
      <w:r>
        <w:t>u nichž je sledován průběh realizace a plnění nápravných opatření</w:t>
      </w:r>
      <w:r w:rsidR="00605AE6">
        <w:t>, která</w:t>
      </w:r>
      <w:r>
        <w:t xml:space="preserve"> stanov</w:t>
      </w:r>
      <w:r w:rsidR="00605AE6">
        <w:t>il</w:t>
      </w:r>
      <w:r>
        <w:t xml:space="preserve"> ŘO IOP.</w:t>
      </w:r>
    </w:p>
    <w:p w:rsidR="00224BDC" w:rsidRPr="00DE221A" w:rsidRDefault="00224BDC" w:rsidP="00C94812">
      <w:pPr>
        <w:pStyle w:val="TextNOK"/>
        <w:spacing w:line="240" w:lineRule="auto"/>
      </w:pPr>
      <w:r>
        <w:t>Rovněž byly na ZS CRR nastaveny interní postupy</w:t>
      </w:r>
      <w:r w:rsidRPr="00DE221A">
        <w:t xml:space="preserve"> pro urychlení administrace </w:t>
      </w:r>
      <w:proofErr w:type="spellStart"/>
      <w:r w:rsidRPr="00DE221A">
        <w:t>Ž</w:t>
      </w:r>
      <w:r w:rsidR="004A56BD">
        <w:t>o</w:t>
      </w:r>
      <w:r w:rsidRPr="00DE221A">
        <w:t>P</w:t>
      </w:r>
      <w:proofErr w:type="spellEnd"/>
      <w:r w:rsidRPr="00DE221A">
        <w:t xml:space="preserve"> </w:t>
      </w:r>
      <w:r w:rsidR="00605AE6">
        <w:t>po</w:t>
      </w:r>
      <w:r w:rsidRPr="00DE221A">
        <w:t>dle opatření k maximalizaci čerpání v roce 2015.</w:t>
      </w:r>
    </w:p>
    <w:p w:rsidR="0027064C" w:rsidRPr="0061205D" w:rsidRDefault="00224BDC" w:rsidP="008967E2">
      <w:pPr>
        <w:jc w:val="both"/>
        <w:rPr>
          <w:color w:val="1F497D"/>
          <w:sz w:val="22"/>
          <w:szCs w:val="22"/>
        </w:rPr>
      </w:pPr>
      <w:r w:rsidRPr="0061205D">
        <w:rPr>
          <w:sz w:val="22"/>
          <w:szCs w:val="22"/>
        </w:rPr>
        <w:t>Pražská centrála CRR monitoruje a vyhodnocuje administraci Oznámení o změně, projektových žádostí a Žádostí o platbu</w:t>
      </w:r>
      <w:r w:rsidR="00605AE6">
        <w:rPr>
          <w:sz w:val="22"/>
          <w:szCs w:val="22"/>
        </w:rPr>
        <w:t xml:space="preserve"> a</w:t>
      </w:r>
      <w:r w:rsidRPr="0061205D">
        <w:rPr>
          <w:sz w:val="22"/>
          <w:szCs w:val="22"/>
        </w:rPr>
        <w:t xml:space="preserve"> nastav</w:t>
      </w:r>
      <w:r w:rsidR="00605AE6">
        <w:rPr>
          <w:sz w:val="22"/>
          <w:szCs w:val="22"/>
        </w:rPr>
        <w:t>il k tomu</w:t>
      </w:r>
      <w:r w:rsidRPr="0061205D">
        <w:rPr>
          <w:sz w:val="22"/>
          <w:szCs w:val="22"/>
        </w:rPr>
        <w:t xml:space="preserve"> podrobný proces.</w:t>
      </w:r>
      <w:r w:rsidR="0027064C" w:rsidRPr="0061205D">
        <w:rPr>
          <w:rStyle w:val="Odkaznakoment"/>
          <w:sz w:val="22"/>
          <w:szCs w:val="22"/>
        </w:rPr>
        <w:t>   </w:t>
      </w:r>
    </w:p>
    <w:p w:rsidR="0027064C" w:rsidRDefault="0027064C" w:rsidP="0027064C">
      <w:pPr>
        <w:rPr>
          <w:color w:val="1F497D"/>
        </w:rPr>
      </w:pPr>
    </w:p>
    <w:p w:rsidR="00D644B0" w:rsidRPr="00413E5F" w:rsidRDefault="00D644B0">
      <w:pPr>
        <w:pStyle w:val="Nadpis2"/>
        <w:rPr>
          <w:rFonts w:ascii="Times New Roman" w:hAnsi="Times New Roman"/>
          <w:i w:val="0"/>
        </w:rPr>
      </w:pPr>
      <w:bookmarkStart w:id="90" w:name="_Toc433873499"/>
      <w:r w:rsidRPr="00413E5F">
        <w:rPr>
          <w:rFonts w:ascii="Times New Roman" w:hAnsi="Times New Roman"/>
          <w:i w:val="0"/>
        </w:rPr>
        <w:t>3.3 Prioritní osa 3 – Zvýšení kvality a dostupnosti veřejných služeb</w:t>
      </w:r>
      <w:bookmarkEnd w:id="90"/>
    </w:p>
    <w:p w:rsidR="00D644B0" w:rsidRPr="00413E5F" w:rsidRDefault="00D644B0">
      <w:pPr>
        <w:pStyle w:val="Nadpis3"/>
        <w:rPr>
          <w:rFonts w:ascii="Times New Roman" w:hAnsi="Times New Roman"/>
          <w:sz w:val="24"/>
          <w:szCs w:val="24"/>
        </w:rPr>
      </w:pPr>
      <w:bookmarkStart w:id="91" w:name="_Toc433873500"/>
      <w:r w:rsidRPr="00F40769">
        <w:rPr>
          <w:rFonts w:ascii="Times New Roman" w:hAnsi="Times New Roman"/>
          <w:sz w:val="24"/>
          <w:szCs w:val="24"/>
        </w:rPr>
        <w:t>3.</w:t>
      </w:r>
      <w:r w:rsidRPr="006266F5">
        <w:rPr>
          <w:rFonts w:ascii="Times New Roman" w:hAnsi="Times New Roman"/>
          <w:sz w:val="24"/>
          <w:szCs w:val="24"/>
        </w:rPr>
        <w:t>3.1 Zaměření prioritních os/oblastí intervence</w:t>
      </w:r>
      <w:bookmarkEnd w:id="91"/>
    </w:p>
    <w:p w:rsidR="00D644B0" w:rsidRDefault="00D644B0">
      <w:pPr>
        <w:jc w:val="both"/>
        <w:rPr>
          <w:sz w:val="22"/>
          <w:szCs w:val="22"/>
        </w:rPr>
      </w:pPr>
      <w:r>
        <w:rPr>
          <w:sz w:val="22"/>
          <w:szCs w:val="22"/>
        </w:rPr>
        <w:t xml:space="preserve">Aktivity prioritní osy 3 navazují na intervence do kvality a efektivity fungování veřejné správy. Společným záměrem je zlepšení organizace, financování a procesu hodnocení veřejných služeb. Prioritní osa se zaměřuje na </w:t>
      </w:r>
      <w:r w:rsidRPr="00865E58">
        <w:rPr>
          <w:b/>
          <w:sz w:val="22"/>
          <w:szCs w:val="22"/>
        </w:rPr>
        <w:t>čtyři oblasti intervence:</w:t>
      </w:r>
    </w:p>
    <w:p w:rsidR="00810330" w:rsidRDefault="00D644B0" w:rsidP="00E50867">
      <w:pPr>
        <w:numPr>
          <w:ilvl w:val="0"/>
          <w:numId w:val="1"/>
        </w:numPr>
        <w:jc w:val="both"/>
        <w:rPr>
          <w:sz w:val="22"/>
          <w:szCs w:val="22"/>
        </w:rPr>
      </w:pPr>
      <w:r>
        <w:rPr>
          <w:sz w:val="22"/>
          <w:szCs w:val="22"/>
        </w:rPr>
        <w:t>3.1 – Služby v oblasti sociální integrace,</w:t>
      </w:r>
    </w:p>
    <w:p w:rsidR="00810330" w:rsidRDefault="00D644B0" w:rsidP="00E50867">
      <w:pPr>
        <w:numPr>
          <w:ilvl w:val="0"/>
          <w:numId w:val="1"/>
        </w:numPr>
        <w:jc w:val="both"/>
        <w:rPr>
          <w:sz w:val="22"/>
          <w:szCs w:val="22"/>
        </w:rPr>
      </w:pPr>
      <w:r>
        <w:rPr>
          <w:sz w:val="22"/>
          <w:szCs w:val="22"/>
        </w:rPr>
        <w:lastRenderedPageBreak/>
        <w:t>3.2 – Služby v oblasti veřejného zdraví,</w:t>
      </w:r>
    </w:p>
    <w:p w:rsidR="00810330" w:rsidRDefault="00D644B0" w:rsidP="00E50867">
      <w:pPr>
        <w:numPr>
          <w:ilvl w:val="0"/>
          <w:numId w:val="1"/>
        </w:numPr>
        <w:jc w:val="both"/>
        <w:rPr>
          <w:sz w:val="22"/>
          <w:szCs w:val="22"/>
        </w:rPr>
      </w:pPr>
      <w:r>
        <w:rPr>
          <w:sz w:val="22"/>
          <w:szCs w:val="22"/>
        </w:rPr>
        <w:t>3.3 – Služby v oblasti zaměstnanosti,</w:t>
      </w:r>
    </w:p>
    <w:p w:rsidR="00810330" w:rsidRPr="00E50867" w:rsidRDefault="00D644B0" w:rsidP="00E50867">
      <w:pPr>
        <w:numPr>
          <w:ilvl w:val="0"/>
          <w:numId w:val="1"/>
        </w:numPr>
        <w:jc w:val="both"/>
        <w:rPr>
          <w:sz w:val="22"/>
          <w:szCs w:val="22"/>
        </w:rPr>
      </w:pPr>
      <w:r>
        <w:rPr>
          <w:sz w:val="22"/>
          <w:szCs w:val="22"/>
        </w:rPr>
        <w:t>3.4 – Služby v oblasti bezpečnosti, prevence a řešení rizik.</w:t>
      </w:r>
    </w:p>
    <w:p w:rsidR="00B74599" w:rsidRDefault="00B74599">
      <w:pPr>
        <w:rPr>
          <w:sz w:val="22"/>
          <w:szCs w:val="22"/>
        </w:rPr>
      </w:pPr>
    </w:p>
    <w:p w:rsidR="00D644B0" w:rsidRDefault="00D644B0">
      <w:pPr>
        <w:rPr>
          <w:sz w:val="22"/>
          <w:szCs w:val="22"/>
        </w:rPr>
      </w:pPr>
      <w:r>
        <w:rPr>
          <w:sz w:val="22"/>
          <w:szCs w:val="22"/>
        </w:rPr>
        <w:t>Specifické cíle:</w:t>
      </w:r>
    </w:p>
    <w:p w:rsidR="00D644B0" w:rsidRDefault="00D644B0" w:rsidP="006571B4">
      <w:pPr>
        <w:numPr>
          <w:ilvl w:val="0"/>
          <w:numId w:val="1"/>
        </w:numPr>
        <w:jc w:val="both"/>
        <w:rPr>
          <w:sz w:val="22"/>
          <w:szCs w:val="22"/>
        </w:rPr>
      </w:pPr>
      <w:r>
        <w:rPr>
          <w:sz w:val="22"/>
          <w:szCs w:val="22"/>
        </w:rPr>
        <w:t>posílení sociální integrace prostřednictvím procesu transformace residenčních sociálních služeb v jiné typy sociálních služeb a při zajištění kvality a dostupnosti sociálních služeb umožňujících návrat uživatelů zpět na trh práce a do společnosti,</w:t>
      </w:r>
    </w:p>
    <w:p w:rsidR="00D644B0" w:rsidRDefault="00D644B0" w:rsidP="006571B4">
      <w:pPr>
        <w:numPr>
          <w:ilvl w:val="0"/>
          <w:numId w:val="1"/>
        </w:numPr>
        <w:jc w:val="both"/>
        <w:rPr>
          <w:sz w:val="22"/>
          <w:szCs w:val="22"/>
        </w:rPr>
      </w:pPr>
      <w:r>
        <w:rPr>
          <w:sz w:val="22"/>
          <w:szCs w:val="22"/>
        </w:rPr>
        <w:t xml:space="preserve">inovace a modernizace infrastruktury péče o zdraví obyvatel s důrazem na rozšíření národních sítí specializovaných pracovišť, prevenci zdravotních rizik a zvýšení efektivity, kvality </w:t>
      </w:r>
      <w:r w:rsidR="00E33465">
        <w:rPr>
          <w:sz w:val="22"/>
          <w:szCs w:val="22"/>
        </w:rPr>
        <w:br/>
      </w:r>
      <w:r>
        <w:rPr>
          <w:sz w:val="22"/>
          <w:szCs w:val="22"/>
        </w:rPr>
        <w:t>a nákladovosti systému poskytování služeb veřejného zdraví</w:t>
      </w:r>
    </w:p>
    <w:p w:rsidR="00D644B0" w:rsidRDefault="00D644B0" w:rsidP="006571B4">
      <w:pPr>
        <w:numPr>
          <w:ilvl w:val="0"/>
          <w:numId w:val="1"/>
        </w:numPr>
        <w:jc w:val="both"/>
        <w:rPr>
          <w:sz w:val="22"/>
          <w:szCs w:val="22"/>
        </w:rPr>
      </w:pPr>
      <w:r>
        <w:rPr>
          <w:sz w:val="22"/>
          <w:szCs w:val="22"/>
        </w:rPr>
        <w:t>zvýšení kvality služeb zaměstnanosti a podpora rozvoje nových nástrojů a institucí služeb zaměstnanosti, včetně vzdělávání zaměstnanců a klientů služeb zaměstnanosti,</w:t>
      </w:r>
    </w:p>
    <w:p w:rsidR="00D644B0" w:rsidRDefault="00D644B0" w:rsidP="006571B4">
      <w:pPr>
        <w:numPr>
          <w:ilvl w:val="0"/>
          <w:numId w:val="1"/>
        </w:numPr>
        <w:rPr>
          <w:sz w:val="22"/>
          <w:szCs w:val="22"/>
        </w:rPr>
      </w:pPr>
      <w:r>
        <w:rPr>
          <w:sz w:val="22"/>
          <w:szCs w:val="22"/>
        </w:rPr>
        <w:t xml:space="preserve">zvýšení kvality na úseku prevence a řešení rizik prostřednictvím modernizace infrastruktury.  </w:t>
      </w:r>
    </w:p>
    <w:p w:rsidR="00D644B0" w:rsidRDefault="00D644B0">
      <w:pPr>
        <w:rPr>
          <w:sz w:val="22"/>
          <w:szCs w:val="22"/>
        </w:rPr>
      </w:pPr>
    </w:p>
    <w:p w:rsidR="00D644B0" w:rsidRDefault="00D644B0">
      <w:pPr>
        <w:rPr>
          <w:sz w:val="22"/>
          <w:szCs w:val="22"/>
        </w:rPr>
      </w:pPr>
      <w:r>
        <w:rPr>
          <w:sz w:val="22"/>
          <w:szCs w:val="22"/>
        </w:rPr>
        <w:t>Příjemci:</w:t>
      </w:r>
    </w:p>
    <w:p w:rsidR="00D644B0" w:rsidRDefault="00D644B0" w:rsidP="006571B4">
      <w:pPr>
        <w:numPr>
          <w:ilvl w:val="0"/>
          <w:numId w:val="4"/>
        </w:numPr>
        <w:jc w:val="both"/>
        <w:rPr>
          <w:sz w:val="22"/>
          <w:szCs w:val="22"/>
        </w:rPr>
      </w:pPr>
      <w:r>
        <w:rPr>
          <w:sz w:val="22"/>
          <w:szCs w:val="22"/>
        </w:rPr>
        <w:t>organizační složky státu a jimi zřizované příspěvkové organizace,</w:t>
      </w:r>
    </w:p>
    <w:p w:rsidR="00D644B0" w:rsidRDefault="00D644B0" w:rsidP="006571B4">
      <w:pPr>
        <w:numPr>
          <w:ilvl w:val="0"/>
          <w:numId w:val="4"/>
        </w:numPr>
        <w:jc w:val="both"/>
        <w:rPr>
          <w:sz w:val="22"/>
          <w:szCs w:val="22"/>
        </w:rPr>
      </w:pPr>
      <w:r>
        <w:rPr>
          <w:sz w:val="22"/>
          <w:szCs w:val="22"/>
        </w:rPr>
        <w:t>kraje a obce a jimi zřizované organizace</w:t>
      </w:r>
      <w:r w:rsidR="004D1E02">
        <w:rPr>
          <w:sz w:val="22"/>
          <w:szCs w:val="22"/>
        </w:rPr>
        <w:t>,</w:t>
      </w:r>
    </w:p>
    <w:p w:rsidR="00D644B0" w:rsidRDefault="00D644B0" w:rsidP="006571B4">
      <w:pPr>
        <w:numPr>
          <w:ilvl w:val="0"/>
          <w:numId w:val="4"/>
        </w:numPr>
        <w:jc w:val="both"/>
        <w:rPr>
          <w:sz w:val="22"/>
          <w:szCs w:val="22"/>
        </w:rPr>
      </w:pPr>
      <w:r>
        <w:rPr>
          <w:sz w:val="22"/>
          <w:szCs w:val="22"/>
        </w:rPr>
        <w:t>nestátní neziskové organizace,</w:t>
      </w:r>
    </w:p>
    <w:p w:rsidR="00D644B0" w:rsidRDefault="00D644B0" w:rsidP="006571B4">
      <w:pPr>
        <w:numPr>
          <w:ilvl w:val="0"/>
          <w:numId w:val="4"/>
        </w:numPr>
        <w:jc w:val="both"/>
        <w:rPr>
          <w:sz w:val="22"/>
          <w:szCs w:val="22"/>
        </w:rPr>
      </w:pPr>
      <w:r>
        <w:rPr>
          <w:sz w:val="22"/>
          <w:szCs w:val="22"/>
        </w:rPr>
        <w:t xml:space="preserve">podnikatelé (osoby zapsané v obchodním rejstříku osoby podnikající na základě živnostenského oprávnění nebo na základě zvláštních </w:t>
      </w:r>
      <w:r w:rsidR="00627B04">
        <w:rPr>
          <w:sz w:val="22"/>
          <w:szCs w:val="22"/>
        </w:rPr>
        <w:t>předpisů).</w:t>
      </w:r>
    </w:p>
    <w:p w:rsidR="00D644B0" w:rsidRDefault="00D644B0">
      <w:pPr>
        <w:jc w:val="both"/>
        <w:rPr>
          <w:sz w:val="22"/>
          <w:szCs w:val="22"/>
        </w:rPr>
      </w:pPr>
    </w:p>
    <w:p w:rsidR="000163C8" w:rsidRDefault="000163C8">
      <w:pPr>
        <w:rPr>
          <w:b/>
          <w:sz w:val="28"/>
          <w:szCs w:val="28"/>
        </w:rPr>
        <w:sectPr w:rsidR="000163C8" w:rsidSect="00356E21">
          <w:pgSz w:w="11907" w:h="16840" w:code="9"/>
          <w:pgMar w:top="1418" w:right="1418" w:bottom="1418" w:left="1418" w:header="709" w:footer="709" w:gutter="0"/>
          <w:cols w:space="708"/>
          <w:docGrid w:linePitch="272"/>
        </w:sectPr>
      </w:pPr>
    </w:p>
    <w:p w:rsidR="000163C8" w:rsidRDefault="000163C8" w:rsidP="000163C8">
      <w:pPr>
        <w:pStyle w:val="Nadpis3"/>
        <w:spacing w:before="0" w:after="0"/>
        <w:rPr>
          <w:rFonts w:ascii="Times New Roman" w:hAnsi="Times New Roman"/>
          <w:sz w:val="24"/>
          <w:szCs w:val="24"/>
        </w:rPr>
      </w:pPr>
      <w:bookmarkStart w:id="92" w:name="_Toc433873501"/>
      <w:r w:rsidRPr="00145DB7">
        <w:rPr>
          <w:rFonts w:ascii="Times New Roman" w:hAnsi="Times New Roman"/>
          <w:sz w:val="24"/>
          <w:szCs w:val="24"/>
        </w:rPr>
        <w:lastRenderedPageBreak/>
        <w:t>3</w:t>
      </w:r>
      <w:r w:rsidRPr="006266F5">
        <w:rPr>
          <w:rFonts w:ascii="Times New Roman" w:hAnsi="Times New Roman"/>
          <w:sz w:val="24"/>
          <w:szCs w:val="24"/>
        </w:rPr>
        <w:t>.3.2 Pokrok v realizaci prioritních os/oblastí intervence</w:t>
      </w:r>
      <w:bookmarkEnd w:id="92"/>
    </w:p>
    <w:p w:rsidR="003A7F11" w:rsidRPr="00A95C46" w:rsidRDefault="003A7F11" w:rsidP="003A7F11">
      <w:pPr>
        <w:spacing w:after="120"/>
        <w:jc w:val="both"/>
        <w:rPr>
          <w:sz w:val="22"/>
          <w:szCs w:val="22"/>
        </w:rPr>
      </w:pPr>
      <w:r w:rsidRPr="00A95C46">
        <w:rPr>
          <w:sz w:val="22"/>
          <w:szCs w:val="22"/>
        </w:rPr>
        <w:t xml:space="preserve">V </w:t>
      </w:r>
      <w:r w:rsidRPr="008E1F4C">
        <w:rPr>
          <w:b/>
          <w:sz w:val="22"/>
          <w:szCs w:val="22"/>
        </w:rPr>
        <w:t>oblasti intervence 3.1</w:t>
      </w:r>
      <w:r w:rsidRPr="00A95C46">
        <w:rPr>
          <w:sz w:val="22"/>
          <w:szCs w:val="22"/>
        </w:rPr>
        <w:t xml:space="preserve"> </w:t>
      </w:r>
      <w:r w:rsidR="00605AE6">
        <w:rPr>
          <w:sz w:val="22"/>
          <w:szCs w:val="22"/>
        </w:rPr>
        <w:t>bylo</w:t>
      </w:r>
      <w:r w:rsidRPr="00A95C46">
        <w:rPr>
          <w:sz w:val="22"/>
          <w:szCs w:val="22"/>
        </w:rPr>
        <w:t xml:space="preserve"> </w:t>
      </w:r>
      <w:r w:rsidR="00605AE6">
        <w:rPr>
          <w:sz w:val="22"/>
          <w:szCs w:val="22"/>
        </w:rPr>
        <w:t>o</w:t>
      </w:r>
      <w:r w:rsidRPr="00A95C46">
        <w:rPr>
          <w:sz w:val="22"/>
          <w:szCs w:val="22"/>
        </w:rPr>
        <w:t>d počátku sledovaného období podáno 474 projektových žádostí v hodnotě 117,65 mil. EUR, což představuje 21</w:t>
      </w:r>
      <w:r>
        <w:rPr>
          <w:sz w:val="22"/>
          <w:szCs w:val="22"/>
        </w:rPr>
        <w:t>8,1</w:t>
      </w:r>
      <w:r w:rsidRPr="00A95C46">
        <w:rPr>
          <w:sz w:val="22"/>
          <w:szCs w:val="22"/>
        </w:rPr>
        <w:t xml:space="preserve"> % alokace. Za období 1</w:t>
      </w:r>
      <w:r>
        <w:rPr>
          <w:sz w:val="22"/>
          <w:szCs w:val="22"/>
        </w:rPr>
        <w:t>7</w:t>
      </w:r>
      <w:r w:rsidRPr="00A95C46">
        <w:rPr>
          <w:sz w:val="22"/>
          <w:szCs w:val="22"/>
        </w:rPr>
        <w:t xml:space="preserve">. </w:t>
      </w:r>
      <w:r>
        <w:rPr>
          <w:sz w:val="22"/>
          <w:szCs w:val="22"/>
        </w:rPr>
        <w:t>4</w:t>
      </w:r>
      <w:r w:rsidRPr="00A95C46">
        <w:rPr>
          <w:sz w:val="22"/>
          <w:szCs w:val="22"/>
        </w:rPr>
        <w:t>. 201</w:t>
      </w:r>
      <w:r>
        <w:rPr>
          <w:sz w:val="22"/>
          <w:szCs w:val="22"/>
        </w:rPr>
        <w:t>5 – 30</w:t>
      </w:r>
      <w:r w:rsidRPr="00A95C46">
        <w:rPr>
          <w:sz w:val="22"/>
          <w:szCs w:val="22"/>
        </w:rPr>
        <w:t xml:space="preserve">. </w:t>
      </w:r>
      <w:r>
        <w:rPr>
          <w:sz w:val="22"/>
          <w:szCs w:val="22"/>
        </w:rPr>
        <w:t>09</w:t>
      </w:r>
      <w:r w:rsidRPr="00A95C46">
        <w:rPr>
          <w:sz w:val="22"/>
          <w:szCs w:val="22"/>
        </w:rPr>
        <w:t xml:space="preserve">. 2015 nebyla podána žádná projektová žádost, všechny výzvy jsou uzavřeny. Ve sledovaném období </w:t>
      </w:r>
      <w:r>
        <w:rPr>
          <w:sz w:val="22"/>
          <w:szCs w:val="22"/>
        </w:rPr>
        <w:t>mírn</w:t>
      </w:r>
      <w:r w:rsidR="00605AE6">
        <w:rPr>
          <w:sz w:val="22"/>
          <w:szCs w:val="22"/>
        </w:rPr>
        <w:t>ě</w:t>
      </w:r>
      <w:r>
        <w:rPr>
          <w:sz w:val="22"/>
          <w:szCs w:val="22"/>
        </w:rPr>
        <w:t xml:space="preserve"> </w:t>
      </w:r>
      <w:r w:rsidRPr="00A95C46">
        <w:rPr>
          <w:sz w:val="22"/>
          <w:szCs w:val="22"/>
        </w:rPr>
        <w:t>po</w:t>
      </w:r>
      <w:r>
        <w:rPr>
          <w:sz w:val="22"/>
          <w:szCs w:val="22"/>
        </w:rPr>
        <w:t>kles</w:t>
      </w:r>
      <w:r w:rsidR="00605AE6">
        <w:rPr>
          <w:sz w:val="22"/>
          <w:szCs w:val="22"/>
        </w:rPr>
        <w:t>ly</w:t>
      </w:r>
      <w:r>
        <w:rPr>
          <w:sz w:val="22"/>
          <w:szCs w:val="22"/>
        </w:rPr>
        <w:t xml:space="preserve"> finanční prostředk</w:t>
      </w:r>
      <w:r w:rsidR="00605AE6">
        <w:rPr>
          <w:sz w:val="22"/>
          <w:szCs w:val="22"/>
        </w:rPr>
        <w:t>y</w:t>
      </w:r>
      <w:r>
        <w:rPr>
          <w:sz w:val="22"/>
          <w:szCs w:val="22"/>
        </w:rPr>
        <w:t xml:space="preserve"> v Prostředcích krytých Rozhodnutím/Smlouvou </w:t>
      </w:r>
      <w:r w:rsidRPr="00A95C46">
        <w:rPr>
          <w:sz w:val="22"/>
          <w:szCs w:val="22"/>
        </w:rPr>
        <w:t xml:space="preserve">způsobené </w:t>
      </w:r>
      <w:r>
        <w:rPr>
          <w:sz w:val="22"/>
          <w:szCs w:val="22"/>
        </w:rPr>
        <w:t xml:space="preserve">úsporami při VŘ.   </w:t>
      </w:r>
    </w:p>
    <w:p w:rsidR="003A7F11" w:rsidRDefault="003A7F11" w:rsidP="003A7F11">
      <w:pPr>
        <w:spacing w:after="120"/>
        <w:jc w:val="both"/>
        <w:rPr>
          <w:sz w:val="22"/>
          <w:szCs w:val="22"/>
        </w:rPr>
      </w:pPr>
      <w:r w:rsidRPr="00A95C46">
        <w:rPr>
          <w:sz w:val="22"/>
          <w:szCs w:val="22"/>
        </w:rPr>
        <w:t xml:space="preserve">Za sledované období byly proplaceny příjemcům prostředky ve výši </w:t>
      </w:r>
      <w:r>
        <w:rPr>
          <w:sz w:val="22"/>
          <w:szCs w:val="22"/>
        </w:rPr>
        <w:t xml:space="preserve">6,19 </w:t>
      </w:r>
      <w:r w:rsidRPr="00A95C46">
        <w:rPr>
          <w:sz w:val="22"/>
          <w:szCs w:val="22"/>
        </w:rPr>
        <w:t xml:space="preserve">mil. EUR, do souhrnných žádostí o platbu bylo zahrnuto </w:t>
      </w:r>
      <w:r>
        <w:rPr>
          <w:sz w:val="22"/>
          <w:szCs w:val="22"/>
        </w:rPr>
        <w:t>5,09</w:t>
      </w:r>
      <w:r w:rsidRPr="00A95C46">
        <w:rPr>
          <w:sz w:val="22"/>
          <w:szCs w:val="22"/>
        </w:rPr>
        <w:t xml:space="preserve"> mil. EUR</w:t>
      </w:r>
      <w:r>
        <w:rPr>
          <w:sz w:val="22"/>
          <w:szCs w:val="22"/>
        </w:rPr>
        <w:t>.</w:t>
      </w:r>
      <w:r w:rsidRPr="00A95C46">
        <w:rPr>
          <w:sz w:val="22"/>
          <w:szCs w:val="22"/>
        </w:rPr>
        <w:t xml:space="preserve"> </w:t>
      </w:r>
      <w:r>
        <w:rPr>
          <w:sz w:val="22"/>
          <w:szCs w:val="22"/>
        </w:rPr>
        <w:t xml:space="preserve">V tomto období proběhla </w:t>
      </w:r>
      <w:r w:rsidRPr="00A95C46">
        <w:rPr>
          <w:sz w:val="22"/>
          <w:szCs w:val="22"/>
        </w:rPr>
        <w:t>certifik</w:t>
      </w:r>
      <w:r>
        <w:rPr>
          <w:sz w:val="22"/>
          <w:szCs w:val="22"/>
        </w:rPr>
        <w:t>ace</w:t>
      </w:r>
      <w:r w:rsidRPr="00A95C46">
        <w:rPr>
          <w:sz w:val="22"/>
          <w:szCs w:val="22"/>
        </w:rPr>
        <w:t xml:space="preserve"> výdaj</w:t>
      </w:r>
      <w:r>
        <w:rPr>
          <w:sz w:val="22"/>
          <w:szCs w:val="22"/>
        </w:rPr>
        <w:t>ů</w:t>
      </w:r>
      <w:r w:rsidR="00605AE6">
        <w:rPr>
          <w:sz w:val="22"/>
          <w:szCs w:val="22"/>
        </w:rPr>
        <w:t xml:space="preserve"> a</w:t>
      </w:r>
      <w:r>
        <w:rPr>
          <w:sz w:val="22"/>
          <w:szCs w:val="22"/>
        </w:rPr>
        <w:t xml:space="preserve"> certifikováno bylo 3,69 mil. EUR. </w:t>
      </w:r>
    </w:p>
    <w:p w:rsidR="000163C8" w:rsidRDefault="000163C8" w:rsidP="000163C8">
      <w:pPr>
        <w:jc w:val="both"/>
        <w:rPr>
          <w:sz w:val="22"/>
          <w:szCs w:val="22"/>
        </w:rPr>
      </w:pPr>
    </w:p>
    <w:p w:rsidR="000D7B95" w:rsidRDefault="000163C8" w:rsidP="000163C8">
      <w:pPr>
        <w:pStyle w:val="Tabulkanzev"/>
        <w:rPr>
          <w:rStyle w:val="Siln"/>
        </w:rPr>
      </w:pPr>
      <w:bookmarkStart w:id="93" w:name="_Toc433873554"/>
      <w:r w:rsidRPr="00DF6210">
        <w:rPr>
          <w:rStyle w:val="Siln"/>
        </w:rPr>
        <w:t>Kumulativní pokrok na úrovni oblastí intervence 3.1 (v mil. CZK/EUR)</w:t>
      </w:r>
      <w:bookmarkEnd w:id="93"/>
    </w:p>
    <w:tbl>
      <w:tblPr>
        <w:tblW w:w="5000" w:type="pct"/>
        <w:tblCellMar>
          <w:left w:w="70" w:type="dxa"/>
          <w:right w:w="70" w:type="dxa"/>
        </w:tblCellMar>
        <w:tblLook w:val="04A0" w:firstRow="1" w:lastRow="0" w:firstColumn="1" w:lastColumn="0" w:noHBand="0" w:noVBand="1"/>
      </w:tblPr>
      <w:tblGrid>
        <w:gridCol w:w="718"/>
        <w:gridCol w:w="943"/>
        <w:gridCol w:w="700"/>
        <w:gridCol w:w="677"/>
        <w:gridCol w:w="514"/>
        <w:gridCol w:w="753"/>
        <w:gridCol w:w="581"/>
        <w:gridCol w:w="657"/>
        <w:gridCol w:w="514"/>
        <w:gridCol w:w="733"/>
        <w:gridCol w:w="600"/>
        <w:gridCol w:w="600"/>
        <w:gridCol w:w="734"/>
        <w:gridCol w:w="641"/>
        <w:gridCol w:w="715"/>
        <w:gridCol w:w="811"/>
        <w:gridCol w:w="601"/>
        <w:gridCol w:w="715"/>
        <w:gridCol w:w="771"/>
        <w:gridCol w:w="582"/>
        <w:gridCol w:w="584"/>
      </w:tblGrid>
      <w:tr w:rsidR="00F5305F" w:rsidRPr="00F5305F" w:rsidTr="00F5305F">
        <w:trPr>
          <w:trHeight w:val="615"/>
        </w:trPr>
        <w:tc>
          <w:tcPr>
            <w:tcW w:w="241" w:type="pct"/>
            <w:vMerge w:val="restart"/>
            <w:tcBorders>
              <w:top w:val="single" w:sz="4" w:space="0" w:color="1F497D"/>
              <w:left w:val="single" w:sz="4" w:space="0" w:color="1F497D"/>
              <w:bottom w:val="single" w:sz="4" w:space="0" w:color="1F497D"/>
              <w:right w:val="single" w:sz="4" w:space="0" w:color="1F497D"/>
            </w:tcBorders>
            <w:shd w:val="clear" w:color="000000" w:fill="DCE6F1"/>
            <w:vAlign w:val="center"/>
            <w:hideMark/>
          </w:tcPr>
          <w:p w:rsidR="00F5305F" w:rsidRPr="00F5305F" w:rsidRDefault="00F5305F" w:rsidP="00F5305F">
            <w:pPr>
              <w:jc w:val="center"/>
              <w:rPr>
                <w:b/>
                <w:bCs/>
                <w:color w:val="000000"/>
                <w:sz w:val="16"/>
                <w:szCs w:val="16"/>
              </w:rPr>
            </w:pPr>
            <w:r w:rsidRPr="00F5305F">
              <w:rPr>
                <w:b/>
                <w:bCs/>
                <w:color w:val="000000"/>
                <w:sz w:val="16"/>
                <w:szCs w:val="16"/>
              </w:rPr>
              <w:t>Oblast podpory</w:t>
            </w:r>
          </w:p>
        </w:tc>
        <w:tc>
          <w:tcPr>
            <w:tcW w:w="335" w:type="pct"/>
            <w:tcBorders>
              <w:top w:val="single" w:sz="4" w:space="0" w:color="1F497D"/>
              <w:left w:val="nil"/>
              <w:bottom w:val="single" w:sz="4" w:space="0" w:color="1F497D"/>
              <w:right w:val="single" w:sz="4" w:space="0" w:color="1F497D"/>
            </w:tcBorders>
            <w:shd w:val="clear" w:color="000000" w:fill="DCE6F1"/>
            <w:vAlign w:val="center"/>
            <w:hideMark/>
          </w:tcPr>
          <w:p w:rsidR="00F5305F" w:rsidRPr="00F5305F" w:rsidRDefault="00F5305F" w:rsidP="00F5305F">
            <w:pPr>
              <w:jc w:val="center"/>
              <w:rPr>
                <w:b/>
                <w:bCs/>
                <w:color w:val="000000"/>
                <w:sz w:val="16"/>
                <w:szCs w:val="16"/>
              </w:rPr>
            </w:pPr>
            <w:r w:rsidRPr="00F5305F">
              <w:rPr>
                <w:b/>
                <w:bCs/>
                <w:color w:val="000000"/>
                <w:sz w:val="16"/>
                <w:szCs w:val="16"/>
              </w:rPr>
              <w:t>Datum snímku</w:t>
            </w:r>
          </w:p>
        </w:tc>
        <w:tc>
          <w:tcPr>
            <w:tcW w:w="482" w:type="pct"/>
            <w:gridSpan w:val="2"/>
            <w:tcBorders>
              <w:top w:val="single" w:sz="4" w:space="0" w:color="1F497D"/>
              <w:left w:val="nil"/>
              <w:bottom w:val="single" w:sz="4" w:space="0" w:color="1F497D"/>
              <w:right w:val="single" w:sz="4" w:space="0" w:color="1F497D"/>
            </w:tcBorders>
            <w:shd w:val="clear" w:color="000000" w:fill="DCE6F1"/>
            <w:vAlign w:val="center"/>
            <w:hideMark/>
          </w:tcPr>
          <w:p w:rsidR="00F5305F" w:rsidRPr="00F5305F" w:rsidRDefault="00F5305F" w:rsidP="00F5305F">
            <w:pPr>
              <w:jc w:val="center"/>
              <w:rPr>
                <w:b/>
                <w:bCs/>
                <w:color w:val="000000"/>
                <w:sz w:val="16"/>
                <w:szCs w:val="16"/>
              </w:rPr>
            </w:pPr>
            <w:r w:rsidRPr="00F5305F">
              <w:rPr>
                <w:b/>
                <w:bCs/>
                <w:color w:val="000000"/>
                <w:sz w:val="16"/>
                <w:szCs w:val="16"/>
              </w:rPr>
              <w:t>Celková alokace podpory 2007-2013</w:t>
            </w:r>
          </w:p>
        </w:tc>
        <w:tc>
          <w:tcPr>
            <w:tcW w:w="890" w:type="pct"/>
            <w:gridSpan w:val="4"/>
            <w:tcBorders>
              <w:top w:val="single" w:sz="4" w:space="0" w:color="1F497D"/>
              <w:left w:val="nil"/>
              <w:bottom w:val="single" w:sz="4" w:space="0" w:color="1F497D"/>
              <w:right w:val="single" w:sz="4" w:space="0" w:color="1F497D"/>
            </w:tcBorders>
            <w:shd w:val="clear" w:color="000000" w:fill="DCE6F1"/>
            <w:vAlign w:val="center"/>
            <w:hideMark/>
          </w:tcPr>
          <w:p w:rsidR="00F5305F" w:rsidRPr="00F5305F" w:rsidRDefault="00F5305F" w:rsidP="00F5305F">
            <w:pPr>
              <w:jc w:val="center"/>
              <w:rPr>
                <w:b/>
                <w:bCs/>
                <w:color w:val="000000"/>
                <w:sz w:val="16"/>
                <w:szCs w:val="16"/>
              </w:rPr>
            </w:pPr>
            <w:r w:rsidRPr="00F5305F">
              <w:rPr>
                <w:b/>
                <w:bCs/>
                <w:color w:val="000000"/>
                <w:sz w:val="16"/>
                <w:szCs w:val="16"/>
              </w:rPr>
              <w:t>Podané žádosti</w:t>
            </w:r>
          </w:p>
        </w:tc>
        <w:tc>
          <w:tcPr>
            <w:tcW w:w="863" w:type="pct"/>
            <w:gridSpan w:val="4"/>
            <w:tcBorders>
              <w:top w:val="single" w:sz="4" w:space="0" w:color="1F497D"/>
              <w:left w:val="nil"/>
              <w:bottom w:val="single" w:sz="4" w:space="0" w:color="1F497D"/>
              <w:right w:val="single" w:sz="4" w:space="0" w:color="1F497D"/>
            </w:tcBorders>
            <w:shd w:val="clear" w:color="000000" w:fill="DCE6F1"/>
            <w:vAlign w:val="center"/>
            <w:hideMark/>
          </w:tcPr>
          <w:p w:rsidR="00F5305F" w:rsidRPr="00F5305F" w:rsidRDefault="00F5305F" w:rsidP="00F5305F">
            <w:pPr>
              <w:jc w:val="center"/>
              <w:rPr>
                <w:b/>
                <w:bCs/>
                <w:color w:val="000000"/>
                <w:sz w:val="16"/>
                <w:szCs w:val="16"/>
              </w:rPr>
            </w:pPr>
            <w:r w:rsidRPr="00F5305F">
              <w:rPr>
                <w:b/>
                <w:bCs/>
                <w:color w:val="000000"/>
                <w:sz w:val="16"/>
                <w:szCs w:val="16"/>
              </w:rPr>
              <w:t>Prostředky kryté Rozhodnutím / Smlouvou (dodatkem)</w:t>
            </w:r>
          </w:p>
        </w:tc>
        <w:tc>
          <w:tcPr>
            <w:tcW w:w="743" w:type="pct"/>
            <w:gridSpan w:val="3"/>
            <w:tcBorders>
              <w:top w:val="single" w:sz="4" w:space="0" w:color="1F497D"/>
              <w:left w:val="nil"/>
              <w:bottom w:val="single" w:sz="4" w:space="0" w:color="1F497D"/>
              <w:right w:val="single" w:sz="4" w:space="0" w:color="1F497D"/>
            </w:tcBorders>
            <w:shd w:val="clear" w:color="000000" w:fill="DCE6F1"/>
            <w:vAlign w:val="center"/>
            <w:hideMark/>
          </w:tcPr>
          <w:p w:rsidR="00F5305F" w:rsidRPr="00F5305F" w:rsidRDefault="00F5305F" w:rsidP="00F5305F">
            <w:pPr>
              <w:jc w:val="center"/>
              <w:rPr>
                <w:b/>
                <w:bCs/>
                <w:color w:val="000000"/>
                <w:sz w:val="16"/>
                <w:szCs w:val="16"/>
              </w:rPr>
            </w:pPr>
            <w:r w:rsidRPr="00F5305F">
              <w:rPr>
                <w:b/>
                <w:bCs/>
                <w:color w:val="000000"/>
                <w:sz w:val="16"/>
                <w:szCs w:val="16"/>
              </w:rPr>
              <w:t>Proplacené prostředky příjemcům (vyúčtované prostředky)</w:t>
            </w:r>
          </w:p>
        </w:tc>
        <w:tc>
          <w:tcPr>
            <w:tcW w:w="756" w:type="pct"/>
            <w:gridSpan w:val="3"/>
            <w:tcBorders>
              <w:top w:val="single" w:sz="4" w:space="0" w:color="1F497D"/>
              <w:left w:val="nil"/>
              <w:bottom w:val="single" w:sz="4" w:space="0" w:color="1F497D"/>
              <w:right w:val="single" w:sz="4" w:space="0" w:color="1F497D"/>
            </w:tcBorders>
            <w:shd w:val="clear" w:color="000000" w:fill="DCE6F1"/>
            <w:vAlign w:val="center"/>
            <w:hideMark/>
          </w:tcPr>
          <w:p w:rsidR="00F5305F" w:rsidRPr="00F5305F" w:rsidRDefault="00F5305F" w:rsidP="00F5305F">
            <w:pPr>
              <w:jc w:val="center"/>
              <w:rPr>
                <w:b/>
                <w:bCs/>
                <w:color w:val="000000"/>
                <w:sz w:val="16"/>
                <w:szCs w:val="16"/>
              </w:rPr>
            </w:pPr>
            <w:r w:rsidRPr="00F5305F">
              <w:rPr>
                <w:b/>
                <w:bCs/>
                <w:color w:val="000000"/>
                <w:sz w:val="16"/>
                <w:szCs w:val="16"/>
              </w:rPr>
              <w:t>Souhrnné žádosti zaúčtované PCO</w:t>
            </w:r>
          </w:p>
        </w:tc>
        <w:tc>
          <w:tcPr>
            <w:tcW w:w="689" w:type="pct"/>
            <w:gridSpan w:val="3"/>
            <w:tcBorders>
              <w:top w:val="single" w:sz="4" w:space="0" w:color="1F497D"/>
              <w:left w:val="nil"/>
              <w:bottom w:val="single" w:sz="4" w:space="0" w:color="1F497D"/>
              <w:right w:val="single" w:sz="4" w:space="0" w:color="1F497D"/>
            </w:tcBorders>
            <w:shd w:val="clear" w:color="000000" w:fill="DCE6F1"/>
            <w:vAlign w:val="center"/>
            <w:hideMark/>
          </w:tcPr>
          <w:p w:rsidR="00F5305F" w:rsidRPr="00F5305F" w:rsidRDefault="00F5305F" w:rsidP="00F5305F">
            <w:pPr>
              <w:jc w:val="center"/>
              <w:rPr>
                <w:b/>
                <w:bCs/>
                <w:color w:val="000000"/>
                <w:sz w:val="16"/>
                <w:szCs w:val="16"/>
              </w:rPr>
            </w:pPr>
            <w:r w:rsidRPr="00F5305F">
              <w:rPr>
                <w:b/>
                <w:bCs/>
                <w:color w:val="000000"/>
                <w:sz w:val="16"/>
                <w:szCs w:val="16"/>
              </w:rPr>
              <w:t>Certifikované prostředky (včetně vratek)</w:t>
            </w:r>
          </w:p>
        </w:tc>
      </w:tr>
      <w:tr w:rsidR="00F5305F" w:rsidRPr="00F5305F" w:rsidTr="00F5305F">
        <w:trPr>
          <w:trHeight w:val="420"/>
        </w:trPr>
        <w:tc>
          <w:tcPr>
            <w:tcW w:w="241" w:type="pct"/>
            <w:vMerge/>
            <w:tcBorders>
              <w:top w:val="single" w:sz="4" w:space="0" w:color="1F497D"/>
              <w:left w:val="single" w:sz="4" w:space="0" w:color="1F497D"/>
              <w:bottom w:val="single" w:sz="4" w:space="0" w:color="1F497D"/>
              <w:right w:val="single" w:sz="4" w:space="0" w:color="1F497D"/>
            </w:tcBorders>
            <w:vAlign w:val="center"/>
            <w:hideMark/>
          </w:tcPr>
          <w:p w:rsidR="00F5305F" w:rsidRPr="00F5305F" w:rsidRDefault="00F5305F" w:rsidP="00F5305F">
            <w:pPr>
              <w:rPr>
                <w:b/>
                <w:bCs/>
                <w:color w:val="000000"/>
                <w:sz w:val="16"/>
                <w:szCs w:val="16"/>
              </w:rPr>
            </w:pPr>
          </w:p>
        </w:tc>
        <w:tc>
          <w:tcPr>
            <w:tcW w:w="335" w:type="pct"/>
            <w:vMerge w:val="restart"/>
            <w:tcBorders>
              <w:top w:val="nil"/>
              <w:left w:val="single" w:sz="4" w:space="0" w:color="1F497D"/>
              <w:bottom w:val="single" w:sz="4" w:space="0" w:color="1F497D"/>
              <w:right w:val="single" w:sz="4" w:space="0" w:color="1F497D"/>
            </w:tcBorders>
            <w:shd w:val="clear" w:color="000000" w:fill="DCE6F1"/>
            <w:vAlign w:val="center"/>
            <w:hideMark/>
          </w:tcPr>
          <w:p w:rsidR="00F5305F" w:rsidRPr="00F5305F" w:rsidRDefault="00F5305F" w:rsidP="00F5305F">
            <w:pPr>
              <w:jc w:val="center"/>
              <w:rPr>
                <w:b/>
                <w:bCs/>
                <w:color w:val="000000"/>
                <w:sz w:val="16"/>
                <w:szCs w:val="16"/>
              </w:rPr>
            </w:pPr>
            <w:r w:rsidRPr="00F5305F">
              <w:rPr>
                <w:b/>
                <w:bCs/>
                <w:color w:val="000000"/>
                <w:sz w:val="16"/>
                <w:szCs w:val="16"/>
              </w:rPr>
              <w:t>Den</w:t>
            </w:r>
          </w:p>
        </w:tc>
        <w:tc>
          <w:tcPr>
            <w:tcW w:w="241" w:type="pct"/>
            <w:tcBorders>
              <w:top w:val="nil"/>
              <w:left w:val="nil"/>
              <w:bottom w:val="single" w:sz="4" w:space="0" w:color="1F497D"/>
              <w:right w:val="single" w:sz="4" w:space="0" w:color="1F497D"/>
            </w:tcBorders>
            <w:shd w:val="clear" w:color="000000" w:fill="DCE6F1"/>
            <w:vAlign w:val="center"/>
            <w:hideMark/>
          </w:tcPr>
          <w:p w:rsidR="00F5305F" w:rsidRPr="00F5305F" w:rsidRDefault="00F5305F" w:rsidP="00F5305F">
            <w:pPr>
              <w:jc w:val="center"/>
              <w:rPr>
                <w:b/>
                <w:bCs/>
                <w:color w:val="000000"/>
                <w:sz w:val="16"/>
                <w:szCs w:val="16"/>
              </w:rPr>
            </w:pPr>
            <w:r w:rsidRPr="00F5305F">
              <w:rPr>
                <w:b/>
                <w:bCs/>
                <w:color w:val="000000"/>
                <w:sz w:val="16"/>
                <w:szCs w:val="16"/>
              </w:rPr>
              <w:t>mil. CZK</w:t>
            </w:r>
          </w:p>
        </w:tc>
        <w:tc>
          <w:tcPr>
            <w:tcW w:w="241" w:type="pct"/>
            <w:vMerge w:val="restart"/>
            <w:tcBorders>
              <w:top w:val="nil"/>
              <w:left w:val="single" w:sz="4" w:space="0" w:color="1F497D"/>
              <w:bottom w:val="single" w:sz="4" w:space="0" w:color="1F497D"/>
              <w:right w:val="single" w:sz="4" w:space="0" w:color="1F497D"/>
            </w:tcBorders>
            <w:shd w:val="clear" w:color="000000" w:fill="DCE6F1"/>
            <w:vAlign w:val="center"/>
            <w:hideMark/>
          </w:tcPr>
          <w:p w:rsidR="00F5305F" w:rsidRPr="00F5305F" w:rsidRDefault="00F5305F" w:rsidP="00F5305F">
            <w:pPr>
              <w:jc w:val="center"/>
              <w:rPr>
                <w:b/>
                <w:bCs/>
                <w:color w:val="000000"/>
                <w:sz w:val="16"/>
                <w:szCs w:val="16"/>
              </w:rPr>
            </w:pPr>
            <w:r w:rsidRPr="00F5305F">
              <w:rPr>
                <w:b/>
                <w:bCs/>
                <w:color w:val="000000"/>
                <w:sz w:val="16"/>
                <w:szCs w:val="16"/>
              </w:rPr>
              <w:t>mil. EUR</w:t>
            </w:r>
          </w:p>
        </w:tc>
        <w:tc>
          <w:tcPr>
            <w:tcW w:w="181" w:type="pct"/>
            <w:tcBorders>
              <w:top w:val="nil"/>
              <w:left w:val="nil"/>
              <w:bottom w:val="single" w:sz="4" w:space="0" w:color="1F497D"/>
              <w:right w:val="single" w:sz="4" w:space="0" w:color="1F497D"/>
            </w:tcBorders>
            <w:shd w:val="clear" w:color="000000" w:fill="DCE6F1"/>
            <w:vAlign w:val="center"/>
            <w:hideMark/>
          </w:tcPr>
          <w:p w:rsidR="00F5305F" w:rsidRPr="00F5305F" w:rsidRDefault="00F5305F" w:rsidP="00F5305F">
            <w:pPr>
              <w:jc w:val="center"/>
              <w:rPr>
                <w:b/>
                <w:bCs/>
                <w:color w:val="000000"/>
                <w:sz w:val="16"/>
                <w:szCs w:val="16"/>
              </w:rPr>
            </w:pPr>
            <w:r w:rsidRPr="00F5305F">
              <w:rPr>
                <w:b/>
                <w:bCs/>
                <w:color w:val="000000"/>
                <w:sz w:val="16"/>
                <w:szCs w:val="16"/>
              </w:rPr>
              <w:t>Počet</w:t>
            </w:r>
          </w:p>
        </w:tc>
        <w:tc>
          <w:tcPr>
            <w:tcW w:w="268" w:type="pct"/>
            <w:tcBorders>
              <w:top w:val="nil"/>
              <w:left w:val="nil"/>
              <w:bottom w:val="single" w:sz="4" w:space="0" w:color="1F497D"/>
              <w:right w:val="single" w:sz="4" w:space="0" w:color="1F497D"/>
            </w:tcBorders>
            <w:shd w:val="clear" w:color="000000" w:fill="DCE6F1"/>
            <w:vAlign w:val="center"/>
            <w:hideMark/>
          </w:tcPr>
          <w:p w:rsidR="00F5305F" w:rsidRPr="00F5305F" w:rsidRDefault="00F5305F" w:rsidP="00F5305F">
            <w:pPr>
              <w:jc w:val="center"/>
              <w:rPr>
                <w:b/>
                <w:bCs/>
                <w:color w:val="000000"/>
                <w:sz w:val="16"/>
                <w:szCs w:val="16"/>
              </w:rPr>
            </w:pPr>
            <w:r w:rsidRPr="00F5305F">
              <w:rPr>
                <w:b/>
                <w:bCs/>
                <w:color w:val="000000"/>
                <w:sz w:val="16"/>
                <w:szCs w:val="16"/>
              </w:rPr>
              <w:t>mil. CZK</w:t>
            </w:r>
          </w:p>
        </w:tc>
        <w:tc>
          <w:tcPr>
            <w:tcW w:w="207" w:type="pct"/>
            <w:tcBorders>
              <w:top w:val="nil"/>
              <w:left w:val="nil"/>
              <w:bottom w:val="single" w:sz="4" w:space="0" w:color="1F497D"/>
              <w:right w:val="single" w:sz="4" w:space="0" w:color="1F497D"/>
            </w:tcBorders>
            <w:shd w:val="clear" w:color="000000" w:fill="DCE6F1"/>
            <w:vAlign w:val="center"/>
            <w:hideMark/>
          </w:tcPr>
          <w:p w:rsidR="00F5305F" w:rsidRPr="00F5305F" w:rsidRDefault="00F5305F" w:rsidP="00F5305F">
            <w:pPr>
              <w:jc w:val="center"/>
              <w:rPr>
                <w:b/>
                <w:bCs/>
                <w:color w:val="000000"/>
                <w:sz w:val="16"/>
                <w:szCs w:val="16"/>
              </w:rPr>
            </w:pPr>
            <w:r w:rsidRPr="00F5305F">
              <w:rPr>
                <w:b/>
                <w:bCs/>
                <w:color w:val="000000"/>
                <w:sz w:val="16"/>
                <w:szCs w:val="16"/>
              </w:rPr>
              <w:t>%</w:t>
            </w:r>
          </w:p>
        </w:tc>
        <w:tc>
          <w:tcPr>
            <w:tcW w:w="234" w:type="pct"/>
            <w:vMerge w:val="restart"/>
            <w:tcBorders>
              <w:top w:val="nil"/>
              <w:left w:val="single" w:sz="4" w:space="0" w:color="1F497D"/>
              <w:bottom w:val="single" w:sz="4" w:space="0" w:color="1F497D"/>
              <w:right w:val="single" w:sz="4" w:space="0" w:color="1F497D"/>
            </w:tcBorders>
            <w:shd w:val="clear" w:color="000000" w:fill="DCE6F1"/>
            <w:vAlign w:val="center"/>
            <w:hideMark/>
          </w:tcPr>
          <w:p w:rsidR="00F5305F" w:rsidRPr="00F5305F" w:rsidRDefault="00F5305F" w:rsidP="00F5305F">
            <w:pPr>
              <w:jc w:val="center"/>
              <w:rPr>
                <w:b/>
                <w:bCs/>
                <w:color w:val="000000"/>
                <w:sz w:val="16"/>
                <w:szCs w:val="16"/>
              </w:rPr>
            </w:pPr>
            <w:r w:rsidRPr="00F5305F">
              <w:rPr>
                <w:b/>
                <w:bCs/>
                <w:color w:val="000000"/>
                <w:sz w:val="16"/>
                <w:szCs w:val="16"/>
              </w:rPr>
              <w:t>mil. EUR</w:t>
            </w:r>
          </w:p>
        </w:tc>
        <w:tc>
          <w:tcPr>
            <w:tcW w:w="174" w:type="pct"/>
            <w:tcBorders>
              <w:top w:val="nil"/>
              <w:left w:val="nil"/>
              <w:bottom w:val="single" w:sz="4" w:space="0" w:color="1F497D"/>
              <w:right w:val="single" w:sz="4" w:space="0" w:color="1F497D"/>
            </w:tcBorders>
            <w:shd w:val="clear" w:color="000000" w:fill="DCE6F1"/>
            <w:vAlign w:val="center"/>
            <w:hideMark/>
          </w:tcPr>
          <w:p w:rsidR="00F5305F" w:rsidRPr="00F5305F" w:rsidRDefault="00F5305F" w:rsidP="00F5305F">
            <w:pPr>
              <w:jc w:val="center"/>
              <w:rPr>
                <w:b/>
                <w:bCs/>
                <w:color w:val="000000"/>
                <w:sz w:val="16"/>
                <w:szCs w:val="16"/>
              </w:rPr>
            </w:pPr>
            <w:r w:rsidRPr="00F5305F">
              <w:rPr>
                <w:b/>
                <w:bCs/>
                <w:color w:val="000000"/>
                <w:sz w:val="16"/>
                <w:szCs w:val="16"/>
              </w:rPr>
              <w:t>Počet</w:t>
            </w:r>
          </w:p>
        </w:tc>
        <w:tc>
          <w:tcPr>
            <w:tcW w:w="261" w:type="pct"/>
            <w:tcBorders>
              <w:top w:val="nil"/>
              <w:left w:val="nil"/>
              <w:bottom w:val="single" w:sz="4" w:space="0" w:color="1F497D"/>
              <w:right w:val="single" w:sz="4" w:space="0" w:color="1F497D"/>
            </w:tcBorders>
            <w:shd w:val="clear" w:color="000000" w:fill="DCE6F1"/>
            <w:vAlign w:val="center"/>
            <w:hideMark/>
          </w:tcPr>
          <w:p w:rsidR="00F5305F" w:rsidRPr="00F5305F" w:rsidRDefault="00F5305F" w:rsidP="00F5305F">
            <w:pPr>
              <w:jc w:val="center"/>
              <w:rPr>
                <w:b/>
                <w:bCs/>
                <w:color w:val="000000"/>
                <w:sz w:val="16"/>
                <w:szCs w:val="16"/>
              </w:rPr>
            </w:pPr>
            <w:r w:rsidRPr="00F5305F">
              <w:rPr>
                <w:b/>
                <w:bCs/>
                <w:color w:val="000000"/>
                <w:sz w:val="16"/>
                <w:szCs w:val="16"/>
              </w:rPr>
              <w:t>mil. CZK</w:t>
            </w:r>
          </w:p>
        </w:tc>
        <w:tc>
          <w:tcPr>
            <w:tcW w:w="214" w:type="pct"/>
            <w:tcBorders>
              <w:top w:val="nil"/>
              <w:left w:val="nil"/>
              <w:bottom w:val="single" w:sz="4" w:space="0" w:color="1F497D"/>
              <w:right w:val="single" w:sz="4" w:space="0" w:color="1F497D"/>
            </w:tcBorders>
            <w:shd w:val="clear" w:color="000000" w:fill="DCE6F1"/>
            <w:vAlign w:val="center"/>
            <w:hideMark/>
          </w:tcPr>
          <w:p w:rsidR="00F5305F" w:rsidRPr="00F5305F" w:rsidRDefault="00F5305F" w:rsidP="00F5305F">
            <w:pPr>
              <w:jc w:val="center"/>
              <w:rPr>
                <w:b/>
                <w:bCs/>
                <w:color w:val="000000"/>
                <w:sz w:val="16"/>
                <w:szCs w:val="16"/>
              </w:rPr>
            </w:pPr>
            <w:r w:rsidRPr="00F5305F">
              <w:rPr>
                <w:b/>
                <w:bCs/>
                <w:color w:val="000000"/>
                <w:sz w:val="16"/>
                <w:szCs w:val="16"/>
              </w:rPr>
              <w:t>%</w:t>
            </w:r>
          </w:p>
        </w:tc>
        <w:tc>
          <w:tcPr>
            <w:tcW w:w="214" w:type="pct"/>
            <w:vMerge w:val="restart"/>
            <w:tcBorders>
              <w:top w:val="nil"/>
              <w:left w:val="single" w:sz="4" w:space="0" w:color="1F497D"/>
              <w:bottom w:val="single" w:sz="4" w:space="0" w:color="1F497D"/>
              <w:right w:val="single" w:sz="4" w:space="0" w:color="1F497D"/>
            </w:tcBorders>
            <w:shd w:val="clear" w:color="000000" w:fill="DCE6F1"/>
            <w:vAlign w:val="center"/>
            <w:hideMark/>
          </w:tcPr>
          <w:p w:rsidR="00F5305F" w:rsidRPr="00F5305F" w:rsidRDefault="00F5305F" w:rsidP="00F5305F">
            <w:pPr>
              <w:jc w:val="center"/>
              <w:rPr>
                <w:b/>
                <w:bCs/>
                <w:color w:val="000000"/>
                <w:sz w:val="16"/>
                <w:szCs w:val="16"/>
              </w:rPr>
            </w:pPr>
            <w:r w:rsidRPr="00F5305F">
              <w:rPr>
                <w:b/>
                <w:bCs/>
                <w:color w:val="000000"/>
                <w:sz w:val="16"/>
                <w:szCs w:val="16"/>
              </w:rPr>
              <w:t>mil. EUR</w:t>
            </w:r>
          </w:p>
        </w:tc>
        <w:tc>
          <w:tcPr>
            <w:tcW w:w="261" w:type="pct"/>
            <w:tcBorders>
              <w:top w:val="nil"/>
              <w:left w:val="nil"/>
              <w:bottom w:val="single" w:sz="4" w:space="0" w:color="1F497D"/>
              <w:right w:val="single" w:sz="4" w:space="0" w:color="1F497D"/>
            </w:tcBorders>
            <w:shd w:val="clear" w:color="000000" w:fill="DCE6F1"/>
            <w:vAlign w:val="center"/>
            <w:hideMark/>
          </w:tcPr>
          <w:p w:rsidR="00F5305F" w:rsidRPr="00F5305F" w:rsidRDefault="00F5305F" w:rsidP="00F5305F">
            <w:pPr>
              <w:jc w:val="center"/>
              <w:rPr>
                <w:b/>
                <w:bCs/>
                <w:color w:val="000000"/>
                <w:sz w:val="16"/>
                <w:szCs w:val="16"/>
              </w:rPr>
            </w:pPr>
            <w:r w:rsidRPr="00F5305F">
              <w:rPr>
                <w:b/>
                <w:bCs/>
                <w:color w:val="000000"/>
                <w:sz w:val="16"/>
                <w:szCs w:val="16"/>
              </w:rPr>
              <w:t>mil. CZK</w:t>
            </w:r>
          </w:p>
        </w:tc>
        <w:tc>
          <w:tcPr>
            <w:tcW w:w="228" w:type="pct"/>
            <w:tcBorders>
              <w:top w:val="nil"/>
              <w:left w:val="nil"/>
              <w:bottom w:val="single" w:sz="4" w:space="0" w:color="1F497D"/>
              <w:right w:val="single" w:sz="4" w:space="0" w:color="1F497D"/>
            </w:tcBorders>
            <w:shd w:val="clear" w:color="000000" w:fill="DCE6F1"/>
            <w:vAlign w:val="center"/>
            <w:hideMark/>
          </w:tcPr>
          <w:p w:rsidR="00F5305F" w:rsidRPr="00F5305F" w:rsidRDefault="00F5305F" w:rsidP="00F5305F">
            <w:pPr>
              <w:jc w:val="center"/>
              <w:rPr>
                <w:b/>
                <w:bCs/>
                <w:color w:val="000000"/>
                <w:sz w:val="16"/>
                <w:szCs w:val="16"/>
              </w:rPr>
            </w:pPr>
            <w:r w:rsidRPr="00F5305F">
              <w:rPr>
                <w:b/>
                <w:bCs/>
                <w:color w:val="000000"/>
                <w:sz w:val="16"/>
                <w:szCs w:val="16"/>
              </w:rPr>
              <w:t>%</w:t>
            </w:r>
          </w:p>
        </w:tc>
        <w:tc>
          <w:tcPr>
            <w:tcW w:w="254" w:type="pct"/>
            <w:vMerge w:val="restart"/>
            <w:tcBorders>
              <w:top w:val="nil"/>
              <w:left w:val="single" w:sz="4" w:space="0" w:color="1F497D"/>
              <w:bottom w:val="single" w:sz="4" w:space="0" w:color="1F497D"/>
              <w:right w:val="single" w:sz="4" w:space="0" w:color="1F497D"/>
            </w:tcBorders>
            <w:shd w:val="clear" w:color="000000" w:fill="DCE6F1"/>
            <w:vAlign w:val="center"/>
            <w:hideMark/>
          </w:tcPr>
          <w:p w:rsidR="00F5305F" w:rsidRPr="00F5305F" w:rsidRDefault="00F5305F" w:rsidP="00F5305F">
            <w:pPr>
              <w:jc w:val="center"/>
              <w:rPr>
                <w:b/>
                <w:bCs/>
                <w:color w:val="000000"/>
                <w:sz w:val="16"/>
                <w:szCs w:val="16"/>
              </w:rPr>
            </w:pPr>
            <w:r w:rsidRPr="00F5305F">
              <w:rPr>
                <w:b/>
                <w:bCs/>
                <w:color w:val="000000"/>
                <w:sz w:val="16"/>
                <w:szCs w:val="16"/>
              </w:rPr>
              <w:t>mil. EUR</w:t>
            </w:r>
          </w:p>
        </w:tc>
        <w:tc>
          <w:tcPr>
            <w:tcW w:w="288" w:type="pct"/>
            <w:tcBorders>
              <w:top w:val="nil"/>
              <w:left w:val="nil"/>
              <w:bottom w:val="single" w:sz="4" w:space="0" w:color="1F497D"/>
              <w:right w:val="single" w:sz="4" w:space="0" w:color="1F497D"/>
            </w:tcBorders>
            <w:shd w:val="clear" w:color="000000" w:fill="DCE6F1"/>
            <w:vAlign w:val="center"/>
            <w:hideMark/>
          </w:tcPr>
          <w:p w:rsidR="00F5305F" w:rsidRPr="00F5305F" w:rsidRDefault="00F5305F" w:rsidP="00F5305F">
            <w:pPr>
              <w:jc w:val="center"/>
              <w:rPr>
                <w:b/>
                <w:bCs/>
                <w:color w:val="000000"/>
                <w:sz w:val="16"/>
                <w:szCs w:val="16"/>
              </w:rPr>
            </w:pPr>
            <w:r w:rsidRPr="00F5305F">
              <w:rPr>
                <w:b/>
                <w:bCs/>
                <w:color w:val="000000"/>
                <w:sz w:val="16"/>
                <w:szCs w:val="16"/>
              </w:rPr>
              <w:t>mil. CZK</w:t>
            </w:r>
          </w:p>
        </w:tc>
        <w:tc>
          <w:tcPr>
            <w:tcW w:w="214" w:type="pct"/>
            <w:tcBorders>
              <w:top w:val="nil"/>
              <w:left w:val="nil"/>
              <w:bottom w:val="single" w:sz="4" w:space="0" w:color="1F497D"/>
              <w:right w:val="single" w:sz="4" w:space="0" w:color="1F497D"/>
            </w:tcBorders>
            <w:shd w:val="clear" w:color="000000" w:fill="DCE6F1"/>
            <w:vAlign w:val="center"/>
            <w:hideMark/>
          </w:tcPr>
          <w:p w:rsidR="00F5305F" w:rsidRPr="00F5305F" w:rsidRDefault="00F5305F" w:rsidP="00F5305F">
            <w:pPr>
              <w:jc w:val="center"/>
              <w:rPr>
                <w:b/>
                <w:bCs/>
                <w:color w:val="000000"/>
                <w:sz w:val="16"/>
                <w:szCs w:val="16"/>
              </w:rPr>
            </w:pPr>
            <w:r w:rsidRPr="00F5305F">
              <w:rPr>
                <w:b/>
                <w:bCs/>
                <w:color w:val="000000"/>
                <w:sz w:val="16"/>
                <w:szCs w:val="16"/>
              </w:rPr>
              <w:t>%</w:t>
            </w:r>
          </w:p>
        </w:tc>
        <w:tc>
          <w:tcPr>
            <w:tcW w:w="254" w:type="pct"/>
            <w:vMerge w:val="restart"/>
            <w:tcBorders>
              <w:top w:val="nil"/>
              <w:left w:val="single" w:sz="4" w:space="0" w:color="1F497D"/>
              <w:bottom w:val="single" w:sz="4" w:space="0" w:color="1F497D"/>
              <w:right w:val="single" w:sz="4" w:space="0" w:color="1F497D"/>
            </w:tcBorders>
            <w:shd w:val="clear" w:color="000000" w:fill="DCE6F1"/>
            <w:vAlign w:val="center"/>
            <w:hideMark/>
          </w:tcPr>
          <w:p w:rsidR="00F5305F" w:rsidRPr="00F5305F" w:rsidRDefault="00F5305F" w:rsidP="00F5305F">
            <w:pPr>
              <w:jc w:val="center"/>
              <w:rPr>
                <w:b/>
                <w:bCs/>
                <w:color w:val="000000"/>
                <w:sz w:val="16"/>
                <w:szCs w:val="16"/>
              </w:rPr>
            </w:pPr>
            <w:r w:rsidRPr="00F5305F">
              <w:rPr>
                <w:b/>
                <w:bCs/>
                <w:color w:val="000000"/>
                <w:sz w:val="16"/>
                <w:szCs w:val="16"/>
              </w:rPr>
              <w:t>mil. EUR</w:t>
            </w:r>
          </w:p>
        </w:tc>
        <w:tc>
          <w:tcPr>
            <w:tcW w:w="274" w:type="pct"/>
            <w:tcBorders>
              <w:top w:val="nil"/>
              <w:left w:val="nil"/>
              <w:bottom w:val="single" w:sz="4" w:space="0" w:color="1F497D"/>
              <w:right w:val="single" w:sz="4" w:space="0" w:color="1F497D"/>
            </w:tcBorders>
            <w:shd w:val="clear" w:color="000000" w:fill="DCE6F1"/>
            <w:vAlign w:val="center"/>
            <w:hideMark/>
          </w:tcPr>
          <w:p w:rsidR="00F5305F" w:rsidRPr="00F5305F" w:rsidRDefault="00F5305F" w:rsidP="00F5305F">
            <w:pPr>
              <w:jc w:val="center"/>
              <w:rPr>
                <w:b/>
                <w:bCs/>
                <w:color w:val="000000"/>
                <w:sz w:val="16"/>
                <w:szCs w:val="16"/>
              </w:rPr>
            </w:pPr>
            <w:r w:rsidRPr="00F5305F">
              <w:rPr>
                <w:b/>
                <w:bCs/>
                <w:color w:val="000000"/>
                <w:sz w:val="16"/>
                <w:szCs w:val="16"/>
              </w:rPr>
              <w:t>mil. CZK</w:t>
            </w:r>
          </w:p>
        </w:tc>
        <w:tc>
          <w:tcPr>
            <w:tcW w:w="207" w:type="pct"/>
            <w:tcBorders>
              <w:top w:val="nil"/>
              <w:left w:val="nil"/>
              <w:bottom w:val="single" w:sz="4" w:space="0" w:color="1F497D"/>
              <w:right w:val="single" w:sz="4" w:space="0" w:color="1F497D"/>
            </w:tcBorders>
            <w:shd w:val="clear" w:color="000000" w:fill="DCE6F1"/>
            <w:vAlign w:val="center"/>
            <w:hideMark/>
          </w:tcPr>
          <w:p w:rsidR="00F5305F" w:rsidRPr="00F5305F" w:rsidRDefault="00F5305F" w:rsidP="00F5305F">
            <w:pPr>
              <w:jc w:val="center"/>
              <w:rPr>
                <w:b/>
                <w:bCs/>
                <w:color w:val="000000"/>
                <w:sz w:val="16"/>
                <w:szCs w:val="16"/>
              </w:rPr>
            </w:pPr>
            <w:r w:rsidRPr="00F5305F">
              <w:rPr>
                <w:b/>
                <w:bCs/>
                <w:color w:val="000000"/>
                <w:sz w:val="16"/>
                <w:szCs w:val="16"/>
              </w:rPr>
              <w:t>%</w:t>
            </w:r>
          </w:p>
        </w:tc>
        <w:tc>
          <w:tcPr>
            <w:tcW w:w="207" w:type="pct"/>
            <w:vMerge w:val="restart"/>
            <w:tcBorders>
              <w:top w:val="nil"/>
              <w:left w:val="single" w:sz="4" w:space="0" w:color="1F497D"/>
              <w:bottom w:val="single" w:sz="4" w:space="0" w:color="1F497D"/>
              <w:right w:val="single" w:sz="4" w:space="0" w:color="1F497D"/>
            </w:tcBorders>
            <w:shd w:val="clear" w:color="000000" w:fill="DCE6F1"/>
            <w:vAlign w:val="center"/>
            <w:hideMark/>
          </w:tcPr>
          <w:p w:rsidR="00F5305F" w:rsidRPr="00F5305F" w:rsidRDefault="00F5305F" w:rsidP="00F5305F">
            <w:pPr>
              <w:jc w:val="center"/>
              <w:rPr>
                <w:b/>
                <w:bCs/>
                <w:color w:val="000000"/>
                <w:sz w:val="16"/>
                <w:szCs w:val="16"/>
              </w:rPr>
            </w:pPr>
            <w:r w:rsidRPr="00F5305F">
              <w:rPr>
                <w:b/>
                <w:bCs/>
                <w:color w:val="000000"/>
                <w:sz w:val="16"/>
                <w:szCs w:val="16"/>
              </w:rPr>
              <w:t>mil. EUR</w:t>
            </w:r>
          </w:p>
        </w:tc>
      </w:tr>
      <w:tr w:rsidR="00F5305F" w:rsidRPr="00F5305F" w:rsidTr="00F5305F">
        <w:trPr>
          <w:trHeight w:val="240"/>
        </w:trPr>
        <w:tc>
          <w:tcPr>
            <w:tcW w:w="241" w:type="pct"/>
            <w:vMerge/>
            <w:tcBorders>
              <w:top w:val="single" w:sz="4" w:space="0" w:color="1F497D"/>
              <w:left w:val="single" w:sz="4" w:space="0" w:color="1F497D"/>
              <w:bottom w:val="single" w:sz="4" w:space="0" w:color="1F497D"/>
              <w:right w:val="single" w:sz="4" w:space="0" w:color="1F497D"/>
            </w:tcBorders>
            <w:vAlign w:val="center"/>
            <w:hideMark/>
          </w:tcPr>
          <w:p w:rsidR="00F5305F" w:rsidRPr="00F5305F" w:rsidRDefault="00F5305F" w:rsidP="00F5305F">
            <w:pPr>
              <w:rPr>
                <w:b/>
                <w:bCs/>
                <w:color w:val="000000"/>
                <w:sz w:val="16"/>
                <w:szCs w:val="16"/>
              </w:rPr>
            </w:pPr>
          </w:p>
        </w:tc>
        <w:tc>
          <w:tcPr>
            <w:tcW w:w="335" w:type="pct"/>
            <w:vMerge/>
            <w:tcBorders>
              <w:top w:val="nil"/>
              <w:left w:val="single" w:sz="4" w:space="0" w:color="1F497D"/>
              <w:bottom w:val="single" w:sz="4" w:space="0" w:color="1F497D"/>
              <w:right w:val="single" w:sz="4" w:space="0" w:color="1F497D"/>
            </w:tcBorders>
            <w:vAlign w:val="center"/>
            <w:hideMark/>
          </w:tcPr>
          <w:p w:rsidR="00F5305F" w:rsidRPr="00F5305F" w:rsidRDefault="00F5305F" w:rsidP="00F5305F">
            <w:pPr>
              <w:rPr>
                <w:b/>
                <w:bCs/>
                <w:color w:val="000000"/>
                <w:sz w:val="16"/>
                <w:szCs w:val="16"/>
              </w:rPr>
            </w:pPr>
          </w:p>
        </w:tc>
        <w:tc>
          <w:tcPr>
            <w:tcW w:w="241" w:type="pct"/>
            <w:tcBorders>
              <w:top w:val="nil"/>
              <w:left w:val="nil"/>
              <w:bottom w:val="single" w:sz="4" w:space="0" w:color="1F497D"/>
              <w:right w:val="single" w:sz="4" w:space="0" w:color="1F497D"/>
            </w:tcBorders>
            <w:shd w:val="clear" w:color="000000" w:fill="DCE6F1"/>
            <w:vAlign w:val="center"/>
            <w:hideMark/>
          </w:tcPr>
          <w:p w:rsidR="00F5305F" w:rsidRPr="00F5305F" w:rsidRDefault="00F5305F" w:rsidP="00F5305F">
            <w:pPr>
              <w:jc w:val="center"/>
              <w:rPr>
                <w:b/>
                <w:bCs/>
                <w:color w:val="000000"/>
                <w:sz w:val="16"/>
                <w:szCs w:val="16"/>
              </w:rPr>
            </w:pPr>
            <w:r w:rsidRPr="00F5305F">
              <w:rPr>
                <w:b/>
                <w:bCs/>
                <w:color w:val="000000"/>
                <w:sz w:val="16"/>
                <w:szCs w:val="16"/>
              </w:rPr>
              <w:t xml:space="preserve">a </w:t>
            </w:r>
          </w:p>
        </w:tc>
        <w:tc>
          <w:tcPr>
            <w:tcW w:w="241" w:type="pct"/>
            <w:vMerge/>
            <w:tcBorders>
              <w:top w:val="nil"/>
              <w:left w:val="single" w:sz="4" w:space="0" w:color="1F497D"/>
              <w:bottom w:val="single" w:sz="4" w:space="0" w:color="1F497D"/>
              <w:right w:val="single" w:sz="4" w:space="0" w:color="1F497D"/>
            </w:tcBorders>
            <w:vAlign w:val="center"/>
            <w:hideMark/>
          </w:tcPr>
          <w:p w:rsidR="00F5305F" w:rsidRPr="00F5305F" w:rsidRDefault="00F5305F" w:rsidP="00F5305F">
            <w:pPr>
              <w:rPr>
                <w:b/>
                <w:bCs/>
                <w:color w:val="000000"/>
                <w:sz w:val="16"/>
                <w:szCs w:val="16"/>
              </w:rPr>
            </w:pPr>
          </w:p>
        </w:tc>
        <w:tc>
          <w:tcPr>
            <w:tcW w:w="181" w:type="pct"/>
            <w:tcBorders>
              <w:top w:val="nil"/>
              <w:left w:val="nil"/>
              <w:bottom w:val="single" w:sz="4" w:space="0" w:color="1F497D"/>
              <w:right w:val="single" w:sz="4" w:space="0" w:color="1F497D"/>
            </w:tcBorders>
            <w:shd w:val="clear" w:color="000000" w:fill="DCE6F1"/>
            <w:vAlign w:val="center"/>
            <w:hideMark/>
          </w:tcPr>
          <w:p w:rsidR="00F5305F" w:rsidRPr="00F5305F" w:rsidRDefault="00F5305F" w:rsidP="00F5305F">
            <w:pPr>
              <w:jc w:val="center"/>
              <w:rPr>
                <w:b/>
                <w:bCs/>
                <w:color w:val="000000"/>
                <w:sz w:val="16"/>
                <w:szCs w:val="16"/>
              </w:rPr>
            </w:pPr>
            <w:r w:rsidRPr="00F5305F">
              <w:rPr>
                <w:b/>
                <w:bCs/>
                <w:color w:val="000000"/>
                <w:sz w:val="16"/>
                <w:szCs w:val="16"/>
              </w:rPr>
              <w:t>b</w:t>
            </w:r>
          </w:p>
        </w:tc>
        <w:tc>
          <w:tcPr>
            <w:tcW w:w="268" w:type="pct"/>
            <w:tcBorders>
              <w:top w:val="nil"/>
              <w:left w:val="nil"/>
              <w:bottom w:val="single" w:sz="4" w:space="0" w:color="1F497D"/>
              <w:right w:val="single" w:sz="4" w:space="0" w:color="1F497D"/>
            </w:tcBorders>
            <w:shd w:val="clear" w:color="000000" w:fill="DCE6F1"/>
            <w:vAlign w:val="center"/>
            <w:hideMark/>
          </w:tcPr>
          <w:p w:rsidR="00F5305F" w:rsidRPr="00F5305F" w:rsidRDefault="00F5305F" w:rsidP="00F5305F">
            <w:pPr>
              <w:jc w:val="center"/>
              <w:rPr>
                <w:b/>
                <w:bCs/>
                <w:color w:val="000000"/>
                <w:sz w:val="16"/>
                <w:szCs w:val="16"/>
              </w:rPr>
            </w:pPr>
            <w:r w:rsidRPr="00F5305F">
              <w:rPr>
                <w:b/>
                <w:bCs/>
                <w:color w:val="000000"/>
                <w:sz w:val="16"/>
                <w:szCs w:val="16"/>
              </w:rPr>
              <w:t>c</w:t>
            </w:r>
          </w:p>
        </w:tc>
        <w:tc>
          <w:tcPr>
            <w:tcW w:w="207" w:type="pct"/>
            <w:tcBorders>
              <w:top w:val="nil"/>
              <w:left w:val="nil"/>
              <w:bottom w:val="single" w:sz="4" w:space="0" w:color="1F497D"/>
              <w:right w:val="single" w:sz="4" w:space="0" w:color="1F497D"/>
            </w:tcBorders>
            <w:shd w:val="clear" w:color="000000" w:fill="DCE6F1"/>
            <w:vAlign w:val="center"/>
            <w:hideMark/>
          </w:tcPr>
          <w:p w:rsidR="00F5305F" w:rsidRPr="00F5305F" w:rsidRDefault="00F5305F" w:rsidP="00F5305F">
            <w:pPr>
              <w:jc w:val="center"/>
              <w:rPr>
                <w:b/>
                <w:bCs/>
                <w:color w:val="000000"/>
                <w:sz w:val="16"/>
                <w:szCs w:val="16"/>
              </w:rPr>
            </w:pPr>
            <w:r w:rsidRPr="00F5305F">
              <w:rPr>
                <w:b/>
                <w:bCs/>
                <w:color w:val="000000"/>
                <w:sz w:val="16"/>
                <w:szCs w:val="16"/>
              </w:rPr>
              <w:t>c/a</w:t>
            </w:r>
          </w:p>
        </w:tc>
        <w:tc>
          <w:tcPr>
            <w:tcW w:w="234" w:type="pct"/>
            <w:vMerge/>
            <w:tcBorders>
              <w:top w:val="nil"/>
              <w:left w:val="single" w:sz="4" w:space="0" w:color="1F497D"/>
              <w:bottom w:val="single" w:sz="4" w:space="0" w:color="1F497D"/>
              <w:right w:val="single" w:sz="4" w:space="0" w:color="1F497D"/>
            </w:tcBorders>
            <w:vAlign w:val="center"/>
            <w:hideMark/>
          </w:tcPr>
          <w:p w:rsidR="00F5305F" w:rsidRPr="00F5305F" w:rsidRDefault="00F5305F" w:rsidP="00F5305F">
            <w:pPr>
              <w:rPr>
                <w:b/>
                <w:bCs/>
                <w:color w:val="000000"/>
                <w:sz w:val="16"/>
                <w:szCs w:val="16"/>
              </w:rPr>
            </w:pPr>
          </w:p>
        </w:tc>
        <w:tc>
          <w:tcPr>
            <w:tcW w:w="174" w:type="pct"/>
            <w:tcBorders>
              <w:top w:val="nil"/>
              <w:left w:val="nil"/>
              <w:bottom w:val="single" w:sz="4" w:space="0" w:color="1F497D"/>
              <w:right w:val="single" w:sz="4" w:space="0" w:color="1F497D"/>
            </w:tcBorders>
            <w:shd w:val="clear" w:color="000000" w:fill="DCE6F1"/>
            <w:vAlign w:val="center"/>
            <w:hideMark/>
          </w:tcPr>
          <w:p w:rsidR="00F5305F" w:rsidRPr="00F5305F" w:rsidRDefault="00F5305F" w:rsidP="00F5305F">
            <w:pPr>
              <w:jc w:val="center"/>
              <w:rPr>
                <w:b/>
                <w:bCs/>
                <w:color w:val="000000"/>
                <w:sz w:val="16"/>
                <w:szCs w:val="16"/>
              </w:rPr>
            </w:pPr>
            <w:r w:rsidRPr="00F5305F">
              <w:rPr>
                <w:b/>
                <w:bCs/>
                <w:color w:val="000000"/>
                <w:sz w:val="16"/>
                <w:szCs w:val="16"/>
              </w:rPr>
              <w:t>d</w:t>
            </w:r>
          </w:p>
        </w:tc>
        <w:tc>
          <w:tcPr>
            <w:tcW w:w="261" w:type="pct"/>
            <w:tcBorders>
              <w:top w:val="nil"/>
              <w:left w:val="nil"/>
              <w:bottom w:val="single" w:sz="4" w:space="0" w:color="1F497D"/>
              <w:right w:val="single" w:sz="4" w:space="0" w:color="1F497D"/>
            </w:tcBorders>
            <w:shd w:val="clear" w:color="000000" w:fill="DCE6F1"/>
            <w:vAlign w:val="center"/>
            <w:hideMark/>
          </w:tcPr>
          <w:p w:rsidR="00F5305F" w:rsidRPr="00F5305F" w:rsidRDefault="00F5305F" w:rsidP="00F5305F">
            <w:pPr>
              <w:jc w:val="center"/>
              <w:rPr>
                <w:b/>
                <w:bCs/>
                <w:color w:val="000000"/>
                <w:sz w:val="16"/>
                <w:szCs w:val="16"/>
              </w:rPr>
            </w:pPr>
            <w:r w:rsidRPr="00F5305F">
              <w:rPr>
                <w:b/>
                <w:bCs/>
                <w:color w:val="000000"/>
                <w:sz w:val="16"/>
                <w:szCs w:val="16"/>
              </w:rPr>
              <w:t>e</w:t>
            </w:r>
          </w:p>
        </w:tc>
        <w:tc>
          <w:tcPr>
            <w:tcW w:w="214" w:type="pct"/>
            <w:tcBorders>
              <w:top w:val="nil"/>
              <w:left w:val="nil"/>
              <w:bottom w:val="single" w:sz="4" w:space="0" w:color="1F497D"/>
              <w:right w:val="single" w:sz="4" w:space="0" w:color="1F497D"/>
            </w:tcBorders>
            <w:shd w:val="clear" w:color="000000" w:fill="DCE6F1"/>
            <w:vAlign w:val="center"/>
            <w:hideMark/>
          </w:tcPr>
          <w:p w:rsidR="00F5305F" w:rsidRPr="00F5305F" w:rsidRDefault="00F5305F" w:rsidP="00F5305F">
            <w:pPr>
              <w:jc w:val="center"/>
              <w:rPr>
                <w:b/>
                <w:bCs/>
                <w:color w:val="000000"/>
                <w:sz w:val="16"/>
                <w:szCs w:val="16"/>
              </w:rPr>
            </w:pPr>
            <w:r w:rsidRPr="00F5305F">
              <w:rPr>
                <w:b/>
                <w:bCs/>
                <w:color w:val="000000"/>
                <w:sz w:val="16"/>
                <w:szCs w:val="16"/>
              </w:rPr>
              <w:t xml:space="preserve">e/a </w:t>
            </w:r>
          </w:p>
        </w:tc>
        <w:tc>
          <w:tcPr>
            <w:tcW w:w="214" w:type="pct"/>
            <w:vMerge/>
            <w:tcBorders>
              <w:top w:val="nil"/>
              <w:left w:val="single" w:sz="4" w:space="0" w:color="1F497D"/>
              <w:bottom w:val="single" w:sz="4" w:space="0" w:color="1F497D"/>
              <w:right w:val="single" w:sz="4" w:space="0" w:color="1F497D"/>
            </w:tcBorders>
            <w:vAlign w:val="center"/>
            <w:hideMark/>
          </w:tcPr>
          <w:p w:rsidR="00F5305F" w:rsidRPr="00F5305F" w:rsidRDefault="00F5305F" w:rsidP="00F5305F">
            <w:pPr>
              <w:rPr>
                <w:b/>
                <w:bCs/>
                <w:color w:val="000000"/>
                <w:sz w:val="16"/>
                <w:szCs w:val="16"/>
              </w:rPr>
            </w:pPr>
          </w:p>
        </w:tc>
        <w:tc>
          <w:tcPr>
            <w:tcW w:w="261" w:type="pct"/>
            <w:tcBorders>
              <w:top w:val="nil"/>
              <w:left w:val="nil"/>
              <w:bottom w:val="single" w:sz="4" w:space="0" w:color="1F497D"/>
              <w:right w:val="single" w:sz="4" w:space="0" w:color="1F497D"/>
            </w:tcBorders>
            <w:shd w:val="clear" w:color="000000" w:fill="DCE6F1"/>
            <w:vAlign w:val="center"/>
            <w:hideMark/>
          </w:tcPr>
          <w:p w:rsidR="00F5305F" w:rsidRPr="00F5305F" w:rsidRDefault="00F5305F" w:rsidP="00F5305F">
            <w:pPr>
              <w:jc w:val="center"/>
              <w:rPr>
                <w:b/>
                <w:bCs/>
                <w:color w:val="000000"/>
                <w:sz w:val="16"/>
                <w:szCs w:val="16"/>
              </w:rPr>
            </w:pPr>
            <w:r w:rsidRPr="00F5305F">
              <w:rPr>
                <w:b/>
                <w:bCs/>
                <w:color w:val="000000"/>
                <w:sz w:val="16"/>
                <w:szCs w:val="16"/>
              </w:rPr>
              <w:t>f</w:t>
            </w:r>
          </w:p>
        </w:tc>
        <w:tc>
          <w:tcPr>
            <w:tcW w:w="228" w:type="pct"/>
            <w:tcBorders>
              <w:top w:val="nil"/>
              <w:left w:val="nil"/>
              <w:bottom w:val="single" w:sz="4" w:space="0" w:color="1F497D"/>
              <w:right w:val="single" w:sz="4" w:space="0" w:color="1F497D"/>
            </w:tcBorders>
            <w:shd w:val="clear" w:color="000000" w:fill="DCE6F1"/>
            <w:vAlign w:val="center"/>
            <w:hideMark/>
          </w:tcPr>
          <w:p w:rsidR="00F5305F" w:rsidRPr="00F5305F" w:rsidRDefault="00F5305F" w:rsidP="00F5305F">
            <w:pPr>
              <w:jc w:val="center"/>
              <w:rPr>
                <w:b/>
                <w:bCs/>
                <w:color w:val="000000"/>
                <w:sz w:val="16"/>
                <w:szCs w:val="16"/>
              </w:rPr>
            </w:pPr>
            <w:r w:rsidRPr="00F5305F">
              <w:rPr>
                <w:b/>
                <w:bCs/>
                <w:color w:val="000000"/>
                <w:sz w:val="16"/>
                <w:szCs w:val="16"/>
              </w:rPr>
              <w:t xml:space="preserve">f/a </w:t>
            </w:r>
          </w:p>
        </w:tc>
        <w:tc>
          <w:tcPr>
            <w:tcW w:w="254" w:type="pct"/>
            <w:vMerge/>
            <w:tcBorders>
              <w:top w:val="nil"/>
              <w:left w:val="single" w:sz="4" w:space="0" w:color="1F497D"/>
              <w:bottom w:val="single" w:sz="4" w:space="0" w:color="1F497D"/>
              <w:right w:val="single" w:sz="4" w:space="0" w:color="1F497D"/>
            </w:tcBorders>
            <w:vAlign w:val="center"/>
            <w:hideMark/>
          </w:tcPr>
          <w:p w:rsidR="00F5305F" w:rsidRPr="00F5305F" w:rsidRDefault="00F5305F" w:rsidP="00F5305F">
            <w:pPr>
              <w:rPr>
                <w:b/>
                <w:bCs/>
                <w:color w:val="000000"/>
                <w:sz w:val="16"/>
                <w:szCs w:val="16"/>
              </w:rPr>
            </w:pPr>
          </w:p>
        </w:tc>
        <w:tc>
          <w:tcPr>
            <w:tcW w:w="288" w:type="pct"/>
            <w:tcBorders>
              <w:top w:val="nil"/>
              <w:left w:val="nil"/>
              <w:bottom w:val="single" w:sz="4" w:space="0" w:color="1F497D"/>
              <w:right w:val="single" w:sz="4" w:space="0" w:color="1F497D"/>
            </w:tcBorders>
            <w:shd w:val="clear" w:color="000000" w:fill="DCE6F1"/>
            <w:vAlign w:val="center"/>
            <w:hideMark/>
          </w:tcPr>
          <w:p w:rsidR="00F5305F" w:rsidRPr="00F5305F" w:rsidRDefault="00F5305F" w:rsidP="00F5305F">
            <w:pPr>
              <w:jc w:val="center"/>
              <w:rPr>
                <w:b/>
                <w:bCs/>
                <w:color w:val="000000"/>
                <w:sz w:val="16"/>
                <w:szCs w:val="16"/>
              </w:rPr>
            </w:pPr>
            <w:r w:rsidRPr="00F5305F">
              <w:rPr>
                <w:b/>
                <w:bCs/>
                <w:color w:val="000000"/>
                <w:sz w:val="16"/>
                <w:szCs w:val="16"/>
              </w:rPr>
              <w:t>g</w:t>
            </w:r>
          </w:p>
        </w:tc>
        <w:tc>
          <w:tcPr>
            <w:tcW w:w="214" w:type="pct"/>
            <w:tcBorders>
              <w:top w:val="nil"/>
              <w:left w:val="nil"/>
              <w:bottom w:val="single" w:sz="4" w:space="0" w:color="1F497D"/>
              <w:right w:val="single" w:sz="4" w:space="0" w:color="1F497D"/>
            </w:tcBorders>
            <w:shd w:val="clear" w:color="000000" w:fill="DCE6F1"/>
            <w:vAlign w:val="center"/>
            <w:hideMark/>
          </w:tcPr>
          <w:p w:rsidR="00F5305F" w:rsidRPr="00F5305F" w:rsidRDefault="00F5305F" w:rsidP="00F5305F">
            <w:pPr>
              <w:jc w:val="center"/>
              <w:rPr>
                <w:b/>
                <w:bCs/>
                <w:color w:val="000000"/>
                <w:sz w:val="16"/>
                <w:szCs w:val="16"/>
              </w:rPr>
            </w:pPr>
            <w:r w:rsidRPr="00F5305F">
              <w:rPr>
                <w:b/>
                <w:bCs/>
                <w:color w:val="000000"/>
                <w:sz w:val="16"/>
                <w:szCs w:val="16"/>
              </w:rPr>
              <w:t xml:space="preserve">g/a </w:t>
            </w:r>
          </w:p>
        </w:tc>
        <w:tc>
          <w:tcPr>
            <w:tcW w:w="254" w:type="pct"/>
            <w:vMerge/>
            <w:tcBorders>
              <w:top w:val="nil"/>
              <w:left w:val="single" w:sz="4" w:space="0" w:color="1F497D"/>
              <w:bottom w:val="single" w:sz="4" w:space="0" w:color="1F497D"/>
              <w:right w:val="single" w:sz="4" w:space="0" w:color="1F497D"/>
            </w:tcBorders>
            <w:vAlign w:val="center"/>
            <w:hideMark/>
          </w:tcPr>
          <w:p w:rsidR="00F5305F" w:rsidRPr="00F5305F" w:rsidRDefault="00F5305F" w:rsidP="00F5305F">
            <w:pPr>
              <w:rPr>
                <w:b/>
                <w:bCs/>
                <w:color w:val="000000"/>
                <w:sz w:val="16"/>
                <w:szCs w:val="16"/>
              </w:rPr>
            </w:pPr>
          </w:p>
        </w:tc>
        <w:tc>
          <w:tcPr>
            <w:tcW w:w="274" w:type="pct"/>
            <w:tcBorders>
              <w:top w:val="nil"/>
              <w:left w:val="nil"/>
              <w:bottom w:val="single" w:sz="4" w:space="0" w:color="1F497D"/>
              <w:right w:val="single" w:sz="4" w:space="0" w:color="1F497D"/>
            </w:tcBorders>
            <w:shd w:val="clear" w:color="000000" w:fill="DCE6F1"/>
            <w:vAlign w:val="center"/>
            <w:hideMark/>
          </w:tcPr>
          <w:p w:rsidR="00F5305F" w:rsidRPr="00F5305F" w:rsidRDefault="00F5305F" w:rsidP="00F5305F">
            <w:pPr>
              <w:jc w:val="center"/>
              <w:rPr>
                <w:b/>
                <w:bCs/>
                <w:color w:val="000000"/>
                <w:sz w:val="16"/>
                <w:szCs w:val="16"/>
              </w:rPr>
            </w:pPr>
            <w:r w:rsidRPr="00F5305F">
              <w:rPr>
                <w:b/>
                <w:bCs/>
                <w:color w:val="000000"/>
                <w:sz w:val="16"/>
                <w:szCs w:val="16"/>
              </w:rPr>
              <w:t>h</w:t>
            </w:r>
          </w:p>
        </w:tc>
        <w:tc>
          <w:tcPr>
            <w:tcW w:w="207" w:type="pct"/>
            <w:tcBorders>
              <w:top w:val="nil"/>
              <w:left w:val="nil"/>
              <w:bottom w:val="single" w:sz="4" w:space="0" w:color="1F497D"/>
              <w:right w:val="single" w:sz="4" w:space="0" w:color="1F497D"/>
            </w:tcBorders>
            <w:shd w:val="clear" w:color="000000" w:fill="DCE6F1"/>
            <w:vAlign w:val="center"/>
            <w:hideMark/>
          </w:tcPr>
          <w:p w:rsidR="00F5305F" w:rsidRPr="00F5305F" w:rsidRDefault="00F5305F" w:rsidP="00F5305F">
            <w:pPr>
              <w:jc w:val="center"/>
              <w:rPr>
                <w:b/>
                <w:bCs/>
                <w:color w:val="000000"/>
                <w:sz w:val="16"/>
                <w:szCs w:val="16"/>
              </w:rPr>
            </w:pPr>
            <w:r w:rsidRPr="00F5305F">
              <w:rPr>
                <w:b/>
                <w:bCs/>
                <w:color w:val="000000"/>
                <w:sz w:val="16"/>
                <w:szCs w:val="16"/>
              </w:rPr>
              <w:t xml:space="preserve">h/a </w:t>
            </w:r>
          </w:p>
        </w:tc>
        <w:tc>
          <w:tcPr>
            <w:tcW w:w="207" w:type="pct"/>
            <w:vMerge/>
            <w:tcBorders>
              <w:top w:val="nil"/>
              <w:left w:val="single" w:sz="4" w:space="0" w:color="1F497D"/>
              <w:bottom w:val="single" w:sz="4" w:space="0" w:color="1F497D"/>
              <w:right w:val="single" w:sz="4" w:space="0" w:color="1F497D"/>
            </w:tcBorders>
            <w:vAlign w:val="center"/>
            <w:hideMark/>
          </w:tcPr>
          <w:p w:rsidR="00F5305F" w:rsidRPr="00F5305F" w:rsidRDefault="00F5305F" w:rsidP="00F5305F">
            <w:pPr>
              <w:rPr>
                <w:b/>
                <w:bCs/>
                <w:color w:val="000000"/>
                <w:sz w:val="16"/>
                <w:szCs w:val="16"/>
              </w:rPr>
            </w:pPr>
          </w:p>
        </w:tc>
      </w:tr>
      <w:tr w:rsidR="00F5305F" w:rsidRPr="00F5305F" w:rsidTr="00F5305F">
        <w:trPr>
          <w:trHeight w:val="225"/>
        </w:trPr>
        <w:tc>
          <w:tcPr>
            <w:tcW w:w="241" w:type="pct"/>
            <w:vMerge w:val="restart"/>
            <w:tcBorders>
              <w:top w:val="nil"/>
              <w:left w:val="single" w:sz="4" w:space="0" w:color="1F497D"/>
              <w:bottom w:val="single" w:sz="4" w:space="0" w:color="1F497D"/>
              <w:right w:val="single" w:sz="4" w:space="0" w:color="1F497D"/>
            </w:tcBorders>
            <w:shd w:val="clear" w:color="000000" w:fill="FFFFFF"/>
            <w:vAlign w:val="center"/>
            <w:hideMark/>
          </w:tcPr>
          <w:p w:rsidR="00F5305F" w:rsidRPr="00F5305F" w:rsidRDefault="00F5305F" w:rsidP="00F5305F">
            <w:pPr>
              <w:jc w:val="center"/>
              <w:rPr>
                <w:color w:val="000000"/>
                <w:sz w:val="16"/>
                <w:szCs w:val="16"/>
              </w:rPr>
            </w:pPr>
            <w:r w:rsidRPr="00F5305F">
              <w:rPr>
                <w:color w:val="000000"/>
                <w:sz w:val="16"/>
                <w:szCs w:val="16"/>
              </w:rPr>
              <w:t>3.1</w:t>
            </w:r>
          </w:p>
        </w:tc>
        <w:tc>
          <w:tcPr>
            <w:tcW w:w="335" w:type="pct"/>
            <w:tcBorders>
              <w:top w:val="nil"/>
              <w:left w:val="nil"/>
              <w:bottom w:val="single" w:sz="4" w:space="0" w:color="1F497D"/>
              <w:right w:val="single" w:sz="4" w:space="0" w:color="1F497D"/>
            </w:tcBorders>
            <w:shd w:val="clear" w:color="000000" w:fill="FFFFFF"/>
            <w:vAlign w:val="center"/>
            <w:hideMark/>
          </w:tcPr>
          <w:p w:rsidR="00F5305F" w:rsidRPr="00F5305F" w:rsidRDefault="00F5305F" w:rsidP="00F5305F">
            <w:pPr>
              <w:jc w:val="center"/>
              <w:rPr>
                <w:color w:val="000000"/>
                <w:sz w:val="16"/>
                <w:szCs w:val="16"/>
              </w:rPr>
            </w:pPr>
            <w:r w:rsidRPr="00F5305F">
              <w:rPr>
                <w:color w:val="000000"/>
                <w:sz w:val="16"/>
                <w:szCs w:val="16"/>
              </w:rPr>
              <w:t>2015/04/17</w:t>
            </w:r>
          </w:p>
        </w:tc>
        <w:tc>
          <w:tcPr>
            <w:tcW w:w="241" w:type="pct"/>
            <w:tcBorders>
              <w:top w:val="nil"/>
              <w:left w:val="nil"/>
              <w:bottom w:val="single" w:sz="4" w:space="0" w:color="1F497D"/>
              <w:right w:val="single" w:sz="4" w:space="0" w:color="1F497D"/>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1 479,52</w:t>
            </w:r>
          </w:p>
        </w:tc>
        <w:tc>
          <w:tcPr>
            <w:tcW w:w="241" w:type="pct"/>
            <w:tcBorders>
              <w:top w:val="nil"/>
              <w:left w:val="nil"/>
              <w:bottom w:val="single" w:sz="4" w:space="0" w:color="1F497D"/>
              <w:right w:val="single" w:sz="4" w:space="0" w:color="1F497D"/>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54,64</w:t>
            </w:r>
          </w:p>
        </w:tc>
        <w:tc>
          <w:tcPr>
            <w:tcW w:w="181" w:type="pct"/>
            <w:tcBorders>
              <w:top w:val="nil"/>
              <w:left w:val="nil"/>
              <w:bottom w:val="single" w:sz="4" w:space="0" w:color="1F497D"/>
              <w:right w:val="single" w:sz="4" w:space="0" w:color="1F497D"/>
            </w:tcBorders>
            <w:shd w:val="clear" w:color="000000" w:fill="FFFFFF"/>
            <w:vAlign w:val="center"/>
            <w:hideMark/>
          </w:tcPr>
          <w:p w:rsidR="00F5305F" w:rsidRPr="00F5305F" w:rsidRDefault="00F5305F" w:rsidP="00F5305F">
            <w:pPr>
              <w:jc w:val="center"/>
              <w:rPr>
                <w:color w:val="000000"/>
                <w:sz w:val="16"/>
                <w:szCs w:val="16"/>
              </w:rPr>
            </w:pPr>
            <w:r w:rsidRPr="00F5305F">
              <w:rPr>
                <w:color w:val="000000"/>
                <w:sz w:val="16"/>
                <w:szCs w:val="16"/>
              </w:rPr>
              <w:t>474</w:t>
            </w:r>
          </w:p>
        </w:tc>
        <w:tc>
          <w:tcPr>
            <w:tcW w:w="268" w:type="pct"/>
            <w:tcBorders>
              <w:top w:val="nil"/>
              <w:left w:val="nil"/>
              <w:bottom w:val="single" w:sz="4" w:space="0" w:color="1F497D"/>
              <w:right w:val="single" w:sz="4" w:space="0" w:color="1F497D"/>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3 210,61</w:t>
            </w:r>
          </w:p>
        </w:tc>
        <w:tc>
          <w:tcPr>
            <w:tcW w:w="207" w:type="pct"/>
            <w:tcBorders>
              <w:top w:val="nil"/>
              <w:left w:val="nil"/>
              <w:bottom w:val="single" w:sz="4" w:space="0" w:color="1F497D"/>
              <w:right w:val="single" w:sz="4" w:space="0" w:color="1F497D"/>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217,00</w:t>
            </w:r>
          </w:p>
        </w:tc>
        <w:tc>
          <w:tcPr>
            <w:tcW w:w="234" w:type="pct"/>
            <w:tcBorders>
              <w:top w:val="nil"/>
              <w:left w:val="nil"/>
              <w:bottom w:val="single" w:sz="4" w:space="0" w:color="1F497D"/>
              <w:right w:val="single" w:sz="4" w:space="0" w:color="1F497D"/>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117,65</w:t>
            </w:r>
          </w:p>
        </w:tc>
        <w:tc>
          <w:tcPr>
            <w:tcW w:w="174" w:type="pct"/>
            <w:tcBorders>
              <w:top w:val="nil"/>
              <w:left w:val="nil"/>
              <w:bottom w:val="single" w:sz="4" w:space="0" w:color="1F497D"/>
              <w:right w:val="single" w:sz="4" w:space="0" w:color="1F497D"/>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128</w:t>
            </w:r>
          </w:p>
        </w:tc>
        <w:tc>
          <w:tcPr>
            <w:tcW w:w="261" w:type="pct"/>
            <w:tcBorders>
              <w:top w:val="nil"/>
              <w:left w:val="nil"/>
              <w:bottom w:val="single" w:sz="4" w:space="0" w:color="1F497D"/>
              <w:right w:val="single" w:sz="4" w:space="0" w:color="1F497D"/>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1 329,74</w:t>
            </w:r>
          </w:p>
        </w:tc>
        <w:tc>
          <w:tcPr>
            <w:tcW w:w="214" w:type="pct"/>
            <w:tcBorders>
              <w:top w:val="nil"/>
              <w:left w:val="nil"/>
              <w:bottom w:val="single" w:sz="4" w:space="0" w:color="1F497D"/>
              <w:right w:val="single" w:sz="4" w:space="0" w:color="1F497D"/>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89,88</w:t>
            </w:r>
          </w:p>
        </w:tc>
        <w:tc>
          <w:tcPr>
            <w:tcW w:w="214" w:type="pct"/>
            <w:tcBorders>
              <w:top w:val="nil"/>
              <w:left w:val="nil"/>
              <w:bottom w:val="single" w:sz="4" w:space="0" w:color="1F497D"/>
              <w:right w:val="single" w:sz="4" w:space="0" w:color="1F497D"/>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49,19</w:t>
            </w:r>
          </w:p>
        </w:tc>
        <w:tc>
          <w:tcPr>
            <w:tcW w:w="261" w:type="pct"/>
            <w:tcBorders>
              <w:top w:val="nil"/>
              <w:left w:val="nil"/>
              <w:bottom w:val="single" w:sz="4" w:space="0" w:color="1F497D"/>
              <w:right w:val="single" w:sz="4" w:space="0" w:color="1F497D"/>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747,78</w:t>
            </w:r>
          </w:p>
        </w:tc>
        <w:tc>
          <w:tcPr>
            <w:tcW w:w="228" w:type="pct"/>
            <w:tcBorders>
              <w:top w:val="nil"/>
              <w:left w:val="nil"/>
              <w:bottom w:val="single" w:sz="4" w:space="0" w:color="1F497D"/>
              <w:right w:val="single" w:sz="4" w:space="0" w:color="1F497D"/>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50,54</w:t>
            </w:r>
          </w:p>
        </w:tc>
        <w:tc>
          <w:tcPr>
            <w:tcW w:w="254" w:type="pct"/>
            <w:tcBorders>
              <w:top w:val="nil"/>
              <w:left w:val="nil"/>
              <w:bottom w:val="single" w:sz="4" w:space="0" w:color="1F497D"/>
              <w:right w:val="single" w:sz="4" w:space="0" w:color="1F497D"/>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28,01</w:t>
            </w:r>
          </w:p>
        </w:tc>
        <w:tc>
          <w:tcPr>
            <w:tcW w:w="288" w:type="pct"/>
            <w:tcBorders>
              <w:top w:val="nil"/>
              <w:left w:val="nil"/>
              <w:bottom w:val="single" w:sz="4" w:space="0" w:color="1F497D"/>
              <w:right w:val="single" w:sz="4" w:space="0" w:color="1F497D"/>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688,93</w:t>
            </w:r>
          </w:p>
        </w:tc>
        <w:tc>
          <w:tcPr>
            <w:tcW w:w="214" w:type="pct"/>
            <w:tcBorders>
              <w:top w:val="nil"/>
              <w:left w:val="nil"/>
              <w:bottom w:val="single" w:sz="4" w:space="0" w:color="1F497D"/>
              <w:right w:val="single" w:sz="4" w:space="0" w:color="1F497D"/>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46,56</w:t>
            </w:r>
          </w:p>
        </w:tc>
        <w:tc>
          <w:tcPr>
            <w:tcW w:w="254" w:type="pct"/>
            <w:tcBorders>
              <w:top w:val="nil"/>
              <w:left w:val="nil"/>
              <w:bottom w:val="single" w:sz="4" w:space="0" w:color="1F497D"/>
              <w:right w:val="single" w:sz="4" w:space="0" w:color="1F497D"/>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25,87</w:t>
            </w:r>
          </w:p>
        </w:tc>
        <w:tc>
          <w:tcPr>
            <w:tcW w:w="27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662,46</w:t>
            </w:r>
          </w:p>
        </w:tc>
        <w:tc>
          <w:tcPr>
            <w:tcW w:w="207" w:type="pct"/>
            <w:tcBorders>
              <w:top w:val="single" w:sz="4" w:space="0" w:color="auto"/>
              <w:left w:val="nil"/>
              <w:bottom w:val="single" w:sz="4" w:space="0" w:color="auto"/>
              <w:right w:val="single" w:sz="4" w:space="0" w:color="auto"/>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44,78</w:t>
            </w:r>
          </w:p>
        </w:tc>
        <w:tc>
          <w:tcPr>
            <w:tcW w:w="207" w:type="pct"/>
            <w:tcBorders>
              <w:top w:val="single" w:sz="4" w:space="0" w:color="auto"/>
              <w:left w:val="nil"/>
              <w:bottom w:val="single" w:sz="4" w:space="0" w:color="auto"/>
              <w:right w:val="single" w:sz="4" w:space="0" w:color="auto"/>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24,91</w:t>
            </w:r>
          </w:p>
        </w:tc>
      </w:tr>
      <w:tr w:rsidR="00F5305F" w:rsidRPr="00F5305F" w:rsidTr="00F5305F">
        <w:trPr>
          <w:trHeight w:val="225"/>
        </w:trPr>
        <w:tc>
          <w:tcPr>
            <w:tcW w:w="241" w:type="pct"/>
            <w:vMerge/>
            <w:tcBorders>
              <w:top w:val="nil"/>
              <w:left w:val="single" w:sz="4" w:space="0" w:color="1F497D"/>
              <w:bottom w:val="single" w:sz="4" w:space="0" w:color="1F497D"/>
              <w:right w:val="single" w:sz="4" w:space="0" w:color="1F497D"/>
            </w:tcBorders>
            <w:vAlign w:val="center"/>
            <w:hideMark/>
          </w:tcPr>
          <w:p w:rsidR="00F5305F" w:rsidRPr="00F5305F" w:rsidRDefault="00F5305F" w:rsidP="00F5305F">
            <w:pPr>
              <w:rPr>
                <w:color w:val="000000"/>
                <w:sz w:val="16"/>
                <w:szCs w:val="16"/>
              </w:rPr>
            </w:pPr>
          </w:p>
        </w:tc>
        <w:tc>
          <w:tcPr>
            <w:tcW w:w="335" w:type="pct"/>
            <w:tcBorders>
              <w:top w:val="nil"/>
              <w:left w:val="nil"/>
              <w:bottom w:val="single" w:sz="4" w:space="0" w:color="1F497D"/>
              <w:right w:val="single" w:sz="4" w:space="0" w:color="1F497D"/>
            </w:tcBorders>
            <w:shd w:val="clear" w:color="000000" w:fill="FFFFFF"/>
            <w:vAlign w:val="center"/>
            <w:hideMark/>
          </w:tcPr>
          <w:p w:rsidR="00F5305F" w:rsidRPr="00F5305F" w:rsidRDefault="00F5305F" w:rsidP="00F5305F">
            <w:pPr>
              <w:jc w:val="center"/>
              <w:rPr>
                <w:color w:val="000000"/>
                <w:sz w:val="16"/>
                <w:szCs w:val="16"/>
              </w:rPr>
            </w:pPr>
            <w:r w:rsidRPr="00F5305F">
              <w:rPr>
                <w:color w:val="000000"/>
                <w:sz w:val="16"/>
                <w:szCs w:val="16"/>
              </w:rPr>
              <w:t>2015/10/02</w:t>
            </w:r>
          </w:p>
        </w:tc>
        <w:tc>
          <w:tcPr>
            <w:tcW w:w="241" w:type="pct"/>
            <w:tcBorders>
              <w:top w:val="nil"/>
              <w:left w:val="nil"/>
              <w:bottom w:val="single" w:sz="4" w:space="0" w:color="1F497D"/>
              <w:right w:val="single" w:sz="4" w:space="0" w:color="1F497D"/>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1 472,06</w:t>
            </w:r>
          </w:p>
        </w:tc>
        <w:tc>
          <w:tcPr>
            <w:tcW w:w="241" w:type="pct"/>
            <w:tcBorders>
              <w:top w:val="nil"/>
              <w:left w:val="nil"/>
              <w:bottom w:val="single" w:sz="4" w:space="0" w:color="1F497D"/>
              <w:right w:val="single" w:sz="4" w:space="0" w:color="1F497D"/>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54,64</w:t>
            </w:r>
          </w:p>
        </w:tc>
        <w:tc>
          <w:tcPr>
            <w:tcW w:w="181" w:type="pct"/>
            <w:tcBorders>
              <w:top w:val="nil"/>
              <w:left w:val="nil"/>
              <w:bottom w:val="single" w:sz="4" w:space="0" w:color="1F497D"/>
              <w:right w:val="single" w:sz="4" w:space="0" w:color="1F497D"/>
            </w:tcBorders>
            <w:shd w:val="clear" w:color="000000" w:fill="FFFFFF"/>
            <w:vAlign w:val="center"/>
            <w:hideMark/>
          </w:tcPr>
          <w:p w:rsidR="00F5305F" w:rsidRPr="00F5305F" w:rsidRDefault="00F5305F" w:rsidP="00F5305F">
            <w:pPr>
              <w:jc w:val="center"/>
              <w:rPr>
                <w:color w:val="000000"/>
                <w:sz w:val="16"/>
                <w:szCs w:val="16"/>
              </w:rPr>
            </w:pPr>
            <w:r w:rsidRPr="00F5305F">
              <w:rPr>
                <w:color w:val="000000"/>
                <w:sz w:val="16"/>
                <w:szCs w:val="16"/>
              </w:rPr>
              <w:t>474</w:t>
            </w:r>
          </w:p>
        </w:tc>
        <w:tc>
          <w:tcPr>
            <w:tcW w:w="268" w:type="pct"/>
            <w:tcBorders>
              <w:top w:val="nil"/>
              <w:left w:val="nil"/>
              <w:bottom w:val="single" w:sz="4" w:space="0" w:color="1F497D"/>
              <w:right w:val="single" w:sz="4" w:space="0" w:color="1F497D"/>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3 210,61</w:t>
            </w:r>
          </w:p>
        </w:tc>
        <w:tc>
          <w:tcPr>
            <w:tcW w:w="207" w:type="pct"/>
            <w:tcBorders>
              <w:top w:val="nil"/>
              <w:left w:val="nil"/>
              <w:bottom w:val="single" w:sz="4" w:space="0" w:color="1F497D"/>
              <w:right w:val="single" w:sz="4" w:space="0" w:color="1F497D"/>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218,10</w:t>
            </w:r>
          </w:p>
        </w:tc>
        <w:tc>
          <w:tcPr>
            <w:tcW w:w="234" w:type="pct"/>
            <w:tcBorders>
              <w:top w:val="nil"/>
              <w:left w:val="nil"/>
              <w:bottom w:val="single" w:sz="4" w:space="0" w:color="1F497D"/>
              <w:right w:val="single" w:sz="4" w:space="0" w:color="1F497D"/>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118,54</w:t>
            </w:r>
          </w:p>
        </w:tc>
        <w:tc>
          <w:tcPr>
            <w:tcW w:w="174" w:type="pct"/>
            <w:tcBorders>
              <w:top w:val="nil"/>
              <w:left w:val="nil"/>
              <w:bottom w:val="single" w:sz="4" w:space="0" w:color="1F497D"/>
              <w:right w:val="single" w:sz="4" w:space="0" w:color="1F497D"/>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128</w:t>
            </w:r>
          </w:p>
        </w:tc>
        <w:tc>
          <w:tcPr>
            <w:tcW w:w="261" w:type="pct"/>
            <w:tcBorders>
              <w:top w:val="nil"/>
              <w:left w:val="nil"/>
              <w:bottom w:val="single" w:sz="4" w:space="0" w:color="1F497D"/>
              <w:right w:val="single" w:sz="4" w:space="0" w:color="1F497D"/>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1 321,85</w:t>
            </w:r>
          </w:p>
        </w:tc>
        <w:tc>
          <w:tcPr>
            <w:tcW w:w="214" w:type="pct"/>
            <w:tcBorders>
              <w:top w:val="nil"/>
              <w:left w:val="nil"/>
              <w:bottom w:val="single" w:sz="4" w:space="0" w:color="1F497D"/>
              <w:right w:val="single" w:sz="4" w:space="0" w:color="1F497D"/>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89,80</w:t>
            </w:r>
          </w:p>
        </w:tc>
        <w:tc>
          <w:tcPr>
            <w:tcW w:w="214" w:type="pct"/>
            <w:tcBorders>
              <w:top w:val="nil"/>
              <w:left w:val="nil"/>
              <w:bottom w:val="single" w:sz="4" w:space="0" w:color="1F497D"/>
              <w:right w:val="single" w:sz="4" w:space="0" w:color="1F497D"/>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49,11</w:t>
            </w:r>
          </w:p>
        </w:tc>
        <w:tc>
          <w:tcPr>
            <w:tcW w:w="261" w:type="pct"/>
            <w:tcBorders>
              <w:top w:val="nil"/>
              <w:left w:val="nil"/>
              <w:bottom w:val="single" w:sz="4" w:space="0" w:color="1F497D"/>
              <w:right w:val="single" w:sz="4" w:space="0" w:color="1F497D"/>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915,69</w:t>
            </w:r>
          </w:p>
        </w:tc>
        <w:tc>
          <w:tcPr>
            <w:tcW w:w="228" w:type="pct"/>
            <w:tcBorders>
              <w:top w:val="nil"/>
              <w:left w:val="nil"/>
              <w:bottom w:val="single" w:sz="4" w:space="0" w:color="1F497D"/>
              <w:right w:val="single" w:sz="4" w:space="0" w:color="1F497D"/>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62,20</w:t>
            </w:r>
          </w:p>
        </w:tc>
        <w:tc>
          <w:tcPr>
            <w:tcW w:w="254" w:type="pct"/>
            <w:tcBorders>
              <w:top w:val="nil"/>
              <w:left w:val="nil"/>
              <w:bottom w:val="single" w:sz="4" w:space="0" w:color="1F497D"/>
              <w:right w:val="single" w:sz="4" w:space="0" w:color="1F497D"/>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34,19</w:t>
            </w:r>
          </w:p>
        </w:tc>
        <w:tc>
          <w:tcPr>
            <w:tcW w:w="288" w:type="pct"/>
            <w:tcBorders>
              <w:top w:val="nil"/>
              <w:left w:val="nil"/>
              <w:bottom w:val="single" w:sz="4" w:space="0" w:color="1F497D"/>
              <w:right w:val="single" w:sz="4" w:space="0" w:color="1F497D"/>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827,59</w:t>
            </w:r>
          </w:p>
        </w:tc>
        <w:tc>
          <w:tcPr>
            <w:tcW w:w="214" w:type="pct"/>
            <w:tcBorders>
              <w:top w:val="nil"/>
              <w:left w:val="nil"/>
              <w:bottom w:val="single" w:sz="4" w:space="0" w:color="1F497D"/>
              <w:right w:val="single" w:sz="4" w:space="0" w:color="1F497D"/>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56,22</w:t>
            </w:r>
          </w:p>
        </w:tc>
        <w:tc>
          <w:tcPr>
            <w:tcW w:w="254" w:type="pct"/>
            <w:tcBorders>
              <w:top w:val="nil"/>
              <w:left w:val="nil"/>
              <w:bottom w:val="single" w:sz="4" w:space="0" w:color="1F497D"/>
              <w:right w:val="single" w:sz="4" w:space="0" w:color="1F497D"/>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30,96</w:t>
            </w:r>
          </w:p>
        </w:tc>
        <w:tc>
          <w:tcPr>
            <w:tcW w:w="274" w:type="pct"/>
            <w:tcBorders>
              <w:top w:val="nil"/>
              <w:left w:val="single" w:sz="4" w:space="0" w:color="auto"/>
              <w:bottom w:val="single" w:sz="4" w:space="0" w:color="auto"/>
              <w:right w:val="single" w:sz="4" w:space="0" w:color="auto"/>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764,04</w:t>
            </w:r>
          </w:p>
        </w:tc>
        <w:tc>
          <w:tcPr>
            <w:tcW w:w="207" w:type="pct"/>
            <w:tcBorders>
              <w:top w:val="nil"/>
              <w:left w:val="nil"/>
              <w:bottom w:val="single" w:sz="4" w:space="0" w:color="auto"/>
              <w:right w:val="single" w:sz="4" w:space="0" w:color="auto"/>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51,90</w:t>
            </w:r>
          </w:p>
        </w:tc>
        <w:tc>
          <w:tcPr>
            <w:tcW w:w="207" w:type="pct"/>
            <w:tcBorders>
              <w:top w:val="nil"/>
              <w:left w:val="nil"/>
              <w:bottom w:val="single" w:sz="4" w:space="0" w:color="auto"/>
              <w:right w:val="single" w:sz="4" w:space="0" w:color="auto"/>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28,60</w:t>
            </w:r>
          </w:p>
        </w:tc>
      </w:tr>
      <w:tr w:rsidR="00F5305F" w:rsidRPr="00F5305F" w:rsidTr="00F5305F">
        <w:trPr>
          <w:trHeight w:val="225"/>
        </w:trPr>
        <w:tc>
          <w:tcPr>
            <w:tcW w:w="241" w:type="pct"/>
            <w:vMerge/>
            <w:tcBorders>
              <w:top w:val="nil"/>
              <w:left w:val="single" w:sz="4" w:space="0" w:color="1F497D"/>
              <w:bottom w:val="single" w:sz="4" w:space="0" w:color="1F497D"/>
              <w:right w:val="single" w:sz="4" w:space="0" w:color="1F497D"/>
            </w:tcBorders>
            <w:vAlign w:val="center"/>
            <w:hideMark/>
          </w:tcPr>
          <w:p w:rsidR="00F5305F" w:rsidRPr="00F5305F" w:rsidRDefault="00F5305F" w:rsidP="00F5305F">
            <w:pPr>
              <w:rPr>
                <w:color w:val="000000"/>
                <w:sz w:val="16"/>
                <w:szCs w:val="16"/>
              </w:rPr>
            </w:pPr>
          </w:p>
        </w:tc>
        <w:tc>
          <w:tcPr>
            <w:tcW w:w="335" w:type="pct"/>
            <w:tcBorders>
              <w:top w:val="nil"/>
              <w:left w:val="nil"/>
              <w:bottom w:val="single" w:sz="4" w:space="0" w:color="1F497D"/>
              <w:right w:val="single" w:sz="4" w:space="0" w:color="1F497D"/>
            </w:tcBorders>
            <w:shd w:val="clear" w:color="000000" w:fill="FFFFFF"/>
            <w:vAlign w:val="center"/>
            <w:hideMark/>
          </w:tcPr>
          <w:p w:rsidR="00F5305F" w:rsidRPr="00F5305F" w:rsidRDefault="00F5305F" w:rsidP="00F5305F">
            <w:pPr>
              <w:jc w:val="center"/>
              <w:rPr>
                <w:color w:val="000000"/>
                <w:sz w:val="16"/>
                <w:szCs w:val="16"/>
              </w:rPr>
            </w:pPr>
            <w:r w:rsidRPr="00F5305F">
              <w:rPr>
                <w:color w:val="000000"/>
                <w:sz w:val="16"/>
                <w:szCs w:val="16"/>
              </w:rPr>
              <w:t>Rozdíl</w:t>
            </w:r>
          </w:p>
        </w:tc>
        <w:tc>
          <w:tcPr>
            <w:tcW w:w="241" w:type="pct"/>
            <w:tcBorders>
              <w:top w:val="nil"/>
              <w:left w:val="nil"/>
              <w:bottom w:val="single" w:sz="4" w:space="0" w:color="1F497D"/>
              <w:right w:val="single" w:sz="4" w:space="0" w:color="1F497D"/>
            </w:tcBorders>
            <w:shd w:val="clear" w:color="000000" w:fill="FFFFFF"/>
            <w:noWrap/>
            <w:vAlign w:val="center"/>
            <w:hideMark/>
          </w:tcPr>
          <w:p w:rsidR="00F5305F" w:rsidRPr="00F5305F" w:rsidRDefault="00F5305F" w:rsidP="00F5305F">
            <w:pPr>
              <w:jc w:val="center"/>
              <w:rPr>
                <w:color w:val="000000"/>
                <w:sz w:val="16"/>
                <w:szCs w:val="16"/>
              </w:rPr>
            </w:pPr>
          </w:p>
        </w:tc>
        <w:tc>
          <w:tcPr>
            <w:tcW w:w="241" w:type="pct"/>
            <w:tcBorders>
              <w:top w:val="nil"/>
              <w:left w:val="nil"/>
              <w:bottom w:val="single" w:sz="4" w:space="0" w:color="1F497D"/>
              <w:right w:val="single" w:sz="4" w:space="0" w:color="1F497D"/>
            </w:tcBorders>
            <w:shd w:val="clear" w:color="000000" w:fill="FFFFFF"/>
            <w:noWrap/>
            <w:vAlign w:val="center"/>
            <w:hideMark/>
          </w:tcPr>
          <w:p w:rsidR="00F5305F" w:rsidRPr="00F5305F" w:rsidRDefault="00F5305F" w:rsidP="00F5305F">
            <w:pPr>
              <w:jc w:val="center"/>
              <w:rPr>
                <w:color w:val="000000"/>
                <w:sz w:val="16"/>
                <w:szCs w:val="16"/>
              </w:rPr>
            </w:pPr>
          </w:p>
        </w:tc>
        <w:tc>
          <w:tcPr>
            <w:tcW w:w="181" w:type="pct"/>
            <w:tcBorders>
              <w:top w:val="nil"/>
              <w:left w:val="nil"/>
              <w:bottom w:val="single" w:sz="4" w:space="0" w:color="1F497D"/>
              <w:right w:val="single" w:sz="4" w:space="0" w:color="1F497D"/>
            </w:tcBorders>
            <w:shd w:val="clear" w:color="000000" w:fill="FFFFFF"/>
            <w:vAlign w:val="center"/>
            <w:hideMark/>
          </w:tcPr>
          <w:p w:rsidR="00F5305F" w:rsidRPr="00F5305F" w:rsidRDefault="00F5305F" w:rsidP="00F5305F">
            <w:pPr>
              <w:jc w:val="center"/>
              <w:rPr>
                <w:color w:val="000000"/>
                <w:sz w:val="16"/>
                <w:szCs w:val="16"/>
              </w:rPr>
            </w:pPr>
            <w:r w:rsidRPr="00F5305F">
              <w:rPr>
                <w:color w:val="000000"/>
                <w:sz w:val="16"/>
                <w:szCs w:val="16"/>
              </w:rPr>
              <w:t>0</w:t>
            </w:r>
          </w:p>
        </w:tc>
        <w:tc>
          <w:tcPr>
            <w:tcW w:w="268" w:type="pct"/>
            <w:tcBorders>
              <w:top w:val="nil"/>
              <w:left w:val="nil"/>
              <w:bottom w:val="single" w:sz="4" w:space="0" w:color="1F497D"/>
              <w:right w:val="single" w:sz="4" w:space="0" w:color="1F497D"/>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0,00</w:t>
            </w:r>
          </w:p>
        </w:tc>
        <w:tc>
          <w:tcPr>
            <w:tcW w:w="207" w:type="pct"/>
            <w:tcBorders>
              <w:top w:val="nil"/>
              <w:left w:val="nil"/>
              <w:bottom w:val="single" w:sz="4" w:space="0" w:color="1F497D"/>
              <w:right w:val="single" w:sz="4" w:space="0" w:color="1F497D"/>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0,00</w:t>
            </w:r>
          </w:p>
        </w:tc>
        <w:tc>
          <w:tcPr>
            <w:tcW w:w="234" w:type="pct"/>
            <w:tcBorders>
              <w:top w:val="nil"/>
              <w:left w:val="nil"/>
              <w:bottom w:val="single" w:sz="4" w:space="0" w:color="1F497D"/>
              <w:right w:val="single" w:sz="4" w:space="0" w:color="1F497D"/>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0,89</w:t>
            </w:r>
          </w:p>
        </w:tc>
        <w:tc>
          <w:tcPr>
            <w:tcW w:w="174" w:type="pct"/>
            <w:tcBorders>
              <w:top w:val="nil"/>
              <w:left w:val="nil"/>
              <w:bottom w:val="single" w:sz="4" w:space="0" w:color="1F497D"/>
              <w:right w:val="single" w:sz="4" w:space="0" w:color="1F497D"/>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0</w:t>
            </w:r>
          </w:p>
        </w:tc>
        <w:tc>
          <w:tcPr>
            <w:tcW w:w="261" w:type="pct"/>
            <w:tcBorders>
              <w:top w:val="nil"/>
              <w:left w:val="nil"/>
              <w:bottom w:val="single" w:sz="4" w:space="0" w:color="1F497D"/>
              <w:right w:val="single" w:sz="4" w:space="0" w:color="1F497D"/>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-7,89</w:t>
            </w:r>
          </w:p>
        </w:tc>
        <w:tc>
          <w:tcPr>
            <w:tcW w:w="214" w:type="pct"/>
            <w:tcBorders>
              <w:top w:val="nil"/>
              <w:left w:val="nil"/>
              <w:bottom w:val="single" w:sz="4" w:space="0" w:color="1F497D"/>
              <w:right w:val="single" w:sz="4" w:space="0" w:color="1F497D"/>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-0,54</w:t>
            </w:r>
          </w:p>
        </w:tc>
        <w:tc>
          <w:tcPr>
            <w:tcW w:w="214" w:type="pct"/>
            <w:tcBorders>
              <w:top w:val="nil"/>
              <w:left w:val="nil"/>
              <w:bottom w:val="single" w:sz="4" w:space="0" w:color="1F497D"/>
              <w:right w:val="single" w:sz="4" w:space="0" w:color="1F497D"/>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-0,07</w:t>
            </w:r>
          </w:p>
        </w:tc>
        <w:tc>
          <w:tcPr>
            <w:tcW w:w="261" w:type="pct"/>
            <w:tcBorders>
              <w:top w:val="nil"/>
              <w:left w:val="nil"/>
              <w:bottom w:val="single" w:sz="4" w:space="0" w:color="1F497D"/>
              <w:right w:val="single" w:sz="4" w:space="0" w:color="1F497D"/>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167,91</w:t>
            </w:r>
          </w:p>
        </w:tc>
        <w:tc>
          <w:tcPr>
            <w:tcW w:w="228" w:type="pct"/>
            <w:tcBorders>
              <w:top w:val="nil"/>
              <w:left w:val="nil"/>
              <w:bottom w:val="single" w:sz="4" w:space="0" w:color="1F497D"/>
              <w:right w:val="single" w:sz="4" w:space="0" w:color="1F497D"/>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11,41</w:t>
            </w:r>
          </w:p>
        </w:tc>
        <w:tc>
          <w:tcPr>
            <w:tcW w:w="254" w:type="pct"/>
            <w:tcBorders>
              <w:top w:val="nil"/>
              <w:left w:val="nil"/>
              <w:bottom w:val="single" w:sz="4" w:space="0" w:color="1F497D"/>
              <w:right w:val="single" w:sz="4" w:space="0" w:color="1F497D"/>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6,19</w:t>
            </w:r>
          </w:p>
        </w:tc>
        <w:tc>
          <w:tcPr>
            <w:tcW w:w="288" w:type="pct"/>
            <w:tcBorders>
              <w:top w:val="nil"/>
              <w:left w:val="nil"/>
              <w:bottom w:val="single" w:sz="4" w:space="0" w:color="1F497D"/>
              <w:right w:val="single" w:sz="4" w:space="0" w:color="1F497D"/>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138,66</w:t>
            </w:r>
          </w:p>
        </w:tc>
        <w:tc>
          <w:tcPr>
            <w:tcW w:w="214" w:type="pct"/>
            <w:tcBorders>
              <w:top w:val="nil"/>
              <w:left w:val="nil"/>
              <w:bottom w:val="single" w:sz="4" w:space="0" w:color="1F497D"/>
              <w:right w:val="single" w:sz="4" w:space="0" w:color="1F497D"/>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9,42</w:t>
            </w:r>
          </w:p>
        </w:tc>
        <w:tc>
          <w:tcPr>
            <w:tcW w:w="254" w:type="pct"/>
            <w:tcBorders>
              <w:top w:val="nil"/>
              <w:left w:val="nil"/>
              <w:bottom w:val="single" w:sz="4" w:space="0" w:color="1F497D"/>
              <w:right w:val="single" w:sz="4" w:space="0" w:color="1F497D"/>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5,09</w:t>
            </w:r>
          </w:p>
        </w:tc>
        <w:tc>
          <w:tcPr>
            <w:tcW w:w="274" w:type="pct"/>
            <w:tcBorders>
              <w:top w:val="nil"/>
              <w:left w:val="single" w:sz="4" w:space="0" w:color="auto"/>
              <w:bottom w:val="single" w:sz="4" w:space="0" w:color="auto"/>
              <w:right w:val="single" w:sz="4" w:space="0" w:color="auto"/>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101,59</w:t>
            </w:r>
          </w:p>
        </w:tc>
        <w:tc>
          <w:tcPr>
            <w:tcW w:w="207" w:type="pct"/>
            <w:tcBorders>
              <w:top w:val="nil"/>
              <w:left w:val="nil"/>
              <w:bottom w:val="single" w:sz="4" w:space="0" w:color="auto"/>
              <w:right w:val="single" w:sz="4" w:space="0" w:color="auto"/>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6,90</w:t>
            </w:r>
          </w:p>
        </w:tc>
        <w:tc>
          <w:tcPr>
            <w:tcW w:w="207" w:type="pct"/>
            <w:tcBorders>
              <w:top w:val="nil"/>
              <w:left w:val="nil"/>
              <w:bottom w:val="single" w:sz="4" w:space="0" w:color="auto"/>
              <w:right w:val="single" w:sz="4" w:space="0" w:color="auto"/>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3,69</w:t>
            </w:r>
          </w:p>
        </w:tc>
      </w:tr>
    </w:tbl>
    <w:p w:rsidR="003B5A73" w:rsidRPr="00A55196" w:rsidRDefault="003B5A73" w:rsidP="003B5A73">
      <w:pPr>
        <w:spacing w:before="120"/>
        <w:rPr>
          <w:b/>
          <w:u w:val="single"/>
        </w:rPr>
      </w:pPr>
      <w:r>
        <w:rPr>
          <w:b/>
          <w:u w:val="single"/>
        </w:rPr>
        <w:t>P</w:t>
      </w:r>
      <w:r w:rsidRPr="00A55196">
        <w:rPr>
          <w:b/>
          <w:u w:val="single"/>
        </w:rPr>
        <w:t>ro všechny</w:t>
      </w:r>
      <w:r w:rsidR="007D0A11">
        <w:rPr>
          <w:b/>
          <w:u w:val="single"/>
        </w:rPr>
        <w:t xml:space="preserve"> níže </w:t>
      </w:r>
      <w:r w:rsidRPr="00A55196">
        <w:rPr>
          <w:b/>
          <w:u w:val="single"/>
        </w:rPr>
        <w:t>uvedené tabulky platí:</w:t>
      </w:r>
    </w:p>
    <w:p w:rsidR="003B5A73" w:rsidRPr="00F42CC8" w:rsidRDefault="003B5A73" w:rsidP="00D15C73">
      <w:pPr>
        <w:rPr>
          <w:i/>
          <w:sz w:val="18"/>
          <w:szCs w:val="18"/>
        </w:rPr>
      </w:pPr>
      <w:r w:rsidRPr="00C9059F">
        <w:rPr>
          <w:i/>
          <w:sz w:val="18"/>
          <w:szCs w:val="18"/>
        </w:rPr>
        <w:t xml:space="preserve">Zdroj: Aktuální </w:t>
      </w:r>
      <w:proofErr w:type="spellStart"/>
      <w:r w:rsidRPr="00C9059F">
        <w:rPr>
          <w:i/>
          <w:sz w:val="18"/>
          <w:szCs w:val="18"/>
        </w:rPr>
        <w:t>MoV</w:t>
      </w:r>
      <w:proofErr w:type="spellEnd"/>
      <w:r w:rsidRPr="00C9059F">
        <w:rPr>
          <w:i/>
          <w:sz w:val="18"/>
          <w:szCs w:val="18"/>
        </w:rPr>
        <w:t xml:space="preserve"> – MSC2007 ke </w:t>
      </w:r>
      <w:r w:rsidRPr="00F42CC8">
        <w:rPr>
          <w:i/>
          <w:sz w:val="18"/>
          <w:szCs w:val="18"/>
        </w:rPr>
        <w:t xml:space="preserve">dni </w:t>
      </w:r>
      <w:r w:rsidR="0015783A">
        <w:rPr>
          <w:i/>
          <w:sz w:val="18"/>
          <w:szCs w:val="18"/>
        </w:rPr>
        <w:t>30. 9. 2015</w:t>
      </w:r>
      <w:r w:rsidR="00D15C73">
        <w:rPr>
          <w:i/>
          <w:sz w:val="18"/>
          <w:szCs w:val="18"/>
        </w:rPr>
        <w:t xml:space="preserve">; Data za certifikované prostředky byla v celé zprávě generována k datu 8. 10. 2015, důvodem je technická chyba způsobena chybným přenosem dat </w:t>
      </w:r>
      <w:proofErr w:type="gramStart"/>
      <w:r w:rsidR="00D15C73">
        <w:rPr>
          <w:i/>
          <w:sz w:val="18"/>
          <w:szCs w:val="18"/>
        </w:rPr>
        <w:t>mezi</w:t>
      </w:r>
      <w:proofErr w:type="gramEnd"/>
      <w:r w:rsidR="00D15C73">
        <w:rPr>
          <w:i/>
          <w:sz w:val="18"/>
          <w:szCs w:val="18"/>
        </w:rPr>
        <w:t xml:space="preserve"> IS Viola a MSC2007</w:t>
      </w:r>
    </w:p>
    <w:p w:rsidR="003B5A73" w:rsidRPr="00F42CC8" w:rsidRDefault="00D15C73" w:rsidP="003B5A73">
      <w:pPr>
        <w:jc w:val="both"/>
        <w:rPr>
          <w:i/>
          <w:sz w:val="18"/>
          <w:szCs w:val="18"/>
        </w:rPr>
      </w:pPr>
      <w:r>
        <w:rPr>
          <w:i/>
          <w:sz w:val="18"/>
          <w:szCs w:val="18"/>
        </w:rPr>
        <w:t xml:space="preserve">        </w:t>
      </w:r>
      <w:r w:rsidR="003B5A73" w:rsidRPr="00F42CC8">
        <w:rPr>
          <w:i/>
          <w:sz w:val="18"/>
          <w:szCs w:val="18"/>
        </w:rPr>
        <w:t xml:space="preserve">  Předchozí </w:t>
      </w:r>
      <w:proofErr w:type="spellStart"/>
      <w:r w:rsidR="003B5A73" w:rsidRPr="00F42CC8">
        <w:rPr>
          <w:i/>
          <w:sz w:val="18"/>
          <w:szCs w:val="18"/>
        </w:rPr>
        <w:t>MoV</w:t>
      </w:r>
      <w:proofErr w:type="spellEnd"/>
      <w:r w:rsidR="003B5A73" w:rsidRPr="00F42CC8">
        <w:rPr>
          <w:i/>
          <w:sz w:val="18"/>
          <w:szCs w:val="18"/>
        </w:rPr>
        <w:t xml:space="preserve"> – MSC2007+ ke dni.</w:t>
      </w:r>
      <w:r w:rsidR="005358CB">
        <w:rPr>
          <w:i/>
          <w:sz w:val="18"/>
          <w:szCs w:val="18"/>
        </w:rPr>
        <w:t xml:space="preserve"> </w:t>
      </w:r>
      <w:r w:rsidR="006A3C66">
        <w:rPr>
          <w:i/>
          <w:sz w:val="18"/>
          <w:szCs w:val="18"/>
        </w:rPr>
        <w:t>16. 4. 2015</w:t>
      </w:r>
    </w:p>
    <w:p w:rsidR="003B5A73" w:rsidRPr="00277C9A" w:rsidRDefault="003B5A73" w:rsidP="003B5A73">
      <w:pPr>
        <w:jc w:val="both"/>
        <w:rPr>
          <w:i/>
          <w:sz w:val="18"/>
          <w:szCs w:val="18"/>
        </w:rPr>
      </w:pPr>
      <w:r w:rsidRPr="00277C9A">
        <w:rPr>
          <w:i/>
          <w:sz w:val="18"/>
          <w:szCs w:val="18"/>
        </w:rPr>
        <w:t xml:space="preserve"> Kurz CZK/EUR: Aktuální </w:t>
      </w:r>
      <w:proofErr w:type="spellStart"/>
      <w:r w:rsidRPr="00277C9A">
        <w:rPr>
          <w:i/>
          <w:sz w:val="18"/>
          <w:szCs w:val="18"/>
        </w:rPr>
        <w:t>MoV</w:t>
      </w:r>
      <w:proofErr w:type="spellEnd"/>
      <w:r w:rsidRPr="00277C9A">
        <w:rPr>
          <w:i/>
          <w:sz w:val="18"/>
          <w:szCs w:val="18"/>
        </w:rPr>
        <w:t xml:space="preserve"> </w:t>
      </w:r>
      <w:r w:rsidRPr="00737479">
        <w:rPr>
          <w:i/>
          <w:sz w:val="18"/>
          <w:szCs w:val="18"/>
        </w:rPr>
        <w:t xml:space="preserve">– </w:t>
      </w:r>
      <w:r w:rsidR="006A3C66">
        <w:rPr>
          <w:i/>
          <w:sz w:val="18"/>
          <w:szCs w:val="18"/>
        </w:rPr>
        <w:t>27,208</w:t>
      </w:r>
    </w:p>
    <w:p w:rsidR="003B5A73" w:rsidRPr="00277C9A" w:rsidRDefault="003B5A73" w:rsidP="003B5A73">
      <w:pPr>
        <w:jc w:val="both"/>
        <w:rPr>
          <w:i/>
          <w:sz w:val="18"/>
          <w:szCs w:val="18"/>
        </w:rPr>
      </w:pPr>
      <w:r w:rsidRPr="00277C9A">
        <w:rPr>
          <w:i/>
          <w:sz w:val="18"/>
          <w:szCs w:val="18"/>
        </w:rPr>
        <w:t xml:space="preserve">                            Předchozí </w:t>
      </w:r>
      <w:proofErr w:type="spellStart"/>
      <w:r w:rsidRPr="00277C9A">
        <w:rPr>
          <w:i/>
          <w:sz w:val="18"/>
          <w:szCs w:val="18"/>
        </w:rPr>
        <w:t>MoV</w:t>
      </w:r>
      <w:proofErr w:type="spellEnd"/>
      <w:r>
        <w:rPr>
          <w:i/>
          <w:sz w:val="18"/>
          <w:szCs w:val="18"/>
        </w:rPr>
        <w:t xml:space="preserve"> </w:t>
      </w:r>
      <w:r w:rsidRPr="00277C9A">
        <w:rPr>
          <w:i/>
          <w:sz w:val="18"/>
          <w:szCs w:val="18"/>
        </w:rPr>
        <w:t xml:space="preserve">– </w:t>
      </w:r>
      <w:r w:rsidR="006A3C66">
        <w:rPr>
          <w:i/>
          <w:sz w:val="18"/>
          <w:szCs w:val="18"/>
        </w:rPr>
        <w:t>27,473</w:t>
      </w:r>
    </w:p>
    <w:p w:rsidR="005E6950" w:rsidRDefault="003B5A73" w:rsidP="003B5A73">
      <w:pPr>
        <w:rPr>
          <w:i/>
          <w:sz w:val="18"/>
          <w:szCs w:val="18"/>
        </w:rPr>
      </w:pPr>
      <w:r w:rsidRPr="00277C9A">
        <w:rPr>
          <w:i/>
          <w:sz w:val="18"/>
          <w:szCs w:val="18"/>
        </w:rPr>
        <w:t xml:space="preserve">Zdroj financování – </w:t>
      </w:r>
      <w:r w:rsidR="004F38E3">
        <w:rPr>
          <w:i/>
          <w:sz w:val="18"/>
          <w:szCs w:val="18"/>
        </w:rPr>
        <w:t xml:space="preserve">podíl </w:t>
      </w:r>
      <w:r w:rsidR="004F162D">
        <w:rPr>
          <w:i/>
          <w:sz w:val="18"/>
          <w:szCs w:val="18"/>
        </w:rPr>
        <w:t>EU</w:t>
      </w:r>
    </w:p>
    <w:p w:rsidR="005E6950" w:rsidRDefault="005E6950" w:rsidP="003B5A73">
      <w:pPr>
        <w:rPr>
          <w:i/>
          <w:sz w:val="18"/>
          <w:szCs w:val="18"/>
        </w:rPr>
      </w:pPr>
    </w:p>
    <w:p w:rsidR="005E6950" w:rsidRDefault="005E6950" w:rsidP="003B5A73">
      <w:pPr>
        <w:rPr>
          <w:i/>
          <w:sz w:val="18"/>
          <w:szCs w:val="18"/>
        </w:rPr>
      </w:pPr>
    </w:p>
    <w:p w:rsidR="00284D1F" w:rsidRDefault="00284D1F" w:rsidP="004F38E3">
      <w:pPr>
        <w:spacing w:after="120"/>
        <w:jc w:val="both"/>
        <w:rPr>
          <w:b/>
          <w:sz w:val="22"/>
          <w:szCs w:val="22"/>
        </w:rPr>
      </w:pPr>
    </w:p>
    <w:p w:rsidR="00284D1F" w:rsidRDefault="00284D1F" w:rsidP="004F38E3">
      <w:pPr>
        <w:spacing w:after="120"/>
        <w:jc w:val="both"/>
        <w:rPr>
          <w:b/>
          <w:sz w:val="22"/>
          <w:szCs w:val="22"/>
        </w:rPr>
      </w:pPr>
    </w:p>
    <w:p w:rsidR="00284D1F" w:rsidRDefault="00284D1F" w:rsidP="004F38E3">
      <w:pPr>
        <w:spacing w:after="120"/>
        <w:jc w:val="both"/>
        <w:rPr>
          <w:b/>
          <w:sz w:val="22"/>
          <w:szCs w:val="22"/>
        </w:rPr>
      </w:pPr>
    </w:p>
    <w:p w:rsidR="00284D1F" w:rsidRDefault="00284D1F" w:rsidP="004F38E3">
      <w:pPr>
        <w:spacing w:after="120"/>
        <w:jc w:val="both"/>
        <w:rPr>
          <w:b/>
          <w:sz w:val="22"/>
          <w:szCs w:val="22"/>
        </w:rPr>
      </w:pPr>
    </w:p>
    <w:p w:rsidR="00284D1F" w:rsidRDefault="00284D1F" w:rsidP="004F38E3">
      <w:pPr>
        <w:spacing w:after="120"/>
        <w:jc w:val="both"/>
        <w:rPr>
          <w:b/>
          <w:sz w:val="22"/>
          <w:szCs w:val="22"/>
        </w:rPr>
      </w:pPr>
    </w:p>
    <w:p w:rsidR="00284D1F" w:rsidRDefault="00284D1F" w:rsidP="004F38E3">
      <w:pPr>
        <w:spacing w:after="120"/>
        <w:jc w:val="both"/>
        <w:rPr>
          <w:b/>
          <w:sz w:val="22"/>
          <w:szCs w:val="22"/>
        </w:rPr>
      </w:pPr>
    </w:p>
    <w:p w:rsidR="00284D1F" w:rsidRDefault="00284D1F" w:rsidP="004F38E3">
      <w:pPr>
        <w:spacing w:after="120"/>
        <w:jc w:val="both"/>
        <w:rPr>
          <w:b/>
          <w:sz w:val="22"/>
          <w:szCs w:val="22"/>
        </w:rPr>
      </w:pPr>
    </w:p>
    <w:p w:rsidR="00520A85" w:rsidRDefault="000328AD" w:rsidP="004F38E3">
      <w:pPr>
        <w:spacing w:after="120"/>
        <w:jc w:val="both"/>
        <w:rPr>
          <w:sz w:val="22"/>
          <w:szCs w:val="22"/>
        </w:rPr>
      </w:pPr>
      <w:r w:rsidRPr="000328AD">
        <w:rPr>
          <w:b/>
          <w:sz w:val="22"/>
          <w:szCs w:val="22"/>
        </w:rPr>
        <w:lastRenderedPageBreak/>
        <w:t xml:space="preserve">V </w:t>
      </w:r>
      <w:r w:rsidR="000163C8" w:rsidRPr="00BE195C">
        <w:rPr>
          <w:b/>
          <w:sz w:val="22"/>
          <w:szCs w:val="22"/>
        </w:rPr>
        <w:t>oblasti intervence 3.2</w:t>
      </w:r>
      <w:r w:rsidR="00B604FD">
        <w:rPr>
          <w:color w:val="984806"/>
          <w:sz w:val="22"/>
          <w:szCs w:val="22"/>
        </w:rPr>
        <w:t xml:space="preserve"> </w:t>
      </w:r>
      <w:r w:rsidR="000E7F0A">
        <w:rPr>
          <w:sz w:val="22"/>
          <w:szCs w:val="22"/>
        </w:rPr>
        <w:t xml:space="preserve">bylo podáno 267 projektových žádostí v celkové výši 423, 33 mil. EUR. Ve sledovaném období nebyla předložena žádná projektová žádost. Částka vydaná za Rozhodnutí se zvýšila o 58, 91 mil. EUR. Prostředky proplacené příjemcům se </w:t>
      </w:r>
      <w:r w:rsidR="00605AE6">
        <w:rPr>
          <w:sz w:val="22"/>
          <w:szCs w:val="22"/>
        </w:rPr>
        <w:t>z</w:t>
      </w:r>
      <w:r w:rsidR="000E7F0A">
        <w:rPr>
          <w:sz w:val="22"/>
          <w:szCs w:val="22"/>
        </w:rPr>
        <w:t xml:space="preserve">výšily </w:t>
      </w:r>
      <w:r w:rsidR="008E1F4C">
        <w:rPr>
          <w:sz w:val="22"/>
          <w:szCs w:val="22"/>
        </w:rPr>
        <w:br/>
      </w:r>
      <w:r w:rsidR="000E7F0A">
        <w:rPr>
          <w:sz w:val="22"/>
          <w:szCs w:val="22"/>
        </w:rPr>
        <w:t xml:space="preserve">o 18, 74 mil. EUR, celkově byly proplaceny příjemcům prostředky v objemu 196, 81 mil. EUR, což představuje 78,37 % alokace. Za oblast intervence </w:t>
      </w:r>
      <w:r w:rsidR="008E1F4C">
        <w:rPr>
          <w:sz w:val="22"/>
          <w:szCs w:val="22"/>
        </w:rPr>
        <w:br/>
      </w:r>
      <w:r w:rsidR="000E7F0A">
        <w:rPr>
          <w:sz w:val="22"/>
          <w:szCs w:val="22"/>
        </w:rPr>
        <w:t>3.2 byly certifikovány výdaje v objemu 180,87 mil. EUR.</w:t>
      </w:r>
    </w:p>
    <w:p w:rsidR="000E7F0A" w:rsidRPr="004F38E3" w:rsidRDefault="000E7F0A" w:rsidP="004F38E3">
      <w:pPr>
        <w:spacing w:after="120"/>
        <w:jc w:val="both"/>
        <w:rPr>
          <w:sz w:val="22"/>
          <w:szCs w:val="22"/>
        </w:rPr>
      </w:pPr>
    </w:p>
    <w:p w:rsidR="006A0472" w:rsidRDefault="000163C8" w:rsidP="004F5BC8">
      <w:pPr>
        <w:pStyle w:val="Tabulkanzev"/>
        <w:rPr>
          <w:rStyle w:val="Siln"/>
        </w:rPr>
      </w:pPr>
      <w:bookmarkStart w:id="94" w:name="_Toc433873555"/>
      <w:r w:rsidRPr="007125EE">
        <w:rPr>
          <w:rStyle w:val="Siln"/>
        </w:rPr>
        <w:t>Kumulativní pokrok na úrovni oblastí intervence 3.2 (v mil. CZK/EUR)</w:t>
      </w:r>
      <w:bookmarkEnd w:id="94"/>
    </w:p>
    <w:tbl>
      <w:tblPr>
        <w:tblW w:w="5000" w:type="pct"/>
        <w:tblCellMar>
          <w:left w:w="70" w:type="dxa"/>
          <w:right w:w="70" w:type="dxa"/>
        </w:tblCellMar>
        <w:tblLook w:val="04A0" w:firstRow="1" w:lastRow="0" w:firstColumn="1" w:lastColumn="0" w:noHBand="0" w:noVBand="1"/>
      </w:tblPr>
      <w:tblGrid>
        <w:gridCol w:w="718"/>
        <w:gridCol w:w="941"/>
        <w:gridCol w:w="700"/>
        <w:gridCol w:w="675"/>
        <w:gridCol w:w="514"/>
        <w:gridCol w:w="780"/>
        <w:gridCol w:w="580"/>
        <w:gridCol w:w="656"/>
        <w:gridCol w:w="514"/>
        <w:gridCol w:w="732"/>
        <w:gridCol w:w="599"/>
        <w:gridCol w:w="599"/>
        <w:gridCol w:w="732"/>
        <w:gridCol w:w="639"/>
        <w:gridCol w:w="713"/>
        <w:gridCol w:w="809"/>
        <w:gridCol w:w="599"/>
        <w:gridCol w:w="713"/>
        <w:gridCol w:w="769"/>
        <w:gridCol w:w="580"/>
        <w:gridCol w:w="582"/>
      </w:tblGrid>
      <w:tr w:rsidR="00F5305F" w:rsidRPr="00F5305F" w:rsidTr="00F228F9">
        <w:trPr>
          <w:trHeight w:val="615"/>
        </w:trPr>
        <w:tc>
          <w:tcPr>
            <w:tcW w:w="241" w:type="pct"/>
            <w:vMerge w:val="restart"/>
            <w:tcBorders>
              <w:top w:val="single" w:sz="4" w:space="0" w:color="1F497D"/>
              <w:left w:val="single" w:sz="4" w:space="0" w:color="1F497D"/>
              <w:bottom w:val="single" w:sz="4" w:space="0" w:color="1F497D"/>
              <w:right w:val="single" w:sz="4" w:space="0" w:color="1F497D"/>
            </w:tcBorders>
            <w:shd w:val="clear" w:color="000000" w:fill="DCE6F1"/>
            <w:vAlign w:val="center"/>
            <w:hideMark/>
          </w:tcPr>
          <w:p w:rsidR="00F5305F" w:rsidRPr="00F5305F" w:rsidRDefault="00F5305F" w:rsidP="00F5305F">
            <w:pPr>
              <w:jc w:val="center"/>
              <w:rPr>
                <w:b/>
                <w:bCs/>
                <w:color w:val="000000"/>
                <w:sz w:val="16"/>
                <w:szCs w:val="16"/>
              </w:rPr>
            </w:pPr>
            <w:r w:rsidRPr="00F5305F">
              <w:rPr>
                <w:b/>
                <w:bCs/>
                <w:color w:val="000000"/>
                <w:sz w:val="16"/>
                <w:szCs w:val="16"/>
              </w:rPr>
              <w:t>Oblast podpory</w:t>
            </w:r>
          </w:p>
        </w:tc>
        <w:tc>
          <w:tcPr>
            <w:tcW w:w="335" w:type="pct"/>
            <w:tcBorders>
              <w:top w:val="single" w:sz="4" w:space="0" w:color="1F497D"/>
              <w:left w:val="nil"/>
              <w:bottom w:val="single" w:sz="4" w:space="0" w:color="1F497D"/>
              <w:right w:val="single" w:sz="4" w:space="0" w:color="1F497D"/>
            </w:tcBorders>
            <w:shd w:val="clear" w:color="000000" w:fill="DCE6F1"/>
            <w:vAlign w:val="center"/>
            <w:hideMark/>
          </w:tcPr>
          <w:p w:rsidR="00F5305F" w:rsidRPr="00F5305F" w:rsidRDefault="00F5305F" w:rsidP="00F5305F">
            <w:pPr>
              <w:jc w:val="center"/>
              <w:rPr>
                <w:b/>
                <w:bCs/>
                <w:color w:val="000000"/>
                <w:sz w:val="16"/>
                <w:szCs w:val="16"/>
              </w:rPr>
            </w:pPr>
            <w:r w:rsidRPr="00F5305F">
              <w:rPr>
                <w:b/>
                <w:bCs/>
                <w:color w:val="000000"/>
                <w:sz w:val="16"/>
                <w:szCs w:val="16"/>
              </w:rPr>
              <w:t>Datum snímku</w:t>
            </w:r>
          </w:p>
        </w:tc>
        <w:tc>
          <w:tcPr>
            <w:tcW w:w="482" w:type="pct"/>
            <w:gridSpan w:val="2"/>
            <w:tcBorders>
              <w:top w:val="single" w:sz="4" w:space="0" w:color="1F497D"/>
              <w:left w:val="nil"/>
              <w:bottom w:val="single" w:sz="4" w:space="0" w:color="1F497D"/>
              <w:right w:val="single" w:sz="4" w:space="0" w:color="1F497D"/>
            </w:tcBorders>
            <w:shd w:val="clear" w:color="000000" w:fill="DCE6F1"/>
            <w:vAlign w:val="center"/>
            <w:hideMark/>
          </w:tcPr>
          <w:p w:rsidR="00F5305F" w:rsidRPr="00F5305F" w:rsidRDefault="00F5305F" w:rsidP="00F5305F">
            <w:pPr>
              <w:jc w:val="center"/>
              <w:rPr>
                <w:b/>
                <w:bCs/>
                <w:color w:val="000000"/>
                <w:sz w:val="16"/>
                <w:szCs w:val="16"/>
              </w:rPr>
            </w:pPr>
            <w:r w:rsidRPr="00F5305F">
              <w:rPr>
                <w:b/>
                <w:bCs/>
                <w:color w:val="000000"/>
                <w:sz w:val="16"/>
                <w:szCs w:val="16"/>
              </w:rPr>
              <w:t>Celková alokace podpory 2007-2013</w:t>
            </w:r>
          </w:p>
        </w:tc>
        <w:tc>
          <w:tcPr>
            <w:tcW w:w="890" w:type="pct"/>
            <w:gridSpan w:val="4"/>
            <w:tcBorders>
              <w:top w:val="single" w:sz="4" w:space="0" w:color="1F497D"/>
              <w:left w:val="nil"/>
              <w:bottom w:val="single" w:sz="4" w:space="0" w:color="1F497D"/>
              <w:right w:val="single" w:sz="4" w:space="0" w:color="1F497D"/>
            </w:tcBorders>
            <w:shd w:val="clear" w:color="000000" w:fill="DCE6F1"/>
            <w:vAlign w:val="center"/>
            <w:hideMark/>
          </w:tcPr>
          <w:p w:rsidR="00F5305F" w:rsidRPr="00F5305F" w:rsidRDefault="00F5305F" w:rsidP="00F5305F">
            <w:pPr>
              <w:jc w:val="center"/>
              <w:rPr>
                <w:b/>
                <w:bCs/>
                <w:color w:val="000000"/>
                <w:sz w:val="16"/>
                <w:szCs w:val="16"/>
              </w:rPr>
            </w:pPr>
            <w:r w:rsidRPr="00F5305F">
              <w:rPr>
                <w:b/>
                <w:bCs/>
                <w:color w:val="000000"/>
                <w:sz w:val="16"/>
                <w:szCs w:val="16"/>
              </w:rPr>
              <w:t>Podané žádosti</w:t>
            </w:r>
          </w:p>
        </w:tc>
        <w:tc>
          <w:tcPr>
            <w:tcW w:w="863" w:type="pct"/>
            <w:gridSpan w:val="4"/>
            <w:tcBorders>
              <w:top w:val="single" w:sz="4" w:space="0" w:color="1F497D"/>
              <w:left w:val="nil"/>
              <w:bottom w:val="single" w:sz="4" w:space="0" w:color="1F497D"/>
              <w:right w:val="single" w:sz="4" w:space="0" w:color="1F497D"/>
            </w:tcBorders>
            <w:shd w:val="clear" w:color="000000" w:fill="DCE6F1"/>
            <w:vAlign w:val="center"/>
            <w:hideMark/>
          </w:tcPr>
          <w:p w:rsidR="00F5305F" w:rsidRPr="00F5305F" w:rsidRDefault="00F5305F" w:rsidP="00F5305F">
            <w:pPr>
              <w:jc w:val="center"/>
              <w:rPr>
                <w:b/>
                <w:bCs/>
                <w:color w:val="000000"/>
                <w:sz w:val="16"/>
                <w:szCs w:val="16"/>
              </w:rPr>
            </w:pPr>
            <w:r w:rsidRPr="00F5305F">
              <w:rPr>
                <w:b/>
                <w:bCs/>
                <w:color w:val="000000"/>
                <w:sz w:val="16"/>
                <w:szCs w:val="16"/>
              </w:rPr>
              <w:t>Prostředky kryté Rozhodnutím / Smlouvou (dodatkem)</w:t>
            </w:r>
          </w:p>
        </w:tc>
        <w:tc>
          <w:tcPr>
            <w:tcW w:w="743" w:type="pct"/>
            <w:gridSpan w:val="3"/>
            <w:tcBorders>
              <w:top w:val="single" w:sz="4" w:space="0" w:color="1F497D"/>
              <w:left w:val="nil"/>
              <w:bottom w:val="single" w:sz="4" w:space="0" w:color="1F497D"/>
              <w:right w:val="single" w:sz="4" w:space="0" w:color="1F497D"/>
            </w:tcBorders>
            <w:shd w:val="clear" w:color="000000" w:fill="DCE6F1"/>
            <w:vAlign w:val="center"/>
            <w:hideMark/>
          </w:tcPr>
          <w:p w:rsidR="00F5305F" w:rsidRPr="00F5305F" w:rsidRDefault="00F5305F" w:rsidP="00F5305F">
            <w:pPr>
              <w:jc w:val="center"/>
              <w:rPr>
                <w:b/>
                <w:bCs/>
                <w:color w:val="000000"/>
                <w:sz w:val="16"/>
                <w:szCs w:val="16"/>
              </w:rPr>
            </w:pPr>
            <w:r w:rsidRPr="00F5305F">
              <w:rPr>
                <w:b/>
                <w:bCs/>
                <w:color w:val="000000"/>
                <w:sz w:val="16"/>
                <w:szCs w:val="16"/>
              </w:rPr>
              <w:t>Proplacené prostředky příjemcům (vyúčtované prostředky)</w:t>
            </w:r>
          </w:p>
        </w:tc>
        <w:tc>
          <w:tcPr>
            <w:tcW w:w="756" w:type="pct"/>
            <w:gridSpan w:val="3"/>
            <w:tcBorders>
              <w:top w:val="single" w:sz="4" w:space="0" w:color="1F497D"/>
              <w:left w:val="nil"/>
              <w:bottom w:val="single" w:sz="4" w:space="0" w:color="1F497D"/>
              <w:right w:val="single" w:sz="4" w:space="0" w:color="1F497D"/>
            </w:tcBorders>
            <w:shd w:val="clear" w:color="000000" w:fill="DCE6F1"/>
            <w:vAlign w:val="center"/>
            <w:hideMark/>
          </w:tcPr>
          <w:p w:rsidR="00F5305F" w:rsidRPr="00F5305F" w:rsidRDefault="00F5305F" w:rsidP="00F5305F">
            <w:pPr>
              <w:jc w:val="center"/>
              <w:rPr>
                <w:b/>
                <w:bCs/>
                <w:color w:val="000000"/>
                <w:sz w:val="16"/>
                <w:szCs w:val="16"/>
              </w:rPr>
            </w:pPr>
            <w:r w:rsidRPr="00F5305F">
              <w:rPr>
                <w:b/>
                <w:bCs/>
                <w:color w:val="000000"/>
                <w:sz w:val="16"/>
                <w:szCs w:val="16"/>
              </w:rPr>
              <w:t>Souhrnné žádosti zaúčtované PCO</w:t>
            </w:r>
          </w:p>
        </w:tc>
        <w:tc>
          <w:tcPr>
            <w:tcW w:w="689" w:type="pct"/>
            <w:gridSpan w:val="3"/>
            <w:tcBorders>
              <w:top w:val="single" w:sz="4" w:space="0" w:color="1F497D"/>
              <w:left w:val="nil"/>
              <w:bottom w:val="single" w:sz="4" w:space="0" w:color="1F497D"/>
              <w:right w:val="single" w:sz="4" w:space="0" w:color="1F497D"/>
            </w:tcBorders>
            <w:shd w:val="clear" w:color="000000" w:fill="DCE6F1"/>
            <w:vAlign w:val="center"/>
            <w:hideMark/>
          </w:tcPr>
          <w:p w:rsidR="00F5305F" w:rsidRPr="00F5305F" w:rsidRDefault="00F5305F" w:rsidP="00F5305F">
            <w:pPr>
              <w:jc w:val="center"/>
              <w:rPr>
                <w:b/>
                <w:bCs/>
                <w:color w:val="000000"/>
                <w:sz w:val="16"/>
                <w:szCs w:val="16"/>
              </w:rPr>
            </w:pPr>
            <w:r w:rsidRPr="00F5305F">
              <w:rPr>
                <w:b/>
                <w:bCs/>
                <w:color w:val="000000"/>
                <w:sz w:val="16"/>
                <w:szCs w:val="16"/>
              </w:rPr>
              <w:t>Certifikované prostředky (včetně vratek)</w:t>
            </w:r>
          </w:p>
        </w:tc>
      </w:tr>
      <w:tr w:rsidR="00F5305F" w:rsidRPr="00F5305F" w:rsidTr="00F228F9">
        <w:trPr>
          <w:trHeight w:val="405"/>
        </w:trPr>
        <w:tc>
          <w:tcPr>
            <w:tcW w:w="241" w:type="pct"/>
            <w:vMerge/>
            <w:tcBorders>
              <w:top w:val="single" w:sz="4" w:space="0" w:color="1F497D"/>
              <w:left w:val="single" w:sz="4" w:space="0" w:color="1F497D"/>
              <w:bottom w:val="single" w:sz="4" w:space="0" w:color="1F497D"/>
              <w:right w:val="single" w:sz="4" w:space="0" w:color="1F497D"/>
            </w:tcBorders>
            <w:vAlign w:val="center"/>
            <w:hideMark/>
          </w:tcPr>
          <w:p w:rsidR="00F5305F" w:rsidRPr="00F5305F" w:rsidRDefault="00F5305F" w:rsidP="00F5305F">
            <w:pPr>
              <w:jc w:val="center"/>
              <w:rPr>
                <w:b/>
                <w:bCs/>
                <w:color w:val="000000"/>
                <w:sz w:val="16"/>
                <w:szCs w:val="16"/>
              </w:rPr>
            </w:pPr>
          </w:p>
        </w:tc>
        <w:tc>
          <w:tcPr>
            <w:tcW w:w="335" w:type="pct"/>
            <w:vMerge w:val="restart"/>
            <w:tcBorders>
              <w:top w:val="nil"/>
              <w:left w:val="single" w:sz="4" w:space="0" w:color="1F497D"/>
              <w:bottom w:val="single" w:sz="4" w:space="0" w:color="1F497D"/>
              <w:right w:val="single" w:sz="4" w:space="0" w:color="1F497D"/>
            </w:tcBorders>
            <w:shd w:val="clear" w:color="000000" w:fill="DCE6F1"/>
            <w:vAlign w:val="center"/>
            <w:hideMark/>
          </w:tcPr>
          <w:p w:rsidR="00F5305F" w:rsidRPr="00F5305F" w:rsidRDefault="00F5305F" w:rsidP="00F5305F">
            <w:pPr>
              <w:jc w:val="center"/>
              <w:rPr>
                <w:b/>
                <w:bCs/>
                <w:color w:val="000000"/>
                <w:sz w:val="16"/>
                <w:szCs w:val="16"/>
              </w:rPr>
            </w:pPr>
            <w:r w:rsidRPr="00F5305F">
              <w:rPr>
                <w:b/>
                <w:bCs/>
                <w:color w:val="000000"/>
                <w:sz w:val="16"/>
                <w:szCs w:val="16"/>
              </w:rPr>
              <w:t>Den</w:t>
            </w:r>
          </w:p>
        </w:tc>
        <w:tc>
          <w:tcPr>
            <w:tcW w:w="241" w:type="pct"/>
            <w:tcBorders>
              <w:top w:val="nil"/>
              <w:left w:val="nil"/>
              <w:bottom w:val="single" w:sz="4" w:space="0" w:color="1F497D"/>
              <w:right w:val="single" w:sz="4" w:space="0" w:color="1F497D"/>
            </w:tcBorders>
            <w:shd w:val="clear" w:color="000000" w:fill="DCE6F1"/>
            <w:vAlign w:val="center"/>
            <w:hideMark/>
          </w:tcPr>
          <w:p w:rsidR="00F5305F" w:rsidRPr="00F5305F" w:rsidRDefault="00F5305F" w:rsidP="00F5305F">
            <w:pPr>
              <w:jc w:val="center"/>
              <w:rPr>
                <w:b/>
                <w:bCs/>
                <w:color w:val="000000"/>
                <w:sz w:val="16"/>
                <w:szCs w:val="16"/>
              </w:rPr>
            </w:pPr>
            <w:r w:rsidRPr="00F5305F">
              <w:rPr>
                <w:b/>
                <w:bCs/>
                <w:color w:val="000000"/>
                <w:sz w:val="16"/>
                <w:szCs w:val="16"/>
              </w:rPr>
              <w:t>mil. CZK</w:t>
            </w:r>
          </w:p>
        </w:tc>
        <w:tc>
          <w:tcPr>
            <w:tcW w:w="241" w:type="pct"/>
            <w:vMerge w:val="restart"/>
            <w:tcBorders>
              <w:top w:val="nil"/>
              <w:left w:val="single" w:sz="4" w:space="0" w:color="1F497D"/>
              <w:bottom w:val="single" w:sz="4" w:space="0" w:color="1F497D"/>
              <w:right w:val="single" w:sz="4" w:space="0" w:color="1F497D"/>
            </w:tcBorders>
            <w:shd w:val="clear" w:color="000000" w:fill="DCE6F1"/>
            <w:vAlign w:val="center"/>
            <w:hideMark/>
          </w:tcPr>
          <w:p w:rsidR="00F5305F" w:rsidRPr="00F5305F" w:rsidRDefault="00F5305F" w:rsidP="00F5305F">
            <w:pPr>
              <w:jc w:val="center"/>
              <w:rPr>
                <w:b/>
                <w:bCs/>
                <w:color w:val="000000"/>
                <w:sz w:val="16"/>
                <w:szCs w:val="16"/>
              </w:rPr>
            </w:pPr>
            <w:r w:rsidRPr="00F5305F">
              <w:rPr>
                <w:b/>
                <w:bCs/>
                <w:color w:val="000000"/>
                <w:sz w:val="16"/>
                <w:szCs w:val="16"/>
              </w:rPr>
              <w:t>mil. EUR</w:t>
            </w:r>
          </w:p>
        </w:tc>
        <w:tc>
          <w:tcPr>
            <w:tcW w:w="181" w:type="pct"/>
            <w:tcBorders>
              <w:top w:val="nil"/>
              <w:left w:val="nil"/>
              <w:bottom w:val="single" w:sz="4" w:space="0" w:color="1F497D"/>
              <w:right w:val="single" w:sz="4" w:space="0" w:color="1F497D"/>
            </w:tcBorders>
            <w:shd w:val="clear" w:color="000000" w:fill="DCE6F1"/>
            <w:vAlign w:val="center"/>
            <w:hideMark/>
          </w:tcPr>
          <w:p w:rsidR="00F5305F" w:rsidRPr="00F5305F" w:rsidRDefault="00F5305F" w:rsidP="00F5305F">
            <w:pPr>
              <w:jc w:val="center"/>
              <w:rPr>
                <w:b/>
                <w:bCs/>
                <w:color w:val="000000"/>
                <w:sz w:val="16"/>
                <w:szCs w:val="16"/>
              </w:rPr>
            </w:pPr>
            <w:r w:rsidRPr="00F5305F">
              <w:rPr>
                <w:b/>
                <w:bCs/>
                <w:color w:val="000000"/>
                <w:sz w:val="16"/>
                <w:szCs w:val="16"/>
              </w:rPr>
              <w:t>Počet</w:t>
            </w:r>
          </w:p>
        </w:tc>
        <w:tc>
          <w:tcPr>
            <w:tcW w:w="268" w:type="pct"/>
            <w:tcBorders>
              <w:top w:val="nil"/>
              <w:left w:val="nil"/>
              <w:bottom w:val="single" w:sz="4" w:space="0" w:color="1F497D"/>
              <w:right w:val="single" w:sz="4" w:space="0" w:color="1F497D"/>
            </w:tcBorders>
            <w:shd w:val="clear" w:color="000000" w:fill="DCE6F1"/>
            <w:vAlign w:val="center"/>
            <w:hideMark/>
          </w:tcPr>
          <w:p w:rsidR="00F5305F" w:rsidRPr="00F5305F" w:rsidRDefault="00F5305F" w:rsidP="00F5305F">
            <w:pPr>
              <w:jc w:val="center"/>
              <w:rPr>
                <w:b/>
                <w:bCs/>
                <w:color w:val="000000"/>
                <w:sz w:val="16"/>
                <w:szCs w:val="16"/>
              </w:rPr>
            </w:pPr>
            <w:r w:rsidRPr="00F5305F">
              <w:rPr>
                <w:b/>
                <w:bCs/>
                <w:color w:val="000000"/>
                <w:sz w:val="16"/>
                <w:szCs w:val="16"/>
              </w:rPr>
              <w:t>mil. CZK</w:t>
            </w:r>
          </w:p>
        </w:tc>
        <w:tc>
          <w:tcPr>
            <w:tcW w:w="207" w:type="pct"/>
            <w:tcBorders>
              <w:top w:val="nil"/>
              <w:left w:val="nil"/>
              <w:bottom w:val="single" w:sz="4" w:space="0" w:color="1F497D"/>
              <w:right w:val="single" w:sz="4" w:space="0" w:color="1F497D"/>
            </w:tcBorders>
            <w:shd w:val="clear" w:color="000000" w:fill="DCE6F1"/>
            <w:vAlign w:val="center"/>
            <w:hideMark/>
          </w:tcPr>
          <w:p w:rsidR="00F5305F" w:rsidRPr="00F5305F" w:rsidRDefault="00F5305F" w:rsidP="00F5305F">
            <w:pPr>
              <w:jc w:val="center"/>
              <w:rPr>
                <w:b/>
                <w:bCs/>
                <w:color w:val="000000"/>
                <w:sz w:val="16"/>
                <w:szCs w:val="16"/>
              </w:rPr>
            </w:pPr>
            <w:r w:rsidRPr="00F5305F">
              <w:rPr>
                <w:b/>
                <w:bCs/>
                <w:color w:val="000000"/>
                <w:sz w:val="16"/>
                <w:szCs w:val="16"/>
              </w:rPr>
              <w:t>%</w:t>
            </w:r>
          </w:p>
        </w:tc>
        <w:tc>
          <w:tcPr>
            <w:tcW w:w="234" w:type="pct"/>
            <w:vMerge w:val="restart"/>
            <w:tcBorders>
              <w:top w:val="nil"/>
              <w:left w:val="single" w:sz="4" w:space="0" w:color="1F497D"/>
              <w:bottom w:val="single" w:sz="4" w:space="0" w:color="1F497D"/>
              <w:right w:val="single" w:sz="4" w:space="0" w:color="1F497D"/>
            </w:tcBorders>
            <w:shd w:val="clear" w:color="000000" w:fill="DCE6F1"/>
            <w:vAlign w:val="center"/>
            <w:hideMark/>
          </w:tcPr>
          <w:p w:rsidR="00F5305F" w:rsidRPr="00F5305F" w:rsidRDefault="00F5305F" w:rsidP="00F5305F">
            <w:pPr>
              <w:jc w:val="center"/>
              <w:rPr>
                <w:b/>
                <w:bCs/>
                <w:color w:val="000000"/>
                <w:sz w:val="16"/>
                <w:szCs w:val="16"/>
              </w:rPr>
            </w:pPr>
            <w:r w:rsidRPr="00F5305F">
              <w:rPr>
                <w:b/>
                <w:bCs/>
                <w:color w:val="000000"/>
                <w:sz w:val="16"/>
                <w:szCs w:val="16"/>
              </w:rPr>
              <w:t>mil. EUR</w:t>
            </w:r>
          </w:p>
        </w:tc>
        <w:tc>
          <w:tcPr>
            <w:tcW w:w="174" w:type="pct"/>
            <w:tcBorders>
              <w:top w:val="nil"/>
              <w:left w:val="nil"/>
              <w:bottom w:val="single" w:sz="4" w:space="0" w:color="1F497D"/>
              <w:right w:val="single" w:sz="4" w:space="0" w:color="1F497D"/>
            </w:tcBorders>
            <w:shd w:val="clear" w:color="000000" w:fill="DCE6F1"/>
            <w:vAlign w:val="center"/>
            <w:hideMark/>
          </w:tcPr>
          <w:p w:rsidR="00F5305F" w:rsidRPr="00F5305F" w:rsidRDefault="00F5305F" w:rsidP="00F5305F">
            <w:pPr>
              <w:jc w:val="center"/>
              <w:rPr>
                <w:b/>
                <w:bCs/>
                <w:color w:val="000000"/>
                <w:sz w:val="16"/>
                <w:szCs w:val="16"/>
              </w:rPr>
            </w:pPr>
            <w:r w:rsidRPr="00F5305F">
              <w:rPr>
                <w:b/>
                <w:bCs/>
                <w:color w:val="000000"/>
                <w:sz w:val="16"/>
                <w:szCs w:val="16"/>
              </w:rPr>
              <w:t>Počet</w:t>
            </w:r>
          </w:p>
        </w:tc>
        <w:tc>
          <w:tcPr>
            <w:tcW w:w="261" w:type="pct"/>
            <w:tcBorders>
              <w:top w:val="nil"/>
              <w:left w:val="nil"/>
              <w:bottom w:val="single" w:sz="4" w:space="0" w:color="1F497D"/>
              <w:right w:val="single" w:sz="4" w:space="0" w:color="1F497D"/>
            </w:tcBorders>
            <w:shd w:val="clear" w:color="000000" w:fill="DCE6F1"/>
            <w:vAlign w:val="center"/>
            <w:hideMark/>
          </w:tcPr>
          <w:p w:rsidR="00F5305F" w:rsidRPr="00F5305F" w:rsidRDefault="00F5305F" w:rsidP="00F5305F">
            <w:pPr>
              <w:jc w:val="center"/>
              <w:rPr>
                <w:b/>
                <w:bCs/>
                <w:color w:val="000000"/>
                <w:sz w:val="16"/>
                <w:szCs w:val="16"/>
              </w:rPr>
            </w:pPr>
            <w:r w:rsidRPr="00F5305F">
              <w:rPr>
                <w:b/>
                <w:bCs/>
                <w:color w:val="000000"/>
                <w:sz w:val="16"/>
                <w:szCs w:val="16"/>
              </w:rPr>
              <w:t>mil. CZK</w:t>
            </w:r>
          </w:p>
        </w:tc>
        <w:tc>
          <w:tcPr>
            <w:tcW w:w="214" w:type="pct"/>
            <w:tcBorders>
              <w:top w:val="nil"/>
              <w:left w:val="nil"/>
              <w:bottom w:val="single" w:sz="4" w:space="0" w:color="1F497D"/>
              <w:right w:val="single" w:sz="4" w:space="0" w:color="1F497D"/>
            </w:tcBorders>
            <w:shd w:val="clear" w:color="000000" w:fill="DCE6F1"/>
            <w:vAlign w:val="center"/>
            <w:hideMark/>
          </w:tcPr>
          <w:p w:rsidR="00F5305F" w:rsidRPr="00F5305F" w:rsidRDefault="00F5305F" w:rsidP="00F5305F">
            <w:pPr>
              <w:jc w:val="center"/>
              <w:rPr>
                <w:b/>
                <w:bCs/>
                <w:color w:val="000000"/>
                <w:sz w:val="16"/>
                <w:szCs w:val="16"/>
              </w:rPr>
            </w:pPr>
            <w:r w:rsidRPr="00F5305F">
              <w:rPr>
                <w:b/>
                <w:bCs/>
                <w:color w:val="000000"/>
                <w:sz w:val="16"/>
                <w:szCs w:val="16"/>
              </w:rPr>
              <w:t>%</w:t>
            </w:r>
          </w:p>
        </w:tc>
        <w:tc>
          <w:tcPr>
            <w:tcW w:w="214" w:type="pct"/>
            <w:vMerge w:val="restart"/>
            <w:tcBorders>
              <w:top w:val="nil"/>
              <w:left w:val="single" w:sz="4" w:space="0" w:color="1F497D"/>
              <w:bottom w:val="single" w:sz="4" w:space="0" w:color="1F497D"/>
              <w:right w:val="single" w:sz="4" w:space="0" w:color="1F497D"/>
            </w:tcBorders>
            <w:shd w:val="clear" w:color="000000" w:fill="DCE6F1"/>
            <w:vAlign w:val="center"/>
            <w:hideMark/>
          </w:tcPr>
          <w:p w:rsidR="00F5305F" w:rsidRPr="00F5305F" w:rsidRDefault="00F5305F" w:rsidP="00F5305F">
            <w:pPr>
              <w:jc w:val="center"/>
              <w:rPr>
                <w:b/>
                <w:bCs/>
                <w:color w:val="000000"/>
                <w:sz w:val="16"/>
                <w:szCs w:val="16"/>
              </w:rPr>
            </w:pPr>
            <w:r w:rsidRPr="00F5305F">
              <w:rPr>
                <w:b/>
                <w:bCs/>
                <w:color w:val="000000"/>
                <w:sz w:val="16"/>
                <w:szCs w:val="16"/>
              </w:rPr>
              <w:t>mil. EUR</w:t>
            </w:r>
          </w:p>
        </w:tc>
        <w:tc>
          <w:tcPr>
            <w:tcW w:w="261" w:type="pct"/>
            <w:tcBorders>
              <w:top w:val="nil"/>
              <w:left w:val="nil"/>
              <w:bottom w:val="single" w:sz="4" w:space="0" w:color="1F497D"/>
              <w:right w:val="single" w:sz="4" w:space="0" w:color="1F497D"/>
            </w:tcBorders>
            <w:shd w:val="clear" w:color="000000" w:fill="DCE6F1"/>
            <w:vAlign w:val="center"/>
            <w:hideMark/>
          </w:tcPr>
          <w:p w:rsidR="00F5305F" w:rsidRPr="00F5305F" w:rsidRDefault="00F5305F" w:rsidP="00F5305F">
            <w:pPr>
              <w:jc w:val="center"/>
              <w:rPr>
                <w:b/>
                <w:bCs/>
                <w:color w:val="000000"/>
                <w:sz w:val="16"/>
                <w:szCs w:val="16"/>
              </w:rPr>
            </w:pPr>
            <w:r w:rsidRPr="00F5305F">
              <w:rPr>
                <w:b/>
                <w:bCs/>
                <w:color w:val="000000"/>
                <w:sz w:val="16"/>
                <w:szCs w:val="16"/>
              </w:rPr>
              <w:t>mil. CZK</w:t>
            </w:r>
          </w:p>
        </w:tc>
        <w:tc>
          <w:tcPr>
            <w:tcW w:w="228" w:type="pct"/>
            <w:tcBorders>
              <w:top w:val="nil"/>
              <w:left w:val="nil"/>
              <w:bottom w:val="single" w:sz="4" w:space="0" w:color="1F497D"/>
              <w:right w:val="single" w:sz="4" w:space="0" w:color="1F497D"/>
            </w:tcBorders>
            <w:shd w:val="clear" w:color="000000" w:fill="DCE6F1"/>
            <w:vAlign w:val="center"/>
            <w:hideMark/>
          </w:tcPr>
          <w:p w:rsidR="00F5305F" w:rsidRPr="00F5305F" w:rsidRDefault="00F5305F" w:rsidP="00F5305F">
            <w:pPr>
              <w:jc w:val="center"/>
              <w:rPr>
                <w:b/>
                <w:bCs/>
                <w:color w:val="000000"/>
                <w:sz w:val="16"/>
                <w:szCs w:val="16"/>
              </w:rPr>
            </w:pPr>
            <w:r w:rsidRPr="00F5305F">
              <w:rPr>
                <w:b/>
                <w:bCs/>
                <w:color w:val="000000"/>
                <w:sz w:val="16"/>
                <w:szCs w:val="16"/>
              </w:rPr>
              <w:t>%</w:t>
            </w:r>
          </w:p>
        </w:tc>
        <w:tc>
          <w:tcPr>
            <w:tcW w:w="254" w:type="pct"/>
            <w:vMerge w:val="restart"/>
            <w:tcBorders>
              <w:top w:val="nil"/>
              <w:left w:val="single" w:sz="4" w:space="0" w:color="1F497D"/>
              <w:bottom w:val="single" w:sz="4" w:space="0" w:color="1F497D"/>
              <w:right w:val="single" w:sz="4" w:space="0" w:color="1F497D"/>
            </w:tcBorders>
            <w:shd w:val="clear" w:color="000000" w:fill="DCE6F1"/>
            <w:vAlign w:val="center"/>
            <w:hideMark/>
          </w:tcPr>
          <w:p w:rsidR="00F5305F" w:rsidRPr="00F5305F" w:rsidRDefault="00F5305F" w:rsidP="00F5305F">
            <w:pPr>
              <w:jc w:val="center"/>
              <w:rPr>
                <w:b/>
                <w:bCs/>
                <w:color w:val="000000"/>
                <w:sz w:val="16"/>
                <w:szCs w:val="16"/>
              </w:rPr>
            </w:pPr>
            <w:r w:rsidRPr="00F5305F">
              <w:rPr>
                <w:b/>
                <w:bCs/>
                <w:color w:val="000000"/>
                <w:sz w:val="16"/>
                <w:szCs w:val="16"/>
              </w:rPr>
              <w:t>mil. EUR</w:t>
            </w:r>
          </w:p>
        </w:tc>
        <w:tc>
          <w:tcPr>
            <w:tcW w:w="288" w:type="pct"/>
            <w:tcBorders>
              <w:top w:val="nil"/>
              <w:left w:val="nil"/>
              <w:bottom w:val="single" w:sz="4" w:space="0" w:color="1F497D"/>
              <w:right w:val="single" w:sz="4" w:space="0" w:color="1F497D"/>
            </w:tcBorders>
            <w:shd w:val="clear" w:color="000000" w:fill="DCE6F1"/>
            <w:vAlign w:val="center"/>
            <w:hideMark/>
          </w:tcPr>
          <w:p w:rsidR="00F5305F" w:rsidRPr="00F5305F" w:rsidRDefault="00F5305F" w:rsidP="00F5305F">
            <w:pPr>
              <w:jc w:val="center"/>
              <w:rPr>
                <w:b/>
                <w:bCs/>
                <w:color w:val="000000"/>
                <w:sz w:val="16"/>
                <w:szCs w:val="16"/>
              </w:rPr>
            </w:pPr>
            <w:r w:rsidRPr="00F5305F">
              <w:rPr>
                <w:b/>
                <w:bCs/>
                <w:color w:val="000000"/>
                <w:sz w:val="16"/>
                <w:szCs w:val="16"/>
              </w:rPr>
              <w:t>mil. CZK</w:t>
            </w:r>
          </w:p>
        </w:tc>
        <w:tc>
          <w:tcPr>
            <w:tcW w:w="214" w:type="pct"/>
            <w:tcBorders>
              <w:top w:val="nil"/>
              <w:left w:val="nil"/>
              <w:bottom w:val="single" w:sz="4" w:space="0" w:color="1F497D"/>
              <w:right w:val="single" w:sz="4" w:space="0" w:color="1F497D"/>
            </w:tcBorders>
            <w:shd w:val="clear" w:color="000000" w:fill="DCE6F1"/>
            <w:vAlign w:val="center"/>
            <w:hideMark/>
          </w:tcPr>
          <w:p w:rsidR="00F5305F" w:rsidRPr="00F5305F" w:rsidRDefault="00F5305F" w:rsidP="00F5305F">
            <w:pPr>
              <w:jc w:val="center"/>
              <w:rPr>
                <w:b/>
                <w:bCs/>
                <w:color w:val="000000"/>
                <w:sz w:val="16"/>
                <w:szCs w:val="16"/>
              </w:rPr>
            </w:pPr>
            <w:r w:rsidRPr="00F5305F">
              <w:rPr>
                <w:b/>
                <w:bCs/>
                <w:color w:val="000000"/>
                <w:sz w:val="16"/>
                <w:szCs w:val="16"/>
              </w:rPr>
              <w:t>%</w:t>
            </w:r>
          </w:p>
        </w:tc>
        <w:tc>
          <w:tcPr>
            <w:tcW w:w="254" w:type="pct"/>
            <w:vMerge w:val="restart"/>
            <w:tcBorders>
              <w:top w:val="nil"/>
              <w:left w:val="single" w:sz="4" w:space="0" w:color="1F497D"/>
              <w:bottom w:val="single" w:sz="4" w:space="0" w:color="1F497D"/>
              <w:right w:val="single" w:sz="4" w:space="0" w:color="1F497D"/>
            </w:tcBorders>
            <w:shd w:val="clear" w:color="000000" w:fill="DCE6F1"/>
            <w:vAlign w:val="center"/>
            <w:hideMark/>
          </w:tcPr>
          <w:p w:rsidR="00F5305F" w:rsidRPr="00F5305F" w:rsidRDefault="00F5305F" w:rsidP="00F5305F">
            <w:pPr>
              <w:jc w:val="center"/>
              <w:rPr>
                <w:b/>
                <w:bCs/>
                <w:color w:val="000000"/>
                <w:sz w:val="16"/>
                <w:szCs w:val="16"/>
              </w:rPr>
            </w:pPr>
            <w:r w:rsidRPr="00F5305F">
              <w:rPr>
                <w:b/>
                <w:bCs/>
                <w:color w:val="000000"/>
                <w:sz w:val="16"/>
                <w:szCs w:val="16"/>
              </w:rPr>
              <w:t>mil. EUR</w:t>
            </w:r>
          </w:p>
        </w:tc>
        <w:tc>
          <w:tcPr>
            <w:tcW w:w="274" w:type="pct"/>
            <w:tcBorders>
              <w:top w:val="nil"/>
              <w:left w:val="nil"/>
              <w:bottom w:val="single" w:sz="4" w:space="0" w:color="1F497D"/>
              <w:right w:val="single" w:sz="4" w:space="0" w:color="1F497D"/>
            </w:tcBorders>
            <w:shd w:val="clear" w:color="000000" w:fill="DCE6F1"/>
            <w:vAlign w:val="center"/>
            <w:hideMark/>
          </w:tcPr>
          <w:p w:rsidR="00F5305F" w:rsidRPr="00F5305F" w:rsidRDefault="00F5305F" w:rsidP="00F5305F">
            <w:pPr>
              <w:jc w:val="center"/>
              <w:rPr>
                <w:b/>
                <w:bCs/>
                <w:color w:val="000000"/>
                <w:sz w:val="16"/>
                <w:szCs w:val="16"/>
              </w:rPr>
            </w:pPr>
            <w:r w:rsidRPr="00F5305F">
              <w:rPr>
                <w:b/>
                <w:bCs/>
                <w:color w:val="000000"/>
                <w:sz w:val="16"/>
                <w:szCs w:val="16"/>
              </w:rPr>
              <w:t>mil. CZK</w:t>
            </w:r>
          </w:p>
        </w:tc>
        <w:tc>
          <w:tcPr>
            <w:tcW w:w="207" w:type="pct"/>
            <w:tcBorders>
              <w:top w:val="nil"/>
              <w:left w:val="nil"/>
              <w:bottom w:val="single" w:sz="4" w:space="0" w:color="1F497D"/>
              <w:right w:val="single" w:sz="4" w:space="0" w:color="1F497D"/>
            </w:tcBorders>
            <w:shd w:val="clear" w:color="000000" w:fill="DCE6F1"/>
            <w:vAlign w:val="center"/>
            <w:hideMark/>
          </w:tcPr>
          <w:p w:rsidR="00F5305F" w:rsidRPr="00F5305F" w:rsidRDefault="00F5305F" w:rsidP="00F5305F">
            <w:pPr>
              <w:jc w:val="center"/>
              <w:rPr>
                <w:b/>
                <w:bCs/>
                <w:color w:val="000000"/>
                <w:sz w:val="16"/>
                <w:szCs w:val="16"/>
              </w:rPr>
            </w:pPr>
            <w:r w:rsidRPr="00F5305F">
              <w:rPr>
                <w:b/>
                <w:bCs/>
                <w:color w:val="000000"/>
                <w:sz w:val="16"/>
                <w:szCs w:val="16"/>
              </w:rPr>
              <w:t>%</w:t>
            </w:r>
          </w:p>
        </w:tc>
        <w:tc>
          <w:tcPr>
            <w:tcW w:w="207" w:type="pct"/>
            <w:vMerge w:val="restart"/>
            <w:tcBorders>
              <w:top w:val="nil"/>
              <w:left w:val="single" w:sz="4" w:space="0" w:color="1F497D"/>
              <w:bottom w:val="single" w:sz="4" w:space="0" w:color="1F497D"/>
              <w:right w:val="single" w:sz="4" w:space="0" w:color="1F497D"/>
            </w:tcBorders>
            <w:shd w:val="clear" w:color="000000" w:fill="DCE6F1"/>
            <w:vAlign w:val="center"/>
            <w:hideMark/>
          </w:tcPr>
          <w:p w:rsidR="00F5305F" w:rsidRPr="00F5305F" w:rsidRDefault="00F5305F" w:rsidP="00F5305F">
            <w:pPr>
              <w:jc w:val="center"/>
              <w:rPr>
                <w:b/>
                <w:bCs/>
                <w:color w:val="000000"/>
                <w:sz w:val="16"/>
                <w:szCs w:val="16"/>
              </w:rPr>
            </w:pPr>
            <w:r w:rsidRPr="00F5305F">
              <w:rPr>
                <w:b/>
                <w:bCs/>
                <w:color w:val="000000"/>
                <w:sz w:val="16"/>
                <w:szCs w:val="16"/>
              </w:rPr>
              <w:t>mil. EUR</w:t>
            </w:r>
          </w:p>
        </w:tc>
      </w:tr>
      <w:tr w:rsidR="00F5305F" w:rsidRPr="00F5305F" w:rsidTr="00F228F9">
        <w:trPr>
          <w:trHeight w:val="240"/>
        </w:trPr>
        <w:tc>
          <w:tcPr>
            <w:tcW w:w="241" w:type="pct"/>
            <w:vMerge/>
            <w:tcBorders>
              <w:top w:val="single" w:sz="4" w:space="0" w:color="1F497D"/>
              <w:left w:val="single" w:sz="4" w:space="0" w:color="1F497D"/>
              <w:bottom w:val="single" w:sz="4" w:space="0" w:color="1F497D"/>
              <w:right w:val="single" w:sz="4" w:space="0" w:color="1F497D"/>
            </w:tcBorders>
            <w:vAlign w:val="center"/>
            <w:hideMark/>
          </w:tcPr>
          <w:p w:rsidR="00F5305F" w:rsidRPr="00F5305F" w:rsidRDefault="00F5305F" w:rsidP="00F5305F">
            <w:pPr>
              <w:jc w:val="center"/>
              <w:rPr>
                <w:b/>
                <w:bCs/>
                <w:color w:val="000000"/>
                <w:sz w:val="16"/>
                <w:szCs w:val="16"/>
              </w:rPr>
            </w:pPr>
          </w:p>
        </w:tc>
        <w:tc>
          <w:tcPr>
            <w:tcW w:w="335" w:type="pct"/>
            <w:vMerge/>
            <w:tcBorders>
              <w:top w:val="nil"/>
              <w:left w:val="single" w:sz="4" w:space="0" w:color="1F497D"/>
              <w:bottom w:val="single" w:sz="4" w:space="0" w:color="1F497D"/>
              <w:right w:val="single" w:sz="4" w:space="0" w:color="1F497D"/>
            </w:tcBorders>
            <w:vAlign w:val="center"/>
            <w:hideMark/>
          </w:tcPr>
          <w:p w:rsidR="00F5305F" w:rsidRPr="00F5305F" w:rsidRDefault="00F5305F" w:rsidP="00F5305F">
            <w:pPr>
              <w:jc w:val="center"/>
              <w:rPr>
                <w:b/>
                <w:bCs/>
                <w:color w:val="000000"/>
                <w:sz w:val="16"/>
                <w:szCs w:val="16"/>
              </w:rPr>
            </w:pPr>
          </w:p>
        </w:tc>
        <w:tc>
          <w:tcPr>
            <w:tcW w:w="241" w:type="pct"/>
            <w:tcBorders>
              <w:top w:val="nil"/>
              <w:left w:val="nil"/>
              <w:bottom w:val="single" w:sz="4" w:space="0" w:color="1F497D"/>
              <w:right w:val="single" w:sz="4" w:space="0" w:color="1F497D"/>
            </w:tcBorders>
            <w:shd w:val="clear" w:color="000000" w:fill="DCE6F1"/>
            <w:vAlign w:val="center"/>
            <w:hideMark/>
          </w:tcPr>
          <w:p w:rsidR="00F5305F" w:rsidRPr="00F5305F" w:rsidRDefault="00F5305F" w:rsidP="00F5305F">
            <w:pPr>
              <w:jc w:val="center"/>
              <w:rPr>
                <w:b/>
                <w:bCs/>
                <w:color w:val="000000"/>
                <w:sz w:val="16"/>
                <w:szCs w:val="16"/>
              </w:rPr>
            </w:pPr>
            <w:r w:rsidRPr="00F5305F">
              <w:rPr>
                <w:b/>
                <w:bCs/>
                <w:color w:val="000000"/>
                <w:sz w:val="16"/>
                <w:szCs w:val="16"/>
              </w:rPr>
              <w:t>a</w:t>
            </w:r>
          </w:p>
        </w:tc>
        <w:tc>
          <w:tcPr>
            <w:tcW w:w="241" w:type="pct"/>
            <w:vMerge/>
            <w:tcBorders>
              <w:top w:val="nil"/>
              <w:left w:val="single" w:sz="4" w:space="0" w:color="1F497D"/>
              <w:bottom w:val="single" w:sz="4" w:space="0" w:color="1F497D"/>
              <w:right w:val="single" w:sz="4" w:space="0" w:color="1F497D"/>
            </w:tcBorders>
            <w:vAlign w:val="center"/>
            <w:hideMark/>
          </w:tcPr>
          <w:p w:rsidR="00F5305F" w:rsidRPr="00F5305F" w:rsidRDefault="00F5305F" w:rsidP="00F5305F">
            <w:pPr>
              <w:jc w:val="center"/>
              <w:rPr>
                <w:b/>
                <w:bCs/>
                <w:color w:val="000000"/>
                <w:sz w:val="16"/>
                <w:szCs w:val="16"/>
              </w:rPr>
            </w:pPr>
          </w:p>
        </w:tc>
        <w:tc>
          <w:tcPr>
            <w:tcW w:w="181" w:type="pct"/>
            <w:tcBorders>
              <w:top w:val="nil"/>
              <w:left w:val="nil"/>
              <w:bottom w:val="single" w:sz="4" w:space="0" w:color="1F497D"/>
              <w:right w:val="single" w:sz="4" w:space="0" w:color="1F497D"/>
            </w:tcBorders>
            <w:shd w:val="clear" w:color="000000" w:fill="DCE6F1"/>
            <w:vAlign w:val="center"/>
            <w:hideMark/>
          </w:tcPr>
          <w:p w:rsidR="00F5305F" w:rsidRPr="00F5305F" w:rsidRDefault="00F5305F" w:rsidP="00F5305F">
            <w:pPr>
              <w:jc w:val="center"/>
              <w:rPr>
                <w:b/>
                <w:bCs/>
                <w:color w:val="000000"/>
                <w:sz w:val="16"/>
                <w:szCs w:val="16"/>
              </w:rPr>
            </w:pPr>
            <w:r w:rsidRPr="00F5305F">
              <w:rPr>
                <w:b/>
                <w:bCs/>
                <w:color w:val="000000"/>
                <w:sz w:val="16"/>
                <w:szCs w:val="16"/>
              </w:rPr>
              <w:t>b</w:t>
            </w:r>
          </w:p>
        </w:tc>
        <w:tc>
          <w:tcPr>
            <w:tcW w:w="268" w:type="pct"/>
            <w:tcBorders>
              <w:top w:val="nil"/>
              <w:left w:val="nil"/>
              <w:bottom w:val="single" w:sz="4" w:space="0" w:color="1F497D"/>
              <w:right w:val="single" w:sz="4" w:space="0" w:color="1F497D"/>
            </w:tcBorders>
            <w:shd w:val="clear" w:color="000000" w:fill="DCE6F1"/>
            <w:vAlign w:val="center"/>
            <w:hideMark/>
          </w:tcPr>
          <w:p w:rsidR="00F5305F" w:rsidRPr="00F5305F" w:rsidRDefault="00F5305F" w:rsidP="00F5305F">
            <w:pPr>
              <w:jc w:val="center"/>
              <w:rPr>
                <w:b/>
                <w:bCs/>
                <w:color w:val="000000"/>
                <w:sz w:val="16"/>
                <w:szCs w:val="16"/>
              </w:rPr>
            </w:pPr>
            <w:r w:rsidRPr="00F5305F">
              <w:rPr>
                <w:b/>
                <w:bCs/>
                <w:color w:val="000000"/>
                <w:sz w:val="16"/>
                <w:szCs w:val="16"/>
              </w:rPr>
              <w:t>c</w:t>
            </w:r>
          </w:p>
        </w:tc>
        <w:tc>
          <w:tcPr>
            <w:tcW w:w="207" w:type="pct"/>
            <w:tcBorders>
              <w:top w:val="nil"/>
              <w:left w:val="nil"/>
              <w:bottom w:val="single" w:sz="4" w:space="0" w:color="1F497D"/>
              <w:right w:val="single" w:sz="4" w:space="0" w:color="1F497D"/>
            </w:tcBorders>
            <w:shd w:val="clear" w:color="000000" w:fill="DCE6F1"/>
            <w:vAlign w:val="center"/>
            <w:hideMark/>
          </w:tcPr>
          <w:p w:rsidR="00F5305F" w:rsidRPr="00F5305F" w:rsidRDefault="00F5305F" w:rsidP="00F5305F">
            <w:pPr>
              <w:jc w:val="center"/>
              <w:rPr>
                <w:b/>
                <w:bCs/>
                <w:color w:val="000000"/>
                <w:sz w:val="16"/>
                <w:szCs w:val="16"/>
              </w:rPr>
            </w:pPr>
            <w:r w:rsidRPr="00F5305F">
              <w:rPr>
                <w:b/>
                <w:bCs/>
                <w:color w:val="000000"/>
                <w:sz w:val="16"/>
                <w:szCs w:val="16"/>
              </w:rPr>
              <w:t>c/a</w:t>
            </w:r>
          </w:p>
        </w:tc>
        <w:tc>
          <w:tcPr>
            <w:tcW w:w="234" w:type="pct"/>
            <w:vMerge/>
            <w:tcBorders>
              <w:top w:val="nil"/>
              <w:left w:val="single" w:sz="4" w:space="0" w:color="1F497D"/>
              <w:bottom w:val="single" w:sz="4" w:space="0" w:color="1F497D"/>
              <w:right w:val="single" w:sz="4" w:space="0" w:color="1F497D"/>
            </w:tcBorders>
            <w:vAlign w:val="center"/>
            <w:hideMark/>
          </w:tcPr>
          <w:p w:rsidR="00F5305F" w:rsidRPr="00F5305F" w:rsidRDefault="00F5305F" w:rsidP="00F5305F">
            <w:pPr>
              <w:jc w:val="center"/>
              <w:rPr>
                <w:b/>
                <w:bCs/>
                <w:color w:val="000000"/>
                <w:sz w:val="16"/>
                <w:szCs w:val="16"/>
              </w:rPr>
            </w:pPr>
          </w:p>
        </w:tc>
        <w:tc>
          <w:tcPr>
            <w:tcW w:w="174" w:type="pct"/>
            <w:tcBorders>
              <w:top w:val="nil"/>
              <w:left w:val="nil"/>
              <w:bottom w:val="single" w:sz="4" w:space="0" w:color="1F497D"/>
              <w:right w:val="single" w:sz="4" w:space="0" w:color="1F497D"/>
            </w:tcBorders>
            <w:shd w:val="clear" w:color="000000" w:fill="DCE6F1"/>
            <w:vAlign w:val="center"/>
            <w:hideMark/>
          </w:tcPr>
          <w:p w:rsidR="00F5305F" w:rsidRPr="00F5305F" w:rsidRDefault="00F5305F" w:rsidP="00F5305F">
            <w:pPr>
              <w:jc w:val="center"/>
              <w:rPr>
                <w:b/>
                <w:bCs/>
                <w:color w:val="000000"/>
                <w:sz w:val="16"/>
                <w:szCs w:val="16"/>
              </w:rPr>
            </w:pPr>
            <w:r w:rsidRPr="00F5305F">
              <w:rPr>
                <w:b/>
                <w:bCs/>
                <w:color w:val="000000"/>
                <w:sz w:val="16"/>
                <w:szCs w:val="16"/>
              </w:rPr>
              <w:t>d</w:t>
            </w:r>
          </w:p>
        </w:tc>
        <w:tc>
          <w:tcPr>
            <w:tcW w:w="261" w:type="pct"/>
            <w:tcBorders>
              <w:top w:val="nil"/>
              <w:left w:val="nil"/>
              <w:bottom w:val="single" w:sz="4" w:space="0" w:color="1F497D"/>
              <w:right w:val="single" w:sz="4" w:space="0" w:color="1F497D"/>
            </w:tcBorders>
            <w:shd w:val="clear" w:color="000000" w:fill="DCE6F1"/>
            <w:vAlign w:val="center"/>
            <w:hideMark/>
          </w:tcPr>
          <w:p w:rsidR="00F5305F" w:rsidRPr="00F5305F" w:rsidRDefault="00F5305F" w:rsidP="00F5305F">
            <w:pPr>
              <w:jc w:val="center"/>
              <w:rPr>
                <w:b/>
                <w:bCs/>
                <w:color w:val="000000"/>
                <w:sz w:val="16"/>
                <w:szCs w:val="16"/>
              </w:rPr>
            </w:pPr>
            <w:r w:rsidRPr="00F5305F">
              <w:rPr>
                <w:b/>
                <w:bCs/>
                <w:color w:val="000000"/>
                <w:sz w:val="16"/>
                <w:szCs w:val="16"/>
              </w:rPr>
              <w:t>e</w:t>
            </w:r>
          </w:p>
        </w:tc>
        <w:tc>
          <w:tcPr>
            <w:tcW w:w="214" w:type="pct"/>
            <w:tcBorders>
              <w:top w:val="nil"/>
              <w:left w:val="nil"/>
              <w:bottom w:val="single" w:sz="4" w:space="0" w:color="1F497D"/>
              <w:right w:val="single" w:sz="4" w:space="0" w:color="1F497D"/>
            </w:tcBorders>
            <w:shd w:val="clear" w:color="000000" w:fill="DCE6F1"/>
            <w:vAlign w:val="center"/>
            <w:hideMark/>
          </w:tcPr>
          <w:p w:rsidR="00F5305F" w:rsidRPr="00F5305F" w:rsidRDefault="00F5305F" w:rsidP="00F5305F">
            <w:pPr>
              <w:jc w:val="center"/>
              <w:rPr>
                <w:b/>
                <w:bCs/>
                <w:color w:val="000000"/>
                <w:sz w:val="16"/>
                <w:szCs w:val="16"/>
              </w:rPr>
            </w:pPr>
            <w:r w:rsidRPr="00F5305F">
              <w:rPr>
                <w:b/>
                <w:bCs/>
                <w:color w:val="000000"/>
                <w:sz w:val="16"/>
                <w:szCs w:val="16"/>
              </w:rPr>
              <w:t>e/a</w:t>
            </w:r>
          </w:p>
        </w:tc>
        <w:tc>
          <w:tcPr>
            <w:tcW w:w="214" w:type="pct"/>
            <w:vMerge/>
            <w:tcBorders>
              <w:top w:val="nil"/>
              <w:left w:val="single" w:sz="4" w:space="0" w:color="1F497D"/>
              <w:bottom w:val="single" w:sz="4" w:space="0" w:color="1F497D"/>
              <w:right w:val="single" w:sz="4" w:space="0" w:color="1F497D"/>
            </w:tcBorders>
            <w:vAlign w:val="center"/>
            <w:hideMark/>
          </w:tcPr>
          <w:p w:rsidR="00F5305F" w:rsidRPr="00F5305F" w:rsidRDefault="00F5305F" w:rsidP="00F5305F">
            <w:pPr>
              <w:jc w:val="center"/>
              <w:rPr>
                <w:b/>
                <w:bCs/>
                <w:color w:val="000000"/>
                <w:sz w:val="16"/>
                <w:szCs w:val="16"/>
              </w:rPr>
            </w:pPr>
          </w:p>
        </w:tc>
        <w:tc>
          <w:tcPr>
            <w:tcW w:w="261" w:type="pct"/>
            <w:tcBorders>
              <w:top w:val="nil"/>
              <w:left w:val="nil"/>
              <w:bottom w:val="single" w:sz="4" w:space="0" w:color="1F497D"/>
              <w:right w:val="single" w:sz="4" w:space="0" w:color="1F497D"/>
            </w:tcBorders>
            <w:shd w:val="clear" w:color="000000" w:fill="DCE6F1"/>
            <w:vAlign w:val="center"/>
            <w:hideMark/>
          </w:tcPr>
          <w:p w:rsidR="00F5305F" w:rsidRPr="00F5305F" w:rsidRDefault="00F5305F" w:rsidP="00F5305F">
            <w:pPr>
              <w:jc w:val="center"/>
              <w:rPr>
                <w:b/>
                <w:bCs/>
                <w:color w:val="000000"/>
                <w:sz w:val="16"/>
                <w:szCs w:val="16"/>
              </w:rPr>
            </w:pPr>
            <w:r w:rsidRPr="00F5305F">
              <w:rPr>
                <w:b/>
                <w:bCs/>
                <w:color w:val="000000"/>
                <w:sz w:val="16"/>
                <w:szCs w:val="16"/>
              </w:rPr>
              <w:t>f</w:t>
            </w:r>
          </w:p>
        </w:tc>
        <w:tc>
          <w:tcPr>
            <w:tcW w:w="228" w:type="pct"/>
            <w:tcBorders>
              <w:top w:val="nil"/>
              <w:left w:val="nil"/>
              <w:bottom w:val="single" w:sz="4" w:space="0" w:color="1F497D"/>
              <w:right w:val="single" w:sz="4" w:space="0" w:color="1F497D"/>
            </w:tcBorders>
            <w:shd w:val="clear" w:color="000000" w:fill="DCE6F1"/>
            <w:vAlign w:val="center"/>
            <w:hideMark/>
          </w:tcPr>
          <w:p w:rsidR="00F5305F" w:rsidRPr="00F5305F" w:rsidRDefault="00F5305F" w:rsidP="00F5305F">
            <w:pPr>
              <w:jc w:val="center"/>
              <w:rPr>
                <w:b/>
                <w:bCs/>
                <w:color w:val="000000"/>
                <w:sz w:val="16"/>
                <w:szCs w:val="16"/>
              </w:rPr>
            </w:pPr>
            <w:r w:rsidRPr="00F5305F">
              <w:rPr>
                <w:b/>
                <w:bCs/>
                <w:color w:val="000000"/>
                <w:sz w:val="16"/>
                <w:szCs w:val="16"/>
              </w:rPr>
              <w:t>f/a</w:t>
            </w:r>
          </w:p>
        </w:tc>
        <w:tc>
          <w:tcPr>
            <w:tcW w:w="254" w:type="pct"/>
            <w:vMerge/>
            <w:tcBorders>
              <w:top w:val="nil"/>
              <w:left w:val="single" w:sz="4" w:space="0" w:color="1F497D"/>
              <w:bottom w:val="single" w:sz="4" w:space="0" w:color="1F497D"/>
              <w:right w:val="single" w:sz="4" w:space="0" w:color="1F497D"/>
            </w:tcBorders>
            <w:vAlign w:val="center"/>
            <w:hideMark/>
          </w:tcPr>
          <w:p w:rsidR="00F5305F" w:rsidRPr="00F5305F" w:rsidRDefault="00F5305F" w:rsidP="00F5305F">
            <w:pPr>
              <w:jc w:val="center"/>
              <w:rPr>
                <w:b/>
                <w:bCs/>
                <w:color w:val="000000"/>
                <w:sz w:val="16"/>
                <w:szCs w:val="16"/>
              </w:rPr>
            </w:pPr>
          </w:p>
        </w:tc>
        <w:tc>
          <w:tcPr>
            <w:tcW w:w="288" w:type="pct"/>
            <w:tcBorders>
              <w:top w:val="nil"/>
              <w:left w:val="nil"/>
              <w:bottom w:val="single" w:sz="4" w:space="0" w:color="1F497D"/>
              <w:right w:val="single" w:sz="4" w:space="0" w:color="1F497D"/>
            </w:tcBorders>
            <w:shd w:val="clear" w:color="000000" w:fill="DCE6F1"/>
            <w:vAlign w:val="center"/>
            <w:hideMark/>
          </w:tcPr>
          <w:p w:rsidR="00F5305F" w:rsidRPr="00F5305F" w:rsidRDefault="00F5305F" w:rsidP="00F5305F">
            <w:pPr>
              <w:jc w:val="center"/>
              <w:rPr>
                <w:b/>
                <w:bCs/>
                <w:color w:val="000000"/>
                <w:sz w:val="16"/>
                <w:szCs w:val="16"/>
              </w:rPr>
            </w:pPr>
            <w:r w:rsidRPr="00F5305F">
              <w:rPr>
                <w:b/>
                <w:bCs/>
                <w:color w:val="000000"/>
                <w:sz w:val="16"/>
                <w:szCs w:val="16"/>
              </w:rPr>
              <w:t>g</w:t>
            </w:r>
          </w:p>
        </w:tc>
        <w:tc>
          <w:tcPr>
            <w:tcW w:w="214" w:type="pct"/>
            <w:tcBorders>
              <w:top w:val="nil"/>
              <w:left w:val="nil"/>
              <w:bottom w:val="single" w:sz="4" w:space="0" w:color="1F497D"/>
              <w:right w:val="single" w:sz="4" w:space="0" w:color="1F497D"/>
            </w:tcBorders>
            <w:shd w:val="clear" w:color="000000" w:fill="DCE6F1"/>
            <w:vAlign w:val="center"/>
            <w:hideMark/>
          </w:tcPr>
          <w:p w:rsidR="00F5305F" w:rsidRPr="00F5305F" w:rsidRDefault="00F5305F" w:rsidP="00F5305F">
            <w:pPr>
              <w:jc w:val="center"/>
              <w:rPr>
                <w:b/>
                <w:bCs/>
                <w:color w:val="000000"/>
                <w:sz w:val="16"/>
                <w:szCs w:val="16"/>
              </w:rPr>
            </w:pPr>
            <w:r w:rsidRPr="00F5305F">
              <w:rPr>
                <w:b/>
                <w:bCs/>
                <w:color w:val="000000"/>
                <w:sz w:val="16"/>
                <w:szCs w:val="16"/>
              </w:rPr>
              <w:t>g/a</w:t>
            </w:r>
          </w:p>
        </w:tc>
        <w:tc>
          <w:tcPr>
            <w:tcW w:w="254" w:type="pct"/>
            <w:vMerge/>
            <w:tcBorders>
              <w:top w:val="nil"/>
              <w:left w:val="single" w:sz="4" w:space="0" w:color="1F497D"/>
              <w:bottom w:val="single" w:sz="4" w:space="0" w:color="1F497D"/>
              <w:right w:val="single" w:sz="4" w:space="0" w:color="1F497D"/>
            </w:tcBorders>
            <w:vAlign w:val="center"/>
            <w:hideMark/>
          </w:tcPr>
          <w:p w:rsidR="00F5305F" w:rsidRPr="00F5305F" w:rsidRDefault="00F5305F" w:rsidP="00F5305F">
            <w:pPr>
              <w:jc w:val="center"/>
              <w:rPr>
                <w:b/>
                <w:bCs/>
                <w:color w:val="000000"/>
                <w:sz w:val="16"/>
                <w:szCs w:val="16"/>
              </w:rPr>
            </w:pPr>
          </w:p>
        </w:tc>
        <w:tc>
          <w:tcPr>
            <w:tcW w:w="274" w:type="pct"/>
            <w:tcBorders>
              <w:top w:val="nil"/>
              <w:left w:val="nil"/>
              <w:bottom w:val="single" w:sz="4" w:space="0" w:color="1F497D"/>
              <w:right w:val="single" w:sz="4" w:space="0" w:color="1F497D"/>
            </w:tcBorders>
            <w:shd w:val="clear" w:color="000000" w:fill="DCE6F1"/>
            <w:vAlign w:val="center"/>
            <w:hideMark/>
          </w:tcPr>
          <w:p w:rsidR="00F5305F" w:rsidRPr="00F5305F" w:rsidRDefault="00F5305F" w:rsidP="00F5305F">
            <w:pPr>
              <w:jc w:val="center"/>
              <w:rPr>
                <w:b/>
                <w:bCs/>
                <w:color w:val="000000"/>
                <w:sz w:val="16"/>
                <w:szCs w:val="16"/>
              </w:rPr>
            </w:pPr>
            <w:r w:rsidRPr="00F5305F">
              <w:rPr>
                <w:b/>
                <w:bCs/>
                <w:color w:val="000000"/>
                <w:sz w:val="16"/>
                <w:szCs w:val="16"/>
              </w:rPr>
              <w:t>h</w:t>
            </w:r>
          </w:p>
        </w:tc>
        <w:tc>
          <w:tcPr>
            <w:tcW w:w="207" w:type="pct"/>
            <w:tcBorders>
              <w:top w:val="nil"/>
              <w:left w:val="nil"/>
              <w:bottom w:val="single" w:sz="4" w:space="0" w:color="1F497D"/>
              <w:right w:val="single" w:sz="4" w:space="0" w:color="1F497D"/>
            </w:tcBorders>
            <w:shd w:val="clear" w:color="000000" w:fill="DCE6F1"/>
            <w:vAlign w:val="center"/>
            <w:hideMark/>
          </w:tcPr>
          <w:p w:rsidR="00F5305F" w:rsidRPr="00F5305F" w:rsidRDefault="00F5305F" w:rsidP="00F5305F">
            <w:pPr>
              <w:jc w:val="center"/>
              <w:rPr>
                <w:b/>
                <w:bCs/>
                <w:color w:val="000000"/>
                <w:sz w:val="16"/>
                <w:szCs w:val="16"/>
              </w:rPr>
            </w:pPr>
            <w:r w:rsidRPr="00F5305F">
              <w:rPr>
                <w:b/>
                <w:bCs/>
                <w:color w:val="000000"/>
                <w:sz w:val="16"/>
                <w:szCs w:val="16"/>
              </w:rPr>
              <w:t>h/a</w:t>
            </w:r>
          </w:p>
        </w:tc>
        <w:tc>
          <w:tcPr>
            <w:tcW w:w="207" w:type="pct"/>
            <w:vMerge/>
            <w:tcBorders>
              <w:top w:val="nil"/>
              <w:left w:val="single" w:sz="4" w:space="0" w:color="1F497D"/>
              <w:bottom w:val="single" w:sz="4" w:space="0" w:color="1F497D"/>
              <w:right w:val="single" w:sz="4" w:space="0" w:color="1F497D"/>
            </w:tcBorders>
            <w:vAlign w:val="center"/>
            <w:hideMark/>
          </w:tcPr>
          <w:p w:rsidR="00F5305F" w:rsidRPr="00F5305F" w:rsidRDefault="00F5305F" w:rsidP="00F5305F">
            <w:pPr>
              <w:jc w:val="center"/>
              <w:rPr>
                <w:b/>
                <w:bCs/>
                <w:color w:val="000000"/>
                <w:sz w:val="16"/>
                <w:szCs w:val="16"/>
              </w:rPr>
            </w:pPr>
          </w:p>
        </w:tc>
      </w:tr>
      <w:tr w:rsidR="00F5305F" w:rsidRPr="00F5305F" w:rsidTr="00F228F9">
        <w:trPr>
          <w:trHeight w:val="225"/>
        </w:trPr>
        <w:tc>
          <w:tcPr>
            <w:tcW w:w="241" w:type="pct"/>
            <w:vMerge w:val="restart"/>
            <w:tcBorders>
              <w:top w:val="nil"/>
              <w:left w:val="single" w:sz="4" w:space="0" w:color="1F497D"/>
              <w:bottom w:val="single" w:sz="4" w:space="0" w:color="1F497D"/>
              <w:right w:val="single" w:sz="4" w:space="0" w:color="1F497D"/>
            </w:tcBorders>
            <w:shd w:val="clear" w:color="000000" w:fill="FFFFFF"/>
            <w:vAlign w:val="center"/>
            <w:hideMark/>
          </w:tcPr>
          <w:p w:rsidR="00F5305F" w:rsidRPr="00F5305F" w:rsidRDefault="00F5305F" w:rsidP="00F5305F">
            <w:pPr>
              <w:jc w:val="center"/>
              <w:rPr>
                <w:color w:val="000000"/>
                <w:sz w:val="16"/>
                <w:szCs w:val="16"/>
              </w:rPr>
            </w:pPr>
            <w:r w:rsidRPr="00F5305F">
              <w:rPr>
                <w:color w:val="000000"/>
                <w:sz w:val="16"/>
                <w:szCs w:val="16"/>
              </w:rPr>
              <w:t>3.2</w:t>
            </w:r>
          </w:p>
        </w:tc>
        <w:tc>
          <w:tcPr>
            <w:tcW w:w="335" w:type="pct"/>
            <w:tcBorders>
              <w:top w:val="nil"/>
              <w:left w:val="nil"/>
              <w:bottom w:val="single" w:sz="4" w:space="0" w:color="1F497D"/>
              <w:right w:val="single" w:sz="4" w:space="0" w:color="1F497D"/>
            </w:tcBorders>
            <w:shd w:val="clear" w:color="000000" w:fill="FFFFFF"/>
            <w:vAlign w:val="center"/>
            <w:hideMark/>
          </w:tcPr>
          <w:p w:rsidR="00F5305F" w:rsidRPr="00F5305F" w:rsidRDefault="00F5305F" w:rsidP="00F5305F">
            <w:pPr>
              <w:jc w:val="center"/>
              <w:rPr>
                <w:color w:val="000000"/>
                <w:sz w:val="16"/>
                <w:szCs w:val="16"/>
              </w:rPr>
            </w:pPr>
            <w:r w:rsidRPr="00F5305F">
              <w:rPr>
                <w:color w:val="000000"/>
                <w:sz w:val="16"/>
                <w:szCs w:val="16"/>
              </w:rPr>
              <w:t>2015/04/17</w:t>
            </w:r>
          </w:p>
        </w:tc>
        <w:tc>
          <w:tcPr>
            <w:tcW w:w="241" w:type="pct"/>
            <w:tcBorders>
              <w:top w:val="nil"/>
              <w:left w:val="nil"/>
              <w:bottom w:val="single" w:sz="4" w:space="0" w:color="1F497D"/>
              <w:right w:val="single" w:sz="4" w:space="0" w:color="1F497D"/>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6 518,87</w:t>
            </w:r>
          </w:p>
        </w:tc>
        <w:tc>
          <w:tcPr>
            <w:tcW w:w="241" w:type="pct"/>
            <w:tcBorders>
              <w:top w:val="nil"/>
              <w:left w:val="nil"/>
              <w:bottom w:val="single" w:sz="4" w:space="0" w:color="1F497D"/>
              <w:right w:val="single" w:sz="4" w:space="0" w:color="1F497D"/>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248,48</w:t>
            </w:r>
          </w:p>
        </w:tc>
        <w:tc>
          <w:tcPr>
            <w:tcW w:w="181" w:type="pct"/>
            <w:tcBorders>
              <w:top w:val="nil"/>
              <w:left w:val="nil"/>
              <w:bottom w:val="single" w:sz="4" w:space="0" w:color="1F497D"/>
              <w:right w:val="single" w:sz="4" w:space="0" w:color="1F497D"/>
            </w:tcBorders>
            <w:shd w:val="clear" w:color="000000" w:fill="FFFFFF"/>
            <w:vAlign w:val="center"/>
            <w:hideMark/>
          </w:tcPr>
          <w:p w:rsidR="00F5305F" w:rsidRPr="00F5305F" w:rsidRDefault="00F5305F" w:rsidP="00F5305F">
            <w:pPr>
              <w:jc w:val="center"/>
              <w:rPr>
                <w:color w:val="000000"/>
                <w:sz w:val="16"/>
                <w:szCs w:val="16"/>
              </w:rPr>
            </w:pPr>
            <w:r w:rsidRPr="00F5305F">
              <w:rPr>
                <w:color w:val="000000"/>
                <w:sz w:val="16"/>
                <w:szCs w:val="16"/>
              </w:rPr>
              <w:t>267</w:t>
            </w:r>
          </w:p>
        </w:tc>
        <w:tc>
          <w:tcPr>
            <w:tcW w:w="268" w:type="pct"/>
            <w:tcBorders>
              <w:top w:val="nil"/>
              <w:left w:val="nil"/>
              <w:bottom w:val="single" w:sz="4" w:space="0" w:color="1F497D"/>
              <w:right w:val="single" w:sz="4" w:space="0" w:color="1F497D"/>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11 258,47</w:t>
            </w:r>
          </w:p>
        </w:tc>
        <w:tc>
          <w:tcPr>
            <w:tcW w:w="207" w:type="pct"/>
            <w:tcBorders>
              <w:top w:val="nil"/>
              <w:left w:val="nil"/>
              <w:bottom w:val="single" w:sz="4" w:space="0" w:color="1F497D"/>
              <w:right w:val="single" w:sz="4" w:space="0" w:color="1F497D"/>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172,71</w:t>
            </w:r>
          </w:p>
        </w:tc>
        <w:tc>
          <w:tcPr>
            <w:tcW w:w="234" w:type="pct"/>
            <w:tcBorders>
              <w:top w:val="nil"/>
              <w:left w:val="nil"/>
              <w:bottom w:val="single" w:sz="4" w:space="0" w:color="1F497D"/>
              <w:right w:val="single" w:sz="4" w:space="0" w:color="1F497D"/>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421,00</w:t>
            </w:r>
          </w:p>
        </w:tc>
        <w:tc>
          <w:tcPr>
            <w:tcW w:w="174" w:type="pct"/>
            <w:tcBorders>
              <w:top w:val="nil"/>
              <w:left w:val="nil"/>
              <w:bottom w:val="single" w:sz="4" w:space="0" w:color="1F497D"/>
              <w:right w:val="single" w:sz="4" w:space="0" w:color="1F497D"/>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197</w:t>
            </w:r>
          </w:p>
        </w:tc>
        <w:tc>
          <w:tcPr>
            <w:tcW w:w="261" w:type="pct"/>
            <w:tcBorders>
              <w:top w:val="nil"/>
              <w:left w:val="nil"/>
              <w:bottom w:val="single" w:sz="4" w:space="0" w:color="1F497D"/>
              <w:right w:val="single" w:sz="4" w:space="0" w:color="1F497D"/>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6 767,90</w:t>
            </w:r>
          </w:p>
        </w:tc>
        <w:tc>
          <w:tcPr>
            <w:tcW w:w="214" w:type="pct"/>
            <w:tcBorders>
              <w:top w:val="nil"/>
              <w:left w:val="nil"/>
              <w:bottom w:val="single" w:sz="4" w:space="0" w:color="1F497D"/>
              <w:right w:val="single" w:sz="4" w:space="0" w:color="1F497D"/>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103,82</w:t>
            </w:r>
          </w:p>
        </w:tc>
        <w:tc>
          <w:tcPr>
            <w:tcW w:w="214" w:type="pct"/>
            <w:tcBorders>
              <w:top w:val="nil"/>
              <w:left w:val="nil"/>
              <w:bottom w:val="single" w:sz="4" w:space="0" w:color="1F497D"/>
              <w:right w:val="single" w:sz="4" w:space="0" w:color="1F497D"/>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257,55</w:t>
            </w:r>
          </w:p>
        </w:tc>
        <w:tc>
          <w:tcPr>
            <w:tcW w:w="261" w:type="pct"/>
            <w:tcBorders>
              <w:top w:val="nil"/>
              <w:left w:val="nil"/>
              <w:bottom w:val="single" w:sz="4" w:space="0" w:color="1F497D"/>
              <w:right w:val="single" w:sz="4" w:space="0" w:color="1F497D"/>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4 798,52</w:t>
            </w:r>
          </w:p>
        </w:tc>
        <w:tc>
          <w:tcPr>
            <w:tcW w:w="228" w:type="pct"/>
            <w:tcBorders>
              <w:top w:val="nil"/>
              <w:left w:val="nil"/>
              <w:bottom w:val="single" w:sz="4" w:space="0" w:color="1F497D"/>
              <w:right w:val="single" w:sz="4" w:space="0" w:color="1F497D"/>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73,61</w:t>
            </w:r>
          </w:p>
        </w:tc>
        <w:tc>
          <w:tcPr>
            <w:tcW w:w="254" w:type="pct"/>
            <w:tcBorders>
              <w:top w:val="nil"/>
              <w:left w:val="nil"/>
              <w:bottom w:val="single" w:sz="4" w:space="0" w:color="1F497D"/>
              <w:right w:val="single" w:sz="4" w:space="0" w:color="1F497D"/>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185,86</w:t>
            </w:r>
          </w:p>
        </w:tc>
        <w:tc>
          <w:tcPr>
            <w:tcW w:w="288" w:type="pct"/>
            <w:tcBorders>
              <w:top w:val="nil"/>
              <w:left w:val="nil"/>
              <w:bottom w:val="single" w:sz="4" w:space="0" w:color="1F497D"/>
              <w:right w:val="single" w:sz="4" w:space="0" w:color="1F497D"/>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4 704,83</w:t>
            </w:r>
          </w:p>
        </w:tc>
        <w:tc>
          <w:tcPr>
            <w:tcW w:w="214" w:type="pct"/>
            <w:tcBorders>
              <w:top w:val="nil"/>
              <w:left w:val="nil"/>
              <w:bottom w:val="single" w:sz="4" w:space="0" w:color="1F497D"/>
              <w:right w:val="single" w:sz="4" w:space="0" w:color="1F497D"/>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72,17</w:t>
            </w:r>
          </w:p>
        </w:tc>
        <w:tc>
          <w:tcPr>
            <w:tcW w:w="254" w:type="pct"/>
            <w:tcBorders>
              <w:top w:val="nil"/>
              <w:left w:val="nil"/>
              <w:bottom w:val="single" w:sz="4" w:space="0" w:color="1F497D"/>
              <w:right w:val="single" w:sz="4" w:space="0" w:color="1F497D"/>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182,45</w:t>
            </w:r>
          </w:p>
        </w:tc>
        <w:tc>
          <w:tcPr>
            <w:tcW w:w="27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4 613,92</w:t>
            </w:r>
          </w:p>
        </w:tc>
        <w:tc>
          <w:tcPr>
            <w:tcW w:w="207" w:type="pct"/>
            <w:tcBorders>
              <w:top w:val="single" w:sz="4" w:space="0" w:color="auto"/>
              <w:left w:val="nil"/>
              <w:bottom w:val="single" w:sz="4" w:space="0" w:color="auto"/>
              <w:right w:val="single" w:sz="4" w:space="0" w:color="auto"/>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70,78</w:t>
            </w:r>
          </w:p>
        </w:tc>
        <w:tc>
          <w:tcPr>
            <w:tcW w:w="207" w:type="pct"/>
            <w:tcBorders>
              <w:top w:val="single" w:sz="4" w:space="0" w:color="auto"/>
              <w:left w:val="nil"/>
              <w:bottom w:val="single" w:sz="4" w:space="0" w:color="auto"/>
              <w:right w:val="single" w:sz="4" w:space="0" w:color="auto"/>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178,86</w:t>
            </w:r>
          </w:p>
        </w:tc>
      </w:tr>
      <w:tr w:rsidR="00F5305F" w:rsidRPr="00F5305F" w:rsidTr="00F228F9">
        <w:trPr>
          <w:trHeight w:val="225"/>
        </w:trPr>
        <w:tc>
          <w:tcPr>
            <w:tcW w:w="241" w:type="pct"/>
            <w:vMerge/>
            <w:tcBorders>
              <w:top w:val="nil"/>
              <w:left w:val="single" w:sz="4" w:space="0" w:color="1F497D"/>
              <w:bottom w:val="single" w:sz="4" w:space="0" w:color="1F497D"/>
              <w:right w:val="single" w:sz="4" w:space="0" w:color="1F497D"/>
            </w:tcBorders>
            <w:vAlign w:val="center"/>
            <w:hideMark/>
          </w:tcPr>
          <w:p w:rsidR="00F5305F" w:rsidRPr="00F5305F" w:rsidRDefault="00F5305F" w:rsidP="00F5305F">
            <w:pPr>
              <w:jc w:val="center"/>
              <w:rPr>
                <w:color w:val="000000"/>
                <w:sz w:val="16"/>
                <w:szCs w:val="16"/>
              </w:rPr>
            </w:pPr>
          </w:p>
        </w:tc>
        <w:tc>
          <w:tcPr>
            <w:tcW w:w="335" w:type="pct"/>
            <w:tcBorders>
              <w:top w:val="nil"/>
              <w:left w:val="nil"/>
              <w:bottom w:val="single" w:sz="4" w:space="0" w:color="1F497D"/>
              <w:right w:val="single" w:sz="4" w:space="0" w:color="1F497D"/>
            </w:tcBorders>
            <w:shd w:val="clear" w:color="000000" w:fill="FFFFFF"/>
            <w:vAlign w:val="center"/>
            <w:hideMark/>
          </w:tcPr>
          <w:p w:rsidR="00F5305F" w:rsidRPr="00F5305F" w:rsidRDefault="00F5305F" w:rsidP="00F5305F">
            <w:pPr>
              <w:jc w:val="center"/>
              <w:rPr>
                <w:color w:val="000000"/>
                <w:sz w:val="16"/>
                <w:szCs w:val="16"/>
              </w:rPr>
            </w:pPr>
            <w:r w:rsidRPr="00F5305F">
              <w:rPr>
                <w:color w:val="000000"/>
                <w:sz w:val="16"/>
                <w:szCs w:val="16"/>
              </w:rPr>
              <w:t>2015/10/02</w:t>
            </w:r>
          </w:p>
        </w:tc>
        <w:tc>
          <w:tcPr>
            <w:tcW w:w="241" w:type="pct"/>
            <w:tcBorders>
              <w:top w:val="nil"/>
              <w:left w:val="nil"/>
              <w:bottom w:val="single" w:sz="4" w:space="0" w:color="1F497D"/>
              <w:right w:val="single" w:sz="4" w:space="0" w:color="1F497D"/>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6 501,32</w:t>
            </w:r>
          </w:p>
        </w:tc>
        <w:tc>
          <w:tcPr>
            <w:tcW w:w="241" w:type="pct"/>
            <w:tcBorders>
              <w:top w:val="nil"/>
              <w:left w:val="nil"/>
              <w:bottom w:val="single" w:sz="4" w:space="0" w:color="1F497D"/>
              <w:right w:val="single" w:sz="4" w:space="0" w:color="1F497D"/>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248,48</w:t>
            </w:r>
          </w:p>
        </w:tc>
        <w:tc>
          <w:tcPr>
            <w:tcW w:w="181" w:type="pct"/>
            <w:tcBorders>
              <w:top w:val="nil"/>
              <w:left w:val="nil"/>
              <w:bottom w:val="single" w:sz="4" w:space="0" w:color="1F497D"/>
              <w:right w:val="single" w:sz="4" w:space="0" w:color="1F497D"/>
            </w:tcBorders>
            <w:shd w:val="clear" w:color="000000" w:fill="FFFFFF"/>
            <w:vAlign w:val="center"/>
            <w:hideMark/>
          </w:tcPr>
          <w:p w:rsidR="00F5305F" w:rsidRPr="00F5305F" w:rsidRDefault="00F5305F" w:rsidP="00F5305F">
            <w:pPr>
              <w:jc w:val="center"/>
              <w:rPr>
                <w:color w:val="000000"/>
                <w:sz w:val="16"/>
                <w:szCs w:val="16"/>
              </w:rPr>
            </w:pPr>
            <w:r w:rsidRPr="00F5305F">
              <w:rPr>
                <w:color w:val="000000"/>
                <w:sz w:val="16"/>
                <w:szCs w:val="16"/>
              </w:rPr>
              <w:t>267</w:t>
            </w:r>
          </w:p>
        </w:tc>
        <w:tc>
          <w:tcPr>
            <w:tcW w:w="268" w:type="pct"/>
            <w:tcBorders>
              <w:top w:val="nil"/>
              <w:left w:val="nil"/>
              <w:bottom w:val="single" w:sz="4" w:space="0" w:color="1F497D"/>
              <w:right w:val="single" w:sz="4" w:space="0" w:color="1F497D"/>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11 258,47</w:t>
            </w:r>
          </w:p>
        </w:tc>
        <w:tc>
          <w:tcPr>
            <w:tcW w:w="207" w:type="pct"/>
            <w:tcBorders>
              <w:top w:val="nil"/>
              <w:left w:val="nil"/>
              <w:bottom w:val="single" w:sz="4" w:space="0" w:color="1F497D"/>
              <w:right w:val="single" w:sz="4" w:space="0" w:color="1F497D"/>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173,17</w:t>
            </w:r>
          </w:p>
        </w:tc>
        <w:tc>
          <w:tcPr>
            <w:tcW w:w="234" w:type="pct"/>
            <w:tcBorders>
              <w:top w:val="nil"/>
              <w:left w:val="nil"/>
              <w:bottom w:val="single" w:sz="4" w:space="0" w:color="1F497D"/>
              <w:right w:val="single" w:sz="4" w:space="0" w:color="1F497D"/>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423,33</w:t>
            </w:r>
          </w:p>
        </w:tc>
        <w:tc>
          <w:tcPr>
            <w:tcW w:w="174" w:type="pct"/>
            <w:tcBorders>
              <w:top w:val="nil"/>
              <w:left w:val="nil"/>
              <w:bottom w:val="single" w:sz="4" w:space="0" w:color="1F497D"/>
              <w:right w:val="single" w:sz="4" w:space="0" w:color="1F497D"/>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212</w:t>
            </w:r>
          </w:p>
        </w:tc>
        <w:tc>
          <w:tcPr>
            <w:tcW w:w="261" w:type="pct"/>
            <w:tcBorders>
              <w:top w:val="nil"/>
              <w:left w:val="nil"/>
              <w:bottom w:val="single" w:sz="4" w:space="0" w:color="1F497D"/>
              <w:right w:val="single" w:sz="4" w:space="0" w:color="1F497D"/>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8 350,69</w:t>
            </w:r>
          </w:p>
        </w:tc>
        <w:tc>
          <w:tcPr>
            <w:tcW w:w="214" w:type="pct"/>
            <w:tcBorders>
              <w:top w:val="nil"/>
              <w:left w:val="nil"/>
              <w:bottom w:val="single" w:sz="4" w:space="0" w:color="1F497D"/>
              <w:right w:val="single" w:sz="4" w:space="0" w:color="1F497D"/>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128,45</w:t>
            </w:r>
          </w:p>
        </w:tc>
        <w:tc>
          <w:tcPr>
            <w:tcW w:w="214" w:type="pct"/>
            <w:tcBorders>
              <w:top w:val="nil"/>
              <w:left w:val="nil"/>
              <w:bottom w:val="single" w:sz="4" w:space="0" w:color="1F497D"/>
              <w:right w:val="single" w:sz="4" w:space="0" w:color="1F497D"/>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316,45</w:t>
            </w:r>
          </w:p>
        </w:tc>
        <w:tc>
          <w:tcPr>
            <w:tcW w:w="261" w:type="pct"/>
            <w:tcBorders>
              <w:top w:val="nil"/>
              <w:left w:val="nil"/>
              <w:bottom w:val="single" w:sz="4" w:space="0" w:color="1F497D"/>
              <w:right w:val="single" w:sz="4" w:space="0" w:color="1F497D"/>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5 307,39</w:t>
            </w:r>
          </w:p>
        </w:tc>
        <w:tc>
          <w:tcPr>
            <w:tcW w:w="228" w:type="pct"/>
            <w:tcBorders>
              <w:top w:val="nil"/>
              <w:left w:val="nil"/>
              <w:bottom w:val="single" w:sz="4" w:space="0" w:color="1F497D"/>
              <w:right w:val="single" w:sz="4" w:space="0" w:color="1F497D"/>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81,64</w:t>
            </w:r>
          </w:p>
        </w:tc>
        <w:tc>
          <w:tcPr>
            <w:tcW w:w="254" w:type="pct"/>
            <w:tcBorders>
              <w:top w:val="nil"/>
              <w:left w:val="nil"/>
              <w:bottom w:val="single" w:sz="4" w:space="0" w:color="1F497D"/>
              <w:right w:val="single" w:sz="4" w:space="0" w:color="1F497D"/>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204,60</w:t>
            </w:r>
          </w:p>
        </w:tc>
        <w:tc>
          <w:tcPr>
            <w:tcW w:w="288" w:type="pct"/>
            <w:tcBorders>
              <w:top w:val="nil"/>
              <w:left w:val="nil"/>
              <w:bottom w:val="single" w:sz="4" w:space="0" w:color="1F497D"/>
              <w:right w:val="single" w:sz="4" w:space="0" w:color="1F497D"/>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5 095,32</w:t>
            </w:r>
          </w:p>
        </w:tc>
        <w:tc>
          <w:tcPr>
            <w:tcW w:w="214" w:type="pct"/>
            <w:tcBorders>
              <w:top w:val="nil"/>
              <w:left w:val="nil"/>
              <w:bottom w:val="single" w:sz="4" w:space="0" w:color="1F497D"/>
              <w:right w:val="single" w:sz="4" w:space="0" w:color="1F497D"/>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78,37</w:t>
            </w:r>
          </w:p>
        </w:tc>
        <w:tc>
          <w:tcPr>
            <w:tcW w:w="254" w:type="pct"/>
            <w:tcBorders>
              <w:top w:val="nil"/>
              <w:left w:val="nil"/>
              <w:bottom w:val="single" w:sz="4" w:space="0" w:color="1F497D"/>
              <w:right w:val="single" w:sz="4" w:space="0" w:color="1F497D"/>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196,81</w:t>
            </w:r>
          </w:p>
        </w:tc>
        <w:tc>
          <w:tcPr>
            <w:tcW w:w="274" w:type="pct"/>
            <w:tcBorders>
              <w:top w:val="nil"/>
              <w:left w:val="single" w:sz="4" w:space="0" w:color="auto"/>
              <w:bottom w:val="single" w:sz="4" w:space="0" w:color="auto"/>
              <w:right w:val="single" w:sz="4" w:space="0" w:color="auto"/>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4 677,46</w:t>
            </w:r>
          </w:p>
        </w:tc>
        <w:tc>
          <w:tcPr>
            <w:tcW w:w="207" w:type="pct"/>
            <w:tcBorders>
              <w:top w:val="nil"/>
              <w:left w:val="nil"/>
              <w:bottom w:val="single" w:sz="4" w:space="0" w:color="auto"/>
              <w:right w:val="single" w:sz="4" w:space="0" w:color="auto"/>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71,95</w:t>
            </w:r>
          </w:p>
        </w:tc>
        <w:tc>
          <w:tcPr>
            <w:tcW w:w="207" w:type="pct"/>
            <w:tcBorders>
              <w:top w:val="nil"/>
              <w:left w:val="nil"/>
              <w:bottom w:val="single" w:sz="4" w:space="0" w:color="auto"/>
              <w:right w:val="single" w:sz="4" w:space="0" w:color="auto"/>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180,87</w:t>
            </w:r>
          </w:p>
        </w:tc>
      </w:tr>
      <w:tr w:rsidR="00F5305F" w:rsidRPr="00F5305F" w:rsidTr="00F228F9">
        <w:trPr>
          <w:trHeight w:val="225"/>
        </w:trPr>
        <w:tc>
          <w:tcPr>
            <w:tcW w:w="241" w:type="pct"/>
            <w:vMerge/>
            <w:tcBorders>
              <w:top w:val="nil"/>
              <w:left w:val="single" w:sz="4" w:space="0" w:color="1F497D"/>
              <w:bottom w:val="single" w:sz="4" w:space="0" w:color="1F497D"/>
              <w:right w:val="single" w:sz="4" w:space="0" w:color="1F497D"/>
            </w:tcBorders>
            <w:vAlign w:val="center"/>
            <w:hideMark/>
          </w:tcPr>
          <w:p w:rsidR="00F5305F" w:rsidRPr="00F5305F" w:rsidRDefault="00F5305F" w:rsidP="00F5305F">
            <w:pPr>
              <w:jc w:val="center"/>
              <w:rPr>
                <w:color w:val="000000"/>
                <w:sz w:val="16"/>
                <w:szCs w:val="16"/>
              </w:rPr>
            </w:pPr>
          </w:p>
        </w:tc>
        <w:tc>
          <w:tcPr>
            <w:tcW w:w="335" w:type="pct"/>
            <w:tcBorders>
              <w:top w:val="nil"/>
              <w:left w:val="nil"/>
              <w:bottom w:val="single" w:sz="4" w:space="0" w:color="1F497D"/>
              <w:right w:val="single" w:sz="4" w:space="0" w:color="1F497D"/>
            </w:tcBorders>
            <w:shd w:val="clear" w:color="000000" w:fill="FFFFFF"/>
            <w:vAlign w:val="center"/>
            <w:hideMark/>
          </w:tcPr>
          <w:p w:rsidR="00F5305F" w:rsidRPr="00F5305F" w:rsidRDefault="00F5305F" w:rsidP="00F5305F">
            <w:pPr>
              <w:jc w:val="center"/>
              <w:rPr>
                <w:color w:val="000000"/>
                <w:sz w:val="16"/>
                <w:szCs w:val="16"/>
              </w:rPr>
            </w:pPr>
            <w:r w:rsidRPr="00F5305F">
              <w:rPr>
                <w:color w:val="000000"/>
                <w:sz w:val="16"/>
                <w:szCs w:val="16"/>
              </w:rPr>
              <w:t>Rozdíl</w:t>
            </w:r>
          </w:p>
        </w:tc>
        <w:tc>
          <w:tcPr>
            <w:tcW w:w="241" w:type="pct"/>
            <w:tcBorders>
              <w:top w:val="nil"/>
              <w:left w:val="nil"/>
              <w:bottom w:val="single" w:sz="4" w:space="0" w:color="1F497D"/>
              <w:right w:val="single" w:sz="4" w:space="0" w:color="1F497D"/>
            </w:tcBorders>
            <w:shd w:val="clear" w:color="000000" w:fill="FFFFFF"/>
            <w:noWrap/>
            <w:vAlign w:val="center"/>
            <w:hideMark/>
          </w:tcPr>
          <w:p w:rsidR="00F5305F" w:rsidRPr="00F5305F" w:rsidRDefault="00F5305F" w:rsidP="00F5305F">
            <w:pPr>
              <w:jc w:val="center"/>
              <w:rPr>
                <w:color w:val="000000"/>
                <w:sz w:val="16"/>
                <w:szCs w:val="16"/>
              </w:rPr>
            </w:pPr>
          </w:p>
        </w:tc>
        <w:tc>
          <w:tcPr>
            <w:tcW w:w="241" w:type="pct"/>
            <w:tcBorders>
              <w:top w:val="nil"/>
              <w:left w:val="nil"/>
              <w:bottom w:val="single" w:sz="4" w:space="0" w:color="1F497D"/>
              <w:right w:val="single" w:sz="4" w:space="0" w:color="1F497D"/>
            </w:tcBorders>
            <w:shd w:val="clear" w:color="000000" w:fill="FFFFFF"/>
            <w:noWrap/>
            <w:vAlign w:val="center"/>
            <w:hideMark/>
          </w:tcPr>
          <w:p w:rsidR="00F5305F" w:rsidRPr="00F5305F" w:rsidRDefault="00F5305F" w:rsidP="00F5305F">
            <w:pPr>
              <w:jc w:val="center"/>
              <w:rPr>
                <w:color w:val="000000"/>
                <w:sz w:val="16"/>
                <w:szCs w:val="16"/>
              </w:rPr>
            </w:pPr>
          </w:p>
        </w:tc>
        <w:tc>
          <w:tcPr>
            <w:tcW w:w="181" w:type="pct"/>
            <w:tcBorders>
              <w:top w:val="nil"/>
              <w:left w:val="nil"/>
              <w:bottom w:val="single" w:sz="4" w:space="0" w:color="1F497D"/>
              <w:right w:val="single" w:sz="4" w:space="0" w:color="1F497D"/>
            </w:tcBorders>
            <w:shd w:val="clear" w:color="000000" w:fill="FFFFFF"/>
            <w:vAlign w:val="center"/>
            <w:hideMark/>
          </w:tcPr>
          <w:p w:rsidR="00F5305F" w:rsidRPr="00F5305F" w:rsidRDefault="00F5305F" w:rsidP="00F5305F">
            <w:pPr>
              <w:jc w:val="center"/>
              <w:rPr>
                <w:color w:val="000000"/>
                <w:sz w:val="16"/>
                <w:szCs w:val="16"/>
              </w:rPr>
            </w:pPr>
            <w:r w:rsidRPr="00F5305F">
              <w:rPr>
                <w:color w:val="000000"/>
                <w:sz w:val="16"/>
                <w:szCs w:val="16"/>
              </w:rPr>
              <w:t>0</w:t>
            </w:r>
          </w:p>
        </w:tc>
        <w:tc>
          <w:tcPr>
            <w:tcW w:w="268" w:type="pct"/>
            <w:tcBorders>
              <w:top w:val="nil"/>
              <w:left w:val="nil"/>
              <w:bottom w:val="single" w:sz="4" w:space="0" w:color="1F497D"/>
              <w:right w:val="single" w:sz="4" w:space="0" w:color="1F497D"/>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0,00</w:t>
            </w:r>
          </w:p>
        </w:tc>
        <w:tc>
          <w:tcPr>
            <w:tcW w:w="207" w:type="pct"/>
            <w:tcBorders>
              <w:top w:val="nil"/>
              <w:left w:val="nil"/>
              <w:bottom w:val="single" w:sz="4" w:space="0" w:color="1F497D"/>
              <w:right w:val="single" w:sz="4" w:space="0" w:color="1F497D"/>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0,00</w:t>
            </w:r>
          </w:p>
        </w:tc>
        <w:tc>
          <w:tcPr>
            <w:tcW w:w="234" w:type="pct"/>
            <w:tcBorders>
              <w:top w:val="nil"/>
              <w:left w:val="nil"/>
              <w:bottom w:val="single" w:sz="4" w:space="0" w:color="1F497D"/>
              <w:right w:val="single" w:sz="4" w:space="0" w:color="1F497D"/>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2,33</w:t>
            </w:r>
          </w:p>
        </w:tc>
        <w:tc>
          <w:tcPr>
            <w:tcW w:w="174" w:type="pct"/>
            <w:tcBorders>
              <w:top w:val="nil"/>
              <w:left w:val="nil"/>
              <w:bottom w:val="single" w:sz="4" w:space="0" w:color="1F497D"/>
              <w:right w:val="single" w:sz="4" w:space="0" w:color="1F497D"/>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15</w:t>
            </w:r>
          </w:p>
        </w:tc>
        <w:tc>
          <w:tcPr>
            <w:tcW w:w="261" w:type="pct"/>
            <w:tcBorders>
              <w:top w:val="nil"/>
              <w:left w:val="nil"/>
              <w:bottom w:val="single" w:sz="4" w:space="0" w:color="1F497D"/>
              <w:right w:val="single" w:sz="4" w:space="0" w:color="1F497D"/>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1 582,79</w:t>
            </w:r>
          </w:p>
        </w:tc>
        <w:tc>
          <w:tcPr>
            <w:tcW w:w="214" w:type="pct"/>
            <w:tcBorders>
              <w:top w:val="nil"/>
              <w:left w:val="nil"/>
              <w:bottom w:val="single" w:sz="4" w:space="0" w:color="1F497D"/>
              <w:right w:val="single" w:sz="4" w:space="0" w:color="1F497D"/>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24,35</w:t>
            </w:r>
          </w:p>
        </w:tc>
        <w:tc>
          <w:tcPr>
            <w:tcW w:w="214" w:type="pct"/>
            <w:tcBorders>
              <w:top w:val="nil"/>
              <w:left w:val="nil"/>
              <w:bottom w:val="single" w:sz="4" w:space="0" w:color="1F497D"/>
              <w:right w:val="single" w:sz="4" w:space="0" w:color="1F497D"/>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58,91</w:t>
            </w:r>
          </w:p>
        </w:tc>
        <w:tc>
          <w:tcPr>
            <w:tcW w:w="261" w:type="pct"/>
            <w:tcBorders>
              <w:top w:val="nil"/>
              <w:left w:val="nil"/>
              <w:bottom w:val="single" w:sz="4" w:space="0" w:color="1F497D"/>
              <w:right w:val="single" w:sz="4" w:space="0" w:color="1F497D"/>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508,87</w:t>
            </w:r>
          </w:p>
        </w:tc>
        <w:tc>
          <w:tcPr>
            <w:tcW w:w="228" w:type="pct"/>
            <w:tcBorders>
              <w:top w:val="nil"/>
              <w:left w:val="nil"/>
              <w:bottom w:val="single" w:sz="4" w:space="0" w:color="1F497D"/>
              <w:right w:val="single" w:sz="4" w:space="0" w:color="1F497D"/>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7,83</w:t>
            </w:r>
          </w:p>
        </w:tc>
        <w:tc>
          <w:tcPr>
            <w:tcW w:w="254" w:type="pct"/>
            <w:tcBorders>
              <w:top w:val="nil"/>
              <w:left w:val="nil"/>
              <w:bottom w:val="single" w:sz="4" w:space="0" w:color="1F497D"/>
              <w:right w:val="single" w:sz="4" w:space="0" w:color="1F497D"/>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18,74</w:t>
            </w:r>
          </w:p>
        </w:tc>
        <w:tc>
          <w:tcPr>
            <w:tcW w:w="288" w:type="pct"/>
            <w:tcBorders>
              <w:top w:val="nil"/>
              <w:left w:val="nil"/>
              <w:bottom w:val="single" w:sz="4" w:space="0" w:color="1F497D"/>
              <w:right w:val="single" w:sz="4" w:space="0" w:color="1F497D"/>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390,49</w:t>
            </w:r>
          </w:p>
        </w:tc>
        <w:tc>
          <w:tcPr>
            <w:tcW w:w="214" w:type="pct"/>
            <w:tcBorders>
              <w:top w:val="nil"/>
              <w:left w:val="nil"/>
              <w:bottom w:val="single" w:sz="4" w:space="0" w:color="1F497D"/>
              <w:right w:val="single" w:sz="4" w:space="0" w:color="1F497D"/>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6,01</w:t>
            </w:r>
          </w:p>
        </w:tc>
        <w:tc>
          <w:tcPr>
            <w:tcW w:w="254" w:type="pct"/>
            <w:tcBorders>
              <w:top w:val="nil"/>
              <w:left w:val="nil"/>
              <w:bottom w:val="single" w:sz="4" w:space="0" w:color="1F497D"/>
              <w:right w:val="single" w:sz="4" w:space="0" w:color="1F497D"/>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14,35</w:t>
            </w:r>
          </w:p>
        </w:tc>
        <w:tc>
          <w:tcPr>
            <w:tcW w:w="274" w:type="pct"/>
            <w:tcBorders>
              <w:top w:val="nil"/>
              <w:left w:val="single" w:sz="4" w:space="0" w:color="auto"/>
              <w:bottom w:val="single" w:sz="4" w:space="0" w:color="auto"/>
              <w:right w:val="single" w:sz="4" w:space="0" w:color="auto"/>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63,54</w:t>
            </w:r>
          </w:p>
        </w:tc>
        <w:tc>
          <w:tcPr>
            <w:tcW w:w="207" w:type="pct"/>
            <w:tcBorders>
              <w:top w:val="nil"/>
              <w:left w:val="nil"/>
              <w:bottom w:val="single" w:sz="4" w:space="0" w:color="auto"/>
              <w:right w:val="single" w:sz="4" w:space="0" w:color="auto"/>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0,98</w:t>
            </w:r>
          </w:p>
        </w:tc>
        <w:tc>
          <w:tcPr>
            <w:tcW w:w="207" w:type="pct"/>
            <w:tcBorders>
              <w:top w:val="nil"/>
              <w:left w:val="nil"/>
              <w:bottom w:val="single" w:sz="4" w:space="0" w:color="auto"/>
              <w:right w:val="single" w:sz="4" w:space="0" w:color="auto"/>
            </w:tcBorders>
            <w:shd w:val="clear" w:color="000000" w:fill="FFFFFF"/>
            <w:noWrap/>
            <w:vAlign w:val="center"/>
            <w:hideMark/>
          </w:tcPr>
          <w:p w:rsidR="00F5305F" w:rsidRPr="00F5305F" w:rsidRDefault="00F5305F" w:rsidP="00F5305F">
            <w:pPr>
              <w:jc w:val="center"/>
              <w:rPr>
                <w:color w:val="000000"/>
                <w:sz w:val="16"/>
                <w:szCs w:val="16"/>
              </w:rPr>
            </w:pPr>
            <w:r w:rsidRPr="00F5305F">
              <w:rPr>
                <w:color w:val="000000"/>
                <w:sz w:val="16"/>
                <w:szCs w:val="16"/>
              </w:rPr>
              <w:t>2,01</w:t>
            </w:r>
          </w:p>
        </w:tc>
      </w:tr>
    </w:tbl>
    <w:p w:rsidR="00F5305F" w:rsidRPr="00F5305F" w:rsidRDefault="00F5305F" w:rsidP="00F5305F"/>
    <w:p w:rsidR="0062284D" w:rsidRDefault="0062284D" w:rsidP="00520A85">
      <w:pPr>
        <w:spacing w:after="120"/>
        <w:jc w:val="both"/>
        <w:rPr>
          <w:b/>
          <w:color w:val="000000"/>
          <w:sz w:val="22"/>
          <w:szCs w:val="22"/>
        </w:rPr>
      </w:pPr>
    </w:p>
    <w:p w:rsidR="005E6475" w:rsidRDefault="00DB6581" w:rsidP="00C94812">
      <w:pPr>
        <w:spacing w:after="120"/>
        <w:jc w:val="both"/>
        <w:rPr>
          <w:sz w:val="22"/>
          <w:szCs w:val="22"/>
        </w:rPr>
      </w:pPr>
      <w:r w:rsidRPr="006D3F04">
        <w:rPr>
          <w:b/>
          <w:color w:val="000000"/>
          <w:sz w:val="22"/>
          <w:szCs w:val="22"/>
        </w:rPr>
        <w:t>V oblasti intervence 3.3</w:t>
      </w:r>
      <w:r w:rsidR="00E0218F">
        <w:rPr>
          <w:sz w:val="22"/>
          <w:szCs w:val="22"/>
        </w:rPr>
        <w:t xml:space="preserve"> </w:t>
      </w:r>
      <w:r w:rsidR="005E6475" w:rsidRPr="00665342">
        <w:rPr>
          <w:sz w:val="22"/>
          <w:szCs w:val="22"/>
        </w:rPr>
        <w:t xml:space="preserve">bylo kumulativně podáno 29 projektových žádostí v celkové výši </w:t>
      </w:r>
      <w:r w:rsidR="005E6475">
        <w:rPr>
          <w:sz w:val="22"/>
          <w:szCs w:val="22"/>
        </w:rPr>
        <w:t>69,21 </w:t>
      </w:r>
      <w:r w:rsidR="005E6475" w:rsidRPr="00665342">
        <w:rPr>
          <w:sz w:val="22"/>
          <w:szCs w:val="22"/>
        </w:rPr>
        <w:t>mil. EUR. Ve sledovaném období nebyla předložena žádná projektová žádost</w:t>
      </w:r>
      <w:r w:rsidR="005E6475">
        <w:rPr>
          <w:sz w:val="22"/>
          <w:szCs w:val="22"/>
        </w:rPr>
        <w:t xml:space="preserve">, </w:t>
      </w:r>
      <w:r w:rsidR="005E6475" w:rsidRPr="00A95C46">
        <w:rPr>
          <w:sz w:val="22"/>
          <w:szCs w:val="22"/>
        </w:rPr>
        <w:t xml:space="preserve">všechny výzvy </w:t>
      </w:r>
      <w:r w:rsidR="00C94812">
        <w:rPr>
          <w:sz w:val="22"/>
          <w:szCs w:val="22"/>
        </w:rPr>
        <w:t>j</w:t>
      </w:r>
      <w:r w:rsidR="005E6475" w:rsidRPr="00A95C46">
        <w:rPr>
          <w:sz w:val="22"/>
          <w:szCs w:val="22"/>
        </w:rPr>
        <w:t>sou uzavřen</w:t>
      </w:r>
      <w:r w:rsidR="00C94812">
        <w:rPr>
          <w:sz w:val="22"/>
          <w:szCs w:val="22"/>
        </w:rPr>
        <w:t>é</w:t>
      </w:r>
      <w:r w:rsidR="005E6475" w:rsidRPr="00665342">
        <w:rPr>
          <w:sz w:val="22"/>
          <w:szCs w:val="22"/>
        </w:rPr>
        <w:t xml:space="preserve">. </w:t>
      </w:r>
      <w:r w:rsidR="005E6475">
        <w:rPr>
          <w:sz w:val="22"/>
          <w:szCs w:val="22"/>
        </w:rPr>
        <w:t>Částka</w:t>
      </w:r>
      <w:r w:rsidR="005E6475" w:rsidRPr="00665342">
        <w:rPr>
          <w:sz w:val="22"/>
          <w:szCs w:val="22"/>
        </w:rPr>
        <w:t xml:space="preserve"> za vydaná Rozhodnutí </w:t>
      </w:r>
      <w:r w:rsidR="005E6475">
        <w:rPr>
          <w:sz w:val="22"/>
          <w:szCs w:val="22"/>
        </w:rPr>
        <w:t>se snížila</w:t>
      </w:r>
      <w:r w:rsidR="005E6475" w:rsidRPr="00665342">
        <w:rPr>
          <w:sz w:val="22"/>
          <w:szCs w:val="22"/>
        </w:rPr>
        <w:t xml:space="preserve"> o </w:t>
      </w:r>
      <w:r w:rsidR="005E6475">
        <w:rPr>
          <w:sz w:val="22"/>
          <w:szCs w:val="22"/>
        </w:rPr>
        <w:t>0,11</w:t>
      </w:r>
      <w:r w:rsidR="005E6475" w:rsidRPr="00665342">
        <w:rPr>
          <w:sz w:val="22"/>
          <w:szCs w:val="22"/>
        </w:rPr>
        <w:t xml:space="preserve"> mil. EUR z důvodu </w:t>
      </w:r>
      <w:r w:rsidR="005E6475">
        <w:rPr>
          <w:sz w:val="22"/>
          <w:szCs w:val="22"/>
        </w:rPr>
        <w:t>úspory na základě provedených výběrových řízení</w:t>
      </w:r>
      <w:r w:rsidR="005E6475" w:rsidRPr="00665342">
        <w:rPr>
          <w:sz w:val="22"/>
          <w:szCs w:val="22"/>
        </w:rPr>
        <w:t xml:space="preserve">. </w:t>
      </w:r>
      <w:r w:rsidR="005E6475">
        <w:rPr>
          <w:sz w:val="22"/>
          <w:szCs w:val="22"/>
        </w:rPr>
        <w:t>P</w:t>
      </w:r>
      <w:r w:rsidR="005E6475" w:rsidRPr="00665342">
        <w:rPr>
          <w:sz w:val="22"/>
          <w:szCs w:val="22"/>
        </w:rPr>
        <w:t>rostředky proplacené příjemcům</w:t>
      </w:r>
      <w:r w:rsidR="005E6475">
        <w:rPr>
          <w:sz w:val="22"/>
          <w:szCs w:val="22"/>
        </w:rPr>
        <w:t xml:space="preserve"> se </w:t>
      </w:r>
      <w:r w:rsidR="00C94812">
        <w:rPr>
          <w:sz w:val="22"/>
          <w:szCs w:val="22"/>
        </w:rPr>
        <w:t>z</w:t>
      </w:r>
      <w:r w:rsidR="005E6475">
        <w:rPr>
          <w:sz w:val="22"/>
          <w:szCs w:val="22"/>
        </w:rPr>
        <w:t>výšily o 0,03 mil. EUR</w:t>
      </w:r>
      <w:r w:rsidR="005E6475" w:rsidRPr="00665342">
        <w:rPr>
          <w:sz w:val="22"/>
          <w:szCs w:val="22"/>
        </w:rPr>
        <w:t xml:space="preserve">, </w:t>
      </w:r>
      <w:r w:rsidR="005E6475">
        <w:rPr>
          <w:sz w:val="22"/>
          <w:szCs w:val="22"/>
        </w:rPr>
        <w:t>c</w:t>
      </w:r>
      <w:r w:rsidR="005E6475" w:rsidRPr="00665342">
        <w:rPr>
          <w:sz w:val="22"/>
          <w:szCs w:val="22"/>
        </w:rPr>
        <w:t>elkově byly proplaceny příjemcům prostředky v objemu 20,</w:t>
      </w:r>
      <w:r w:rsidR="005E6475">
        <w:rPr>
          <w:sz w:val="22"/>
          <w:szCs w:val="22"/>
        </w:rPr>
        <w:t>75</w:t>
      </w:r>
      <w:r w:rsidR="005E6475" w:rsidRPr="00665342">
        <w:rPr>
          <w:sz w:val="22"/>
          <w:szCs w:val="22"/>
        </w:rPr>
        <w:t xml:space="preserve"> mil. EUR, což představuje </w:t>
      </w:r>
      <w:r w:rsidR="005E6475">
        <w:rPr>
          <w:sz w:val="22"/>
          <w:szCs w:val="22"/>
        </w:rPr>
        <w:t>50</w:t>
      </w:r>
      <w:r w:rsidR="005E6475" w:rsidRPr="00665342">
        <w:rPr>
          <w:sz w:val="22"/>
          <w:szCs w:val="22"/>
        </w:rPr>
        <w:t>,</w:t>
      </w:r>
      <w:r w:rsidR="005E6475">
        <w:rPr>
          <w:sz w:val="22"/>
          <w:szCs w:val="22"/>
        </w:rPr>
        <w:t>31</w:t>
      </w:r>
      <w:r w:rsidR="005E6475" w:rsidRPr="00665342">
        <w:rPr>
          <w:sz w:val="22"/>
          <w:szCs w:val="22"/>
        </w:rPr>
        <w:t xml:space="preserve"> % alokace.  </w:t>
      </w:r>
      <w:r w:rsidR="00C94812">
        <w:rPr>
          <w:sz w:val="22"/>
          <w:szCs w:val="22"/>
        </w:rPr>
        <w:t>B</w:t>
      </w:r>
      <w:r w:rsidR="005E6475">
        <w:rPr>
          <w:sz w:val="22"/>
          <w:szCs w:val="22"/>
        </w:rPr>
        <w:t xml:space="preserve">yly </w:t>
      </w:r>
      <w:r w:rsidR="00C94812">
        <w:rPr>
          <w:sz w:val="22"/>
          <w:szCs w:val="22"/>
        </w:rPr>
        <w:t>c</w:t>
      </w:r>
      <w:r w:rsidR="005E6475" w:rsidRPr="00665342">
        <w:rPr>
          <w:sz w:val="22"/>
          <w:szCs w:val="22"/>
        </w:rPr>
        <w:t xml:space="preserve">ertifikovány výdaje v objemu </w:t>
      </w:r>
      <w:r w:rsidR="005E6475">
        <w:rPr>
          <w:sz w:val="22"/>
          <w:szCs w:val="22"/>
        </w:rPr>
        <w:t>14,5</w:t>
      </w:r>
      <w:r w:rsidR="005E6475" w:rsidRPr="00665342">
        <w:rPr>
          <w:sz w:val="22"/>
          <w:szCs w:val="22"/>
        </w:rPr>
        <w:t xml:space="preserve"> mil. EUR, tj. </w:t>
      </w:r>
      <w:r w:rsidR="005E6475">
        <w:rPr>
          <w:sz w:val="22"/>
          <w:szCs w:val="22"/>
        </w:rPr>
        <w:t>35,22</w:t>
      </w:r>
      <w:r w:rsidR="005E6475" w:rsidRPr="00665342">
        <w:rPr>
          <w:sz w:val="22"/>
          <w:szCs w:val="22"/>
        </w:rPr>
        <w:t xml:space="preserve"> % alokace.  </w:t>
      </w:r>
    </w:p>
    <w:p w:rsidR="005E6475" w:rsidRDefault="005E6475" w:rsidP="005E6475">
      <w:pPr>
        <w:spacing w:after="120"/>
        <w:ind w:left="717"/>
        <w:rPr>
          <w:sz w:val="22"/>
          <w:szCs w:val="22"/>
        </w:rPr>
      </w:pPr>
    </w:p>
    <w:p w:rsidR="001918E8" w:rsidRDefault="00DB6581" w:rsidP="001918E8">
      <w:pPr>
        <w:pStyle w:val="Tabulkanzev"/>
      </w:pPr>
      <w:bookmarkStart w:id="95" w:name="_Toc433873556"/>
      <w:r w:rsidRPr="007125EE">
        <w:rPr>
          <w:rStyle w:val="Siln"/>
        </w:rPr>
        <w:t>Kumulativní pokrok na úrovni oblastí intervence 3.3 (v mil. CZK/EUR)</w:t>
      </w:r>
      <w:bookmarkEnd w:id="95"/>
    </w:p>
    <w:tbl>
      <w:tblPr>
        <w:tblW w:w="5000" w:type="pct"/>
        <w:tblCellMar>
          <w:left w:w="70" w:type="dxa"/>
          <w:right w:w="70" w:type="dxa"/>
        </w:tblCellMar>
        <w:tblLook w:val="04A0" w:firstRow="1" w:lastRow="0" w:firstColumn="1" w:lastColumn="0" w:noHBand="0" w:noVBand="1"/>
      </w:tblPr>
      <w:tblGrid>
        <w:gridCol w:w="718"/>
        <w:gridCol w:w="943"/>
        <w:gridCol w:w="700"/>
        <w:gridCol w:w="677"/>
        <w:gridCol w:w="514"/>
        <w:gridCol w:w="753"/>
        <w:gridCol w:w="581"/>
        <w:gridCol w:w="657"/>
        <w:gridCol w:w="514"/>
        <w:gridCol w:w="733"/>
        <w:gridCol w:w="600"/>
        <w:gridCol w:w="600"/>
        <w:gridCol w:w="734"/>
        <w:gridCol w:w="641"/>
        <w:gridCol w:w="715"/>
        <w:gridCol w:w="811"/>
        <w:gridCol w:w="601"/>
        <w:gridCol w:w="715"/>
        <w:gridCol w:w="771"/>
        <w:gridCol w:w="582"/>
        <w:gridCol w:w="584"/>
      </w:tblGrid>
      <w:tr w:rsidR="00F228F9" w:rsidRPr="00F228F9" w:rsidTr="00F228F9">
        <w:trPr>
          <w:trHeight w:val="600"/>
        </w:trPr>
        <w:tc>
          <w:tcPr>
            <w:tcW w:w="241" w:type="pct"/>
            <w:vMerge w:val="restart"/>
            <w:tcBorders>
              <w:top w:val="single" w:sz="4" w:space="0" w:color="1F497D"/>
              <w:left w:val="single" w:sz="4" w:space="0" w:color="1F497D"/>
              <w:bottom w:val="single" w:sz="4" w:space="0" w:color="1F497D"/>
              <w:right w:val="single" w:sz="4" w:space="0" w:color="1F497D"/>
            </w:tcBorders>
            <w:shd w:val="clear" w:color="000000" w:fill="DCE6F1"/>
            <w:vAlign w:val="center"/>
            <w:hideMark/>
          </w:tcPr>
          <w:p w:rsidR="00F228F9" w:rsidRPr="00F228F9" w:rsidRDefault="00F228F9" w:rsidP="00F228F9">
            <w:pPr>
              <w:jc w:val="center"/>
              <w:rPr>
                <w:b/>
                <w:bCs/>
                <w:color w:val="000000"/>
                <w:sz w:val="16"/>
                <w:szCs w:val="16"/>
              </w:rPr>
            </w:pPr>
            <w:r w:rsidRPr="00F228F9">
              <w:rPr>
                <w:b/>
                <w:bCs/>
                <w:color w:val="000000"/>
                <w:sz w:val="16"/>
                <w:szCs w:val="16"/>
              </w:rPr>
              <w:t>Oblast podpory</w:t>
            </w:r>
          </w:p>
        </w:tc>
        <w:tc>
          <w:tcPr>
            <w:tcW w:w="335" w:type="pct"/>
            <w:tcBorders>
              <w:top w:val="single" w:sz="4" w:space="0" w:color="1F497D"/>
              <w:left w:val="nil"/>
              <w:bottom w:val="single" w:sz="4" w:space="0" w:color="1F497D"/>
              <w:right w:val="single" w:sz="4" w:space="0" w:color="1F497D"/>
            </w:tcBorders>
            <w:shd w:val="clear" w:color="000000" w:fill="DCE6F1"/>
            <w:vAlign w:val="center"/>
            <w:hideMark/>
          </w:tcPr>
          <w:p w:rsidR="00F228F9" w:rsidRPr="00F228F9" w:rsidRDefault="00F228F9" w:rsidP="00F228F9">
            <w:pPr>
              <w:jc w:val="center"/>
              <w:rPr>
                <w:b/>
                <w:bCs/>
                <w:color w:val="000000"/>
                <w:sz w:val="16"/>
                <w:szCs w:val="16"/>
              </w:rPr>
            </w:pPr>
            <w:r w:rsidRPr="00F228F9">
              <w:rPr>
                <w:b/>
                <w:bCs/>
                <w:color w:val="000000"/>
                <w:sz w:val="16"/>
                <w:szCs w:val="16"/>
              </w:rPr>
              <w:t>Datum snímku</w:t>
            </w:r>
          </w:p>
        </w:tc>
        <w:tc>
          <w:tcPr>
            <w:tcW w:w="482" w:type="pct"/>
            <w:gridSpan w:val="2"/>
            <w:tcBorders>
              <w:top w:val="single" w:sz="4" w:space="0" w:color="1F497D"/>
              <w:left w:val="nil"/>
              <w:bottom w:val="single" w:sz="4" w:space="0" w:color="1F497D"/>
              <w:right w:val="single" w:sz="4" w:space="0" w:color="1F497D"/>
            </w:tcBorders>
            <w:shd w:val="clear" w:color="000000" w:fill="DCE6F1"/>
            <w:vAlign w:val="center"/>
            <w:hideMark/>
          </w:tcPr>
          <w:p w:rsidR="00F228F9" w:rsidRPr="00F228F9" w:rsidRDefault="00F228F9" w:rsidP="00F228F9">
            <w:pPr>
              <w:jc w:val="center"/>
              <w:rPr>
                <w:b/>
                <w:bCs/>
                <w:color w:val="000000"/>
                <w:sz w:val="16"/>
                <w:szCs w:val="16"/>
              </w:rPr>
            </w:pPr>
            <w:r w:rsidRPr="00F228F9">
              <w:rPr>
                <w:b/>
                <w:bCs/>
                <w:color w:val="000000"/>
                <w:sz w:val="16"/>
                <w:szCs w:val="16"/>
              </w:rPr>
              <w:t>Celková alokace podpory 2007-2013</w:t>
            </w:r>
          </w:p>
        </w:tc>
        <w:tc>
          <w:tcPr>
            <w:tcW w:w="890" w:type="pct"/>
            <w:gridSpan w:val="4"/>
            <w:tcBorders>
              <w:top w:val="single" w:sz="4" w:space="0" w:color="1F497D"/>
              <w:left w:val="nil"/>
              <w:bottom w:val="single" w:sz="4" w:space="0" w:color="1F497D"/>
              <w:right w:val="single" w:sz="4" w:space="0" w:color="1F497D"/>
            </w:tcBorders>
            <w:shd w:val="clear" w:color="000000" w:fill="DCE6F1"/>
            <w:vAlign w:val="center"/>
            <w:hideMark/>
          </w:tcPr>
          <w:p w:rsidR="00F228F9" w:rsidRPr="00F228F9" w:rsidRDefault="00F228F9" w:rsidP="00F228F9">
            <w:pPr>
              <w:jc w:val="center"/>
              <w:rPr>
                <w:b/>
                <w:bCs/>
                <w:color w:val="000000"/>
                <w:sz w:val="16"/>
                <w:szCs w:val="16"/>
              </w:rPr>
            </w:pPr>
            <w:r w:rsidRPr="00F228F9">
              <w:rPr>
                <w:b/>
                <w:bCs/>
                <w:color w:val="000000"/>
                <w:sz w:val="16"/>
                <w:szCs w:val="16"/>
              </w:rPr>
              <w:t>Podané žádosti</w:t>
            </w:r>
          </w:p>
        </w:tc>
        <w:tc>
          <w:tcPr>
            <w:tcW w:w="863" w:type="pct"/>
            <w:gridSpan w:val="4"/>
            <w:tcBorders>
              <w:top w:val="single" w:sz="4" w:space="0" w:color="1F497D"/>
              <w:left w:val="nil"/>
              <w:bottom w:val="single" w:sz="4" w:space="0" w:color="1F497D"/>
              <w:right w:val="single" w:sz="4" w:space="0" w:color="1F497D"/>
            </w:tcBorders>
            <w:shd w:val="clear" w:color="000000" w:fill="DCE6F1"/>
            <w:vAlign w:val="center"/>
            <w:hideMark/>
          </w:tcPr>
          <w:p w:rsidR="00F228F9" w:rsidRPr="00F228F9" w:rsidRDefault="00F228F9" w:rsidP="00F228F9">
            <w:pPr>
              <w:jc w:val="center"/>
              <w:rPr>
                <w:b/>
                <w:bCs/>
                <w:color w:val="000000"/>
                <w:sz w:val="16"/>
                <w:szCs w:val="16"/>
              </w:rPr>
            </w:pPr>
            <w:r w:rsidRPr="00F228F9">
              <w:rPr>
                <w:b/>
                <w:bCs/>
                <w:color w:val="000000"/>
                <w:sz w:val="16"/>
                <w:szCs w:val="16"/>
              </w:rPr>
              <w:t>Prostředky kryté Rozhodnutím / Smlouvou (dodatkem)</w:t>
            </w:r>
          </w:p>
        </w:tc>
        <w:tc>
          <w:tcPr>
            <w:tcW w:w="743" w:type="pct"/>
            <w:gridSpan w:val="3"/>
            <w:tcBorders>
              <w:top w:val="single" w:sz="4" w:space="0" w:color="1F497D"/>
              <w:left w:val="nil"/>
              <w:bottom w:val="single" w:sz="4" w:space="0" w:color="1F497D"/>
              <w:right w:val="single" w:sz="4" w:space="0" w:color="1F497D"/>
            </w:tcBorders>
            <w:shd w:val="clear" w:color="000000" w:fill="DCE6F1"/>
            <w:vAlign w:val="center"/>
            <w:hideMark/>
          </w:tcPr>
          <w:p w:rsidR="00F228F9" w:rsidRPr="00F228F9" w:rsidRDefault="00F228F9" w:rsidP="00F228F9">
            <w:pPr>
              <w:jc w:val="center"/>
              <w:rPr>
                <w:b/>
                <w:bCs/>
                <w:color w:val="000000"/>
                <w:sz w:val="16"/>
                <w:szCs w:val="16"/>
              </w:rPr>
            </w:pPr>
            <w:r w:rsidRPr="00F228F9">
              <w:rPr>
                <w:b/>
                <w:bCs/>
                <w:color w:val="000000"/>
                <w:sz w:val="16"/>
                <w:szCs w:val="16"/>
              </w:rPr>
              <w:t>Proplacené prostředky příjemcům (vyúčtované prostředky)</w:t>
            </w:r>
          </w:p>
        </w:tc>
        <w:tc>
          <w:tcPr>
            <w:tcW w:w="756" w:type="pct"/>
            <w:gridSpan w:val="3"/>
            <w:tcBorders>
              <w:top w:val="single" w:sz="4" w:space="0" w:color="1F497D"/>
              <w:left w:val="nil"/>
              <w:bottom w:val="single" w:sz="4" w:space="0" w:color="1F497D"/>
              <w:right w:val="single" w:sz="4" w:space="0" w:color="1F497D"/>
            </w:tcBorders>
            <w:shd w:val="clear" w:color="000000" w:fill="DCE6F1"/>
            <w:vAlign w:val="center"/>
            <w:hideMark/>
          </w:tcPr>
          <w:p w:rsidR="00F228F9" w:rsidRPr="00F228F9" w:rsidRDefault="00F228F9" w:rsidP="00F228F9">
            <w:pPr>
              <w:jc w:val="center"/>
              <w:rPr>
                <w:b/>
                <w:bCs/>
                <w:color w:val="000000"/>
                <w:sz w:val="16"/>
                <w:szCs w:val="16"/>
              </w:rPr>
            </w:pPr>
            <w:r w:rsidRPr="00F228F9">
              <w:rPr>
                <w:b/>
                <w:bCs/>
                <w:color w:val="000000"/>
                <w:sz w:val="16"/>
                <w:szCs w:val="16"/>
              </w:rPr>
              <w:t>Souhrnné žádosti zaúčtované PCO</w:t>
            </w:r>
          </w:p>
        </w:tc>
        <w:tc>
          <w:tcPr>
            <w:tcW w:w="689" w:type="pct"/>
            <w:gridSpan w:val="3"/>
            <w:tcBorders>
              <w:top w:val="single" w:sz="4" w:space="0" w:color="1F497D"/>
              <w:left w:val="nil"/>
              <w:bottom w:val="single" w:sz="4" w:space="0" w:color="1F497D"/>
              <w:right w:val="single" w:sz="4" w:space="0" w:color="1F497D"/>
            </w:tcBorders>
            <w:shd w:val="clear" w:color="000000" w:fill="DCE6F1"/>
            <w:vAlign w:val="center"/>
            <w:hideMark/>
          </w:tcPr>
          <w:p w:rsidR="00F228F9" w:rsidRPr="00F228F9" w:rsidRDefault="00F228F9" w:rsidP="00F228F9">
            <w:pPr>
              <w:jc w:val="center"/>
              <w:rPr>
                <w:b/>
                <w:bCs/>
                <w:color w:val="000000"/>
                <w:sz w:val="16"/>
                <w:szCs w:val="16"/>
              </w:rPr>
            </w:pPr>
            <w:r w:rsidRPr="00F228F9">
              <w:rPr>
                <w:b/>
                <w:bCs/>
                <w:color w:val="000000"/>
                <w:sz w:val="16"/>
                <w:szCs w:val="16"/>
              </w:rPr>
              <w:t>Certifikované prostředky (včetně vratek)</w:t>
            </w:r>
          </w:p>
        </w:tc>
      </w:tr>
      <w:tr w:rsidR="00F228F9" w:rsidRPr="00F228F9" w:rsidTr="00F228F9">
        <w:trPr>
          <w:trHeight w:val="450"/>
        </w:trPr>
        <w:tc>
          <w:tcPr>
            <w:tcW w:w="241" w:type="pct"/>
            <w:vMerge/>
            <w:tcBorders>
              <w:top w:val="single" w:sz="4" w:space="0" w:color="1F497D"/>
              <w:left w:val="single" w:sz="4" w:space="0" w:color="1F497D"/>
              <w:bottom w:val="single" w:sz="4" w:space="0" w:color="1F497D"/>
              <w:right w:val="single" w:sz="4" w:space="0" w:color="1F497D"/>
            </w:tcBorders>
            <w:vAlign w:val="center"/>
            <w:hideMark/>
          </w:tcPr>
          <w:p w:rsidR="00F228F9" w:rsidRPr="00F228F9" w:rsidRDefault="00F228F9" w:rsidP="00F228F9">
            <w:pPr>
              <w:rPr>
                <w:b/>
                <w:bCs/>
                <w:color w:val="000000"/>
                <w:sz w:val="16"/>
                <w:szCs w:val="16"/>
              </w:rPr>
            </w:pPr>
          </w:p>
        </w:tc>
        <w:tc>
          <w:tcPr>
            <w:tcW w:w="335" w:type="pct"/>
            <w:vMerge w:val="restart"/>
            <w:tcBorders>
              <w:top w:val="nil"/>
              <w:left w:val="single" w:sz="4" w:space="0" w:color="1F497D"/>
              <w:bottom w:val="single" w:sz="4" w:space="0" w:color="1F497D"/>
              <w:right w:val="single" w:sz="4" w:space="0" w:color="1F497D"/>
            </w:tcBorders>
            <w:shd w:val="clear" w:color="000000" w:fill="DCE6F1"/>
            <w:vAlign w:val="center"/>
            <w:hideMark/>
          </w:tcPr>
          <w:p w:rsidR="00F228F9" w:rsidRPr="00F228F9" w:rsidRDefault="00F228F9" w:rsidP="00F228F9">
            <w:pPr>
              <w:jc w:val="center"/>
              <w:rPr>
                <w:b/>
                <w:bCs/>
                <w:color w:val="000000"/>
                <w:sz w:val="16"/>
                <w:szCs w:val="16"/>
              </w:rPr>
            </w:pPr>
            <w:r w:rsidRPr="00F228F9">
              <w:rPr>
                <w:b/>
                <w:bCs/>
                <w:color w:val="000000"/>
                <w:sz w:val="16"/>
                <w:szCs w:val="16"/>
              </w:rPr>
              <w:t>Den</w:t>
            </w:r>
          </w:p>
        </w:tc>
        <w:tc>
          <w:tcPr>
            <w:tcW w:w="241" w:type="pct"/>
            <w:tcBorders>
              <w:top w:val="nil"/>
              <w:left w:val="nil"/>
              <w:bottom w:val="single" w:sz="4" w:space="0" w:color="1F497D"/>
              <w:right w:val="single" w:sz="4" w:space="0" w:color="1F497D"/>
            </w:tcBorders>
            <w:shd w:val="clear" w:color="000000" w:fill="DCE6F1"/>
            <w:vAlign w:val="center"/>
            <w:hideMark/>
          </w:tcPr>
          <w:p w:rsidR="00F228F9" w:rsidRPr="00F228F9" w:rsidRDefault="00F228F9" w:rsidP="00F228F9">
            <w:pPr>
              <w:jc w:val="center"/>
              <w:rPr>
                <w:b/>
                <w:bCs/>
                <w:color w:val="000000"/>
                <w:sz w:val="16"/>
                <w:szCs w:val="16"/>
              </w:rPr>
            </w:pPr>
            <w:r w:rsidRPr="00F228F9">
              <w:rPr>
                <w:b/>
                <w:bCs/>
                <w:color w:val="000000"/>
                <w:sz w:val="16"/>
                <w:szCs w:val="16"/>
              </w:rPr>
              <w:t>mil. CZK</w:t>
            </w:r>
          </w:p>
        </w:tc>
        <w:tc>
          <w:tcPr>
            <w:tcW w:w="241" w:type="pct"/>
            <w:vMerge w:val="restart"/>
            <w:tcBorders>
              <w:top w:val="nil"/>
              <w:left w:val="single" w:sz="4" w:space="0" w:color="1F497D"/>
              <w:bottom w:val="single" w:sz="4" w:space="0" w:color="1F497D"/>
              <w:right w:val="single" w:sz="4" w:space="0" w:color="1F497D"/>
            </w:tcBorders>
            <w:shd w:val="clear" w:color="000000" w:fill="DCE6F1"/>
            <w:vAlign w:val="center"/>
            <w:hideMark/>
          </w:tcPr>
          <w:p w:rsidR="00F228F9" w:rsidRPr="00F228F9" w:rsidRDefault="00F228F9" w:rsidP="00F228F9">
            <w:pPr>
              <w:jc w:val="center"/>
              <w:rPr>
                <w:b/>
                <w:bCs/>
                <w:color w:val="000000"/>
                <w:sz w:val="16"/>
                <w:szCs w:val="16"/>
              </w:rPr>
            </w:pPr>
            <w:r w:rsidRPr="00F228F9">
              <w:rPr>
                <w:b/>
                <w:bCs/>
                <w:color w:val="000000"/>
                <w:sz w:val="16"/>
                <w:szCs w:val="16"/>
              </w:rPr>
              <w:t>mil. EUR</w:t>
            </w:r>
          </w:p>
        </w:tc>
        <w:tc>
          <w:tcPr>
            <w:tcW w:w="181" w:type="pct"/>
            <w:tcBorders>
              <w:top w:val="nil"/>
              <w:left w:val="nil"/>
              <w:bottom w:val="single" w:sz="4" w:space="0" w:color="1F497D"/>
              <w:right w:val="single" w:sz="4" w:space="0" w:color="1F497D"/>
            </w:tcBorders>
            <w:shd w:val="clear" w:color="000000" w:fill="DCE6F1"/>
            <w:vAlign w:val="center"/>
            <w:hideMark/>
          </w:tcPr>
          <w:p w:rsidR="00F228F9" w:rsidRPr="00F228F9" w:rsidRDefault="00F228F9" w:rsidP="00F228F9">
            <w:pPr>
              <w:jc w:val="center"/>
              <w:rPr>
                <w:b/>
                <w:bCs/>
                <w:color w:val="000000"/>
                <w:sz w:val="16"/>
                <w:szCs w:val="16"/>
              </w:rPr>
            </w:pPr>
            <w:r w:rsidRPr="00F228F9">
              <w:rPr>
                <w:b/>
                <w:bCs/>
                <w:color w:val="000000"/>
                <w:sz w:val="16"/>
                <w:szCs w:val="16"/>
              </w:rPr>
              <w:t>Počet</w:t>
            </w:r>
          </w:p>
        </w:tc>
        <w:tc>
          <w:tcPr>
            <w:tcW w:w="268" w:type="pct"/>
            <w:tcBorders>
              <w:top w:val="nil"/>
              <w:left w:val="nil"/>
              <w:bottom w:val="single" w:sz="4" w:space="0" w:color="1F497D"/>
              <w:right w:val="single" w:sz="4" w:space="0" w:color="1F497D"/>
            </w:tcBorders>
            <w:shd w:val="clear" w:color="000000" w:fill="DCE6F1"/>
            <w:vAlign w:val="center"/>
            <w:hideMark/>
          </w:tcPr>
          <w:p w:rsidR="00F228F9" w:rsidRPr="00F228F9" w:rsidRDefault="00F228F9" w:rsidP="00F228F9">
            <w:pPr>
              <w:jc w:val="center"/>
              <w:rPr>
                <w:b/>
                <w:bCs/>
                <w:color w:val="000000"/>
                <w:sz w:val="16"/>
                <w:szCs w:val="16"/>
              </w:rPr>
            </w:pPr>
            <w:r w:rsidRPr="00F228F9">
              <w:rPr>
                <w:b/>
                <w:bCs/>
                <w:color w:val="000000"/>
                <w:sz w:val="16"/>
                <w:szCs w:val="16"/>
              </w:rPr>
              <w:t>mil. CZK</w:t>
            </w:r>
          </w:p>
        </w:tc>
        <w:tc>
          <w:tcPr>
            <w:tcW w:w="207" w:type="pct"/>
            <w:tcBorders>
              <w:top w:val="nil"/>
              <w:left w:val="nil"/>
              <w:bottom w:val="single" w:sz="4" w:space="0" w:color="1F497D"/>
              <w:right w:val="single" w:sz="4" w:space="0" w:color="1F497D"/>
            </w:tcBorders>
            <w:shd w:val="clear" w:color="000000" w:fill="DCE6F1"/>
            <w:vAlign w:val="center"/>
            <w:hideMark/>
          </w:tcPr>
          <w:p w:rsidR="00F228F9" w:rsidRPr="00F228F9" w:rsidRDefault="00F228F9" w:rsidP="00F228F9">
            <w:pPr>
              <w:jc w:val="center"/>
              <w:rPr>
                <w:b/>
                <w:bCs/>
                <w:color w:val="000000"/>
                <w:sz w:val="16"/>
                <w:szCs w:val="16"/>
              </w:rPr>
            </w:pPr>
            <w:r w:rsidRPr="00F228F9">
              <w:rPr>
                <w:b/>
                <w:bCs/>
                <w:color w:val="000000"/>
                <w:sz w:val="16"/>
                <w:szCs w:val="16"/>
              </w:rPr>
              <w:t>%</w:t>
            </w:r>
          </w:p>
        </w:tc>
        <w:tc>
          <w:tcPr>
            <w:tcW w:w="234" w:type="pct"/>
            <w:vMerge w:val="restart"/>
            <w:tcBorders>
              <w:top w:val="nil"/>
              <w:left w:val="single" w:sz="4" w:space="0" w:color="1F497D"/>
              <w:bottom w:val="single" w:sz="4" w:space="0" w:color="1F497D"/>
              <w:right w:val="single" w:sz="4" w:space="0" w:color="1F497D"/>
            </w:tcBorders>
            <w:shd w:val="clear" w:color="000000" w:fill="DCE6F1"/>
            <w:vAlign w:val="center"/>
            <w:hideMark/>
          </w:tcPr>
          <w:p w:rsidR="00F228F9" w:rsidRPr="00F228F9" w:rsidRDefault="00F228F9" w:rsidP="00F228F9">
            <w:pPr>
              <w:jc w:val="center"/>
              <w:rPr>
                <w:b/>
                <w:bCs/>
                <w:color w:val="000000"/>
                <w:sz w:val="16"/>
                <w:szCs w:val="16"/>
              </w:rPr>
            </w:pPr>
            <w:r w:rsidRPr="00F228F9">
              <w:rPr>
                <w:b/>
                <w:bCs/>
                <w:color w:val="000000"/>
                <w:sz w:val="16"/>
                <w:szCs w:val="16"/>
              </w:rPr>
              <w:t>mil. EUR</w:t>
            </w:r>
          </w:p>
        </w:tc>
        <w:tc>
          <w:tcPr>
            <w:tcW w:w="174" w:type="pct"/>
            <w:tcBorders>
              <w:top w:val="nil"/>
              <w:left w:val="nil"/>
              <w:bottom w:val="single" w:sz="4" w:space="0" w:color="1F497D"/>
              <w:right w:val="single" w:sz="4" w:space="0" w:color="1F497D"/>
            </w:tcBorders>
            <w:shd w:val="clear" w:color="000000" w:fill="DCE6F1"/>
            <w:vAlign w:val="center"/>
            <w:hideMark/>
          </w:tcPr>
          <w:p w:rsidR="00F228F9" w:rsidRPr="00F228F9" w:rsidRDefault="00F228F9" w:rsidP="00F228F9">
            <w:pPr>
              <w:jc w:val="center"/>
              <w:rPr>
                <w:b/>
                <w:bCs/>
                <w:color w:val="000000"/>
                <w:sz w:val="16"/>
                <w:szCs w:val="16"/>
              </w:rPr>
            </w:pPr>
            <w:r w:rsidRPr="00F228F9">
              <w:rPr>
                <w:b/>
                <w:bCs/>
                <w:color w:val="000000"/>
                <w:sz w:val="16"/>
                <w:szCs w:val="16"/>
              </w:rPr>
              <w:t>Počet</w:t>
            </w:r>
          </w:p>
        </w:tc>
        <w:tc>
          <w:tcPr>
            <w:tcW w:w="261" w:type="pct"/>
            <w:tcBorders>
              <w:top w:val="nil"/>
              <w:left w:val="nil"/>
              <w:bottom w:val="single" w:sz="4" w:space="0" w:color="1F497D"/>
              <w:right w:val="single" w:sz="4" w:space="0" w:color="1F497D"/>
            </w:tcBorders>
            <w:shd w:val="clear" w:color="000000" w:fill="DCE6F1"/>
            <w:vAlign w:val="center"/>
            <w:hideMark/>
          </w:tcPr>
          <w:p w:rsidR="00F228F9" w:rsidRPr="00F228F9" w:rsidRDefault="00F228F9" w:rsidP="00F228F9">
            <w:pPr>
              <w:jc w:val="center"/>
              <w:rPr>
                <w:b/>
                <w:bCs/>
                <w:color w:val="000000"/>
                <w:sz w:val="16"/>
                <w:szCs w:val="16"/>
              </w:rPr>
            </w:pPr>
            <w:r w:rsidRPr="00F228F9">
              <w:rPr>
                <w:b/>
                <w:bCs/>
                <w:color w:val="000000"/>
                <w:sz w:val="16"/>
                <w:szCs w:val="16"/>
              </w:rPr>
              <w:t>mil. CZK</w:t>
            </w:r>
          </w:p>
        </w:tc>
        <w:tc>
          <w:tcPr>
            <w:tcW w:w="214" w:type="pct"/>
            <w:tcBorders>
              <w:top w:val="nil"/>
              <w:left w:val="nil"/>
              <w:bottom w:val="single" w:sz="4" w:space="0" w:color="1F497D"/>
              <w:right w:val="single" w:sz="4" w:space="0" w:color="1F497D"/>
            </w:tcBorders>
            <w:shd w:val="clear" w:color="000000" w:fill="DCE6F1"/>
            <w:vAlign w:val="center"/>
            <w:hideMark/>
          </w:tcPr>
          <w:p w:rsidR="00F228F9" w:rsidRPr="00F228F9" w:rsidRDefault="00F228F9" w:rsidP="00F228F9">
            <w:pPr>
              <w:jc w:val="center"/>
              <w:rPr>
                <w:b/>
                <w:bCs/>
                <w:color w:val="000000"/>
                <w:sz w:val="16"/>
                <w:szCs w:val="16"/>
              </w:rPr>
            </w:pPr>
            <w:r w:rsidRPr="00F228F9">
              <w:rPr>
                <w:b/>
                <w:bCs/>
                <w:color w:val="000000"/>
                <w:sz w:val="16"/>
                <w:szCs w:val="16"/>
              </w:rPr>
              <w:t>%</w:t>
            </w:r>
          </w:p>
        </w:tc>
        <w:tc>
          <w:tcPr>
            <w:tcW w:w="214" w:type="pct"/>
            <w:vMerge w:val="restart"/>
            <w:tcBorders>
              <w:top w:val="nil"/>
              <w:left w:val="single" w:sz="4" w:space="0" w:color="1F497D"/>
              <w:bottom w:val="single" w:sz="4" w:space="0" w:color="1F497D"/>
              <w:right w:val="single" w:sz="4" w:space="0" w:color="1F497D"/>
            </w:tcBorders>
            <w:shd w:val="clear" w:color="000000" w:fill="DCE6F1"/>
            <w:vAlign w:val="center"/>
            <w:hideMark/>
          </w:tcPr>
          <w:p w:rsidR="00F228F9" w:rsidRPr="00F228F9" w:rsidRDefault="00F228F9" w:rsidP="00F228F9">
            <w:pPr>
              <w:jc w:val="center"/>
              <w:rPr>
                <w:b/>
                <w:bCs/>
                <w:color w:val="000000"/>
                <w:sz w:val="16"/>
                <w:szCs w:val="16"/>
              </w:rPr>
            </w:pPr>
            <w:r w:rsidRPr="00F228F9">
              <w:rPr>
                <w:b/>
                <w:bCs/>
                <w:color w:val="000000"/>
                <w:sz w:val="16"/>
                <w:szCs w:val="16"/>
              </w:rPr>
              <w:t>mil. EUR</w:t>
            </w:r>
          </w:p>
        </w:tc>
        <w:tc>
          <w:tcPr>
            <w:tcW w:w="261" w:type="pct"/>
            <w:tcBorders>
              <w:top w:val="nil"/>
              <w:left w:val="nil"/>
              <w:bottom w:val="single" w:sz="4" w:space="0" w:color="1F497D"/>
              <w:right w:val="single" w:sz="4" w:space="0" w:color="1F497D"/>
            </w:tcBorders>
            <w:shd w:val="clear" w:color="000000" w:fill="DCE6F1"/>
            <w:vAlign w:val="center"/>
            <w:hideMark/>
          </w:tcPr>
          <w:p w:rsidR="00F228F9" w:rsidRPr="00F228F9" w:rsidRDefault="00F228F9" w:rsidP="00F228F9">
            <w:pPr>
              <w:jc w:val="center"/>
              <w:rPr>
                <w:b/>
                <w:bCs/>
                <w:color w:val="000000"/>
                <w:sz w:val="16"/>
                <w:szCs w:val="16"/>
              </w:rPr>
            </w:pPr>
            <w:r w:rsidRPr="00F228F9">
              <w:rPr>
                <w:b/>
                <w:bCs/>
                <w:color w:val="000000"/>
                <w:sz w:val="16"/>
                <w:szCs w:val="16"/>
              </w:rPr>
              <w:t>mil. CZK</w:t>
            </w:r>
          </w:p>
        </w:tc>
        <w:tc>
          <w:tcPr>
            <w:tcW w:w="228" w:type="pct"/>
            <w:tcBorders>
              <w:top w:val="nil"/>
              <w:left w:val="nil"/>
              <w:bottom w:val="single" w:sz="4" w:space="0" w:color="1F497D"/>
              <w:right w:val="single" w:sz="4" w:space="0" w:color="1F497D"/>
            </w:tcBorders>
            <w:shd w:val="clear" w:color="000000" w:fill="DCE6F1"/>
            <w:vAlign w:val="center"/>
            <w:hideMark/>
          </w:tcPr>
          <w:p w:rsidR="00F228F9" w:rsidRPr="00F228F9" w:rsidRDefault="00F228F9" w:rsidP="00F228F9">
            <w:pPr>
              <w:jc w:val="center"/>
              <w:rPr>
                <w:b/>
                <w:bCs/>
                <w:color w:val="000000"/>
                <w:sz w:val="16"/>
                <w:szCs w:val="16"/>
              </w:rPr>
            </w:pPr>
            <w:r w:rsidRPr="00F228F9">
              <w:rPr>
                <w:b/>
                <w:bCs/>
                <w:color w:val="000000"/>
                <w:sz w:val="16"/>
                <w:szCs w:val="16"/>
              </w:rPr>
              <w:t>%</w:t>
            </w:r>
          </w:p>
        </w:tc>
        <w:tc>
          <w:tcPr>
            <w:tcW w:w="254" w:type="pct"/>
            <w:vMerge w:val="restart"/>
            <w:tcBorders>
              <w:top w:val="nil"/>
              <w:left w:val="single" w:sz="4" w:space="0" w:color="1F497D"/>
              <w:bottom w:val="single" w:sz="4" w:space="0" w:color="1F497D"/>
              <w:right w:val="single" w:sz="4" w:space="0" w:color="1F497D"/>
            </w:tcBorders>
            <w:shd w:val="clear" w:color="000000" w:fill="DCE6F1"/>
            <w:vAlign w:val="center"/>
            <w:hideMark/>
          </w:tcPr>
          <w:p w:rsidR="00F228F9" w:rsidRPr="00F228F9" w:rsidRDefault="00F228F9" w:rsidP="00F228F9">
            <w:pPr>
              <w:jc w:val="center"/>
              <w:rPr>
                <w:b/>
                <w:bCs/>
                <w:color w:val="000000"/>
                <w:sz w:val="16"/>
                <w:szCs w:val="16"/>
              </w:rPr>
            </w:pPr>
            <w:r w:rsidRPr="00F228F9">
              <w:rPr>
                <w:b/>
                <w:bCs/>
                <w:color w:val="000000"/>
                <w:sz w:val="16"/>
                <w:szCs w:val="16"/>
              </w:rPr>
              <w:t>mil. EUR</w:t>
            </w:r>
          </w:p>
        </w:tc>
        <w:tc>
          <w:tcPr>
            <w:tcW w:w="288" w:type="pct"/>
            <w:tcBorders>
              <w:top w:val="nil"/>
              <w:left w:val="nil"/>
              <w:bottom w:val="single" w:sz="4" w:space="0" w:color="1F497D"/>
              <w:right w:val="single" w:sz="4" w:space="0" w:color="1F497D"/>
            </w:tcBorders>
            <w:shd w:val="clear" w:color="000000" w:fill="DCE6F1"/>
            <w:vAlign w:val="center"/>
            <w:hideMark/>
          </w:tcPr>
          <w:p w:rsidR="00F228F9" w:rsidRPr="00F228F9" w:rsidRDefault="00F228F9" w:rsidP="00F228F9">
            <w:pPr>
              <w:jc w:val="center"/>
              <w:rPr>
                <w:b/>
                <w:bCs/>
                <w:color w:val="000000"/>
                <w:sz w:val="16"/>
                <w:szCs w:val="16"/>
              </w:rPr>
            </w:pPr>
            <w:r w:rsidRPr="00F228F9">
              <w:rPr>
                <w:b/>
                <w:bCs/>
                <w:color w:val="000000"/>
                <w:sz w:val="16"/>
                <w:szCs w:val="16"/>
              </w:rPr>
              <w:t>mil. CZK</w:t>
            </w:r>
          </w:p>
        </w:tc>
        <w:tc>
          <w:tcPr>
            <w:tcW w:w="214" w:type="pct"/>
            <w:tcBorders>
              <w:top w:val="nil"/>
              <w:left w:val="nil"/>
              <w:bottom w:val="single" w:sz="4" w:space="0" w:color="1F497D"/>
              <w:right w:val="single" w:sz="4" w:space="0" w:color="1F497D"/>
            </w:tcBorders>
            <w:shd w:val="clear" w:color="000000" w:fill="DCE6F1"/>
            <w:vAlign w:val="center"/>
            <w:hideMark/>
          </w:tcPr>
          <w:p w:rsidR="00F228F9" w:rsidRPr="00F228F9" w:rsidRDefault="00F228F9" w:rsidP="00F228F9">
            <w:pPr>
              <w:jc w:val="center"/>
              <w:rPr>
                <w:b/>
                <w:bCs/>
                <w:color w:val="000000"/>
                <w:sz w:val="16"/>
                <w:szCs w:val="16"/>
              </w:rPr>
            </w:pPr>
            <w:r w:rsidRPr="00F228F9">
              <w:rPr>
                <w:b/>
                <w:bCs/>
                <w:color w:val="000000"/>
                <w:sz w:val="16"/>
                <w:szCs w:val="16"/>
              </w:rPr>
              <w:t>%</w:t>
            </w:r>
          </w:p>
        </w:tc>
        <w:tc>
          <w:tcPr>
            <w:tcW w:w="254" w:type="pct"/>
            <w:vMerge w:val="restart"/>
            <w:tcBorders>
              <w:top w:val="nil"/>
              <w:left w:val="single" w:sz="4" w:space="0" w:color="1F497D"/>
              <w:bottom w:val="single" w:sz="4" w:space="0" w:color="1F497D"/>
              <w:right w:val="single" w:sz="4" w:space="0" w:color="1F497D"/>
            </w:tcBorders>
            <w:shd w:val="clear" w:color="000000" w:fill="DCE6F1"/>
            <w:vAlign w:val="center"/>
            <w:hideMark/>
          </w:tcPr>
          <w:p w:rsidR="00F228F9" w:rsidRPr="00F228F9" w:rsidRDefault="00F228F9" w:rsidP="00F228F9">
            <w:pPr>
              <w:jc w:val="center"/>
              <w:rPr>
                <w:b/>
                <w:bCs/>
                <w:color w:val="000000"/>
                <w:sz w:val="16"/>
                <w:szCs w:val="16"/>
              </w:rPr>
            </w:pPr>
            <w:r w:rsidRPr="00F228F9">
              <w:rPr>
                <w:b/>
                <w:bCs/>
                <w:color w:val="000000"/>
                <w:sz w:val="16"/>
                <w:szCs w:val="16"/>
              </w:rPr>
              <w:t>mil. EUR</w:t>
            </w:r>
          </w:p>
        </w:tc>
        <w:tc>
          <w:tcPr>
            <w:tcW w:w="274" w:type="pct"/>
            <w:tcBorders>
              <w:top w:val="nil"/>
              <w:left w:val="nil"/>
              <w:bottom w:val="single" w:sz="4" w:space="0" w:color="1F497D"/>
              <w:right w:val="single" w:sz="4" w:space="0" w:color="1F497D"/>
            </w:tcBorders>
            <w:shd w:val="clear" w:color="000000" w:fill="DCE6F1"/>
            <w:vAlign w:val="center"/>
            <w:hideMark/>
          </w:tcPr>
          <w:p w:rsidR="00F228F9" w:rsidRPr="00F228F9" w:rsidRDefault="00F228F9" w:rsidP="00F228F9">
            <w:pPr>
              <w:jc w:val="center"/>
              <w:rPr>
                <w:b/>
                <w:bCs/>
                <w:color w:val="000000"/>
                <w:sz w:val="16"/>
                <w:szCs w:val="16"/>
              </w:rPr>
            </w:pPr>
            <w:r w:rsidRPr="00F228F9">
              <w:rPr>
                <w:b/>
                <w:bCs/>
                <w:color w:val="000000"/>
                <w:sz w:val="16"/>
                <w:szCs w:val="16"/>
              </w:rPr>
              <w:t>mil. CZK</w:t>
            </w:r>
          </w:p>
        </w:tc>
        <w:tc>
          <w:tcPr>
            <w:tcW w:w="207" w:type="pct"/>
            <w:tcBorders>
              <w:top w:val="nil"/>
              <w:left w:val="nil"/>
              <w:bottom w:val="single" w:sz="4" w:space="0" w:color="1F497D"/>
              <w:right w:val="single" w:sz="4" w:space="0" w:color="1F497D"/>
            </w:tcBorders>
            <w:shd w:val="clear" w:color="000000" w:fill="DCE6F1"/>
            <w:vAlign w:val="center"/>
            <w:hideMark/>
          </w:tcPr>
          <w:p w:rsidR="00F228F9" w:rsidRPr="00F228F9" w:rsidRDefault="00F228F9" w:rsidP="00F228F9">
            <w:pPr>
              <w:jc w:val="center"/>
              <w:rPr>
                <w:b/>
                <w:bCs/>
                <w:color w:val="000000"/>
                <w:sz w:val="16"/>
                <w:szCs w:val="16"/>
              </w:rPr>
            </w:pPr>
            <w:r w:rsidRPr="00F228F9">
              <w:rPr>
                <w:b/>
                <w:bCs/>
                <w:color w:val="000000"/>
                <w:sz w:val="16"/>
                <w:szCs w:val="16"/>
              </w:rPr>
              <w:t>%</w:t>
            </w:r>
          </w:p>
        </w:tc>
        <w:tc>
          <w:tcPr>
            <w:tcW w:w="207" w:type="pct"/>
            <w:vMerge w:val="restart"/>
            <w:tcBorders>
              <w:top w:val="nil"/>
              <w:left w:val="single" w:sz="4" w:space="0" w:color="1F497D"/>
              <w:bottom w:val="single" w:sz="4" w:space="0" w:color="1F497D"/>
              <w:right w:val="single" w:sz="4" w:space="0" w:color="1F497D"/>
            </w:tcBorders>
            <w:shd w:val="clear" w:color="000000" w:fill="DCE6F1"/>
            <w:vAlign w:val="center"/>
            <w:hideMark/>
          </w:tcPr>
          <w:p w:rsidR="00F228F9" w:rsidRPr="00F228F9" w:rsidRDefault="00F228F9" w:rsidP="00F228F9">
            <w:pPr>
              <w:jc w:val="center"/>
              <w:rPr>
                <w:b/>
                <w:bCs/>
                <w:color w:val="000000"/>
                <w:sz w:val="16"/>
                <w:szCs w:val="16"/>
              </w:rPr>
            </w:pPr>
            <w:r w:rsidRPr="00F228F9">
              <w:rPr>
                <w:b/>
                <w:bCs/>
                <w:color w:val="000000"/>
                <w:sz w:val="16"/>
                <w:szCs w:val="16"/>
              </w:rPr>
              <w:t>mil. EUR</w:t>
            </w:r>
          </w:p>
        </w:tc>
      </w:tr>
      <w:tr w:rsidR="00F228F9" w:rsidRPr="00F228F9" w:rsidTr="00F228F9">
        <w:trPr>
          <w:trHeight w:val="240"/>
        </w:trPr>
        <w:tc>
          <w:tcPr>
            <w:tcW w:w="241" w:type="pct"/>
            <w:vMerge/>
            <w:tcBorders>
              <w:top w:val="single" w:sz="4" w:space="0" w:color="1F497D"/>
              <w:left w:val="single" w:sz="4" w:space="0" w:color="1F497D"/>
              <w:bottom w:val="single" w:sz="4" w:space="0" w:color="1F497D"/>
              <w:right w:val="single" w:sz="4" w:space="0" w:color="1F497D"/>
            </w:tcBorders>
            <w:vAlign w:val="center"/>
            <w:hideMark/>
          </w:tcPr>
          <w:p w:rsidR="00F228F9" w:rsidRPr="00F228F9" w:rsidRDefault="00F228F9" w:rsidP="00F228F9">
            <w:pPr>
              <w:rPr>
                <w:b/>
                <w:bCs/>
                <w:color w:val="000000"/>
                <w:sz w:val="16"/>
                <w:szCs w:val="16"/>
              </w:rPr>
            </w:pPr>
          </w:p>
        </w:tc>
        <w:tc>
          <w:tcPr>
            <w:tcW w:w="335" w:type="pct"/>
            <w:vMerge/>
            <w:tcBorders>
              <w:top w:val="nil"/>
              <w:left w:val="single" w:sz="4" w:space="0" w:color="1F497D"/>
              <w:bottom w:val="single" w:sz="4" w:space="0" w:color="1F497D"/>
              <w:right w:val="single" w:sz="4" w:space="0" w:color="1F497D"/>
            </w:tcBorders>
            <w:vAlign w:val="center"/>
            <w:hideMark/>
          </w:tcPr>
          <w:p w:rsidR="00F228F9" w:rsidRPr="00F228F9" w:rsidRDefault="00F228F9" w:rsidP="00F228F9">
            <w:pPr>
              <w:rPr>
                <w:b/>
                <w:bCs/>
                <w:color w:val="000000"/>
                <w:sz w:val="16"/>
                <w:szCs w:val="16"/>
              </w:rPr>
            </w:pPr>
          </w:p>
        </w:tc>
        <w:tc>
          <w:tcPr>
            <w:tcW w:w="241" w:type="pct"/>
            <w:tcBorders>
              <w:top w:val="nil"/>
              <w:left w:val="nil"/>
              <w:bottom w:val="single" w:sz="4" w:space="0" w:color="1F497D"/>
              <w:right w:val="single" w:sz="4" w:space="0" w:color="1F497D"/>
            </w:tcBorders>
            <w:shd w:val="clear" w:color="000000" w:fill="DCE6F1"/>
            <w:vAlign w:val="center"/>
            <w:hideMark/>
          </w:tcPr>
          <w:p w:rsidR="00F228F9" w:rsidRPr="00F228F9" w:rsidRDefault="00F228F9" w:rsidP="00F228F9">
            <w:pPr>
              <w:jc w:val="center"/>
              <w:rPr>
                <w:b/>
                <w:bCs/>
                <w:color w:val="000000"/>
                <w:sz w:val="16"/>
                <w:szCs w:val="16"/>
              </w:rPr>
            </w:pPr>
            <w:r w:rsidRPr="00F228F9">
              <w:rPr>
                <w:b/>
                <w:bCs/>
                <w:color w:val="000000"/>
                <w:sz w:val="16"/>
                <w:szCs w:val="16"/>
              </w:rPr>
              <w:t xml:space="preserve">a </w:t>
            </w:r>
          </w:p>
        </w:tc>
        <w:tc>
          <w:tcPr>
            <w:tcW w:w="241" w:type="pct"/>
            <w:vMerge/>
            <w:tcBorders>
              <w:top w:val="nil"/>
              <w:left w:val="single" w:sz="4" w:space="0" w:color="1F497D"/>
              <w:bottom w:val="single" w:sz="4" w:space="0" w:color="1F497D"/>
              <w:right w:val="single" w:sz="4" w:space="0" w:color="1F497D"/>
            </w:tcBorders>
            <w:vAlign w:val="center"/>
            <w:hideMark/>
          </w:tcPr>
          <w:p w:rsidR="00F228F9" w:rsidRPr="00F228F9" w:rsidRDefault="00F228F9" w:rsidP="00F228F9">
            <w:pPr>
              <w:rPr>
                <w:b/>
                <w:bCs/>
                <w:color w:val="000000"/>
                <w:sz w:val="16"/>
                <w:szCs w:val="16"/>
              </w:rPr>
            </w:pPr>
          </w:p>
        </w:tc>
        <w:tc>
          <w:tcPr>
            <w:tcW w:w="181" w:type="pct"/>
            <w:tcBorders>
              <w:top w:val="nil"/>
              <w:left w:val="nil"/>
              <w:bottom w:val="single" w:sz="4" w:space="0" w:color="1F497D"/>
              <w:right w:val="single" w:sz="4" w:space="0" w:color="1F497D"/>
            </w:tcBorders>
            <w:shd w:val="clear" w:color="000000" w:fill="DCE6F1"/>
            <w:vAlign w:val="center"/>
            <w:hideMark/>
          </w:tcPr>
          <w:p w:rsidR="00F228F9" w:rsidRPr="00F228F9" w:rsidRDefault="00F228F9" w:rsidP="00F228F9">
            <w:pPr>
              <w:jc w:val="center"/>
              <w:rPr>
                <w:b/>
                <w:bCs/>
                <w:color w:val="000000"/>
                <w:sz w:val="16"/>
                <w:szCs w:val="16"/>
              </w:rPr>
            </w:pPr>
            <w:r w:rsidRPr="00F228F9">
              <w:rPr>
                <w:b/>
                <w:bCs/>
                <w:color w:val="000000"/>
                <w:sz w:val="16"/>
                <w:szCs w:val="16"/>
              </w:rPr>
              <w:t>b</w:t>
            </w:r>
          </w:p>
        </w:tc>
        <w:tc>
          <w:tcPr>
            <w:tcW w:w="268" w:type="pct"/>
            <w:tcBorders>
              <w:top w:val="nil"/>
              <w:left w:val="nil"/>
              <w:bottom w:val="single" w:sz="4" w:space="0" w:color="1F497D"/>
              <w:right w:val="single" w:sz="4" w:space="0" w:color="1F497D"/>
            </w:tcBorders>
            <w:shd w:val="clear" w:color="000000" w:fill="DCE6F1"/>
            <w:vAlign w:val="center"/>
            <w:hideMark/>
          </w:tcPr>
          <w:p w:rsidR="00F228F9" w:rsidRPr="00F228F9" w:rsidRDefault="00F228F9" w:rsidP="00F228F9">
            <w:pPr>
              <w:jc w:val="center"/>
              <w:rPr>
                <w:b/>
                <w:bCs/>
                <w:color w:val="000000"/>
                <w:sz w:val="16"/>
                <w:szCs w:val="16"/>
              </w:rPr>
            </w:pPr>
            <w:r w:rsidRPr="00F228F9">
              <w:rPr>
                <w:b/>
                <w:bCs/>
                <w:color w:val="000000"/>
                <w:sz w:val="16"/>
                <w:szCs w:val="16"/>
              </w:rPr>
              <w:t>c</w:t>
            </w:r>
          </w:p>
        </w:tc>
        <w:tc>
          <w:tcPr>
            <w:tcW w:w="207" w:type="pct"/>
            <w:tcBorders>
              <w:top w:val="nil"/>
              <w:left w:val="nil"/>
              <w:bottom w:val="single" w:sz="4" w:space="0" w:color="1F497D"/>
              <w:right w:val="single" w:sz="4" w:space="0" w:color="1F497D"/>
            </w:tcBorders>
            <w:shd w:val="clear" w:color="000000" w:fill="DCE6F1"/>
            <w:vAlign w:val="center"/>
            <w:hideMark/>
          </w:tcPr>
          <w:p w:rsidR="00F228F9" w:rsidRPr="00F228F9" w:rsidRDefault="00F228F9" w:rsidP="00F228F9">
            <w:pPr>
              <w:jc w:val="center"/>
              <w:rPr>
                <w:b/>
                <w:bCs/>
                <w:color w:val="000000"/>
                <w:sz w:val="16"/>
                <w:szCs w:val="16"/>
              </w:rPr>
            </w:pPr>
            <w:r w:rsidRPr="00F228F9">
              <w:rPr>
                <w:b/>
                <w:bCs/>
                <w:color w:val="000000"/>
                <w:sz w:val="16"/>
                <w:szCs w:val="16"/>
              </w:rPr>
              <w:t>c/a</w:t>
            </w:r>
          </w:p>
        </w:tc>
        <w:tc>
          <w:tcPr>
            <w:tcW w:w="234" w:type="pct"/>
            <w:vMerge/>
            <w:tcBorders>
              <w:top w:val="nil"/>
              <w:left w:val="single" w:sz="4" w:space="0" w:color="1F497D"/>
              <w:bottom w:val="single" w:sz="4" w:space="0" w:color="1F497D"/>
              <w:right w:val="single" w:sz="4" w:space="0" w:color="1F497D"/>
            </w:tcBorders>
            <w:vAlign w:val="center"/>
            <w:hideMark/>
          </w:tcPr>
          <w:p w:rsidR="00F228F9" w:rsidRPr="00F228F9" w:rsidRDefault="00F228F9" w:rsidP="00F228F9">
            <w:pPr>
              <w:rPr>
                <w:b/>
                <w:bCs/>
                <w:color w:val="000000"/>
                <w:sz w:val="16"/>
                <w:szCs w:val="16"/>
              </w:rPr>
            </w:pPr>
          </w:p>
        </w:tc>
        <w:tc>
          <w:tcPr>
            <w:tcW w:w="174" w:type="pct"/>
            <w:tcBorders>
              <w:top w:val="nil"/>
              <w:left w:val="nil"/>
              <w:bottom w:val="single" w:sz="4" w:space="0" w:color="1F497D"/>
              <w:right w:val="single" w:sz="4" w:space="0" w:color="1F497D"/>
            </w:tcBorders>
            <w:shd w:val="clear" w:color="000000" w:fill="DCE6F1"/>
            <w:vAlign w:val="center"/>
            <w:hideMark/>
          </w:tcPr>
          <w:p w:rsidR="00F228F9" w:rsidRPr="00F228F9" w:rsidRDefault="00F228F9" w:rsidP="00F228F9">
            <w:pPr>
              <w:jc w:val="center"/>
              <w:rPr>
                <w:b/>
                <w:bCs/>
                <w:color w:val="000000"/>
                <w:sz w:val="16"/>
                <w:szCs w:val="16"/>
              </w:rPr>
            </w:pPr>
            <w:r w:rsidRPr="00F228F9">
              <w:rPr>
                <w:b/>
                <w:bCs/>
                <w:color w:val="000000"/>
                <w:sz w:val="16"/>
                <w:szCs w:val="16"/>
              </w:rPr>
              <w:t>d</w:t>
            </w:r>
          </w:p>
        </w:tc>
        <w:tc>
          <w:tcPr>
            <w:tcW w:w="261" w:type="pct"/>
            <w:tcBorders>
              <w:top w:val="nil"/>
              <w:left w:val="nil"/>
              <w:bottom w:val="single" w:sz="4" w:space="0" w:color="1F497D"/>
              <w:right w:val="single" w:sz="4" w:space="0" w:color="1F497D"/>
            </w:tcBorders>
            <w:shd w:val="clear" w:color="000000" w:fill="DCE6F1"/>
            <w:vAlign w:val="center"/>
            <w:hideMark/>
          </w:tcPr>
          <w:p w:rsidR="00F228F9" w:rsidRPr="00F228F9" w:rsidRDefault="00F228F9" w:rsidP="00F228F9">
            <w:pPr>
              <w:jc w:val="center"/>
              <w:rPr>
                <w:b/>
                <w:bCs/>
                <w:color w:val="000000"/>
                <w:sz w:val="16"/>
                <w:szCs w:val="16"/>
              </w:rPr>
            </w:pPr>
            <w:r w:rsidRPr="00F228F9">
              <w:rPr>
                <w:b/>
                <w:bCs/>
                <w:color w:val="000000"/>
                <w:sz w:val="16"/>
                <w:szCs w:val="16"/>
              </w:rPr>
              <w:t>e</w:t>
            </w:r>
          </w:p>
        </w:tc>
        <w:tc>
          <w:tcPr>
            <w:tcW w:w="214" w:type="pct"/>
            <w:tcBorders>
              <w:top w:val="nil"/>
              <w:left w:val="nil"/>
              <w:bottom w:val="single" w:sz="4" w:space="0" w:color="1F497D"/>
              <w:right w:val="single" w:sz="4" w:space="0" w:color="1F497D"/>
            </w:tcBorders>
            <w:shd w:val="clear" w:color="000000" w:fill="DCE6F1"/>
            <w:vAlign w:val="center"/>
            <w:hideMark/>
          </w:tcPr>
          <w:p w:rsidR="00F228F9" w:rsidRPr="00F228F9" w:rsidRDefault="00F228F9" w:rsidP="00F228F9">
            <w:pPr>
              <w:jc w:val="center"/>
              <w:rPr>
                <w:b/>
                <w:bCs/>
                <w:color w:val="000000"/>
                <w:sz w:val="16"/>
                <w:szCs w:val="16"/>
              </w:rPr>
            </w:pPr>
            <w:r w:rsidRPr="00F228F9">
              <w:rPr>
                <w:b/>
                <w:bCs/>
                <w:color w:val="000000"/>
                <w:sz w:val="16"/>
                <w:szCs w:val="16"/>
              </w:rPr>
              <w:t xml:space="preserve">e/a </w:t>
            </w:r>
          </w:p>
        </w:tc>
        <w:tc>
          <w:tcPr>
            <w:tcW w:w="214" w:type="pct"/>
            <w:vMerge/>
            <w:tcBorders>
              <w:top w:val="nil"/>
              <w:left w:val="single" w:sz="4" w:space="0" w:color="1F497D"/>
              <w:bottom w:val="single" w:sz="4" w:space="0" w:color="1F497D"/>
              <w:right w:val="single" w:sz="4" w:space="0" w:color="1F497D"/>
            </w:tcBorders>
            <w:vAlign w:val="center"/>
            <w:hideMark/>
          </w:tcPr>
          <w:p w:rsidR="00F228F9" w:rsidRPr="00F228F9" w:rsidRDefault="00F228F9" w:rsidP="00F228F9">
            <w:pPr>
              <w:rPr>
                <w:b/>
                <w:bCs/>
                <w:color w:val="000000"/>
                <w:sz w:val="16"/>
                <w:szCs w:val="16"/>
              </w:rPr>
            </w:pPr>
          </w:p>
        </w:tc>
        <w:tc>
          <w:tcPr>
            <w:tcW w:w="261" w:type="pct"/>
            <w:tcBorders>
              <w:top w:val="nil"/>
              <w:left w:val="nil"/>
              <w:bottom w:val="single" w:sz="4" w:space="0" w:color="1F497D"/>
              <w:right w:val="single" w:sz="4" w:space="0" w:color="1F497D"/>
            </w:tcBorders>
            <w:shd w:val="clear" w:color="000000" w:fill="DCE6F1"/>
            <w:vAlign w:val="center"/>
            <w:hideMark/>
          </w:tcPr>
          <w:p w:rsidR="00F228F9" w:rsidRPr="00F228F9" w:rsidRDefault="00F228F9" w:rsidP="00F228F9">
            <w:pPr>
              <w:jc w:val="center"/>
              <w:rPr>
                <w:b/>
                <w:bCs/>
                <w:color w:val="000000"/>
                <w:sz w:val="16"/>
                <w:szCs w:val="16"/>
              </w:rPr>
            </w:pPr>
            <w:r w:rsidRPr="00F228F9">
              <w:rPr>
                <w:b/>
                <w:bCs/>
                <w:color w:val="000000"/>
                <w:sz w:val="16"/>
                <w:szCs w:val="16"/>
              </w:rPr>
              <w:t>f</w:t>
            </w:r>
          </w:p>
        </w:tc>
        <w:tc>
          <w:tcPr>
            <w:tcW w:w="228" w:type="pct"/>
            <w:tcBorders>
              <w:top w:val="nil"/>
              <w:left w:val="nil"/>
              <w:bottom w:val="single" w:sz="4" w:space="0" w:color="1F497D"/>
              <w:right w:val="single" w:sz="4" w:space="0" w:color="1F497D"/>
            </w:tcBorders>
            <w:shd w:val="clear" w:color="000000" w:fill="DCE6F1"/>
            <w:vAlign w:val="center"/>
            <w:hideMark/>
          </w:tcPr>
          <w:p w:rsidR="00F228F9" w:rsidRPr="00F228F9" w:rsidRDefault="00F228F9" w:rsidP="00F228F9">
            <w:pPr>
              <w:jc w:val="center"/>
              <w:rPr>
                <w:b/>
                <w:bCs/>
                <w:color w:val="000000"/>
                <w:sz w:val="16"/>
                <w:szCs w:val="16"/>
              </w:rPr>
            </w:pPr>
            <w:r w:rsidRPr="00F228F9">
              <w:rPr>
                <w:b/>
                <w:bCs/>
                <w:color w:val="000000"/>
                <w:sz w:val="16"/>
                <w:szCs w:val="16"/>
              </w:rPr>
              <w:t xml:space="preserve">f/a </w:t>
            </w:r>
          </w:p>
        </w:tc>
        <w:tc>
          <w:tcPr>
            <w:tcW w:w="254" w:type="pct"/>
            <w:vMerge/>
            <w:tcBorders>
              <w:top w:val="nil"/>
              <w:left w:val="single" w:sz="4" w:space="0" w:color="1F497D"/>
              <w:bottom w:val="single" w:sz="4" w:space="0" w:color="1F497D"/>
              <w:right w:val="single" w:sz="4" w:space="0" w:color="1F497D"/>
            </w:tcBorders>
            <w:vAlign w:val="center"/>
            <w:hideMark/>
          </w:tcPr>
          <w:p w:rsidR="00F228F9" w:rsidRPr="00F228F9" w:rsidRDefault="00F228F9" w:rsidP="00F228F9">
            <w:pPr>
              <w:rPr>
                <w:b/>
                <w:bCs/>
                <w:color w:val="000000"/>
                <w:sz w:val="16"/>
                <w:szCs w:val="16"/>
              </w:rPr>
            </w:pPr>
          </w:p>
        </w:tc>
        <w:tc>
          <w:tcPr>
            <w:tcW w:w="288" w:type="pct"/>
            <w:tcBorders>
              <w:top w:val="nil"/>
              <w:left w:val="nil"/>
              <w:bottom w:val="single" w:sz="4" w:space="0" w:color="1F497D"/>
              <w:right w:val="single" w:sz="4" w:space="0" w:color="1F497D"/>
            </w:tcBorders>
            <w:shd w:val="clear" w:color="000000" w:fill="DCE6F1"/>
            <w:vAlign w:val="center"/>
            <w:hideMark/>
          </w:tcPr>
          <w:p w:rsidR="00F228F9" w:rsidRPr="00F228F9" w:rsidRDefault="00F228F9" w:rsidP="00F228F9">
            <w:pPr>
              <w:jc w:val="center"/>
              <w:rPr>
                <w:b/>
                <w:bCs/>
                <w:color w:val="000000"/>
                <w:sz w:val="16"/>
                <w:szCs w:val="16"/>
              </w:rPr>
            </w:pPr>
            <w:r w:rsidRPr="00F228F9">
              <w:rPr>
                <w:b/>
                <w:bCs/>
                <w:color w:val="000000"/>
                <w:sz w:val="16"/>
                <w:szCs w:val="16"/>
              </w:rPr>
              <w:t>g</w:t>
            </w:r>
          </w:p>
        </w:tc>
        <w:tc>
          <w:tcPr>
            <w:tcW w:w="214" w:type="pct"/>
            <w:tcBorders>
              <w:top w:val="nil"/>
              <w:left w:val="nil"/>
              <w:bottom w:val="single" w:sz="4" w:space="0" w:color="1F497D"/>
              <w:right w:val="single" w:sz="4" w:space="0" w:color="1F497D"/>
            </w:tcBorders>
            <w:shd w:val="clear" w:color="000000" w:fill="DCE6F1"/>
            <w:vAlign w:val="center"/>
            <w:hideMark/>
          </w:tcPr>
          <w:p w:rsidR="00F228F9" w:rsidRPr="00F228F9" w:rsidRDefault="00F228F9" w:rsidP="00F228F9">
            <w:pPr>
              <w:jc w:val="center"/>
              <w:rPr>
                <w:b/>
                <w:bCs/>
                <w:color w:val="000000"/>
                <w:sz w:val="16"/>
                <w:szCs w:val="16"/>
              </w:rPr>
            </w:pPr>
            <w:r w:rsidRPr="00F228F9">
              <w:rPr>
                <w:b/>
                <w:bCs/>
                <w:color w:val="000000"/>
                <w:sz w:val="16"/>
                <w:szCs w:val="16"/>
              </w:rPr>
              <w:t xml:space="preserve">g/a </w:t>
            </w:r>
          </w:p>
        </w:tc>
        <w:tc>
          <w:tcPr>
            <w:tcW w:w="254" w:type="pct"/>
            <w:vMerge/>
            <w:tcBorders>
              <w:top w:val="nil"/>
              <w:left w:val="single" w:sz="4" w:space="0" w:color="1F497D"/>
              <w:bottom w:val="single" w:sz="4" w:space="0" w:color="1F497D"/>
              <w:right w:val="single" w:sz="4" w:space="0" w:color="1F497D"/>
            </w:tcBorders>
            <w:vAlign w:val="center"/>
            <w:hideMark/>
          </w:tcPr>
          <w:p w:rsidR="00F228F9" w:rsidRPr="00F228F9" w:rsidRDefault="00F228F9" w:rsidP="00F228F9">
            <w:pPr>
              <w:rPr>
                <w:b/>
                <w:bCs/>
                <w:color w:val="000000"/>
                <w:sz w:val="16"/>
                <w:szCs w:val="16"/>
              </w:rPr>
            </w:pPr>
          </w:p>
        </w:tc>
        <w:tc>
          <w:tcPr>
            <w:tcW w:w="274" w:type="pct"/>
            <w:tcBorders>
              <w:top w:val="nil"/>
              <w:left w:val="nil"/>
              <w:bottom w:val="single" w:sz="4" w:space="0" w:color="1F497D"/>
              <w:right w:val="single" w:sz="4" w:space="0" w:color="1F497D"/>
            </w:tcBorders>
            <w:shd w:val="clear" w:color="000000" w:fill="DCE6F1"/>
            <w:vAlign w:val="center"/>
            <w:hideMark/>
          </w:tcPr>
          <w:p w:rsidR="00F228F9" w:rsidRPr="00F228F9" w:rsidRDefault="00F228F9" w:rsidP="00F228F9">
            <w:pPr>
              <w:jc w:val="center"/>
              <w:rPr>
                <w:b/>
                <w:bCs/>
                <w:color w:val="000000"/>
                <w:sz w:val="16"/>
                <w:szCs w:val="16"/>
              </w:rPr>
            </w:pPr>
            <w:r w:rsidRPr="00F228F9">
              <w:rPr>
                <w:b/>
                <w:bCs/>
                <w:color w:val="000000"/>
                <w:sz w:val="16"/>
                <w:szCs w:val="16"/>
              </w:rPr>
              <w:t>h</w:t>
            </w:r>
          </w:p>
        </w:tc>
        <w:tc>
          <w:tcPr>
            <w:tcW w:w="207" w:type="pct"/>
            <w:tcBorders>
              <w:top w:val="nil"/>
              <w:left w:val="nil"/>
              <w:bottom w:val="single" w:sz="4" w:space="0" w:color="1F497D"/>
              <w:right w:val="single" w:sz="4" w:space="0" w:color="1F497D"/>
            </w:tcBorders>
            <w:shd w:val="clear" w:color="000000" w:fill="DCE6F1"/>
            <w:vAlign w:val="center"/>
            <w:hideMark/>
          </w:tcPr>
          <w:p w:rsidR="00F228F9" w:rsidRPr="00F228F9" w:rsidRDefault="00F228F9" w:rsidP="00F228F9">
            <w:pPr>
              <w:jc w:val="center"/>
              <w:rPr>
                <w:b/>
                <w:bCs/>
                <w:color w:val="000000"/>
                <w:sz w:val="16"/>
                <w:szCs w:val="16"/>
              </w:rPr>
            </w:pPr>
            <w:r w:rsidRPr="00F228F9">
              <w:rPr>
                <w:b/>
                <w:bCs/>
                <w:color w:val="000000"/>
                <w:sz w:val="16"/>
                <w:szCs w:val="16"/>
              </w:rPr>
              <w:t xml:space="preserve">h/a </w:t>
            </w:r>
          </w:p>
        </w:tc>
        <w:tc>
          <w:tcPr>
            <w:tcW w:w="207" w:type="pct"/>
            <w:vMerge/>
            <w:tcBorders>
              <w:top w:val="nil"/>
              <w:left w:val="single" w:sz="4" w:space="0" w:color="1F497D"/>
              <w:bottom w:val="single" w:sz="4" w:space="0" w:color="1F497D"/>
              <w:right w:val="single" w:sz="4" w:space="0" w:color="1F497D"/>
            </w:tcBorders>
            <w:vAlign w:val="center"/>
            <w:hideMark/>
          </w:tcPr>
          <w:p w:rsidR="00F228F9" w:rsidRPr="00F228F9" w:rsidRDefault="00F228F9" w:rsidP="00F228F9">
            <w:pPr>
              <w:rPr>
                <w:b/>
                <w:bCs/>
                <w:color w:val="000000"/>
                <w:sz w:val="16"/>
                <w:szCs w:val="16"/>
              </w:rPr>
            </w:pPr>
          </w:p>
        </w:tc>
      </w:tr>
      <w:tr w:rsidR="00F228F9" w:rsidRPr="00F228F9" w:rsidTr="00F228F9">
        <w:trPr>
          <w:trHeight w:val="225"/>
        </w:trPr>
        <w:tc>
          <w:tcPr>
            <w:tcW w:w="241" w:type="pct"/>
            <w:vMerge w:val="restart"/>
            <w:tcBorders>
              <w:top w:val="nil"/>
              <w:left w:val="single" w:sz="4" w:space="0" w:color="1F497D"/>
              <w:bottom w:val="single" w:sz="4" w:space="0" w:color="1F497D"/>
              <w:right w:val="single" w:sz="4" w:space="0" w:color="1F497D"/>
            </w:tcBorders>
            <w:shd w:val="clear" w:color="000000" w:fill="FFFFFF"/>
            <w:vAlign w:val="center"/>
            <w:hideMark/>
          </w:tcPr>
          <w:p w:rsidR="00F228F9" w:rsidRPr="00F228F9" w:rsidRDefault="00F228F9" w:rsidP="00F228F9">
            <w:pPr>
              <w:jc w:val="center"/>
              <w:rPr>
                <w:color w:val="000000"/>
                <w:sz w:val="16"/>
                <w:szCs w:val="16"/>
              </w:rPr>
            </w:pPr>
            <w:r w:rsidRPr="00F228F9">
              <w:rPr>
                <w:color w:val="000000"/>
                <w:sz w:val="16"/>
                <w:szCs w:val="16"/>
              </w:rPr>
              <w:t xml:space="preserve">3.3 </w:t>
            </w:r>
          </w:p>
        </w:tc>
        <w:tc>
          <w:tcPr>
            <w:tcW w:w="335" w:type="pct"/>
            <w:tcBorders>
              <w:top w:val="nil"/>
              <w:left w:val="nil"/>
              <w:bottom w:val="single" w:sz="4" w:space="0" w:color="1F497D"/>
              <w:right w:val="single" w:sz="4" w:space="0" w:color="1F497D"/>
            </w:tcBorders>
            <w:shd w:val="clear" w:color="000000" w:fill="FFFFFF"/>
            <w:vAlign w:val="center"/>
            <w:hideMark/>
          </w:tcPr>
          <w:p w:rsidR="00F228F9" w:rsidRPr="00F228F9" w:rsidRDefault="00F228F9" w:rsidP="00F228F9">
            <w:pPr>
              <w:jc w:val="center"/>
              <w:rPr>
                <w:color w:val="000000"/>
                <w:sz w:val="16"/>
                <w:szCs w:val="16"/>
              </w:rPr>
            </w:pPr>
            <w:r w:rsidRPr="00F228F9">
              <w:rPr>
                <w:color w:val="000000"/>
                <w:sz w:val="16"/>
                <w:szCs w:val="16"/>
              </w:rPr>
              <w:t>2015/04/17</w:t>
            </w:r>
          </w:p>
        </w:tc>
        <w:tc>
          <w:tcPr>
            <w:tcW w:w="241" w:type="pct"/>
            <w:tcBorders>
              <w:top w:val="nil"/>
              <w:left w:val="nil"/>
              <w:bottom w:val="single" w:sz="4" w:space="0" w:color="1F497D"/>
              <w:right w:val="single" w:sz="4" w:space="0" w:color="1F497D"/>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1 070,60</w:t>
            </w:r>
          </w:p>
        </w:tc>
        <w:tc>
          <w:tcPr>
            <w:tcW w:w="241" w:type="pct"/>
            <w:tcBorders>
              <w:top w:val="nil"/>
              <w:left w:val="nil"/>
              <w:bottom w:val="single" w:sz="4" w:space="0" w:color="1F497D"/>
              <w:right w:val="single" w:sz="4" w:space="0" w:color="1F497D"/>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40,21</w:t>
            </w:r>
          </w:p>
        </w:tc>
        <w:tc>
          <w:tcPr>
            <w:tcW w:w="181" w:type="pct"/>
            <w:tcBorders>
              <w:top w:val="nil"/>
              <w:left w:val="nil"/>
              <w:bottom w:val="single" w:sz="4" w:space="0" w:color="1F497D"/>
              <w:right w:val="single" w:sz="4" w:space="0" w:color="1F497D"/>
            </w:tcBorders>
            <w:shd w:val="clear" w:color="000000" w:fill="FFFFFF"/>
            <w:vAlign w:val="center"/>
            <w:hideMark/>
          </w:tcPr>
          <w:p w:rsidR="00F228F9" w:rsidRPr="00F228F9" w:rsidRDefault="00F228F9" w:rsidP="00F228F9">
            <w:pPr>
              <w:jc w:val="center"/>
              <w:rPr>
                <w:color w:val="000000"/>
                <w:sz w:val="16"/>
                <w:szCs w:val="16"/>
              </w:rPr>
            </w:pPr>
            <w:r w:rsidRPr="00F228F9">
              <w:rPr>
                <w:color w:val="000000"/>
                <w:sz w:val="16"/>
                <w:szCs w:val="16"/>
              </w:rPr>
              <w:t>29</w:t>
            </w:r>
          </w:p>
        </w:tc>
        <w:tc>
          <w:tcPr>
            <w:tcW w:w="268" w:type="pct"/>
            <w:tcBorders>
              <w:top w:val="nil"/>
              <w:left w:val="nil"/>
              <w:bottom w:val="single" w:sz="4" w:space="0" w:color="1F497D"/>
              <w:right w:val="single" w:sz="4" w:space="0" w:color="1F497D"/>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1 854,55</w:t>
            </w:r>
          </w:p>
        </w:tc>
        <w:tc>
          <w:tcPr>
            <w:tcW w:w="207" w:type="pct"/>
            <w:tcBorders>
              <w:top w:val="nil"/>
              <w:left w:val="nil"/>
              <w:bottom w:val="single" w:sz="4" w:space="0" w:color="1F497D"/>
              <w:right w:val="single" w:sz="4" w:space="0" w:color="1F497D"/>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173,23</w:t>
            </w:r>
          </w:p>
        </w:tc>
        <w:tc>
          <w:tcPr>
            <w:tcW w:w="234" w:type="pct"/>
            <w:tcBorders>
              <w:top w:val="nil"/>
              <w:left w:val="nil"/>
              <w:bottom w:val="single" w:sz="4" w:space="0" w:color="1F497D"/>
              <w:right w:val="single" w:sz="4" w:space="0" w:color="1F497D"/>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68,74</w:t>
            </w:r>
          </w:p>
        </w:tc>
        <w:tc>
          <w:tcPr>
            <w:tcW w:w="174" w:type="pct"/>
            <w:tcBorders>
              <w:top w:val="nil"/>
              <w:left w:val="nil"/>
              <w:bottom w:val="single" w:sz="4" w:space="0" w:color="1F497D"/>
              <w:right w:val="single" w:sz="4" w:space="0" w:color="1F497D"/>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17</w:t>
            </w:r>
          </w:p>
        </w:tc>
        <w:tc>
          <w:tcPr>
            <w:tcW w:w="261" w:type="pct"/>
            <w:tcBorders>
              <w:top w:val="nil"/>
              <w:left w:val="nil"/>
              <w:bottom w:val="single" w:sz="4" w:space="0" w:color="1F497D"/>
              <w:right w:val="single" w:sz="4" w:space="0" w:color="1F497D"/>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780,19</w:t>
            </w:r>
          </w:p>
        </w:tc>
        <w:tc>
          <w:tcPr>
            <w:tcW w:w="214" w:type="pct"/>
            <w:tcBorders>
              <w:top w:val="nil"/>
              <w:left w:val="nil"/>
              <w:bottom w:val="single" w:sz="4" w:space="0" w:color="1F497D"/>
              <w:right w:val="single" w:sz="4" w:space="0" w:color="1F497D"/>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72,87</w:t>
            </w:r>
          </w:p>
        </w:tc>
        <w:tc>
          <w:tcPr>
            <w:tcW w:w="214" w:type="pct"/>
            <w:tcBorders>
              <w:top w:val="nil"/>
              <w:left w:val="nil"/>
              <w:bottom w:val="single" w:sz="4" w:space="0" w:color="1F497D"/>
              <w:right w:val="single" w:sz="4" w:space="0" w:color="1F497D"/>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29,46</w:t>
            </w:r>
          </w:p>
        </w:tc>
        <w:tc>
          <w:tcPr>
            <w:tcW w:w="261" w:type="pct"/>
            <w:tcBorders>
              <w:top w:val="nil"/>
              <w:left w:val="nil"/>
              <w:bottom w:val="single" w:sz="4" w:space="0" w:color="1F497D"/>
              <w:right w:val="single" w:sz="4" w:space="0" w:color="1F497D"/>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535,36</w:t>
            </w:r>
          </w:p>
        </w:tc>
        <w:tc>
          <w:tcPr>
            <w:tcW w:w="228" w:type="pct"/>
            <w:tcBorders>
              <w:top w:val="nil"/>
              <w:left w:val="nil"/>
              <w:bottom w:val="single" w:sz="4" w:space="0" w:color="1F497D"/>
              <w:right w:val="single" w:sz="4" w:space="0" w:color="1F497D"/>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50,01</w:t>
            </w:r>
          </w:p>
        </w:tc>
        <w:tc>
          <w:tcPr>
            <w:tcW w:w="254" w:type="pct"/>
            <w:tcBorders>
              <w:top w:val="nil"/>
              <w:left w:val="nil"/>
              <w:bottom w:val="single" w:sz="4" w:space="0" w:color="1F497D"/>
              <w:right w:val="single" w:sz="4" w:space="0" w:color="1F497D"/>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20,72</w:t>
            </w:r>
          </w:p>
        </w:tc>
        <w:tc>
          <w:tcPr>
            <w:tcW w:w="288" w:type="pct"/>
            <w:tcBorders>
              <w:top w:val="nil"/>
              <w:left w:val="nil"/>
              <w:bottom w:val="single" w:sz="4" w:space="0" w:color="1F497D"/>
              <w:right w:val="single" w:sz="4" w:space="0" w:color="1F497D"/>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535,36</w:t>
            </w:r>
          </w:p>
        </w:tc>
        <w:tc>
          <w:tcPr>
            <w:tcW w:w="214" w:type="pct"/>
            <w:tcBorders>
              <w:top w:val="nil"/>
              <w:left w:val="nil"/>
              <w:bottom w:val="single" w:sz="4" w:space="0" w:color="1F497D"/>
              <w:right w:val="single" w:sz="4" w:space="0" w:color="1F497D"/>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50,01</w:t>
            </w:r>
          </w:p>
        </w:tc>
        <w:tc>
          <w:tcPr>
            <w:tcW w:w="254" w:type="pct"/>
            <w:tcBorders>
              <w:top w:val="nil"/>
              <w:left w:val="nil"/>
              <w:bottom w:val="single" w:sz="4" w:space="0" w:color="1F497D"/>
              <w:right w:val="single" w:sz="4" w:space="0" w:color="1F497D"/>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20,72</w:t>
            </w:r>
          </w:p>
        </w:tc>
        <w:tc>
          <w:tcPr>
            <w:tcW w:w="274" w:type="pct"/>
            <w:tcBorders>
              <w:top w:val="nil"/>
              <w:left w:val="nil"/>
              <w:bottom w:val="single" w:sz="4" w:space="0" w:color="1F497D"/>
              <w:right w:val="single" w:sz="4" w:space="0" w:color="1F497D"/>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535,36</w:t>
            </w:r>
          </w:p>
        </w:tc>
        <w:tc>
          <w:tcPr>
            <w:tcW w:w="207" w:type="pct"/>
            <w:tcBorders>
              <w:top w:val="nil"/>
              <w:left w:val="nil"/>
              <w:bottom w:val="single" w:sz="4" w:space="0" w:color="1F497D"/>
              <w:right w:val="single" w:sz="4" w:space="0" w:color="1F497D"/>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50,01</w:t>
            </w:r>
          </w:p>
        </w:tc>
        <w:tc>
          <w:tcPr>
            <w:tcW w:w="207" w:type="pct"/>
            <w:tcBorders>
              <w:top w:val="nil"/>
              <w:left w:val="nil"/>
              <w:bottom w:val="single" w:sz="4" w:space="0" w:color="1F497D"/>
              <w:right w:val="single" w:sz="4" w:space="0" w:color="1F497D"/>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20,72</w:t>
            </w:r>
          </w:p>
        </w:tc>
      </w:tr>
      <w:tr w:rsidR="00F228F9" w:rsidRPr="00F228F9" w:rsidTr="00F228F9">
        <w:trPr>
          <w:trHeight w:val="225"/>
        </w:trPr>
        <w:tc>
          <w:tcPr>
            <w:tcW w:w="241" w:type="pct"/>
            <w:vMerge/>
            <w:tcBorders>
              <w:top w:val="nil"/>
              <w:left w:val="single" w:sz="4" w:space="0" w:color="1F497D"/>
              <w:bottom w:val="single" w:sz="4" w:space="0" w:color="1F497D"/>
              <w:right w:val="single" w:sz="4" w:space="0" w:color="1F497D"/>
            </w:tcBorders>
            <w:vAlign w:val="center"/>
            <w:hideMark/>
          </w:tcPr>
          <w:p w:rsidR="00F228F9" w:rsidRPr="00F228F9" w:rsidRDefault="00F228F9" w:rsidP="00F228F9">
            <w:pPr>
              <w:rPr>
                <w:color w:val="000000"/>
                <w:sz w:val="16"/>
                <w:szCs w:val="16"/>
              </w:rPr>
            </w:pPr>
          </w:p>
        </w:tc>
        <w:tc>
          <w:tcPr>
            <w:tcW w:w="335" w:type="pct"/>
            <w:tcBorders>
              <w:top w:val="nil"/>
              <w:left w:val="nil"/>
              <w:bottom w:val="single" w:sz="4" w:space="0" w:color="1F497D"/>
              <w:right w:val="single" w:sz="4" w:space="0" w:color="1F497D"/>
            </w:tcBorders>
            <w:shd w:val="clear" w:color="000000" w:fill="FFFFFF"/>
            <w:vAlign w:val="center"/>
            <w:hideMark/>
          </w:tcPr>
          <w:p w:rsidR="00F228F9" w:rsidRPr="00F228F9" w:rsidRDefault="00F228F9" w:rsidP="00F228F9">
            <w:pPr>
              <w:jc w:val="center"/>
              <w:rPr>
                <w:color w:val="000000"/>
                <w:sz w:val="16"/>
                <w:szCs w:val="16"/>
              </w:rPr>
            </w:pPr>
            <w:r w:rsidRPr="00F228F9">
              <w:rPr>
                <w:color w:val="000000"/>
                <w:sz w:val="16"/>
                <w:szCs w:val="16"/>
              </w:rPr>
              <w:t>2015/10/02</w:t>
            </w:r>
          </w:p>
        </w:tc>
        <w:tc>
          <w:tcPr>
            <w:tcW w:w="241" w:type="pct"/>
            <w:tcBorders>
              <w:top w:val="nil"/>
              <w:left w:val="nil"/>
              <w:bottom w:val="single" w:sz="4" w:space="0" w:color="1F497D"/>
              <w:right w:val="single" w:sz="4" w:space="0" w:color="1F497D"/>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1 065,43</w:t>
            </w:r>
          </w:p>
        </w:tc>
        <w:tc>
          <w:tcPr>
            <w:tcW w:w="241" w:type="pct"/>
            <w:tcBorders>
              <w:top w:val="nil"/>
              <w:left w:val="nil"/>
              <w:bottom w:val="single" w:sz="4" w:space="0" w:color="1F497D"/>
              <w:right w:val="single" w:sz="4" w:space="0" w:color="1F497D"/>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40,21</w:t>
            </w:r>
          </w:p>
        </w:tc>
        <w:tc>
          <w:tcPr>
            <w:tcW w:w="181" w:type="pct"/>
            <w:tcBorders>
              <w:top w:val="nil"/>
              <w:left w:val="nil"/>
              <w:bottom w:val="single" w:sz="4" w:space="0" w:color="1F497D"/>
              <w:right w:val="single" w:sz="4" w:space="0" w:color="1F497D"/>
            </w:tcBorders>
            <w:shd w:val="clear" w:color="000000" w:fill="FFFFFF"/>
            <w:vAlign w:val="center"/>
            <w:hideMark/>
          </w:tcPr>
          <w:p w:rsidR="00F228F9" w:rsidRPr="00F228F9" w:rsidRDefault="00F228F9" w:rsidP="00F228F9">
            <w:pPr>
              <w:jc w:val="center"/>
              <w:rPr>
                <w:color w:val="000000"/>
                <w:sz w:val="16"/>
                <w:szCs w:val="16"/>
              </w:rPr>
            </w:pPr>
            <w:r w:rsidRPr="00F228F9">
              <w:rPr>
                <w:color w:val="000000"/>
                <w:sz w:val="16"/>
                <w:szCs w:val="16"/>
              </w:rPr>
              <w:t>29</w:t>
            </w:r>
          </w:p>
        </w:tc>
        <w:tc>
          <w:tcPr>
            <w:tcW w:w="268" w:type="pct"/>
            <w:tcBorders>
              <w:top w:val="nil"/>
              <w:left w:val="nil"/>
              <w:bottom w:val="single" w:sz="4" w:space="0" w:color="1F497D"/>
              <w:right w:val="single" w:sz="4" w:space="0" w:color="1F497D"/>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1 854,55</w:t>
            </w:r>
          </w:p>
        </w:tc>
        <w:tc>
          <w:tcPr>
            <w:tcW w:w="207" w:type="pct"/>
            <w:tcBorders>
              <w:top w:val="nil"/>
              <w:left w:val="nil"/>
              <w:bottom w:val="single" w:sz="4" w:space="0" w:color="1F497D"/>
              <w:right w:val="single" w:sz="4" w:space="0" w:color="1F497D"/>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174,07</w:t>
            </w:r>
          </w:p>
        </w:tc>
        <w:tc>
          <w:tcPr>
            <w:tcW w:w="234" w:type="pct"/>
            <w:tcBorders>
              <w:top w:val="nil"/>
              <w:left w:val="nil"/>
              <w:bottom w:val="single" w:sz="4" w:space="0" w:color="1F497D"/>
              <w:right w:val="single" w:sz="4" w:space="0" w:color="1F497D"/>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69,21</w:t>
            </w:r>
          </w:p>
        </w:tc>
        <w:tc>
          <w:tcPr>
            <w:tcW w:w="174" w:type="pct"/>
            <w:tcBorders>
              <w:top w:val="nil"/>
              <w:left w:val="nil"/>
              <w:bottom w:val="single" w:sz="4" w:space="0" w:color="1F497D"/>
              <w:right w:val="single" w:sz="4" w:space="0" w:color="1F497D"/>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17</w:t>
            </w:r>
          </w:p>
        </w:tc>
        <w:tc>
          <w:tcPr>
            <w:tcW w:w="261" w:type="pct"/>
            <w:tcBorders>
              <w:top w:val="nil"/>
              <w:left w:val="nil"/>
              <w:bottom w:val="single" w:sz="4" w:space="0" w:color="1F497D"/>
              <w:right w:val="single" w:sz="4" w:space="0" w:color="1F497D"/>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774,24</w:t>
            </w:r>
          </w:p>
        </w:tc>
        <w:tc>
          <w:tcPr>
            <w:tcW w:w="214" w:type="pct"/>
            <w:tcBorders>
              <w:top w:val="nil"/>
              <w:left w:val="nil"/>
              <w:bottom w:val="single" w:sz="4" w:space="0" w:color="1F497D"/>
              <w:right w:val="single" w:sz="4" w:space="0" w:color="1F497D"/>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72,67</w:t>
            </w:r>
          </w:p>
        </w:tc>
        <w:tc>
          <w:tcPr>
            <w:tcW w:w="214" w:type="pct"/>
            <w:tcBorders>
              <w:top w:val="nil"/>
              <w:left w:val="nil"/>
              <w:bottom w:val="single" w:sz="4" w:space="0" w:color="1F497D"/>
              <w:right w:val="single" w:sz="4" w:space="0" w:color="1F497D"/>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29,35</w:t>
            </w:r>
          </w:p>
        </w:tc>
        <w:tc>
          <w:tcPr>
            <w:tcW w:w="261" w:type="pct"/>
            <w:tcBorders>
              <w:top w:val="nil"/>
              <w:left w:val="nil"/>
              <w:bottom w:val="single" w:sz="4" w:space="0" w:color="1F497D"/>
              <w:right w:val="single" w:sz="4" w:space="0" w:color="1F497D"/>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536,04</w:t>
            </w:r>
          </w:p>
        </w:tc>
        <w:tc>
          <w:tcPr>
            <w:tcW w:w="228" w:type="pct"/>
            <w:tcBorders>
              <w:top w:val="nil"/>
              <w:left w:val="nil"/>
              <w:bottom w:val="single" w:sz="4" w:space="0" w:color="1F497D"/>
              <w:right w:val="single" w:sz="4" w:space="0" w:color="1F497D"/>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50,31</w:t>
            </w:r>
          </w:p>
        </w:tc>
        <w:tc>
          <w:tcPr>
            <w:tcW w:w="254" w:type="pct"/>
            <w:tcBorders>
              <w:top w:val="nil"/>
              <w:left w:val="nil"/>
              <w:bottom w:val="single" w:sz="4" w:space="0" w:color="1F497D"/>
              <w:right w:val="single" w:sz="4" w:space="0" w:color="1F497D"/>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20,75</w:t>
            </w:r>
          </w:p>
        </w:tc>
        <w:tc>
          <w:tcPr>
            <w:tcW w:w="288" w:type="pct"/>
            <w:tcBorders>
              <w:top w:val="nil"/>
              <w:left w:val="nil"/>
              <w:bottom w:val="single" w:sz="4" w:space="0" w:color="1F497D"/>
              <w:right w:val="single" w:sz="4" w:space="0" w:color="1F497D"/>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536,04</w:t>
            </w:r>
          </w:p>
        </w:tc>
        <w:tc>
          <w:tcPr>
            <w:tcW w:w="214" w:type="pct"/>
            <w:tcBorders>
              <w:top w:val="nil"/>
              <w:left w:val="nil"/>
              <w:bottom w:val="single" w:sz="4" w:space="0" w:color="1F497D"/>
              <w:right w:val="single" w:sz="4" w:space="0" w:color="1F497D"/>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50,31</w:t>
            </w:r>
          </w:p>
        </w:tc>
        <w:tc>
          <w:tcPr>
            <w:tcW w:w="254" w:type="pct"/>
            <w:tcBorders>
              <w:top w:val="nil"/>
              <w:left w:val="nil"/>
              <w:bottom w:val="single" w:sz="4" w:space="0" w:color="1F497D"/>
              <w:right w:val="single" w:sz="4" w:space="0" w:color="1F497D"/>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20,75</w:t>
            </w:r>
          </w:p>
        </w:tc>
        <w:tc>
          <w:tcPr>
            <w:tcW w:w="274" w:type="pct"/>
            <w:tcBorders>
              <w:top w:val="nil"/>
              <w:left w:val="nil"/>
              <w:bottom w:val="single" w:sz="4" w:space="0" w:color="1F497D"/>
              <w:right w:val="single" w:sz="4" w:space="0" w:color="1F497D"/>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375,25</w:t>
            </w:r>
          </w:p>
        </w:tc>
        <w:tc>
          <w:tcPr>
            <w:tcW w:w="207" w:type="pct"/>
            <w:tcBorders>
              <w:top w:val="nil"/>
              <w:left w:val="nil"/>
              <w:bottom w:val="single" w:sz="4" w:space="0" w:color="1F497D"/>
              <w:right w:val="single" w:sz="4" w:space="0" w:color="1F497D"/>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35,22</w:t>
            </w:r>
          </w:p>
        </w:tc>
        <w:tc>
          <w:tcPr>
            <w:tcW w:w="207" w:type="pct"/>
            <w:tcBorders>
              <w:top w:val="nil"/>
              <w:left w:val="nil"/>
              <w:bottom w:val="single" w:sz="4" w:space="0" w:color="1F497D"/>
              <w:right w:val="single" w:sz="4" w:space="0" w:color="1F497D"/>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14,50</w:t>
            </w:r>
          </w:p>
        </w:tc>
      </w:tr>
      <w:tr w:rsidR="00F228F9" w:rsidRPr="00F228F9" w:rsidTr="00F228F9">
        <w:trPr>
          <w:trHeight w:val="225"/>
        </w:trPr>
        <w:tc>
          <w:tcPr>
            <w:tcW w:w="241" w:type="pct"/>
            <w:vMerge/>
            <w:tcBorders>
              <w:top w:val="nil"/>
              <w:left w:val="single" w:sz="4" w:space="0" w:color="1F497D"/>
              <w:bottom w:val="single" w:sz="4" w:space="0" w:color="1F497D"/>
              <w:right w:val="single" w:sz="4" w:space="0" w:color="1F497D"/>
            </w:tcBorders>
            <w:vAlign w:val="center"/>
            <w:hideMark/>
          </w:tcPr>
          <w:p w:rsidR="00F228F9" w:rsidRPr="00F228F9" w:rsidRDefault="00F228F9" w:rsidP="00F228F9">
            <w:pPr>
              <w:rPr>
                <w:color w:val="000000"/>
                <w:sz w:val="16"/>
                <w:szCs w:val="16"/>
              </w:rPr>
            </w:pPr>
          </w:p>
        </w:tc>
        <w:tc>
          <w:tcPr>
            <w:tcW w:w="335" w:type="pct"/>
            <w:tcBorders>
              <w:top w:val="nil"/>
              <w:left w:val="nil"/>
              <w:bottom w:val="single" w:sz="4" w:space="0" w:color="1F497D"/>
              <w:right w:val="single" w:sz="4" w:space="0" w:color="1F497D"/>
            </w:tcBorders>
            <w:shd w:val="clear" w:color="000000" w:fill="FFFFFF"/>
            <w:vAlign w:val="center"/>
            <w:hideMark/>
          </w:tcPr>
          <w:p w:rsidR="00F228F9" w:rsidRPr="00F228F9" w:rsidRDefault="00F228F9" w:rsidP="00F228F9">
            <w:pPr>
              <w:jc w:val="center"/>
              <w:rPr>
                <w:color w:val="000000"/>
                <w:sz w:val="16"/>
                <w:szCs w:val="16"/>
              </w:rPr>
            </w:pPr>
            <w:r w:rsidRPr="00F228F9">
              <w:rPr>
                <w:color w:val="000000"/>
                <w:sz w:val="16"/>
                <w:szCs w:val="16"/>
              </w:rPr>
              <w:t>Rozdíl</w:t>
            </w:r>
          </w:p>
        </w:tc>
        <w:tc>
          <w:tcPr>
            <w:tcW w:w="241" w:type="pct"/>
            <w:tcBorders>
              <w:top w:val="nil"/>
              <w:left w:val="nil"/>
              <w:bottom w:val="single" w:sz="4" w:space="0" w:color="1F497D"/>
              <w:right w:val="single" w:sz="4" w:space="0" w:color="1F497D"/>
            </w:tcBorders>
            <w:shd w:val="clear" w:color="000000" w:fill="FFFFFF"/>
            <w:noWrap/>
            <w:vAlign w:val="center"/>
            <w:hideMark/>
          </w:tcPr>
          <w:p w:rsidR="00F228F9" w:rsidRPr="00F228F9" w:rsidRDefault="00F228F9" w:rsidP="00F228F9">
            <w:pPr>
              <w:jc w:val="center"/>
              <w:rPr>
                <w:color w:val="000000"/>
                <w:sz w:val="16"/>
                <w:szCs w:val="16"/>
              </w:rPr>
            </w:pPr>
          </w:p>
        </w:tc>
        <w:tc>
          <w:tcPr>
            <w:tcW w:w="241" w:type="pct"/>
            <w:tcBorders>
              <w:top w:val="nil"/>
              <w:left w:val="nil"/>
              <w:bottom w:val="single" w:sz="4" w:space="0" w:color="1F497D"/>
              <w:right w:val="single" w:sz="4" w:space="0" w:color="1F497D"/>
            </w:tcBorders>
            <w:shd w:val="clear" w:color="000000" w:fill="FFFFFF"/>
            <w:noWrap/>
            <w:vAlign w:val="center"/>
            <w:hideMark/>
          </w:tcPr>
          <w:p w:rsidR="00F228F9" w:rsidRPr="00F228F9" w:rsidRDefault="00F228F9" w:rsidP="00F228F9">
            <w:pPr>
              <w:jc w:val="center"/>
              <w:rPr>
                <w:color w:val="000000"/>
                <w:sz w:val="16"/>
                <w:szCs w:val="16"/>
              </w:rPr>
            </w:pPr>
          </w:p>
        </w:tc>
        <w:tc>
          <w:tcPr>
            <w:tcW w:w="181" w:type="pct"/>
            <w:tcBorders>
              <w:top w:val="nil"/>
              <w:left w:val="nil"/>
              <w:bottom w:val="single" w:sz="4" w:space="0" w:color="1F497D"/>
              <w:right w:val="single" w:sz="4" w:space="0" w:color="1F497D"/>
            </w:tcBorders>
            <w:shd w:val="clear" w:color="000000" w:fill="FFFFFF"/>
            <w:vAlign w:val="center"/>
            <w:hideMark/>
          </w:tcPr>
          <w:p w:rsidR="00F228F9" w:rsidRPr="00F228F9" w:rsidRDefault="00F228F9" w:rsidP="00F228F9">
            <w:pPr>
              <w:jc w:val="center"/>
              <w:rPr>
                <w:color w:val="000000"/>
                <w:sz w:val="16"/>
                <w:szCs w:val="16"/>
              </w:rPr>
            </w:pPr>
            <w:r w:rsidRPr="00F228F9">
              <w:rPr>
                <w:color w:val="000000"/>
                <w:sz w:val="16"/>
                <w:szCs w:val="16"/>
              </w:rPr>
              <w:t>0</w:t>
            </w:r>
          </w:p>
        </w:tc>
        <w:tc>
          <w:tcPr>
            <w:tcW w:w="268" w:type="pct"/>
            <w:tcBorders>
              <w:top w:val="nil"/>
              <w:left w:val="nil"/>
              <w:bottom w:val="single" w:sz="4" w:space="0" w:color="1F497D"/>
              <w:right w:val="single" w:sz="4" w:space="0" w:color="1F497D"/>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0,00</w:t>
            </w:r>
          </w:p>
        </w:tc>
        <w:tc>
          <w:tcPr>
            <w:tcW w:w="207" w:type="pct"/>
            <w:tcBorders>
              <w:top w:val="nil"/>
              <w:left w:val="nil"/>
              <w:bottom w:val="single" w:sz="4" w:space="0" w:color="1F497D"/>
              <w:right w:val="single" w:sz="4" w:space="0" w:color="1F497D"/>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0,00</w:t>
            </w:r>
          </w:p>
        </w:tc>
        <w:tc>
          <w:tcPr>
            <w:tcW w:w="234" w:type="pct"/>
            <w:tcBorders>
              <w:top w:val="nil"/>
              <w:left w:val="nil"/>
              <w:bottom w:val="single" w:sz="4" w:space="0" w:color="1F497D"/>
              <w:right w:val="single" w:sz="4" w:space="0" w:color="1F497D"/>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0,47</w:t>
            </w:r>
          </w:p>
        </w:tc>
        <w:tc>
          <w:tcPr>
            <w:tcW w:w="174" w:type="pct"/>
            <w:tcBorders>
              <w:top w:val="nil"/>
              <w:left w:val="nil"/>
              <w:bottom w:val="single" w:sz="4" w:space="0" w:color="1F497D"/>
              <w:right w:val="single" w:sz="4" w:space="0" w:color="1F497D"/>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0</w:t>
            </w:r>
          </w:p>
        </w:tc>
        <w:tc>
          <w:tcPr>
            <w:tcW w:w="261" w:type="pct"/>
            <w:tcBorders>
              <w:top w:val="nil"/>
              <w:left w:val="nil"/>
              <w:bottom w:val="single" w:sz="4" w:space="0" w:color="1F497D"/>
              <w:right w:val="single" w:sz="4" w:space="0" w:color="1F497D"/>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-5,95</w:t>
            </w:r>
          </w:p>
        </w:tc>
        <w:tc>
          <w:tcPr>
            <w:tcW w:w="214" w:type="pct"/>
            <w:tcBorders>
              <w:top w:val="nil"/>
              <w:left w:val="nil"/>
              <w:bottom w:val="single" w:sz="4" w:space="0" w:color="1F497D"/>
              <w:right w:val="single" w:sz="4" w:space="0" w:color="1F497D"/>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-0,56</w:t>
            </w:r>
          </w:p>
        </w:tc>
        <w:tc>
          <w:tcPr>
            <w:tcW w:w="214" w:type="pct"/>
            <w:tcBorders>
              <w:top w:val="nil"/>
              <w:left w:val="nil"/>
              <w:bottom w:val="single" w:sz="4" w:space="0" w:color="1F497D"/>
              <w:right w:val="single" w:sz="4" w:space="0" w:color="1F497D"/>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-0,11</w:t>
            </w:r>
          </w:p>
        </w:tc>
        <w:tc>
          <w:tcPr>
            <w:tcW w:w="261" w:type="pct"/>
            <w:tcBorders>
              <w:top w:val="nil"/>
              <w:left w:val="nil"/>
              <w:bottom w:val="single" w:sz="4" w:space="0" w:color="1F497D"/>
              <w:right w:val="single" w:sz="4" w:space="0" w:color="1F497D"/>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0,68</w:t>
            </w:r>
          </w:p>
        </w:tc>
        <w:tc>
          <w:tcPr>
            <w:tcW w:w="228" w:type="pct"/>
            <w:tcBorders>
              <w:top w:val="nil"/>
              <w:left w:val="nil"/>
              <w:bottom w:val="single" w:sz="4" w:space="0" w:color="1F497D"/>
              <w:right w:val="single" w:sz="4" w:space="0" w:color="1F497D"/>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0,06</w:t>
            </w:r>
          </w:p>
        </w:tc>
        <w:tc>
          <w:tcPr>
            <w:tcW w:w="254" w:type="pct"/>
            <w:tcBorders>
              <w:top w:val="nil"/>
              <w:left w:val="nil"/>
              <w:bottom w:val="single" w:sz="4" w:space="0" w:color="1F497D"/>
              <w:right w:val="single" w:sz="4" w:space="0" w:color="1F497D"/>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0,03</w:t>
            </w:r>
          </w:p>
        </w:tc>
        <w:tc>
          <w:tcPr>
            <w:tcW w:w="288" w:type="pct"/>
            <w:tcBorders>
              <w:top w:val="nil"/>
              <w:left w:val="nil"/>
              <w:bottom w:val="single" w:sz="4" w:space="0" w:color="1F497D"/>
              <w:right w:val="single" w:sz="4" w:space="0" w:color="1F497D"/>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0,68</w:t>
            </w:r>
          </w:p>
        </w:tc>
        <w:tc>
          <w:tcPr>
            <w:tcW w:w="214" w:type="pct"/>
            <w:tcBorders>
              <w:top w:val="nil"/>
              <w:left w:val="nil"/>
              <w:bottom w:val="single" w:sz="4" w:space="0" w:color="1F497D"/>
              <w:right w:val="single" w:sz="4" w:space="0" w:color="1F497D"/>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0,06</w:t>
            </w:r>
          </w:p>
        </w:tc>
        <w:tc>
          <w:tcPr>
            <w:tcW w:w="254" w:type="pct"/>
            <w:tcBorders>
              <w:top w:val="nil"/>
              <w:left w:val="nil"/>
              <w:bottom w:val="single" w:sz="4" w:space="0" w:color="1F497D"/>
              <w:right w:val="single" w:sz="4" w:space="0" w:color="1F497D"/>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0,03</w:t>
            </w:r>
          </w:p>
        </w:tc>
        <w:tc>
          <w:tcPr>
            <w:tcW w:w="274" w:type="pct"/>
            <w:tcBorders>
              <w:top w:val="nil"/>
              <w:left w:val="nil"/>
              <w:bottom w:val="single" w:sz="4" w:space="0" w:color="1F497D"/>
              <w:right w:val="single" w:sz="4" w:space="0" w:color="1F497D"/>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-160,11</w:t>
            </w:r>
          </w:p>
        </w:tc>
        <w:tc>
          <w:tcPr>
            <w:tcW w:w="207" w:type="pct"/>
            <w:tcBorders>
              <w:top w:val="nil"/>
              <w:left w:val="nil"/>
              <w:bottom w:val="single" w:sz="4" w:space="0" w:color="1F497D"/>
              <w:right w:val="single" w:sz="4" w:space="0" w:color="1F497D"/>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-15,03</w:t>
            </w:r>
          </w:p>
        </w:tc>
        <w:tc>
          <w:tcPr>
            <w:tcW w:w="207" w:type="pct"/>
            <w:tcBorders>
              <w:top w:val="nil"/>
              <w:left w:val="nil"/>
              <w:bottom w:val="single" w:sz="4" w:space="0" w:color="1F497D"/>
              <w:right w:val="single" w:sz="4" w:space="0" w:color="1F497D"/>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-6,22</w:t>
            </w:r>
          </w:p>
        </w:tc>
      </w:tr>
    </w:tbl>
    <w:p w:rsidR="001918E8" w:rsidRDefault="001918E8" w:rsidP="001918E8"/>
    <w:p w:rsidR="001918E8" w:rsidRDefault="001918E8" w:rsidP="001918E8"/>
    <w:p w:rsidR="001918E8" w:rsidRPr="001918E8" w:rsidRDefault="001918E8" w:rsidP="001918E8"/>
    <w:p w:rsidR="006B0C3F" w:rsidRDefault="00DB6581" w:rsidP="00C94812">
      <w:pPr>
        <w:spacing w:after="120"/>
        <w:jc w:val="both"/>
        <w:rPr>
          <w:sz w:val="22"/>
          <w:szCs w:val="22"/>
        </w:rPr>
      </w:pPr>
      <w:r w:rsidRPr="00402709">
        <w:rPr>
          <w:b/>
          <w:sz w:val="22"/>
          <w:szCs w:val="22"/>
        </w:rPr>
        <w:lastRenderedPageBreak/>
        <w:t xml:space="preserve">V oblasti </w:t>
      </w:r>
      <w:r w:rsidR="006B0C3F" w:rsidRPr="00402709">
        <w:rPr>
          <w:b/>
          <w:sz w:val="22"/>
          <w:szCs w:val="22"/>
        </w:rPr>
        <w:t>intervence 3.</w:t>
      </w:r>
      <w:r w:rsidR="006B0C3F" w:rsidRPr="0073548E">
        <w:rPr>
          <w:b/>
          <w:sz w:val="22"/>
          <w:szCs w:val="22"/>
        </w:rPr>
        <w:t xml:space="preserve"> 4</w:t>
      </w:r>
      <w:r w:rsidR="006B0C3F">
        <w:rPr>
          <w:sz w:val="22"/>
          <w:szCs w:val="22"/>
        </w:rPr>
        <w:t xml:space="preserve"> bylo souhrnně podáno 159 projektových žádostí v celkové výši 389,53 mil. EUR. Ve sledovaném období nebyla předložena žádná projektová žádost. Částka za vydaná Rozhodnutí se snížila o 0,98 mil. EUR především z důvodu odstoupení jednoho </w:t>
      </w:r>
      <w:r w:rsidR="000D1B22">
        <w:rPr>
          <w:sz w:val="22"/>
          <w:szCs w:val="22"/>
        </w:rPr>
        <w:t xml:space="preserve">schváleného </w:t>
      </w:r>
      <w:r w:rsidR="006B0C3F">
        <w:rPr>
          <w:sz w:val="22"/>
          <w:szCs w:val="22"/>
        </w:rPr>
        <w:t xml:space="preserve">projektu. Prostředky proplacené příjemcům se </w:t>
      </w:r>
      <w:r w:rsidR="00C94812">
        <w:rPr>
          <w:sz w:val="22"/>
          <w:szCs w:val="22"/>
        </w:rPr>
        <w:t>z</w:t>
      </w:r>
      <w:r w:rsidR="006B0C3F">
        <w:rPr>
          <w:sz w:val="22"/>
          <w:szCs w:val="22"/>
        </w:rPr>
        <w:t xml:space="preserve">výšily o 8,59 mil. EUR, celkově byly proplaceny příjemcům prostředky v objemu 105,11 mil. EUR, což představuje 38,02 % alokace. </w:t>
      </w:r>
      <w:r w:rsidR="00C94812">
        <w:rPr>
          <w:sz w:val="22"/>
          <w:szCs w:val="22"/>
        </w:rPr>
        <w:t>B</w:t>
      </w:r>
      <w:r w:rsidR="006B0C3F">
        <w:rPr>
          <w:sz w:val="22"/>
          <w:szCs w:val="22"/>
        </w:rPr>
        <w:t>yly celkem certifikovány výdaje v objemu 102,73 mil. EUR.</w:t>
      </w:r>
    </w:p>
    <w:p w:rsidR="001918E8" w:rsidRDefault="001918E8" w:rsidP="00E1460A">
      <w:pPr>
        <w:spacing w:after="120"/>
        <w:jc w:val="both"/>
        <w:rPr>
          <w:sz w:val="22"/>
          <w:szCs w:val="22"/>
        </w:rPr>
      </w:pPr>
    </w:p>
    <w:p w:rsidR="00F77A31" w:rsidRPr="00F228F9" w:rsidRDefault="006B0C3F" w:rsidP="002F2C3F">
      <w:pPr>
        <w:pStyle w:val="Tabulkanzev"/>
        <w:keepNext/>
        <w:rPr>
          <w:b w:val="0"/>
          <w:bCs/>
        </w:rPr>
      </w:pPr>
      <w:bookmarkStart w:id="96" w:name="_Toc433873557"/>
      <w:r>
        <w:rPr>
          <w:rStyle w:val="Siln"/>
        </w:rPr>
        <w:t>K</w:t>
      </w:r>
      <w:r w:rsidR="00DB6581" w:rsidRPr="007125EE">
        <w:rPr>
          <w:rStyle w:val="Siln"/>
        </w:rPr>
        <w:t>umulativní pokrok na úrovni oblast</w:t>
      </w:r>
      <w:r w:rsidR="00C94812">
        <w:rPr>
          <w:rStyle w:val="Siln"/>
        </w:rPr>
        <w:t>i</w:t>
      </w:r>
      <w:r w:rsidR="00DB6581" w:rsidRPr="007125EE">
        <w:rPr>
          <w:rStyle w:val="Siln"/>
        </w:rPr>
        <w:t xml:space="preserve"> intervence 3.4 (v mil. CZK/EUR)</w:t>
      </w:r>
      <w:bookmarkEnd w:id="96"/>
    </w:p>
    <w:tbl>
      <w:tblPr>
        <w:tblW w:w="5000" w:type="pct"/>
        <w:tblCellMar>
          <w:left w:w="70" w:type="dxa"/>
          <w:right w:w="70" w:type="dxa"/>
        </w:tblCellMar>
        <w:tblLook w:val="04A0" w:firstRow="1" w:lastRow="0" w:firstColumn="1" w:lastColumn="0" w:noHBand="0" w:noVBand="1"/>
      </w:tblPr>
      <w:tblGrid>
        <w:gridCol w:w="718"/>
        <w:gridCol w:w="941"/>
        <w:gridCol w:w="700"/>
        <w:gridCol w:w="675"/>
        <w:gridCol w:w="514"/>
        <w:gridCol w:w="780"/>
        <w:gridCol w:w="580"/>
        <w:gridCol w:w="656"/>
        <w:gridCol w:w="514"/>
        <w:gridCol w:w="732"/>
        <w:gridCol w:w="599"/>
        <w:gridCol w:w="599"/>
        <w:gridCol w:w="732"/>
        <w:gridCol w:w="639"/>
        <w:gridCol w:w="713"/>
        <w:gridCol w:w="809"/>
        <w:gridCol w:w="599"/>
        <w:gridCol w:w="713"/>
        <w:gridCol w:w="769"/>
        <w:gridCol w:w="580"/>
        <w:gridCol w:w="582"/>
      </w:tblGrid>
      <w:tr w:rsidR="00F228F9" w:rsidRPr="00F228F9" w:rsidTr="00F228F9">
        <w:trPr>
          <w:trHeight w:val="615"/>
        </w:trPr>
        <w:tc>
          <w:tcPr>
            <w:tcW w:w="241" w:type="pct"/>
            <w:vMerge w:val="restart"/>
            <w:tcBorders>
              <w:top w:val="single" w:sz="4" w:space="0" w:color="1F497D"/>
              <w:left w:val="single" w:sz="4" w:space="0" w:color="1F497D"/>
              <w:bottom w:val="single" w:sz="4" w:space="0" w:color="1F497D"/>
              <w:right w:val="single" w:sz="4" w:space="0" w:color="1F497D"/>
            </w:tcBorders>
            <w:shd w:val="clear" w:color="000000" w:fill="DCE6F1"/>
            <w:vAlign w:val="center"/>
            <w:hideMark/>
          </w:tcPr>
          <w:p w:rsidR="00F228F9" w:rsidRPr="00F228F9" w:rsidRDefault="00F228F9" w:rsidP="00F228F9">
            <w:pPr>
              <w:jc w:val="center"/>
              <w:rPr>
                <w:b/>
                <w:bCs/>
                <w:color w:val="000000"/>
                <w:sz w:val="16"/>
                <w:szCs w:val="16"/>
              </w:rPr>
            </w:pPr>
            <w:r w:rsidRPr="00F228F9">
              <w:rPr>
                <w:b/>
                <w:bCs/>
                <w:color w:val="000000"/>
                <w:sz w:val="16"/>
                <w:szCs w:val="16"/>
              </w:rPr>
              <w:t>Oblast podpory</w:t>
            </w:r>
          </w:p>
        </w:tc>
        <w:tc>
          <w:tcPr>
            <w:tcW w:w="335" w:type="pct"/>
            <w:tcBorders>
              <w:top w:val="single" w:sz="4" w:space="0" w:color="1F497D"/>
              <w:left w:val="nil"/>
              <w:bottom w:val="single" w:sz="4" w:space="0" w:color="1F497D"/>
              <w:right w:val="single" w:sz="4" w:space="0" w:color="1F497D"/>
            </w:tcBorders>
            <w:shd w:val="clear" w:color="000000" w:fill="DCE6F1"/>
            <w:vAlign w:val="center"/>
            <w:hideMark/>
          </w:tcPr>
          <w:p w:rsidR="00F228F9" w:rsidRPr="00F228F9" w:rsidRDefault="00F228F9" w:rsidP="00F228F9">
            <w:pPr>
              <w:jc w:val="center"/>
              <w:rPr>
                <w:b/>
                <w:bCs/>
                <w:color w:val="000000"/>
                <w:sz w:val="16"/>
                <w:szCs w:val="16"/>
              </w:rPr>
            </w:pPr>
            <w:r w:rsidRPr="00F228F9">
              <w:rPr>
                <w:b/>
                <w:bCs/>
                <w:color w:val="000000"/>
                <w:sz w:val="16"/>
                <w:szCs w:val="16"/>
              </w:rPr>
              <w:t>Datum snímku</w:t>
            </w:r>
          </w:p>
        </w:tc>
        <w:tc>
          <w:tcPr>
            <w:tcW w:w="482" w:type="pct"/>
            <w:gridSpan w:val="2"/>
            <w:tcBorders>
              <w:top w:val="single" w:sz="4" w:space="0" w:color="1F497D"/>
              <w:left w:val="nil"/>
              <w:bottom w:val="single" w:sz="4" w:space="0" w:color="1F497D"/>
              <w:right w:val="single" w:sz="4" w:space="0" w:color="1F497D"/>
            </w:tcBorders>
            <w:shd w:val="clear" w:color="000000" w:fill="DCE6F1"/>
            <w:vAlign w:val="center"/>
            <w:hideMark/>
          </w:tcPr>
          <w:p w:rsidR="00F228F9" w:rsidRPr="00F228F9" w:rsidRDefault="00F228F9" w:rsidP="00F228F9">
            <w:pPr>
              <w:jc w:val="center"/>
              <w:rPr>
                <w:b/>
                <w:bCs/>
                <w:color w:val="000000"/>
                <w:sz w:val="16"/>
                <w:szCs w:val="16"/>
              </w:rPr>
            </w:pPr>
            <w:r w:rsidRPr="00F228F9">
              <w:rPr>
                <w:b/>
                <w:bCs/>
                <w:color w:val="000000"/>
                <w:sz w:val="16"/>
                <w:szCs w:val="16"/>
              </w:rPr>
              <w:t>Celková alokace podpory 2007-2013</w:t>
            </w:r>
          </w:p>
        </w:tc>
        <w:tc>
          <w:tcPr>
            <w:tcW w:w="890" w:type="pct"/>
            <w:gridSpan w:val="4"/>
            <w:tcBorders>
              <w:top w:val="single" w:sz="4" w:space="0" w:color="1F497D"/>
              <w:left w:val="nil"/>
              <w:bottom w:val="single" w:sz="4" w:space="0" w:color="1F497D"/>
              <w:right w:val="single" w:sz="4" w:space="0" w:color="1F497D"/>
            </w:tcBorders>
            <w:shd w:val="clear" w:color="000000" w:fill="DCE6F1"/>
            <w:vAlign w:val="center"/>
            <w:hideMark/>
          </w:tcPr>
          <w:p w:rsidR="00F228F9" w:rsidRPr="00F228F9" w:rsidRDefault="00F228F9" w:rsidP="00F228F9">
            <w:pPr>
              <w:jc w:val="center"/>
              <w:rPr>
                <w:b/>
                <w:bCs/>
                <w:color w:val="000000"/>
                <w:sz w:val="16"/>
                <w:szCs w:val="16"/>
              </w:rPr>
            </w:pPr>
            <w:r w:rsidRPr="00F228F9">
              <w:rPr>
                <w:b/>
                <w:bCs/>
                <w:color w:val="000000"/>
                <w:sz w:val="16"/>
                <w:szCs w:val="16"/>
              </w:rPr>
              <w:t>Podané žádosti</w:t>
            </w:r>
          </w:p>
        </w:tc>
        <w:tc>
          <w:tcPr>
            <w:tcW w:w="863" w:type="pct"/>
            <w:gridSpan w:val="4"/>
            <w:tcBorders>
              <w:top w:val="single" w:sz="4" w:space="0" w:color="1F497D"/>
              <w:left w:val="nil"/>
              <w:bottom w:val="single" w:sz="4" w:space="0" w:color="1F497D"/>
              <w:right w:val="single" w:sz="4" w:space="0" w:color="1F497D"/>
            </w:tcBorders>
            <w:shd w:val="clear" w:color="000000" w:fill="DCE6F1"/>
            <w:vAlign w:val="center"/>
            <w:hideMark/>
          </w:tcPr>
          <w:p w:rsidR="00F228F9" w:rsidRPr="00F228F9" w:rsidRDefault="00F228F9" w:rsidP="00F228F9">
            <w:pPr>
              <w:jc w:val="center"/>
              <w:rPr>
                <w:b/>
                <w:bCs/>
                <w:color w:val="000000"/>
                <w:sz w:val="16"/>
                <w:szCs w:val="16"/>
              </w:rPr>
            </w:pPr>
            <w:r w:rsidRPr="00F228F9">
              <w:rPr>
                <w:b/>
                <w:bCs/>
                <w:color w:val="000000"/>
                <w:sz w:val="16"/>
                <w:szCs w:val="16"/>
              </w:rPr>
              <w:t>Prostředky kryté Rozhodnutím / Smlouvou (dodatkem)</w:t>
            </w:r>
          </w:p>
        </w:tc>
        <w:tc>
          <w:tcPr>
            <w:tcW w:w="743" w:type="pct"/>
            <w:gridSpan w:val="3"/>
            <w:tcBorders>
              <w:top w:val="single" w:sz="4" w:space="0" w:color="1F497D"/>
              <w:left w:val="nil"/>
              <w:bottom w:val="single" w:sz="4" w:space="0" w:color="1F497D"/>
              <w:right w:val="single" w:sz="4" w:space="0" w:color="1F497D"/>
            </w:tcBorders>
            <w:shd w:val="clear" w:color="000000" w:fill="DCE6F1"/>
            <w:vAlign w:val="center"/>
            <w:hideMark/>
          </w:tcPr>
          <w:p w:rsidR="00F228F9" w:rsidRPr="00F228F9" w:rsidRDefault="00F228F9" w:rsidP="00F228F9">
            <w:pPr>
              <w:jc w:val="center"/>
              <w:rPr>
                <w:b/>
                <w:bCs/>
                <w:color w:val="000000"/>
                <w:sz w:val="16"/>
                <w:szCs w:val="16"/>
              </w:rPr>
            </w:pPr>
            <w:r w:rsidRPr="00F228F9">
              <w:rPr>
                <w:b/>
                <w:bCs/>
                <w:color w:val="000000"/>
                <w:sz w:val="16"/>
                <w:szCs w:val="16"/>
              </w:rPr>
              <w:t>Proplacené prostředky příjemcům (vyúčtované prostředky)</w:t>
            </w:r>
          </w:p>
        </w:tc>
        <w:tc>
          <w:tcPr>
            <w:tcW w:w="756" w:type="pct"/>
            <w:gridSpan w:val="3"/>
            <w:tcBorders>
              <w:top w:val="single" w:sz="4" w:space="0" w:color="1F497D"/>
              <w:left w:val="nil"/>
              <w:bottom w:val="single" w:sz="4" w:space="0" w:color="1F497D"/>
              <w:right w:val="single" w:sz="4" w:space="0" w:color="1F497D"/>
            </w:tcBorders>
            <w:shd w:val="clear" w:color="000000" w:fill="DCE6F1"/>
            <w:vAlign w:val="center"/>
            <w:hideMark/>
          </w:tcPr>
          <w:p w:rsidR="00F228F9" w:rsidRPr="00F228F9" w:rsidRDefault="00F228F9" w:rsidP="00F228F9">
            <w:pPr>
              <w:jc w:val="center"/>
              <w:rPr>
                <w:b/>
                <w:bCs/>
                <w:color w:val="000000"/>
                <w:sz w:val="16"/>
                <w:szCs w:val="16"/>
              </w:rPr>
            </w:pPr>
            <w:r w:rsidRPr="00F228F9">
              <w:rPr>
                <w:b/>
                <w:bCs/>
                <w:color w:val="000000"/>
                <w:sz w:val="16"/>
                <w:szCs w:val="16"/>
              </w:rPr>
              <w:t>Souhrnné žádosti zaúčtované PCO</w:t>
            </w:r>
          </w:p>
        </w:tc>
        <w:tc>
          <w:tcPr>
            <w:tcW w:w="689" w:type="pct"/>
            <w:gridSpan w:val="3"/>
            <w:tcBorders>
              <w:top w:val="single" w:sz="4" w:space="0" w:color="1F497D"/>
              <w:left w:val="nil"/>
              <w:bottom w:val="single" w:sz="4" w:space="0" w:color="1F497D"/>
              <w:right w:val="single" w:sz="4" w:space="0" w:color="1F497D"/>
            </w:tcBorders>
            <w:shd w:val="clear" w:color="000000" w:fill="DCE6F1"/>
            <w:vAlign w:val="center"/>
            <w:hideMark/>
          </w:tcPr>
          <w:p w:rsidR="00F228F9" w:rsidRPr="00F228F9" w:rsidRDefault="00F228F9" w:rsidP="00F228F9">
            <w:pPr>
              <w:jc w:val="center"/>
              <w:rPr>
                <w:b/>
                <w:bCs/>
                <w:color w:val="000000"/>
                <w:sz w:val="16"/>
                <w:szCs w:val="16"/>
              </w:rPr>
            </w:pPr>
            <w:r w:rsidRPr="00F228F9">
              <w:rPr>
                <w:b/>
                <w:bCs/>
                <w:color w:val="000000"/>
                <w:sz w:val="16"/>
                <w:szCs w:val="16"/>
              </w:rPr>
              <w:t>Certifikované prostředky (včetně vratek)</w:t>
            </w:r>
          </w:p>
        </w:tc>
      </w:tr>
      <w:tr w:rsidR="00F228F9" w:rsidRPr="00F228F9" w:rsidTr="00F228F9">
        <w:trPr>
          <w:trHeight w:val="435"/>
        </w:trPr>
        <w:tc>
          <w:tcPr>
            <w:tcW w:w="241" w:type="pct"/>
            <w:vMerge/>
            <w:tcBorders>
              <w:top w:val="single" w:sz="4" w:space="0" w:color="1F497D"/>
              <w:left w:val="single" w:sz="4" w:space="0" w:color="1F497D"/>
              <w:bottom w:val="single" w:sz="4" w:space="0" w:color="1F497D"/>
              <w:right w:val="single" w:sz="4" w:space="0" w:color="1F497D"/>
            </w:tcBorders>
            <w:vAlign w:val="center"/>
            <w:hideMark/>
          </w:tcPr>
          <w:p w:rsidR="00F228F9" w:rsidRPr="00F228F9" w:rsidRDefault="00F228F9" w:rsidP="00F228F9">
            <w:pPr>
              <w:rPr>
                <w:b/>
                <w:bCs/>
                <w:color w:val="000000"/>
                <w:sz w:val="16"/>
                <w:szCs w:val="16"/>
              </w:rPr>
            </w:pPr>
          </w:p>
        </w:tc>
        <w:tc>
          <w:tcPr>
            <w:tcW w:w="335" w:type="pct"/>
            <w:vMerge w:val="restart"/>
            <w:tcBorders>
              <w:top w:val="nil"/>
              <w:left w:val="single" w:sz="4" w:space="0" w:color="1F497D"/>
              <w:bottom w:val="single" w:sz="4" w:space="0" w:color="1F497D"/>
              <w:right w:val="single" w:sz="4" w:space="0" w:color="1F497D"/>
            </w:tcBorders>
            <w:shd w:val="clear" w:color="000000" w:fill="DCE6F1"/>
            <w:vAlign w:val="center"/>
            <w:hideMark/>
          </w:tcPr>
          <w:p w:rsidR="00F228F9" w:rsidRPr="00F228F9" w:rsidRDefault="00F228F9" w:rsidP="00F228F9">
            <w:pPr>
              <w:jc w:val="center"/>
              <w:rPr>
                <w:b/>
                <w:bCs/>
                <w:color w:val="000000"/>
                <w:sz w:val="16"/>
                <w:szCs w:val="16"/>
              </w:rPr>
            </w:pPr>
            <w:r w:rsidRPr="00F228F9">
              <w:rPr>
                <w:b/>
                <w:bCs/>
                <w:color w:val="000000"/>
                <w:sz w:val="16"/>
                <w:szCs w:val="16"/>
              </w:rPr>
              <w:t>Den</w:t>
            </w:r>
          </w:p>
        </w:tc>
        <w:tc>
          <w:tcPr>
            <w:tcW w:w="241" w:type="pct"/>
            <w:tcBorders>
              <w:top w:val="nil"/>
              <w:left w:val="nil"/>
              <w:bottom w:val="single" w:sz="4" w:space="0" w:color="1F497D"/>
              <w:right w:val="single" w:sz="4" w:space="0" w:color="1F497D"/>
            </w:tcBorders>
            <w:shd w:val="clear" w:color="000000" w:fill="DCE6F1"/>
            <w:vAlign w:val="center"/>
            <w:hideMark/>
          </w:tcPr>
          <w:p w:rsidR="00F228F9" w:rsidRPr="00F228F9" w:rsidRDefault="00F228F9" w:rsidP="00F228F9">
            <w:pPr>
              <w:jc w:val="center"/>
              <w:rPr>
                <w:b/>
                <w:bCs/>
                <w:color w:val="000000"/>
                <w:sz w:val="16"/>
                <w:szCs w:val="16"/>
              </w:rPr>
            </w:pPr>
            <w:r w:rsidRPr="00F228F9">
              <w:rPr>
                <w:b/>
                <w:bCs/>
                <w:color w:val="000000"/>
                <w:sz w:val="16"/>
                <w:szCs w:val="16"/>
              </w:rPr>
              <w:t>mil. CZK</w:t>
            </w:r>
          </w:p>
        </w:tc>
        <w:tc>
          <w:tcPr>
            <w:tcW w:w="241" w:type="pct"/>
            <w:vMerge w:val="restart"/>
            <w:tcBorders>
              <w:top w:val="nil"/>
              <w:left w:val="single" w:sz="4" w:space="0" w:color="1F497D"/>
              <w:bottom w:val="single" w:sz="4" w:space="0" w:color="1F497D"/>
              <w:right w:val="single" w:sz="4" w:space="0" w:color="1F497D"/>
            </w:tcBorders>
            <w:shd w:val="clear" w:color="000000" w:fill="DCE6F1"/>
            <w:vAlign w:val="center"/>
            <w:hideMark/>
          </w:tcPr>
          <w:p w:rsidR="00F228F9" w:rsidRPr="00F228F9" w:rsidRDefault="00F228F9" w:rsidP="00F228F9">
            <w:pPr>
              <w:jc w:val="center"/>
              <w:rPr>
                <w:b/>
                <w:bCs/>
                <w:color w:val="000000"/>
                <w:sz w:val="16"/>
                <w:szCs w:val="16"/>
              </w:rPr>
            </w:pPr>
            <w:r w:rsidRPr="00F228F9">
              <w:rPr>
                <w:b/>
                <w:bCs/>
                <w:color w:val="000000"/>
                <w:sz w:val="16"/>
                <w:szCs w:val="16"/>
              </w:rPr>
              <w:t>mil. EUR</w:t>
            </w:r>
          </w:p>
        </w:tc>
        <w:tc>
          <w:tcPr>
            <w:tcW w:w="181" w:type="pct"/>
            <w:tcBorders>
              <w:top w:val="nil"/>
              <w:left w:val="nil"/>
              <w:bottom w:val="single" w:sz="4" w:space="0" w:color="1F497D"/>
              <w:right w:val="single" w:sz="4" w:space="0" w:color="1F497D"/>
            </w:tcBorders>
            <w:shd w:val="clear" w:color="000000" w:fill="DCE6F1"/>
            <w:vAlign w:val="center"/>
            <w:hideMark/>
          </w:tcPr>
          <w:p w:rsidR="00F228F9" w:rsidRPr="00F228F9" w:rsidRDefault="00F228F9" w:rsidP="00F228F9">
            <w:pPr>
              <w:jc w:val="center"/>
              <w:rPr>
                <w:b/>
                <w:bCs/>
                <w:color w:val="000000"/>
                <w:sz w:val="16"/>
                <w:szCs w:val="16"/>
              </w:rPr>
            </w:pPr>
            <w:r w:rsidRPr="00F228F9">
              <w:rPr>
                <w:b/>
                <w:bCs/>
                <w:color w:val="000000"/>
                <w:sz w:val="16"/>
                <w:szCs w:val="16"/>
              </w:rPr>
              <w:t>Počet</w:t>
            </w:r>
          </w:p>
        </w:tc>
        <w:tc>
          <w:tcPr>
            <w:tcW w:w="268" w:type="pct"/>
            <w:tcBorders>
              <w:top w:val="nil"/>
              <w:left w:val="nil"/>
              <w:bottom w:val="single" w:sz="4" w:space="0" w:color="1F497D"/>
              <w:right w:val="single" w:sz="4" w:space="0" w:color="1F497D"/>
            </w:tcBorders>
            <w:shd w:val="clear" w:color="000000" w:fill="DCE6F1"/>
            <w:vAlign w:val="center"/>
            <w:hideMark/>
          </w:tcPr>
          <w:p w:rsidR="00F228F9" w:rsidRPr="00F228F9" w:rsidRDefault="00F228F9" w:rsidP="00F228F9">
            <w:pPr>
              <w:jc w:val="center"/>
              <w:rPr>
                <w:b/>
                <w:bCs/>
                <w:color w:val="000000"/>
                <w:sz w:val="16"/>
                <w:szCs w:val="16"/>
              </w:rPr>
            </w:pPr>
            <w:r w:rsidRPr="00F228F9">
              <w:rPr>
                <w:b/>
                <w:bCs/>
                <w:color w:val="000000"/>
                <w:sz w:val="16"/>
                <w:szCs w:val="16"/>
              </w:rPr>
              <w:t>mil. CZK</w:t>
            </w:r>
          </w:p>
        </w:tc>
        <w:tc>
          <w:tcPr>
            <w:tcW w:w="207" w:type="pct"/>
            <w:tcBorders>
              <w:top w:val="nil"/>
              <w:left w:val="nil"/>
              <w:bottom w:val="single" w:sz="4" w:space="0" w:color="1F497D"/>
              <w:right w:val="single" w:sz="4" w:space="0" w:color="1F497D"/>
            </w:tcBorders>
            <w:shd w:val="clear" w:color="000000" w:fill="DCE6F1"/>
            <w:vAlign w:val="center"/>
            <w:hideMark/>
          </w:tcPr>
          <w:p w:rsidR="00F228F9" w:rsidRPr="00F228F9" w:rsidRDefault="00F228F9" w:rsidP="00F228F9">
            <w:pPr>
              <w:jc w:val="center"/>
              <w:rPr>
                <w:b/>
                <w:bCs/>
                <w:color w:val="000000"/>
                <w:sz w:val="16"/>
                <w:szCs w:val="16"/>
              </w:rPr>
            </w:pPr>
            <w:r w:rsidRPr="00F228F9">
              <w:rPr>
                <w:b/>
                <w:bCs/>
                <w:color w:val="000000"/>
                <w:sz w:val="16"/>
                <w:szCs w:val="16"/>
              </w:rPr>
              <w:t>%</w:t>
            </w:r>
          </w:p>
        </w:tc>
        <w:tc>
          <w:tcPr>
            <w:tcW w:w="234" w:type="pct"/>
            <w:vMerge w:val="restart"/>
            <w:tcBorders>
              <w:top w:val="nil"/>
              <w:left w:val="single" w:sz="4" w:space="0" w:color="1F497D"/>
              <w:bottom w:val="single" w:sz="4" w:space="0" w:color="1F497D"/>
              <w:right w:val="single" w:sz="4" w:space="0" w:color="1F497D"/>
            </w:tcBorders>
            <w:shd w:val="clear" w:color="000000" w:fill="DCE6F1"/>
            <w:vAlign w:val="center"/>
            <w:hideMark/>
          </w:tcPr>
          <w:p w:rsidR="00F228F9" w:rsidRPr="00F228F9" w:rsidRDefault="00F228F9" w:rsidP="00F228F9">
            <w:pPr>
              <w:jc w:val="center"/>
              <w:rPr>
                <w:b/>
                <w:bCs/>
                <w:color w:val="000000"/>
                <w:sz w:val="16"/>
                <w:szCs w:val="16"/>
              </w:rPr>
            </w:pPr>
            <w:r w:rsidRPr="00F228F9">
              <w:rPr>
                <w:b/>
                <w:bCs/>
                <w:color w:val="000000"/>
                <w:sz w:val="16"/>
                <w:szCs w:val="16"/>
              </w:rPr>
              <w:t>mil. EUR</w:t>
            </w:r>
          </w:p>
        </w:tc>
        <w:tc>
          <w:tcPr>
            <w:tcW w:w="174" w:type="pct"/>
            <w:tcBorders>
              <w:top w:val="nil"/>
              <w:left w:val="nil"/>
              <w:bottom w:val="single" w:sz="4" w:space="0" w:color="1F497D"/>
              <w:right w:val="single" w:sz="4" w:space="0" w:color="1F497D"/>
            </w:tcBorders>
            <w:shd w:val="clear" w:color="000000" w:fill="DCE6F1"/>
            <w:vAlign w:val="center"/>
            <w:hideMark/>
          </w:tcPr>
          <w:p w:rsidR="00F228F9" w:rsidRPr="00F228F9" w:rsidRDefault="00F228F9" w:rsidP="00F228F9">
            <w:pPr>
              <w:jc w:val="center"/>
              <w:rPr>
                <w:b/>
                <w:bCs/>
                <w:color w:val="000000"/>
                <w:sz w:val="16"/>
                <w:szCs w:val="16"/>
              </w:rPr>
            </w:pPr>
            <w:r w:rsidRPr="00F228F9">
              <w:rPr>
                <w:b/>
                <w:bCs/>
                <w:color w:val="000000"/>
                <w:sz w:val="16"/>
                <w:szCs w:val="16"/>
              </w:rPr>
              <w:t>Počet</w:t>
            </w:r>
          </w:p>
        </w:tc>
        <w:tc>
          <w:tcPr>
            <w:tcW w:w="261" w:type="pct"/>
            <w:tcBorders>
              <w:top w:val="nil"/>
              <w:left w:val="nil"/>
              <w:bottom w:val="single" w:sz="4" w:space="0" w:color="1F497D"/>
              <w:right w:val="single" w:sz="4" w:space="0" w:color="1F497D"/>
            </w:tcBorders>
            <w:shd w:val="clear" w:color="000000" w:fill="DCE6F1"/>
            <w:vAlign w:val="center"/>
            <w:hideMark/>
          </w:tcPr>
          <w:p w:rsidR="00F228F9" w:rsidRPr="00F228F9" w:rsidRDefault="00F228F9" w:rsidP="00F228F9">
            <w:pPr>
              <w:jc w:val="center"/>
              <w:rPr>
                <w:b/>
                <w:bCs/>
                <w:color w:val="000000"/>
                <w:sz w:val="16"/>
                <w:szCs w:val="16"/>
              </w:rPr>
            </w:pPr>
            <w:r w:rsidRPr="00F228F9">
              <w:rPr>
                <w:b/>
                <w:bCs/>
                <w:color w:val="000000"/>
                <w:sz w:val="16"/>
                <w:szCs w:val="16"/>
              </w:rPr>
              <w:t>mil. CZK</w:t>
            </w:r>
          </w:p>
        </w:tc>
        <w:tc>
          <w:tcPr>
            <w:tcW w:w="214" w:type="pct"/>
            <w:tcBorders>
              <w:top w:val="nil"/>
              <w:left w:val="nil"/>
              <w:bottom w:val="single" w:sz="4" w:space="0" w:color="1F497D"/>
              <w:right w:val="single" w:sz="4" w:space="0" w:color="1F497D"/>
            </w:tcBorders>
            <w:shd w:val="clear" w:color="000000" w:fill="DCE6F1"/>
            <w:vAlign w:val="center"/>
            <w:hideMark/>
          </w:tcPr>
          <w:p w:rsidR="00F228F9" w:rsidRPr="00F228F9" w:rsidRDefault="00F228F9" w:rsidP="00F228F9">
            <w:pPr>
              <w:jc w:val="center"/>
              <w:rPr>
                <w:b/>
                <w:bCs/>
                <w:color w:val="000000"/>
                <w:sz w:val="16"/>
                <w:szCs w:val="16"/>
              </w:rPr>
            </w:pPr>
            <w:r w:rsidRPr="00F228F9">
              <w:rPr>
                <w:b/>
                <w:bCs/>
                <w:color w:val="000000"/>
                <w:sz w:val="16"/>
                <w:szCs w:val="16"/>
              </w:rPr>
              <w:t>%</w:t>
            </w:r>
          </w:p>
        </w:tc>
        <w:tc>
          <w:tcPr>
            <w:tcW w:w="214" w:type="pct"/>
            <w:vMerge w:val="restart"/>
            <w:tcBorders>
              <w:top w:val="nil"/>
              <w:left w:val="single" w:sz="4" w:space="0" w:color="1F497D"/>
              <w:bottom w:val="single" w:sz="4" w:space="0" w:color="1F497D"/>
              <w:right w:val="single" w:sz="4" w:space="0" w:color="1F497D"/>
            </w:tcBorders>
            <w:shd w:val="clear" w:color="000000" w:fill="DCE6F1"/>
            <w:vAlign w:val="center"/>
            <w:hideMark/>
          </w:tcPr>
          <w:p w:rsidR="00F228F9" w:rsidRPr="00F228F9" w:rsidRDefault="00F228F9" w:rsidP="00F228F9">
            <w:pPr>
              <w:jc w:val="center"/>
              <w:rPr>
                <w:b/>
                <w:bCs/>
                <w:color w:val="000000"/>
                <w:sz w:val="16"/>
                <w:szCs w:val="16"/>
              </w:rPr>
            </w:pPr>
            <w:r w:rsidRPr="00F228F9">
              <w:rPr>
                <w:b/>
                <w:bCs/>
                <w:color w:val="000000"/>
                <w:sz w:val="16"/>
                <w:szCs w:val="16"/>
              </w:rPr>
              <w:t>mil. EUR</w:t>
            </w:r>
          </w:p>
        </w:tc>
        <w:tc>
          <w:tcPr>
            <w:tcW w:w="261" w:type="pct"/>
            <w:tcBorders>
              <w:top w:val="nil"/>
              <w:left w:val="nil"/>
              <w:bottom w:val="single" w:sz="4" w:space="0" w:color="1F497D"/>
              <w:right w:val="single" w:sz="4" w:space="0" w:color="1F497D"/>
            </w:tcBorders>
            <w:shd w:val="clear" w:color="000000" w:fill="DCE6F1"/>
            <w:vAlign w:val="center"/>
            <w:hideMark/>
          </w:tcPr>
          <w:p w:rsidR="00F228F9" w:rsidRPr="00F228F9" w:rsidRDefault="00F228F9" w:rsidP="00F228F9">
            <w:pPr>
              <w:jc w:val="center"/>
              <w:rPr>
                <w:b/>
                <w:bCs/>
                <w:color w:val="000000"/>
                <w:sz w:val="16"/>
                <w:szCs w:val="16"/>
              </w:rPr>
            </w:pPr>
            <w:r w:rsidRPr="00F228F9">
              <w:rPr>
                <w:b/>
                <w:bCs/>
                <w:color w:val="000000"/>
                <w:sz w:val="16"/>
                <w:szCs w:val="16"/>
              </w:rPr>
              <w:t>mil. CZK</w:t>
            </w:r>
          </w:p>
        </w:tc>
        <w:tc>
          <w:tcPr>
            <w:tcW w:w="228" w:type="pct"/>
            <w:tcBorders>
              <w:top w:val="nil"/>
              <w:left w:val="nil"/>
              <w:bottom w:val="single" w:sz="4" w:space="0" w:color="1F497D"/>
              <w:right w:val="single" w:sz="4" w:space="0" w:color="1F497D"/>
            </w:tcBorders>
            <w:shd w:val="clear" w:color="000000" w:fill="DCE6F1"/>
            <w:vAlign w:val="center"/>
            <w:hideMark/>
          </w:tcPr>
          <w:p w:rsidR="00F228F9" w:rsidRPr="00F228F9" w:rsidRDefault="00F228F9" w:rsidP="00F228F9">
            <w:pPr>
              <w:jc w:val="center"/>
              <w:rPr>
                <w:b/>
                <w:bCs/>
                <w:color w:val="000000"/>
                <w:sz w:val="16"/>
                <w:szCs w:val="16"/>
              </w:rPr>
            </w:pPr>
            <w:r w:rsidRPr="00F228F9">
              <w:rPr>
                <w:b/>
                <w:bCs/>
                <w:color w:val="000000"/>
                <w:sz w:val="16"/>
                <w:szCs w:val="16"/>
              </w:rPr>
              <w:t>%</w:t>
            </w:r>
          </w:p>
        </w:tc>
        <w:tc>
          <w:tcPr>
            <w:tcW w:w="254" w:type="pct"/>
            <w:vMerge w:val="restart"/>
            <w:tcBorders>
              <w:top w:val="nil"/>
              <w:left w:val="single" w:sz="4" w:space="0" w:color="1F497D"/>
              <w:bottom w:val="single" w:sz="4" w:space="0" w:color="1F497D"/>
              <w:right w:val="single" w:sz="4" w:space="0" w:color="1F497D"/>
            </w:tcBorders>
            <w:shd w:val="clear" w:color="000000" w:fill="DCE6F1"/>
            <w:vAlign w:val="center"/>
            <w:hideMark/>
          </w:tcPr>
          <w:p w:rsidR="00F228F9" w:rsidRPr="00F228F9" w:rsidRDefault="00F228F9" w:rsidP="00F228F9">
            <w:pPr>
              <w:jc w:val="center"/>
              <w:rPr>
                <w:b/>
                <w:bCs/>
                <w:color w:val="000000"/>
                <w:sz w:val="16"/>
                <w:szCs w:val="16"/>
              </w:rPr>
            </w:pPr>
            <w:r w:rsidRPr="00F228F9">
              <w:rPr>
                <w:b/>
                <w:bCs/>
                <w:color w:val="000000"/>
                <w:sz w:val="16"/>
                <w:szCs w:val="16"/>
              </w:rPr>
              <w:t>mil. EUR</w:t>
            </w:r>
          </w:p>
        </w:tc>
        <w:tc>
          <w:tcPr>
            <w:tcW w:w="288" w:type="pct"/>
            <w:tcBorders>
              <w:top w:val="nil"/>
              <w:left w:val="nil"/>
              <w:bottom w:val="single" w:sz="4" w:space="0" w:color="1F497D"/>
              <w:right w:val="single" w:sz="4" w:space="0" w:color="1F497D"/>
            </w:tcBorders>
            <w:shd w:val="clear" w:color="000000" w:fill="DCE6F1"/>
            <w:vAlign w:val="center"/>
            <w:hideMark/>
          </w:tcPr>
          <w:p w:rsidR="00F228F9" w:rsidRPr="00F228F9" w:rsidRDefault="00F228F9" w:rsidP="00F228F9">
            <w:pPr>
              <w:jc w:val="center"/>
              <w:rPr>
                <w:b/>
                <w:bCs/>
                <w:color w:val="000000"/>
                <w:sz w:val="16"/>
                <w:szCs w:val="16"/>
              </w:rPr>
            </w:pPr>
            <w:r w:rsidRPr="00F228F9">
              <w:rPr>
                <w:b/>
                <w:bCs/>
                <w:color w:val="000000"/>
                <w:sz w:val="16"/>
                <w:szCs w:val="16"/>
              </w:rPr>
              <w:t>mil. CZK</w:t>
            </w:r>
          </w:p>
        </w:tc>
        <w:tc>
          <w:tcPr>
            <w:tcW w:w="214" w:type="pct"/>
            <w:tcBorders>
              <w:top w:val="nil"/>
              <w:left w:val="nil"/>
              <w:bottom w:val="single" w:sz="4" w:space="0" w:color="1F497D"/>
              <w:right w:val="single" w:sz="4" w:space="0" w:color="1F497D"/>
            </w:tcBorders>
            <w:shd w:val="clear" w:color="000000" w:fill="DCE6F1"/>
            <w:vAlign w:val="center"/>
            <w:hideMark/>
          </w:tcPr>
          <w:p w:rsidR="00F228F9" w:rsidRPr="00F228F9" w:rsidRDefault="00F228F9" w:rsidP="00F228F9">
            <w:pPr>
              <w:jc w:val="center"/>
              <w:rPr>
                <w:b/>
                <w:bCs/>
                <w:color w:val="000000"/>
                <w:sz w:val="16"/>
                <w:szCs w:val="16"/>
              </w:rPr>
            </w:pPr>
            <w:r w:rsidRPr="00F228F9">
              <w:rPr>
                <w:b/>
                <w:bCs/>
                <w:color w:val="000000"/>
                <w:sz w:val="16"/>
                <w:szCs w:val="16"/>
              </w:rPr>
              <w:t>%</w:t>
            </w:r>
          </w:p>
        </w:tc>
        <w:tc>
          <w:tcPr>
            <w:tcW w:w="254" w:type="pct"/>
            <w:vMerge w:val="restart"/>
            <w:tcBorders>
              <w:top w:val="nil"/>
              <w:left w:val="single" w:sz="4" w:space="0" w:color="1F497D"/>
              <w:bottom w:val="single" w:sz="4" w:space="0" w:color="1F497D"/>
              <w:right w:val="single" w:sz="4" w:space="0" w:color="1F497D"/>
            </w:tcBorders>
            <w:shd w:val="clear" w:color="000000" w:fill="DCE6F1"/>
            <w:vAlign w:val="center"/>
            <w:hideMark/>
          </w:tcPr>
          <w:p w:rsidR="00F228F9" w:rsidRPr="00F228F9" w:rsidRDefault="00F228F9" w:rsidP="00F228F9">
            <w:pPr>
              <w:jc w:val="center"/>
              <w:rPr>
                <w:b/>
                <w:bCs/>
                <w:color w:val="000000"/>
                <w:sz w:val="16"/>
                <w:szCs w:val="16"/>
              </w:rPr>
            </w:pPr>
            <w:r w:rsidRPr="00F228F9">
              <w:rPr>
                <w:b/>
                <w:bCs/>
                <w:color w:val="000000"/>
                <w:sz w:val="16"/>
                <w:szCs w:val="16"/>
              </w:rPr>
              <w:t>mil. EUR</w:t>
            </w:r>
          </w:p>
        </w:tc>
        <w:tc>
          <w:tcPr>
            <w:tcW w:w="274" w:type="pct"/>
            <w:tcBorders>
              <w:top w:val="nil"/>
              <w:left w:val="nil"/>
              <w:bottom w:val="single" w:sz="4" w:space="0" w:color="1F497D"/>
              <w:right w:val="single" w:sz="4" w:space="0" w:color="1F497D"/>
            </w:tcBorders>
            <w:shd w:val="clear" w:color="000000" w:fill="DCE6F1"/>
            <w:vAlign w:val="center"/>
            <w:hideMark/>
          </w:tcPr>
          <w:p w:rsidR="00F228F9" w:rsidRPr="00F228F9" w:rsidRDefault="00F228F9" w:rsidP="00F228F9">
            <w:pPr>
              <w:jc w:val="center"/>
              <w:rPr>
                <w:b/>
                <w:bCs/>
                <w:color w:val="000000"/>
                <w:sz w:val="16"/>
                <w:szCs w:val="16"/>
              </w:rPr>
            </w:pPr>
            <w:r w:rsidRPr="00F228F9">
              <w:rPr>
                <w:b/>
                <w:bCs/>
                <w:color w:val="000000"/>
                <w:sz w:val="16"/>
                <w:szCs w:val="16"/>
              </w:rPr>
              <w:t>mil. CZK</w:t>
            </w:r>
          </w:p>
        </w:tc>
        <w:tc>
          <w:tcPr>
            <w:tcW w:w="207" w:type="pct"/>
            <w:tcBorders>
              <w:top w:val="nil"/>
              <w:left w:val="nil"/>
              <w:bottom w:val="single" w:sz="4" w:space="0" w:color="1F497D"/>
              <w:right w:val="single" w:sz="4" w:space="0" w:color="1F497D"/>
            </w:tcBorders>
            <w:shd w:val="clear" w:color="000000" w:fill="DCE6F1"/>
            <w:vAlign w:val="center"/>
            <w:hideMark/>
          </w:tcPr>
          <w:p w:rsidR="00F228F9" w:rsidRPr="00F228F9" w:rsidRDefault="00F228F9" w:rsidP="00F228F9">
            <w:pPr>
              <w:jc w:val="center"/>
              <w:rPr>
                <w:b/>
                <w:bCs/>
                <w:color w:val="000000"/>
                <w:sz w:val="16"/>
                <w:szCs w:val="16"/>
              </w:rPr>
            </w:pPr>
            <w:r w:rsidRPr="00F228F9">
              <w:rPr>
                <w:b/>
                <w:bCs/>
                <w:color w:val="000000"/>
                <w:sz w:val="16"/>
                <w:szCs w:val="16"/>
              </w:rPr>
              <w:t>%</w:t>
            </w:r>
          </w:p>
        </w:tc>
        <w:tc>
          <w:tcPr>
            <w:tcW w:w="207" w:type="pct"/>
            <w:vMerge w:val="restart"/>
            <w:tcBorders>
              <w:top w:val="nil"/>
              <w:left w:val="single" w:sz="4" w:space="0" w:color="1F497D"/>
              <w:bottom w:val="single" w:sz="4" w:space="0" w:color="1F497D"/>
              <w:right w:val="single" w:sz="4" w:space="0" w:color="1F497D"/>
            </w:tcBorders>
            <w:shd w:val="clear" w:color="000000" w:fill="DCE6F1"/>
            <w:vAlign w:val="center"/>
            <w:hideMark/>
          </w:tcPr>
          <w:p w:rsidR="00F228F9" w:rsidRPr="00F228F9" w:rsidRDefault="00F228F9" w:rsidP="00F228F9">
            <w:pPr>
              <w:jc w:val="center"/>
              <w:rPr>
                <w:b/>
                <w:bCs/>
                <w:color w:val="000000"/>
                <w:sz w:val="16"/>
                <w:szCs w:val="16"/>
              </w:rPr>
            </w:pPr>
            <w:r w:rsidRPr="00F228F9">
              <w:rPr>
                <w:b/>
                <w:bCs/>
                <w:color w:val="000000"/>
                <w:sz w:val="16"/>
                <w:szCs w:val="16"/>
              </w:rPr>
              <w:t>mil. EUR</w:t>
            </w:r>
          </w:p>
        </w:tc>
      </w:tr>
      <w:tr w:rsidR="00F228F9" w:rsidRPr="00F228F9" w:rsidTr="00F228F9">
        <w:trPr>
          <w:trHeight w:val="240"/>
        </w:trPr>
        <w:tc>
          <w:tcPr>
            <w:tcW w:w="241" w:type="pct"/>
            <w:vMerge/>
            <w:tcBorders>
              <w:top w:val="single" w:sz="4" w:space="0" w:color="1F497D"/>
              <w:left w:val="single" w:sz="4" w:space="0" w:color="1F497D"/>
              <w:bottom w:val="single" w:sz="4" w:space="0" w:color="1F497D"/>
              <w:right w:val="single" w:sz="4" w:space="0" w:color="1F497D"/>
            </w:tcBorders>
            <w:vAlign w:val="center"/>
            <w:hideMark/>
          </w:tcPr>
          <w:p w:rsidR="00F228F9" w:rsidRPr="00F228F9" w:rsidRDefault="00F228F9" w:rsidP="00F228F9">
            <w:pPr>
              <w:rPr>
                <w:b/>
                <w:bCs/>
                <w:color w:val="000000"/>
                <w:sz w:val="16"/>
                <w:szCs w:val="16"/>
              </w:rPr>
            </w:pPr>
          </w:p>
        </w:tc>
        <w:tc>
          <w:tcPr>
            <w:tcW w:w="335" w:type="pct"/>
            <w:vMerge/>
            <w:tcBorders>
              <w:top w:val="nil"/>
              <w:left w:val="single" w:sz="4" w:space="0" w:color="1F497D"/>
              <w:bottom w:val="single" w:sz="4" w:space="0" w:color="1F497D"/>
              <w:right w:val="single" w:sz="4" w:space="0" w:color="1F497D"/>
            </w:tcBorders>
            <w:vAlign w:val="center"/>
            <w:hideMark/>
          </w:tcPr>
          <w:p w:rsidR="00F228F9" w:rsidRPr="00F228F9" w:rsidRDefault="00F228F9" w:rsidP="00F228F9">
            <w:pPr>
              <w:rPr>
                <w:b/>
                <w:bCs/>
                <w:color w:val="000000"/>
                <w:sz w:val="16"/>
                <w:szCs w:val="16"/>
              </w:rPr>
            </w:pPr>
          </w:p>
        </w:tc>
        <w:tc>
          <w:tcPr>
            <w:tcW w:w="241" w:type="pct"/>
            <w:tcBorders>
              <w:top w:val="nil"/>
              <w:left w:val="nil"/>
              <w:bottom w:val="single" w:sz="4" w:space="0" w:color="1F497D"/>
              <w:right w:val="single" w:sz="4" w:space="0" w:color="1F497D"/>
            </w:tcBorders>
            <w:shd w:val="clear" w:color="000000" w:fill="DCE6F1"/>
            <w:vAlign w:val="center"/>
            <w:hideMark/>
          </w:tcPr>
          <w:p w:rsidR="00F228F9" w:rsidRPr="00F228F9" w:rsidRDefault="00F228F9" w:rsidP="00F228F9">
            <w:pPr>
              <w:jc w:val="center"/>
              <w:rPr>
                <w:b/>
                <w:bCs/>
                <w:color w:val="000000"/>
                <w:sz w:val="16"/>
                <w:szCs w:val="16"/>
              </w:rPr>
            </w:pPr>
            <w:r w:rsidRPr="00F228F9">
              <w:rPr>
                <w:b/>
                <w:bCs/>
                <w:color w:val="000000"/>
                <w:sz w:val="16"/>
                <w:szCs w:val="16"/>
              </w:rPr>
              <w:t xml:space="preserve">a </w:t>
            </w:r>
          </w:p>
        </w:tc>
        <w:tc>
          <w:tcPr>
            <w:tcW w:w="241" w:type="pct"/>
            <w:vMerge/>
            <w:tcBorders>
              <w:top w:val="nil"/>
              <w:left w:val="single" w:sz="4" w:space="0" w:color="1F497D"/>
              <w:bottom w:val="single" w:sz="4" w:space="0" w:color="1F497D"/>
              <w:right w:val="single" w:sz="4" w:space="0" w:color="1F497D"/>
            </w:tcBorders>
            <w:vAlign w:val="center"/>
            <w:hideMark/>
          </w:tcPr>
          <w:p w:rsidR="00F228F9" w:rsidRPr="00F228F9" w:rsidRDefault="00F228F9" w:rsidP="00F228F9">
            <w:pPr>
              <w:rPr>
                <w:b/>
                <w:bCs/>
                <w:color w:val="000000"/>
                <w:sz w:val="16"/>
                <w:szCs w:val="16"/>
              </w:rPr>
            </w:pPr>
          </w:p>
        </w:tc>
        <w:tc>
          <w:tcPr>
            <w:tcW w:w="181" w:type="pct"/>
            <w:tcBorders>
              <w:top w:val="nil"/>
              <w:left w:val="nil"/>
              <w:bottom w:val="single" w:sz="4" w:space="0" w:color="1F497D"/>
              <w:right w:val="single" w:sz="4" w:space="0" w:color="1F497D"/>
            </w:tcBorders>
            <w:shd w:val="clear" w:color="000000" w:fill="DCE6F1"/>
            <w:vAlign w:val="center"/>
            <w:hideMark/>
          </w:tcPr>
          <w:p w:rsidR="00F228F9" w:rsidRPr="00F228F9" w:rsidRDefault="00F228F9" w:rsidP="00F228F9">
            <w:pPr>
              <w:jc w:val="center"/>
              <w:rPr>
                <w:b/>
                <w:bCs/>
                <w:color w:val="000000"/>
                <w:sz w:val="16"/>
                <w:szCs w:val="16"/>
              </w:rPr>
            </w:pPr>
            <w:r w:rsidRPr="00F228F9">
              <w:rPr>
                <w:b/>
                <w:bCs/>
                <w:color w:val="000000"/>
                <w:sz w:val="16"/>
                <w:szCs w:val="16"/>
              </w:rPr>
              <w:t>b</w:t>
            </w:r>
          </w:p>
        </w:tc>
        <w:tc>
          <w:tcPr>
            <w:tcW w:w="268" w:type="pct"/>
            <w:tcBorders>
              <w:top w:val="nil"/>
              <w:left w:val="nil"/>
              <w:bottom w:val="single" w:sz="4" w:space="0" w:color="1F497D"/>
              <w:right w:val="single" w:sz="4" w:space="0" w:color="1F497D"/>
            </w:tcBorders>
            <w:shd w:val="clear" w:color="000000" w:fill="DCE6F1"/>
            <w:vAlign w:val="center"/>
            <w:hideMark/>
          </w:tcPr>
          <w:p w:rsidR="00F228F9" w:rsidRPr="00F228F9" w:rsidRDefault="00F228F9" w:rsidP="00F228F9">
            <w:pPr>
              <w:jc w:val="center"/>
              <w:rPr>
                <w:b/>
                <w:bCs/>
                <w:color w:val="000000"/>
                <w:sz w:val="16"/>
                <w:szCs w:val="16"/>
              </w:rPr>
            </w:pPr>
            <w:r w:rsidRPr="00F228F9">
              <w:rPr>
                <w:b/>
                <w:bCs/>
                <w:color w:val="000000"/>
                <w:sz w:val="16"/>
                <w:szCs w:val="16"/>
              </w:rPr>
              <w:t>c</w:t>
            </w:r>
          </w:p>
        </w:tc>
        <w:tc>
          <w:tcPr>
            <w:tcW w:w="207" w:type="pct"/>
            <w:tcBorders>
              <w:top w:val="nil"/>
              <w:left w:val="nil"/>
              <w:bottom w:val="single" w:sz="4" w:space="0" w:color="1F497D"/>
              <w:right w:val="single" w:sz="4" w:space="0" w:color="1F497D"/>
            </w:tcBorders>
            <w:shd w:val="clear" w:color="000000" w:fill="DCE6F1"/>
            <w:vAlign w:val="center"/>
            <w:hideMark/>
          </w:tcPr>
          <w:p w:rsidR="00F228F9" w:rsidRPr="00F228F9" w:rsidRDefault="00F228F9" w:rsidP="00F228F9">
            <w:pPr>
              <w:jc w:val="center"/>
              <w:rPr>
                <w:b/>
                <w:bCs/>
                <w:color w:val="000000"/>
                <w:sz w:val="16"/>
                <w:szCs w:val="16"/>
              </w:rPr>
            </w:pPr>
            <w:r w:rsidRPr="00F228F9">
              <w:rPr>
                <w:b/>
                <w:bCs/>
                <w:color w:val="000000"/>
                <w:sz w:val="16"/>
                <w:szCs w:val="16"/>
              </w:rPr>
              <w:t>c/a</w:t>
            </w:r>
          </w:p>
        </w:tc>
        <w:tc>
          <w:tcPr>
            <w:tcW w:w="234" w:type="pct"/>
            <w:vMerge/>
            <w:tcBorders>
              <w:top w:val="nil"/>
              <w:left w:val="single" w:sz="4" w:space="0" w:color="1F497D"/>
              <w:bottom w:val="single" w:sz="4" w:space="0" w:color="1F497D"/>
              <w:right w:val="single" w:sz="4" w:space="0" w:color="1F497D"/>
            </w:tcBorders>
            <w:vAlign w:val="center"/>
            <w:hideMark/>
          </w:tcPr>
          <w:p w:rsidR="00F228F9" w:rsidRPr="00F228F9" w:rsidRDefault="00F228F9" w:rsidP="00F228F9">
            <w:pPr>
              <w:rPr>
                <w:b/>
                <w:bCs/>
                <w:color w:val="000000"/>
                <w:sz w:val="16"/>
                <w:szCs w:val="16"/>
              </w:rPr>
            </w:pPr>
          </w:p>
        </w:tc>
        <w:tc>
          <w:tcPr>
            <w:tcW w:w="174" w:type="pct"/>
            <w:tcBorders>
              <w:top w:val="nil"/>
              <w:left w:val="nil"/>
              <w:bottom w:val="single" w:sz="4" w:space="0" w:color="1F497D"/>
              <w:right w:val="single" w:sz="4" w:space="0" w:color="1F497D"/>
            </w:tcBorders>
            <w:shd w:val="clear" w:color="000000" w:fill="DCE6F1"/>
            <w:vAlign w:val="center"/>
            <w:hideMark/>
          </w:tcPr>
          <w:p w:rsidR="00F228F9" w:rsidRPr="00F228F9" w:rsidRDefault="00F228F9" w:rsidP="00F228F9">
            <w:pPr>
              <w:jc w:val="center"/>
              <w:rPr>
                <w:b/>
                <w:bCs/>
                <w:color w:val="000000"/>
                <w:sz w:val="16"/>
                <w:szCs w:val="16"/>
              </w:rPr>
            </w:pPr>
            <w:r w:rsidRPr="00F228F9">
              <w:rPr>
                <w:b/>
                <w:bCs/>
                <w:color w:val="000000"/>
                <w:sz w:val="16"/>
                <w:szCs w:val="16"/>
              </w:rPr>
              <w:t>d</w:t>
            </w:r>
          </w:p>
        </w:tc>
        <w:tc>
          <w:tcPr>
            <w:tcW w:w="261" w:type="pct"/>
            <w:tcBorders>
              <w:top w:val="nil"/>
              <w:left w:val="nil"/>
              <w:bottom w:val="single" w:sz="4" w:space="0" w:color="1F497D"/>
              <w:right w:val="single" w:sz="4" w:space="0" w:color="1F497D"/>
            </w:tcBorders>
            <w:shd w:val="clear" w:color="000000" w:fill="DCE6F1"/>
            <w:vAlign w:val="center"/>
            <w:hideMark/>
          </w:tcPr>
          <w:p w:rsidR="00F228F9" w:rsidRPr="00F228F9" w:rsidRDefault="00F228F9" w:rsidP="00F228F9">
            <w:pPr>
              <w:jc w:val="center"/>
              <w:rPr>
                <w:b/>
                <w:bCs/>
                <w:color w:val="000000"/>
                <w:sz w:val="16"/>
                <w:szCs w:val="16"/>
              </w:rPr>
            </w:pPr>
            <w:r w:rsidRPr="00F228F9">
              <w:rPr>
                <w:b/>
                <w:bCs/>
                <w:color w:val="000000"/>
                <w:sz w:val="16"/>
                <w:szCs w:val="16"/>
              </w:rPr>
              <w:t>e</w:t>
            </w:r>
          </w:p>
        </w:tc>
        <w:tc>
          <w:tcPr>
            <w:tcW w:w="214" w:type="pct"/>
            <w:tcBorders>
              <w:top w:val="nil"/>
              <w:left w:val="nil"/>
              <w:bottom w:val="single" w:sz="4" w:space="0" w:color="1F497D"/>
              <w:right w:val="single" w:sz="4" w:space="0" w:color="1F497D"/>
            </w:tcBorders>
            <w:shd w:val="clear" w:color="000000" w:fill="DCE6F1"/>
            <w:vAlign w:val="center"/>
            <w:hideMark/>
          </w:tcPr>
          <w:p w:rsidR="00F228F9" w:rsidRPr="00F228F9" w:rsidRDefault="00F228F9" w:rsidP="00F228F9">
            <w:pPr>
              <w:jc w:val="center"/>
              <w:rPr>
                <w:b/>
                <w:bCs/>
                <w:color w:val="000000"/>
                <w:sz w:val="16"/>
                <w:szCs w:val="16"/>
              </w:rPr>
            </w:pPr>
            <w:r w:rsidRPr="00F228F9">
              <w:rPr>
                <w:b/>
                <w:bCs/>
                <w:color w:val="000000"/>
                <w:sz w:val="16"/>
                <w:szCs w:val="16"/>
              </w:rPr>
              <w:t xml:space="preserve">e/a </w:t>
            </w:r>
          </w:p>
        </w:tc>
        <w:tc>
          <w:tcPr>
            <w:tcW w:w="214" w:type="pct"/>
            <w:vMerge/>
            <w:tcBorders>
              <w:top w:val="nil"/>
              <w:left w:val="single" w:sz="4" w:space="0" w:color="1F497D"/>
              <w:bottom w:val="single" w:sz="4" w:space="0" w:color="1F497D"/>
              <w:right w:val="single" w:sz="4" w:space="0" w:color="1F497D"/>
            </w:tcBorders>
            <w:vAlign w:val="center"/>
            <w:hideMark/>
          </w:tcPr>
          <w:p w:rsidR="00F228F9" w:rsidRPr="00F228F9" w:rsidRDefault="00F228F9" w:rsidP="00F228F9">
            <w:pPr>
              <w:rPr>
                <w:b/>
                <w:bCs/>
                <w:color w:val="000000"/>
                <w:sz w:val="16"/>
                <w:szCs w:val="16"/>
              </w:rPr>
            </w:pPr>
          </w:p>
        </w:tc>
        <w:tc>
          <w:tcPr>
            <w:tcW w:w="261" w:type="pct"/>
            <w:tcBorders>
              <w:top w:val="nil"/>
              <w:left w:val="nil"/>
              <w:bottom w:val="single" w:sz="4" w:space="0" w:color="1F497D"/>
              <w:right w:val="single" w:sz="4" w:space="0" w:color="1F497D"/>
            </w:tcBorders>
            <w:shd w:val="clear" w:color="000000" w:fill="DCE6F1"/>
            <w:vAlign w:val="center"/>
            <w:hideMark/>
          </w:tcPr>
          <w:p w:rsidR="00F228F9" w:rsidRPr="00F228F9" w:rsidRDefault="00F228F9" w:rsidP="00F228F9">
            <w:pPr>
              <w:jc w:val="center"/>
              <w:rPr>
                <w:b/>
                <w:bCs/>
                <w:color w:val="000000"/>
                <w:sz w:val="16"/>
                <w:szCs w:val="16"/>
              </w:rPr>
            </w:pPr>
            <w:r w:rsidRPr="00F228F9">
              <w:rPr>
                <w:b/>
                <w:bCs/>
                <w:color w:val="000000"/>
                <w:sz w:val="16"/>
                <w:szCs w:val="16"/>
              </w:rPr>
              <w:t>f</w:t>
            </w:r>
          </w:p>
        </w:tc>
        <w:tc>
          <w:tcPr>
            <w:tcW w:w="228" w:type="pct"/>
            <w:tcBorders>
              <w:top w:val="nil"/>
              <w:left w:val="nil"/>
              <w:bottom w:val="single" w:sz="4" w:space="0" w:color="1F497D"/>
              <w:right w:val="single" w:sz="4" w:space="0" w:color="1F497D"/>
            </w:tcBorders>
            <w:shd w:val="clear" w:color="000000" w:fill="DCE6F1"/>
            <w:vAlign w:val="center"/>
            <w:hideMark/>
          </w:tcPr>
          <w:p w:rsidR="00F228F9" w:rsidRPr="00F228F9" w:rsidRDefault="00F228F9" w:rsidP="00F228F9">
            <w:pPr>
              <w:jc w:val="center"/>
              <w:rPr>
                <w:b/>
                <w:bCs/>
                <w:color w:val="000000"/>
                <w:sz w:val="16"/>
                <w:szCs w:val="16"/>
              </w:rPr>
            </w:pPr>
            <w:r w:rsidRPr="00F228F9">
              <w:rPr>
                <w:b/>
                <w:bCs/>
                <w:color w:val="000000"/>
                <w:sz w:val="16"/>
                <w:szCs w:val="16"/>
              </w:rPr>
              <w:t xml:space="preserve">f/a </w:t>
            </w:r>
          </w:p>
        </w:tc>
        <w:tc>
          <w:tcPr>
            <w:tcW w:w="254" w:type="pct"/>
            <w:vMerge/>
            <w:tcBorders>
              <w:top w:val="nil"/>
              <w:left w:val="single" w:sz="4" w:space="0" w:color="1F497D"/>
              <w:bottom w:val="single" w:sz="4" w:space="0" w:color="1F497D"/>
              <w:right w:val="single" w:sz="4" w:space="0" w:color="1F497D"/>
            </w:tcBorders>
            <w:vAlign w:val="center"/>
            <w:hideMark/>
          </w:tcPr>
          <w:p w:rsidR="00F228F9" w:rsidRPr="00F228F9" w:rsidRDefault="00F228F9" w:rsidP="00F228F9">
            <w:pPr>
              <w:rPr>
                <w:b/>
                <w:bCs/>
                <w:color w:val="000000"/>
                <w:sz w:val="16"/>
                <w:szCs w:val="16"/>
              </w:rPr>
            </w:pPr>
          </w:p>
        </w:tc>
        <w:tc>
          <w:tcPr>
            <w:tcW w:w="288" w:type="pct"/>
            <w:tcBorders>
              <w:top w:val="nil"/>
              <w:left w:val="nil"/>
              <w:bottom w:val="single" w:sz="4" w:space="0" w:color="1F497D"/>
              <w:right w:val="single" w:sz="4" w:space="0" w:color="1F497D"/>
            </w:tcBorders>
            <w:shd w:val="clear" w:color="000000" w:fill="DCE6F1"/>
            <w:vAlign w:val="center"/>
            <w:hideMark/>
          </w:tcPr>
          <w:p w:rsidR="00F228F9" w:rsidRPr="00F228F9" w:rsidRDefault="00F228F9" w:rsidP="00F228F9">
            <w:pPr>
              <w:jc w:val="center"/>
              <w:rPr>
                <w:b/>
                <w:bCs/>
                <w:color w:val="000000"/>
                <w:sz w:val="16"/>
                <w:szCs w:val="16"/>
              </w:rPr>
            </w:pPr>
            <w:r w:rsidRPr="00F228F9">
              <w:rPr>
                <w:b/>
                <w:bCs/>
                <w:color w:val="000000"/>
                <w:sz w:val="16"/>
                <w:szCs w:val="16"/>
              </w:rPr>
              <w:t>g</w:t>
            </w:r>
          </w:p>
        </w:tc>
        <w:tc>
          <w:tcPr>
            <w:tcW w:w="214" w:type="pct"/>
            <w:tcBorders>
              <w:top w:val="nil"/>
              <w:left w:val="nil"/>
              <w:bottom w:val="single" w:sz="4" w:space="0" w:color="1F497D"/>
              <w:right w:val="single" w:sz="4" w:space="0" w:color="1F497D"/>
            </w:tcBorders>
            <w:shd w:val="clear" w:color="000000" w:fill="DCE6F1"/>
            <w:vAlign w:val="center"/>
            <w:hideMark/>
          </w:tcPr>
          <w:p w:rsidR="00F228F9" w:rsidRPr="00F228F9" w:rsidRDefault="00F228F9" w:rsidP="00F228F9">
            <w:pPr>
              <w:jc w:val="center"/>
              <w:rPr>
                <w:b/>
                <w:bCs/>
                <w:color w:val="000000"/>
                <w:sz w:val="16"/>
                <w:szCs w:val="16"/>
              </w:rPr>
            </w:pPr>
            <w:r w:rsidRPr="00F228F9">
              <w:rPr>
                <w:b/>
                <w:bCs/>
                <w:color w:val="000000"/>
                <w:sz w:val="16"/>
                <w:szCs w:val="16"/>
              </w:rPr>
              <w:t xml:space="preserve">g/a </w:t>
            </w:r>
          </w:p>
        </w:tc>
        <w:tc>
          <w:tcPr>
            <w:tcW w:w="254" w:type="pct"/>
            <w:vMerge/>
            <w:tcBorders>
              <w:top w:val="nil"/>
              <w:left w:val="single" w:sz="4" w:space="0" w:color="1F497D"/>
              <w:bottom w:val="single" w:sz="4" w:space="0" w:color="1F497D"/>
              <w:right w:val="single" w:sz="4" w:space="0" w:color="1F497D"/>
            </w:tcBorders>
            <w:vAlign w:val="center"/>
            <w:hideMark/>
          </w:tcPr>
          <w:p w:rsidR="00F228F9" w:rsidRPr="00F228F9" w:rsidRDefault="00F228F9" w:rsidP="00F228F9">
            <w:pPr>
              <w:rPr>
                <w:b/>
                <w:bCs/>
                <w:color w:val="000000"/>
                <w:sz w:val="16"/>
                <w:szCs w:val="16"/>
              </w:rPr>
            </w:pPr>
          </w:p>
        </w:tc>
        <w:tc>
          <w:tcPr>
            <w:tcW w:w="274" w:type="pct"/>
            <w:tcBorders>
              <w:top w:val="nil"/>
              <w:left w:val="nil"/>
              <w:bottom w:val="single" w:sz="4" w:space="0" w:color="1F497D"/>
              <w:right w:val="single" w:sz="4" w:space="0" w:color="1F497D"/>
            </w:tcBorders>
            <w:shd w:val="clear" w:color="000000" w:fill="DCE6F1"/>
            <w:vAlign w:val="center"/>
            <w:hideMark/>
          </w:tcPr>
          <w:p w:rsidR="00F228F9" w:rsidRPr="00F228F9" w:rsidRDefault="00F228F9" w:rsidP="00F228F9">
            <w:pPr>
              <w:jc w:val="center"/>
              <w:rPr>
                <w:b/>
                <w:bCs/>
                <w:color w:val="000000"/>
                <w:sz w:val="16"/>
                <w:szCs w:val="16"/>
              </w:rPr>
            </w:pPr>
            <w:r w:rsidRPr="00F228F9">
              <w:rPr>
                <w:b/>
                <w:bCs/>
                <w:color w:val="000000"/>
                <w:sz w:val="16"/>
                <w:szCs w:val="16"/>
              </w:rPr>
              <w:t>h</w:t>
            </w:r>
          </w:p>
        </w:tc>
        <w:tc>
          <w:tcPr>
            <w:tcW w:w="207" w:type="pct"/>
            <w:tcBorders>
              <w:top w:val="nil"/>
              <w:left w:val="nil"/>
              <w:bottom w:val="single" w:sz="4" w:space="0" w:color="1F497D"/>
              <w:right w:val="single" w:sz="4" w:space="0" w:color="1F497D"/>
            </w:tcBorders>
            <w:shd w:val="clear" w:color="000000" w:fill="DCE6F1"/>
            <w:vAlign w:val="center"/>
            <w:hideMark/>
          </w:tcPr>
          <w:p w:rsidR="00F228F9" w:rsidRPr="00F228F9" w:rsidRDefault="00F228F9" w:rsidP="00F228F9">
            <w:pPr>
              <w:jc w:val="center"/>
              <w:rPr>
                <w:b/>
                <w:bCs/>
                <w:color w:val="000000"/>
                <w:sz w:val="16"/>
                <w:szCs w:val="16"/>
              </w:rPr>
            </w:pPr>
            <w:r w:rsidRPr="00F228F9">
              <w:rPr>
                <w:b/>
                <w:bCs/>
                <w:color w:val="000000"/>
                <w:sz w:val="16"/>
                <w:szCs w:val="16"/>
              </w:rPr>
              <w:t xml:space="preserve">h/a </w:t>
            </w:r>
          </w:p>
        </w:tc>
        <w:tc>
          <w:tcPr>
            <w:tcW w:w="207" w:type="pct"/>
            <w:vMerge/>
            <w:tcBorders>
              <w:top w:val="nil"/>
              <w:left w:val="single" w:sz="4" w:space="0" w:color="1F497D"/>
              <w:bottom w:val="single" w:sz="4" w:space="0" w:color="1F497D"/>
              <w:right w:val="single" w:sz="4" w:space="0" w:color="1F497D"/>
            </w:tcBorders>
            <w:vAlign w:val="center"/>
            <w:hideMark/>
          </w:tcPr>
          <w:p w:rsidR="00F228F9" w:rsidRPr="00F228F9" w:rsidRDefault="00F228F9" w:rsidP="00F228F9">
            <w:pPr>
              <w:rPr>
                <w:b/>
                <w:bCs/>
                <w:color w:val="000000"/>
                <w:sz w:val="16"/>
                <w:szCs w:val="16"/>
              </w:rPr>
            </w:pPr>
          </w:p>
        </w:tc>
      </w:tr>
      <w:tr w:rsidR="00F228F9" w:rsidRPr="00F228F9" w:rsidTr="00F228F9">
        <w:trPr>
          <w:trHeight w:val="225"/>
        </w:trPr>
        <w:tc>
          <w:tcPr>
            <w:tcW w:w="241" w:type="pct"/>
            <w:vMerge w:val="restart"/>
            <w:tcBorders>
              <w:top w:val="nil"/>
              <w:left w:val="single" w:sz="4" w:space="0" w:color="1F497D"/>
              <w:bottom w:val="single" w:sz="4" w:space="0" w:color="1F497D"/>
              <w:right w:val="single" w:sz="4" w:space="0" w:color="1F497D"/>
            </w:tcBorders>
            <w:shd w:val="clear" w:color="000000" w:fill="FFFFFF"/>
            <w:vAlign w:val="center"/>
            <w:hideMark/>
          </w:tcPr>
          <w:p w:rsidR="00F228F9" w:rsidRPr="00F228F9" w:rsidRDefault="00F228F9" w:rsidP="00F228F9">
            <w:pPr>
              <w:jc w:val="center"/>
              <w:rPr>
                <w:color w:val="000000"/>
                <w:sz w:val="16"/>
                <w:szCs w:val="16"/>
              </w:rPr>
            </w:pPr>
            <w:r w:rsidRPr="00F228F9">
              <w:rPr>
                <w:color w:val="000000"/>
                <w:sz w:val="16"/>
                <w:szCs w:val="16"/>
              </w:rPr>
              <w:t>3.4</w:t>
            </w:r>
          </w:p>
        </w:tc>
        <w:tc>
          <w:tcPr>
            <w:tcW w:w="335" w:type="pct"/>
            <w:tcBorders>
              <w:top w:val="nil"/>
              <w:left w:val="nil"/>
              <w:bottom w:val="single" w:sz="4" w:space="0" w:color="1F497D"/>
              <w:right w:val="single" w:sz="4" w:space="0" w:color="1F497D"/>
            </w:tcBorders>
            <w:shd w:val="clear" w:color="000000" w:fill="FFFFFF"/>
            <w:vAlign w:val="center"/>
            <w:hideMark/>
          </w:tcPr>
          <w:p w:rsidR="00F228F9" w:rsidRPr="00F228F9" w:rsidRDefault="00F228F9" w:rsidP="00F228F9">
            <w:pPr>
              <w:jc w:val="center"/>
              <w:rPr>
                <w:color w:val="000000"/>
                <w:sz w:val="16"/>
                <w:szCs w:val="16"/>
              </w:rPr>
            </w:pPr>
            <w:r w:rsidRPr="00F228F9">
              <w:rPr>
                <w:color w:val="000000"/>
                <w:sz w:val="16"/>
                <w:szCs w:val="16"/>
              </w:rPr>
              <w:t>2015/04/17</w:t>
            </w:r>
          </w:p>
        </w:tc>
        <w:tc>
          <w:tcPr>
            <w:tcW w:w="241" w:type="pct"/>
            <w:tcBorders>
              <w:top w:val="nil"/>
              <w:left w:val="nil"/>
              <w:bottom w:val="single" w:sz="4" w:space="0" w:color="1F497D"/>
              <w:right w:val="single" w:sz="4" w:space="0" w:color="1F497D"/>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7 339,75</w:t>
            </w:r>
          </w:p>
        </w:tc>
        <w:tc>
          <w:tcPr>
            <w:tcW w:w="241" w:type="pct"/>
            <w:tcBorders>
              <w:top w:val="nil"/>
              <w:left w:val="nil"/>
              <w:bottom w:val="single" w:sz="4" w:space="0" w:color="1F497D"/>
              <w:right w:val="single" w:sz="4" w:space="0" w:color="1F497D"/>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271,29</w:t>
            </w:r>
          </w:p>
        </w:tc>
        <w:tc>
          <w:tcPr>
            <w:tcW w:w="181" w:type="pct"/>
            <w:tcBorders>
              <w:top w:val="nil"/>
              <w:left w:val="nil"/>
              <w:bottom w:val="single" w:sz="4" w:space="0" w:color="1F497D"/>
              <w:right w:val="single" w:sz="4" w:space="0" w:color="1F497D"/>
            </w:tcBorders>
            <w:shd w:val="clear" w:color="000000" w:fill="FFFFFF"/>
            <w:vAlign w:val="center"/>
            <w:hideMark/>
          </w:tcPr>
          <w:p w:rsidR="00F228F9" w:rsidRPr="00F228F9" w:rsidRDefault="00F228F9" w:rsidP="00F228F9">
            <w:pPr>
              <w:jc w:val="center"/>
              <w:rPr>
                <w:color w:val="000000"/>
                <w:sz w:val="16"/>
                <w:szCs w:val="16"/>
              </w:rPr>
            </w:pPr>
            <w:r w:rsidRPr="00F228F9">
              <w:rPr>
                <w:color w:val="000000"/>
                <w:sz w:val="16"/>
                <w:szCs w:val="16"/>
              </w:rPr>
              <w:t>159</w:t>
            </w:r>
          </w:p>
        </w:tc>
        <w:tc>
          <w:tcPr>
            <w:tcW w:w="268" w:type="pct"/>
            <w:tcBorders>
              <w:top w:val="nil"/>
              <w:left w:val="nil"/>
              <w:bottom w:val="single" w:sz="4" w:space="0" w:color="1F497D"/>
              <w:right w:val="single" w:sz="4" w:space="0" w:color="1F497D"/>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10 511,86</w:t>
            </w:r>
          </w:p>
        </w:tc>
        <w:tc>
          <w:tcPr>
            <w:tcW w:w="207" w:type="pct"/>
            <w:tcBorders>
              <w:top w:val="nil"/>
              <w:left w:val="nil"/>
              <w:bottom w:val="single" w:sz="4" w:space="0" w:color="1F497D"/>
              <w:right w:val="single" w:sz="4" w:space="0" w:color="1F497D"/>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143,22</w:t>
            </w:r>
          </w:p>
        </w:tc>
        <w:tc>
          <w:tcPr>
            <w:tcW w:w="234" w:type="pct"/>
            <w:tcBorders>
              <w:top w:val="nil"/>
              <w:left w:val="nil"/>
              <w:bottom w:val="single" w:sz="4" w:space="0" w:color="1F497D"/>
              <w:right w:val="single" w:sz="4" w:space="0" w:color="1F497D"/>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386,75</w:t>
            </w:r>
          </w:p>
        </w:tc>
        <w:tc>
          <w:tcPr>
            <w:tcW w:w="174" w:type="pct"/>
            <w:tcBorders>
              <w:top w:val="nil"/>
              <w:left w:val="nil"/>
              <w:bottom w:val="single" w:sz="4" w:space="0" w:color="1F497D"/>
              <w:right w:val="single" w:sz="4" w:space="0" w:color="1F497D"/>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155</w:t>
            </w:r>
          </w:p>
        </w:tc>
        <w:tc>
          <w:tcPr>
            <w:tcW w:w="261" w:type="pct"/>
            <w:tcBorders>
              <w:top w:val="nil"/>
              <w:left w:val="nil"/>
              <w:bottom w:val="single" w:sz="4" w:space="0" w:color="1F497D"/>
              <w:right w:val="single" w:sz="4" w:space="0" w:color="1F497D"/>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7 811,49</w:t>
            </w:r>
          </w:p>
        </w:tc>
        <w:tc>
          <w:tcPr>
            <w:tcW w:w="214" w:type="pct"/>
            <w:tcBorders>
              <w:top w:val="nil"/>
              <w:left w:val="nil"/>
              <w:bottom w:val="single" w:sz="4" w:space="0" w:color="1F497D"/>
              <w:right w:val="single" w:sz="4" w:space="0" w:color="1F497D"/>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106,43</w:t>
            </w:r>
          </w:p>
        </w:tc>
        <w:tc>
          <w:tcPr>
            <w:tcW w:w="214" w:type="pct"/>
            <w:tcBorders>
              <w:top w:val="nil"/>
              <w:left w:val="nil"/>
              <w:bottom w:val="single" w:sz="4" w:space="0" w:color="1F497D"/>
              <w:right w:val="single" w:sz="4" w:space="0" w:color="1F497D"/>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288,46</w:t>
            </w:r>
          </w:p>
        </w:tc>
        <w:tc>
          <w:tcPr>
            <w:tcW w:w="261" w:type="pct"/>
            <w:tcBorders>
              <w:top w:val="nil"/>
              <w:left w:val="nil"/>
              <w:bottom w:val="single" w:sz="4" w:space="0" w:color="1F497D"/>
              <w:right w:val="single" w:sz="4" w:space="0" w:color="1F497D"/>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2 674,88</w:t>
            </w:r>
          </w:p>
        </w:tc>
        <w:tc>
          <w:tcPr>
            <w:tcW w:w="228" w:type="pct"/>
            <w:tcBorders>
              <w:top w:val="nil"/>
              <w:left w:val="nil"/>
              <w:bottom w:val="single" w:sz="4" w:space="0" w:color="1F497D"/>
              <w:right w:val="single" w:sz="4" w:space="0" w:color="1F497D"/>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36,44</w:t>
            </w:r>
          </w:p>
        </w:tc>
        <w:tc>
          <w:tcPr>
            <w:tcW w:w="254" w:type="pct"/>
            <w:tcBorders>
              <w:top w:val="nil"/>
              <w:left w:val="nil"/>
              <w:bottom w:val="single" w:sz="4" w:space="0" w:color="1F497D"/>
              <w:right w:val="single" w:sz="4" w:space="0" w:color="1F497D"/>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101,49</w:t>
            </w:r>
          </w:p>
        </w:tc>
        <w:tc>
          <w:tcPr>
            <w:tcW w:w="288" w:type="pct"/>
            <w:tcBorders>
              <w:top w:val="nil"/>
              <w:left w:val="nil"/>
              <w:bottom w:val="single" w:sz="4" w:space="0" w:color="1F497D"/>
              <w:right w:val="single" w:sz="4" w:space="0" w:color="1F497D"/>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2 651,18</w:t>
            </w:r>
          </w:p>
        </w:tc>
        <w:tc>
          <w:tcPr>
            <w:tcW w:w="214" w:type="pct"/>
            <w:tcBorders>
              <w:top w:val="nil"/>
              <w:left w:val="nil"/>
              <w:bottom w:val="single" w:sz="4" w:space="0" w:color="1F497D"/>
              <w:right w:val="single" w:sz="4" w:space="0" w:color="1F497D"/>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36,12</w:t>
            </w:r>
          </w:p>
        </w:tc>
        <w:tc>
          <w:tcPr>
            <w:tcW w:w="254" w:type="pct"/>
            <w:tcBorders>
              <w:top w:val="nil"/>
              <w:left w:val="nil"/>
              <w:bottom w:val="single" w:sz="4" w:space="0" w:color="1F497D"/>
              <w:right w:val="single" w:sz="4" w:space="0" w:color="1F497D"/>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100,63</w:t>
            </w:r>
          </w:p>
        </w:tc>
        <w:tc>
          <w:tcPr>
            <w:tcW w:w="27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2 640,49</w:t>
            </w:r>
          </w:p>
        </w:tc>
        <w:tc>
          <w:tcPr>
            <w:tcW w:w="207" w:type="pct"/>
            <w:tcBorders>
              <w:top w:val="single" w:sz="4" w:space="0" w:color="auto"/>
              <w:left w:val="nil"/>
              <w:bottom w:val="single" w:sz="4" w:space="0" w:color="auto"/>
              <w:right w:val="single" w:sz="4" w:space="0" w:color="auto"/>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35,98</w:t>
            </w:r>
          </w:p>
        </w:tc>
        <w:tc>
          <w:tcPr>
            <w:tcW w:w="207" w:type="pct"/>
            <w:tcBorders>
              <w:top w:val="single" w:sz="4" w:space="0" w:color="auto"/>
              <w:left w:val="nil"/>
              <w:bottom w:val="single" w:sz="4" w:space="0" w:color="auto"/>
              <w:right w:val="single" w:sz="4" w:space="0" w:color="auto"/>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100,24</w:t>
            </w:r>
          </w:p>
        </w:tc>
      </w:tr>
      <w:tr w:rsidR="00F228F9" w:rsidRPr="00F228F9" w:rsidTr="00F228F9">
        <w:trPr>
          <w:trHeight w:val="225"/>
        </w:trPr>
        <w:tc>
          <w:tcPr>
            <w:tcW w:w="241" w:type="pct"/>
            <w:vMerge/>
            <w:tcBorders>
              <w:top w:val="nil"/>
              <w:left w:val="single" w:sz="4" w:space="0" w:color="1F497D"/>
              <w:bottom w:val="single" w:sz="4" w:space="0" w:color="1F497D"/>
              <w:right w:val="single" w:sz="4" w:space="0" w:color="1F497D"/>
            </w:tcBorders>
            <w:vAlign w:val="center"/>
            <w:hideMark/>
          </w:tcPr>
          <w:p w:rsidR="00F228F9" w:rsidRPr="00F228F9" w:rsidRDefault="00F228F9" w:rsidP="00F228F9">
            <w:pPr>
              <w:rPr>
                <w:color w:val="000000"/>
                <w:sz w:val="16"/>
                <w:szCs w:val="16"/>
              </w:rPr>
            </w:pPr>
          </w:p>
        </w:tc>
        <w:tc>
          <w:tcPr>
            <w:tcW w:w="335" w:type="pct"/>
            <w:tcBorders>
              <w:top w:val="nil"/>
              <w:left w:val="nil"/>
              <w:bottom w:val="single" w:sz="4" w:space="0" w:color="1F497D"/>
              <w:right w:val="single" w:sz="4" w:space="0" w:color="1F497D"/>
            </w:tcBorders>
            <w:shd w:val="clear" w:color="000000" w:fill="FFFFFF"/>
            <w:vAlign w:val="center"/>
            <w:hideMark/>
          </w:tcPr>
          <w:p w:rsidR="00F228F9" w:rsidRPr="00F228F9" w:rsidRDefault="00F228F9" w:rsidP="00F228F9">
            <w:pPr>
              <w:jc w:val="center"/>
              <w:rPr>
                <w:color w:val="000000"/>
                <w:sz w:val="16"/>
                <w:szCs w:val="16"/>
              </w:rPr>
            </w:pPr>
            <w:r w:rsidRPr="00F228F9">
              <w:rPr>
                <w:color w:val="000000"/>
                <w:sz w:val="16"/>
                <w:szCs w:val="16"/>
              </w:rPr>
              <w:t>2015/10/02</w:t>
            </w:r>
          </w:p>
        </w:tc>
        <w:tc>
          <w:tcPr>
            <w:tcW w:w="241" w:type="pct"/>
            <w:tcBorders>
              <w:top w:val="nil"/>
              <w:left w:val="nil"/>
              <w:bottom w:val="single" w:sz="4" w:space="0" w:color="1F497D"/>
              <w:right w:val="single" w:sz="4" w:space="0" w:color="1F497D"/>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7 294,69</w:t>
            </w:r>
          </w:p>
        </w:tc>
        <w:tc>
          <w:tcPr>
            <w:tcW w:w="241" w:type="pct"/>
            <w:tcBorders>
              <w:top w:val="nil"/>
              <w:left w:val="nil"/>
              <w:bottom w:val="single" w:sz="4" w:space="0" w:color="1F497D"/>
              <w:right w:val="single" w:sz="4" w:space="0" w:color="1F497D"/>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271,29</w:t>
            </w:r>
          </w:p>
        </w:tc>
        <w:tc>
          <w:tcPr>
            <w:tcW w:w="181" w:type="pct"/>
            <w:tcBorders>
              <w:top w:val="nil"/>
              <w:left w:val="nil"/>
              <w:bottom w:val="single" w:sz="4" w:space="0" w:color="1F497D"/>
              <w:right w:val="single" w:sz="4" w:space="0" w:color="1F497D"/>
            </w:tcBorders>
            <w:shd w:val="clear" w:color="000000" w:fill="FFFFFF"/>
            <w:vAlign w:val="center"/>
            <w:hideMark/>
          </w:tcPr>
          <w:p w:rsidR="00F228F9" w:rsidRPr="00F228F9" w:rsidRDefault="00F228F9" w:rsidP="00F228F9">
            <w:pPr>
              <w:jc w:val="center"/>
              <w:rPr>
                <w:color w:val="000000"/>
                <w:sz w:val="16"/>
                <w:szCs w:val="16"/>
              </w:rPr>
            </w:pPr>
            <w:r w:rsidRPr="00F228F9">
              <w:rPr>
                <w:color w:val="000000"/>
                <w:sz w:val="16"/>
                <w:szCs w:val="16"/>
              </w:rPr>
              <w:t>159</w:t>
            </w:r>
          </w:p>
        </w:tc>
        <w:tc>
          <w:tcPr>
            <w:tcW w:w="268" w:type="pct"/>
            <w:tcBorders>
              <w:top w:val="nil"/>
              <w:left w:val="nil"/>
              <w:bottom w:val="single" w:sz="4" w:space="0" w:color="1F497D"/>
              <w:right w:val="single" w:sz="4" w:space="0" w:color="1F497D"/>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10 511,86</w:t>
            </w:r>
          </w:p>
        </w:tc>
        <w:tc>
          <w:tcPr>
            <w:tcW w:w="207" w:type="pct"/>
            <w:tcBorders>
              <w:top w:val="nil"/>
              <w:left w:val="nil"/>
              <w:bottom w:val="single" w:sz="4" w:space="0" w:color="1F497D"/>
              <w:right w:val="single" w:sz="4" w:space="0" w:color="1F497D"/>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144,10</w:t>
            </w:r>
          </w:p>
        </w:tc>
        <w:tc>
          <w:tcPr>
            <w:tcW w:w="234" w:type="pct"/>
            <w:tcBorders>
              <w:top w:val="nil"/>
              <w:left w:val="nil"/>
              <w:bottom w:val="single" w:sz="4" w:space="0" w:color="1F497D"/>
              <w:right w:val="single" w:sz="4" w:space="0" w:color="1F497D"/>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389,53</w:t>
            </w:r>
          </w:p>
        </w:tc>
        <w:tc>
          <w:tcPr>
            <w:tcW w:w="174" w:type="pct"/>
            <w:tcBorders>
              <w:top w:val="nil"/>
              <w:left w:val="nil"/>
              <w:bottom w:val="single" w:sz="4" w:space="0" w:color="1F497D"/>
              <w:right w:val="single" w:sz="4" w:space="0" w:color="1F497D"/>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154</w:t>
            </w:r>
          </w:p>
        </w:tc>
        <w:tc>
          <w:tcPr>
            <w:tcW w:w="261" w:type="pct"/>
            <w:tcBorders>
              <w:top w:val="nil"/>
              <w:left w:val="nil"/>
              <w:bottom w:val="single" w:sz="4" w:space="0" w:color="1F497D"/>
              <w:right w:val="single" w:sz="4" w:space="0" w:color="1F497D"/>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7 735,31</w:t>
            </w:r>
          </w:p>
        </w:tc>
        <w:tc>
          <w:tcPr>
            <w:tcW w:w="214" w:type="pct"/>
            <w:tcBorders>
              <w:top w:val="nil"/>
              <w:left w:val="nil"/>
              <w:bottom w:val="single" w:sz="4" w:space="0" w:color="1F497D"/>
              <w:right w:val="single" w:sz="4" w:space="0" w:color="1F497D"/>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106,04</w:t>
            </w:r>
          </w:p>
        </w:tc>
        <w:tc>
          <w:tcPr>
            <w:tcW w:w="214" w:type="pct"/>
            <w:tcBorders>
              <w:top w:val="nil"/>
              <w:left w:val="nil"/>
              <w:bottom w:val="single" w:sz="4" w:space="0" w:color="1F497D"/>
              <w:right w:val="single" w:sz="4" w:space="0" w:color="1F497D"/>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287,48</w:t>
            </w:r>
          </w:p>
        </w:tc>
        <w:tc>
          <w:tcPr>
            <w:tcW w:w="261" w:type="pct"/>
            <w:tcBorders>
              <w:top w:val="nil"/>
              <w:left w:val="nil"/>
              <w:bottom w:val="single" w:sz="4" w:space="0" w:color="1F497D"/>
              <w:right w:val="single" w:sz="4" w:space="0" w:color="1F497D"/>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2 908,43</w:t>
            </w:r>
          </w:p>
        </w:tc>
        <w:tc>
          <w:tcPr>
            <w:tcW w:w="228" w:type="pct"/>
            <w:tcBorders>
              <w:top w:val="nil"/>
              <w:left w:val="nil"/>
              <w:bottom w:val="single" w:sz="4" w:space="0" w:color="1F497D"/>
              <w:right w:val="single" w:sz="4" w:space="0" w:color="1F497D"/>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39,87</w:t>
            </w:r>
          </w:p>
        </w:tc>
        <w:tc>
          <w:tcPr>
            <w:tcW w:w="254" w:type="pct"/>
            <w:tcBorders>
              <w:top w:val="nil"/>
              <w:left w:val="nil"/>
              <w:bottom w:val="single" w:sz="4" w:space="0" w:color="1F497D"/>
              <w:right w:val="single" w:sz="4" w:space="0" w:color="1F497D"/>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110,07</w:t>
            </w:r>
          </w:p>
        </w:tc>
        <w:tc>
          <w:tcPr>
            <w:tcW w:w="288" w:type="pct"/>
            <w:tcBorders>
              <w:top w:val="nil"/>
              <w:left w:val="nil"/>
              <w:bottom w:val="single" w:sz="4" w:space="0" w:color="1F497D"/>
              <w:right w:val="single" w:sz="4" w:space="0" w:color="1F497D"/>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2 773,37</w:t>
            </w:r>
          </w:p>
        </w:tc>
        <w:tc>
          <w:tcPr>
            <w:tcW w:w="214" w:type="pct"/>
            <w:tcBorders>
              <w:top w:val="nil"/>
              <w:left w:val="nil"/>
              <w:bottom w:val="single" w:sz="4" w:space="0" w:color="1F497D"/>
              <w:right w:val="single" w:sz="4" w:space="0" w:color="1F497D"/>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38,02</w:t>
            </w:r>
          </w:p>
        </w:tc>
        <w:tc>
          <w:tcPr>
            <w:tcW w:w="254" w:type="pct"/>
            <w:tcBorders>
              <w:top w:val="nil"/>
              <w:left w:val="nil"/>
              <w:bottom w:val="single" w:sz="4" w:space="0" w:color="1F497D"/>
              <w:right w:val="single" w:sz="4" w:space="0" w:color="1F497D"/>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105,11</w:t>
            </w:r>
          </w:p>
        </w:tc>
        <w:tc>
          <w:tcPr>
            <w:tcW w:w="274" w:type="pct"/>
            <w:tcBorders>
              <w:top w:val="nil"/>
              <w:left w:val="single" w:sz="4" w:space="0" w:color="auto"/>
              <w:bottom w:val="single" w:sz="4" w:space="0" w:color="auto"/>
              <w:right w:val="single" w:sz="4" w:space="0" w:color="auto"/>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2 709,11</w:t>
            </w:r>
          </w:p>
        </w:tc>
        <w:tc>
          <w:tcPr>
            <w:tcW w:w="207" w:type="pct"/>
            <w:tcBorders>
              <w:top w:val="nil"/>
              <w:left w:val="nil"/>
              <w:bottom w:val="single" w:sz="4" w:space="0" w:color="auto"/>
              <w:right w:val="single" w:sz="4" w:space="0" w:color="auto"/>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37,14</w:t>
            </w:r>
          </w:p>
        </w:tc>
        <w:tc>
          <w:tcPr>
            <w:tcW w:w="207" w:type="pct"/>
            <w:tcBorders>
              <w:top w:val="nil"/>
              <w:left w:val="nil"/>
              <w:bottom w:val="single" w:sz="4" w:space="0" w:color="auto"/>
              <w:right w:val="single" w:sz="4" w:space="0" w:color="auto"/>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102,73</w:t>
            </w:r>
          </w:p>
        </w:tc>
      </w:tr>
      <w:tr w:rsidR="00F228F9" w:rsidRPr="00F228F9" w:rsidTr="00F228F9">
        <w:trPr>
          <w:trHeight w:val="225"/>
        </w:trPr>
        <w:tc>
          <w:tcPr>
            <w:tcW w:w="241" w:type="pct"/>
            <w:vMerge/>
            <w:tcBorders>
              <w:top w:val="nil"/>
              <w:left w:val="single" w:sz="4" w:space="0" w:color="1F497D"/>
              <w:bottom w:val="single" w:sz="4" w:space="0" w:color="1F497D"/>
              <w:right w:val="single" w:sz="4" w:space="0" w:color="1F497D"/>
            </w:tcBorders>
            <w:vAlign w:val="center"/>
            <w:hideMark/>
          </w:tcPr>
          <w:p w:rsidR="00F228F9" w:rsidRPr="00F228F9" w:rsidRDefault="00F228F9" w:rsidP="00F228F9">
            <w:pPr>
              <w:rPr>
                <w:color w:val="000000"/>
                <w:sz w:val="16"/>
                <w:szCs w:val="16"/>
              </w:rPr>
            </w:pPr>
          </w:p>
        </w:tc>
        <w:tc>
          <w:tcPr>
            <w:tcW w:w="335" w:type="pct"/>
            <w:tcBorders>
              <w:top w:val="nil"/>
              <w:left w:val="nil"/>
              <w:bottom w:val="single" w:sz="4" w:space="0" w:color="1F497D"/>
              <w:right w:val="single" w:sz="4" w:space="0" w:color="1F497D"/>
            </w:tcBorders>
            <w:shd w:val="clear" w:color="000000" w:fill="FFFFFF"/>
            <w:vAlign w:val="center"/>
            <w:hideMark/>
          </w:tcPr>
          <w:p w:rsidR="00F228F9" w:rsidRPr="00F228F9" w:rsidRDefault="00F228F9" w:rsidP="00F228F9">
            <w:pPr>
              <w:jc w:val="center"/>
              <w:rPr>
                <w:color w:val="000000"/>
                <w:sz w:val="16"/>
                <w:szCs w:val="16"/>
              </w:rPr>
            </w:pPr>
            <w:r w:rsidRPr="00F228F9">
              <w:rPr>
                <w:color w:val="000000"/>
                <w:sz w:val="16"/>
                <w:szCs w:val="16"/>
              </w:rPr>
              <w:t>Rozdíl</w:t>
            </w:r>
          </w:p>
        </w:tc>
        <w:tc>
          <w:tcPr>
            <w:tcW w:w="241" w:type="pct"/>
            <w:tcBorders>
              <w:top w:val="nil"/>
              <w:left w:val="nil"/>
              <w:bottom w:val="single" w:sz="4" w:space="0" w:color="1F497D"/>
              <w:right w:val="single" w:sz="4" w:space="0" w:color="1F497D"/>
            </w:tcBorders>
            <w:shd w:val="clear" w:color="000000" w:fill="FFFFFF"/>
            <w:noWrap/>
            <w:vAlign w:val="center"/>
            <w:hideMark/>
          </w:tcPr>
          <w:p w:rsidR="00F228F9" w:rsidRPr="00F228F9" w:rsidRDefault="00F228F9" w:rsidP="00F228F9">
            <w:pPr>
              <w:jc w:val="center"/>
              <w:rPr>
                <w:color w:val="000000"/>
                <w:sz w:val="16"/>
                <w:szCs w:val="16"/>
              </w:rPr>
            </w:pPr>
          </w:p>
        </w:tc>
        <w:tc>
          <w:tcPr>
            <w:tcW w:w="241" w:type="pct"/>
            <w:tcBorders>
              <w:top w:val="nil"/>
              <w:left w:val="nil"/>
              <w:bottom w:val="single" w:sz="4" w:space="0" w:color="1F497D"/>
              <w:right w:val="single" w:sz="4" w:space="0" w:color="1F497D"/>
            </w:tcBorders>
            <w:shd w:val="clear" w:color="000000" w:fill="FFFFFF"/>
            <w:noWrap/>
            <w:vAlign w:val="center"/>
            <w:hideMark/>
          </w:tcPr>
          <w:p w:rsidR="00F228F9" w:rsidRPr="00F228F9" w:rsidRDefault="00F228F9" w:rsidP="00F228F9">
            <w:pPr>
              <w:jc w:val="center"/>
              <w:rPr>
                <w:color w:val="000000"/>
                <w:sz w:val="16"/>
                <w:szCs w:val="16"/>
              </w:rPr>
            </w:pPr>
          </w:p>
        </w:tc>
        <w:tc>
          <w:tcPr>
            <w:tcW w:w="181" w:type="pct"/>
            <w:tcBorders>
              <w:top w:val="nil"/>
              <w:left w:val="nil"/>
              <w:bottom w:val="single" w:sz="4" w:space="0" w:color="1F497D"/>
              <w:right w:val="single" w:sz="4" w:space="0" w:color="1F497D"/>
            </w:tcBorders>
            <w:shd w:val="clear" w:color="000000" w:fill="FFFFFF"/>
            <w:vAlign w:val="center"/>
            <w:hideMark/>
          </w:tcPr>
          <w:p w:rsidR="00F228F9" w:rsidRPr="00F228F9" w:rsidRDefault="00F228F9" w:rsidP="00F228F9">
            <w:pPr>
              <w:jc w:val="center"/>
              <w:rPr>
                <w:color w:val="000000"/>
                <w:sz w:val="16"/>
                <w:szCs w:val="16"/>
              </w:rPr>
            </w:pPr>
            <w:r w:rsidRPr="00F228F9">
              <w:rPr>
                <w:color w:val="000000"/>
                <w:sz w:val="16"/>
                <w:szCs w:val="16"/>
              </w:rPr>
              <w:t>0</w:t>
            </w:r>
          </w:p>
        </w:tc>
        <w:tc>
          <w:tcPr>
            <w:tcW w:w="268" w:type="pct"/>
            <w:tcBorders>
              <w:top w:val="nil"/>
              <w:left w:val="nil"/>
              <w:bottom w:val="single" w:sz="4" w:space="0" w:color="1F497D"/>
              <w:right w:val="single" w:sz="4" w:space="0" w:color="1F497D"/>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0,00</w:t>
            </w:r>
          </w:p>
        </w:tc>
        <w:tc>
          <w:tcPr>
            <w:tcW w:w="207" w:type="pct"/>
            <w:tcBorders>
              <w:top w:val="nil"/>
              <w:left w:val="nil"/>
              <w:bottom w:val="single" w:sz="4" w:space="0" w:color="1F497D"/>
              <w:right w:val="single" w:sz="4" w:space="0" w:color="1F497D"/>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0,00</w:t>
            </w:r>
          </w:p>
        </w:tc>
        <w:tc>
          <w:tcPr>
            <w:tcW w:w="234" w:type="pct"/>
            <w:tcBorders>
              <w:top w:val="nil"/>
              <w:left w:val="nil"/>
              <w:bottom w:val="single" w:sz="4" w:space="0" w:color="1F497D"/>
              <w:right w:val="single" w:sz="4" w:space="0" w:color="1F497D"/>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2,78</w:t>
            </w:r>
          </w:p>
        </w:tc>
        <w:tc>
          <w:tcPr>
            <w:tcW w:w="174" w:type="pct"/>
            <w:tcBorders>
              <w:top w:val="nil"/>
              <w:left w:val="nil"/>
              <w:bottom w:val="single" w:sz="4" w:space="0" w:color="1F497D"/>
              <w:right w:val="single" w:sz="4" w:space="0" w:color="1F497D"/>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-1</w:t>
            </w:r>
          </w:p>
        </w:tc>
        <w:tc>
          <w:tcPr>
            <w:tcW w:w="261" w:type="pct"/>
            <w:tcBorders>
              <w:top w:val="nil"/>
              <w:left w:val="nil"/>
              <w:bottom w:val="single" w:sz="4" w:space="0" w:color="1F497D"/>
              <w:right w:val="single" w:sz="4" w:space="0" w:color="1F497D"/>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-76,18</w:t>
            </w:r>
          </w:p>
        </w:tc>
        <w:tc>
          <w:tcPr>
            <w:tcW w:w="214" w:type="pct"/>
            <w:tcBorders>
              <w:top w:val="nil"/>
              <w:left w:val="nil"/>
              <w:bottom w:val="single" w:sz="4" w:space="0" w:color="1F497D"/>
              <w:right w:val="single" w:sz="4" w:space="0" w:color="1F497D"/>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-1,04</w:t>
            </w:r>
          </w:p>
        </w:tc>
        <w:tc>
          <w:tcPr>
            <w:tcW w:w="214" w:type="pct"/>
            <w:tcBorders>
              <w:top w:val="nil"/>
              <w:left w:val="nil"/>
              <w:bottom w:val="single" w:sz="4" w:space="0" w:color="1F497D"/>
              <w:right w:val="single" w:sz="4" w:space="0" w:color="1F497D"/>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-0,98</w:t>
            </w:r>
          </w:p>
        </w:tc>
        <w:tc>
          <w:tcPr>
            <w:tcW w:w="261" w:type="pct"/>
            <w:tcBorders>
              <w:top w:val="nil"/>
              <w:left w:val="nil"/>
              <w:bottom w:val="single" w:sz="4" w:space="0" w:color="1F497D"/>
              <w:right w:val="single" w:sz="4" w:space="0" w:color="1F497D"/>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233,55</w:t>
            </w:r>
          </w:p>
        </w:tc>
        <w:tc>
          <w:tcPr>
            <w:tcW w:w="228" w:type="pct"/>
            <w:tcBorders>
              <w:top w:val="nil"/>
              <w:left w:val="nil"/>
              <w:bottom w:val="single" w:sz="4" w:space="0" w:color="1F497D"/>
              <w:right w:val="single" w:sz="4" w:space="0" w:color="1F497D"/>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3,20</w:t>
            </w:r>
          </w:p>
        </w:tc>
        <w:tc>
          <w:tcPr>
            <w:tcW w:w="254" w:type="pct"/>
            <w:tcBorders>
              <w:top w:val="nil"/>
              <w:left w:val="nil"/>
              <w:bottom w:val="single" w:sz="4" w:space="0" w:color="1F497D"/>
              <w:right w:val="single" w:sz="4" w:space="0" w:color="1F497D"/>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8,59</w:t>
            </w:r>
          </w:p>
        </w:tc>
        <w:tc>
          <w:tcPr>
            <w:tcW w:w="288" w:type="pct"/>
            <w:tcBorders>
              <w:top w:val="nil"/>
              <w:left w:val="nil"/>
              <w:bottom w:val="single" w:sz="4" w:space="0" w:color="1F497D"/>
              <w:right w:val="single" w:sz="4" w:space="0" w:color="1F497D"/>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122,19</w:t>
            </w:r>
          </w:p>
        </w:tc>
        <w:tc>
          <w:tcPr>
            <w:tcW w:w="214" w:type="pct"/>
            <w:tcBorders>
              <w:top w:val="nil"/>
              <w:left w:val="nil"/>
              <w:bottom w:val="single" w:sz="4" w:space="0" w:color="1F497D"/>
              <w:right w:val="single" w:sz="4" w:space="0" w:color="1F497D"/>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1,68</w:t>
            </w:r>
          </w:p>
        </w:tc>
        <w:tc>
          <w:tcPr>
            <w:tcW w:w="254" w:type="pct"/>
            <w:tcBorders>
              <w:top w:val="nil"/>
              <w:left w:val="nil"/>
              <w:bottom w:val="single" w:sz="4" w:space="0" w:color="1F497D"/>
              <w:right w:val="single" w:sz="4" w:space="0" w:color="1F497D"/>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4,48</w:t>
            </w:r>
          </w:p>
        </w:tc>
        <w:tc>
          <w:tcPr>
            <w:tcW w:w="274" w:type="pct"/>
            <w:tcBorders>
              <w:top w:val="nil"/>
              <w:left w:val="single" w:sz="4" w:space="0" w:color="auto"/>
              <w:bottom w:val="single" w:sz="4" w:space="0" w:color="auto"/>
              <w:right w:val="single" w:sz="4" w:space="0" w:color="auto"/>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68,62</w:t>
            </w:r>
          </w:p>
        </w:tc>
        <w:tc>
          <w:tcPr>
            <w:tcW w:w="207" w:type="pct"/>
            <w:tcBorders>
              <w:top w:val="nil"/>
              <w:left w:val="nil"/>
              <w:bottom w:val="single" w:sz="4" w:space="0" w:color="auto"/>
              <w:right w:val="single" w:sz="4" w:space="0" w:color="auto"/>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0,94</w:t>
            </w:r>
          </w:p>
        </w:tc>
        <w:tc>
          <w:tcPr>
            <w:tcW w:w="207" w:type="pct"/>
            <w:tcBorders>
              <w:top w:val="nil"/>
              <w:left w:val="nil"/>
              <w:bottom w:val="single" w:sz="4" w:space="0" w:color="auto"/>
              <w:right w:val="single" w:sz="4" w:space="0" w:color="auto"/>
            </w:tcBorders>
            <w:shd w:val="clear" w:color="000000" w:fill="FFFFFF"/>
            <w:noWrap/>
            <w:vAlign w:val="center"/>
            <w:hideMark/>
          </w:tcPr>
          <w:p w:rsidR="00F228F9" w:rsidRPr="00F228F9" w:rsidRDefault="00F228F9" w:rsidP="00F228F9">
            <w:pPr>
              <w:jc w:val="center"/>
              <w:rPr>
                <w:color w:val="000000"/>
                <w:sz w:val="16"/>
                <w:szCs w:val="16"/>
              </w:rPr>
            </w:pPr>
            <w:r w:rsidRPr="00F228F9">
              <w:rPr>
                <w:color w:val="000000"/>
                <w:sz w:val="16"/>
                <w:szCs w:val="16"/>
              </w:rPr>
              <w:t>2,50</w:t>
            </w:r>
          </w:p>
        </w:tc>
      </w:tr>
    </w:tbl>
    <w:p w:rsidR="00F77A31" w:rsidRDefault="00F77A31" w:rsidP="002F2C3F">
      <w:pPr>
        <w:rPr>
          <w:b/>
          <w:sz w:val="22"/>
          <w:szCs w:val="22"/>
        </w:rPr>
      </w:pPr>
    </w:p>
    <w:p w:rsidR="00F77A31" w:rsidRDefault="00F77A31" w:rsidP="002F2C3F">
      <w:pPr>
        <w:rPr>
          <w:b/>
          <w:sz w:val="22"/>
          <w:szCs w:val="22"/>
        </w:rPr>
      </w:pPr>
    </w:p>
    <w:p w:rsidR="00F77A31" w:rsidRDefault="00F77A31" w:rsidP="002F2C3F">
      <w:pPr>
        <w:rPr>
          <w:b/>
          <w:sz w:val="22"/>
          <w:szCs w:val="22"/>
        </w:rPr>
      </w:pPr>
    </w:p>
    <w:p w:rsidR="00F77A31" w:rsidRDefault="00F77A31" w:rsidP="002F2C3F">
      <w:pPr>
        <w:rPr>
          <w:b/>
          <w:sz w:val="22"/>
          <w:szCs w:val="22"/>
        </w:rPr>
      </w:pPr>
    </w:p>
    <w:p w:rsidR="00F77A31" w:rsidRDefault="00F77A31" w:rsidP="002F2C3F">
      <w:pPr>
        <w:rPr>
          <w:b/>
          <w:sz w:val="22"/>
          <w:szCs w:val="22"/>
        </w:rPr>
      </w:pPr>
    </w:p>
    <w:p w:rsidR="00F77A31" w:rsidRDefault="00F77A31" w:rsidP="002F2C3F">
      <w:pPr>
        <w:rPr>
          <w:b/>
          <w:sz w:val="22"/>
          <w:szCs w:val="22"/>
        </w:rPr>
        <w:sectPr w:rsidR="00F77A31" w:rsidSect="000328AD">
          <w:pgSz w:w="16840" w:h="11907" w:orient="landscape" w:code="9"/>
          <w:pgMar w:top="1418" w:right="1418" w:bottom="1418" w:left="1418" w:header="709" w:footer="709" w:gutter="0"/>
          <w:cols w:space="708"/>
          <w:docGrid w:linePitch="360"/>
        </w:sectPr>
      </w:pPr>
    </w:p>
    <w:p w:rsidR="002F2C3F" w:rsidRDefault="002F2C3F" w:rsidP="002F2C3F">
      <w:pPr>
        <w:rPr>
          <w:b/>
          <w:sz w:val="22"/>
          <w:szCs w:val="22"/>
        </w:rPr>
      </w:pPr>
      <w:r w:rsidRPr="006266F5">
        <w:rPr>
          <w:b/>
          <w:sz w:val="22"/>
          <w:szCs w:val="22"/>
        </w:rPr>
        <w:lastRenderedPageBreak/>
        <w:t>Přehled probíhajících výzev</w:t>
      </w:r>
      <w:r w:rsidRPr="00FA5046">
        <w:rPr>
          <w:b/>
          <w:sz w:val="22"/>
          <w:szCs w:val="22"/>
        </w:rPr>
        <w:t xml:space="preserve"> </w:t>
      </w:r>
    </w:p>
    <w:p w:rsidR="001A377B" w:rsidRPr="000C2499" w:rsidRDefault="001A377B" w:rsidP="001A377B">
      <w:pPr>
        <w:jc w:val="both"/>
        <w:rPr>
          <w:sz w:val="22"/>
          <w:szCs w:val="22"/>
        </w:rPr>
      </w:pPr>
      <w:r w:rsidRPr="000C2499">
        <w:rPr>
          <w:sz w:val="22"/>
          <w:szCs w:val="22"/>
        </w:rPr>
        <w:t xml:space="preserve">V prioritní ose 3 </w:t>
      </w:r>
      <w:r w:rsidR="002D2486">
        <w:rPr>
          <w:sz w:val="22"/>
          <w:szCs w:val="22"/>
        </w:rPr>
        <w:t>ne</w:t>
      </w:r>
      <w:r w:rsidRPr="000C2499">
        <w:rPr>
          <w:sz w:val="22"/>
          <w:szCs w:val="22"/>
        </w:rPr>
        <w:t>probíhal</w:t>
      </w:r>
      <w:r w:rsidR="000C2499" w:rsidRPr="000C2499">
        <w:rPr>
          <w:sz w:val="22"/>
          <w:szCs w:val="22"/>
        </w:rPr>
        <w:t>y ve sledovaném období</w:t>
      </w:r>
      <w:r w:rsidR="002D2486">
        <w:rPr>
          <w:sz w:val="22"/>
          <w:szCs w:val="22"/>
        </w:rPr>
        <w:t xml:space="preserve"> žádné</w:t>
      </w:r>
      <w:r w:rsidRPr="000C2499">
        <w:rPr>
          <w:sz w:val="22"/>
          <w:szCs w:val="22"/>
        </w:rPr>
        <w:t xml:space="preserve"> výz</w:t>
      </w:r>
      <w:r w:rsidR="000C2499" w:rsidRPr="000C2499">
        <w:rPr>
          <w:sz w:val="22"/>
          <w:szCs w:val="22"/>
        </w:rPr>
        <w:t>vy</w:t>
      </w:r>
      <w:r w:rsidR="002D2486">
        <w:rPr>
          <w:sz w:val="22"/>
          <w:szCs w:val="22"/>
        </w:rPr>
        <w:t xml:space="preserve">. </w:t>
      </w:r>
      <w:r w:rsidRPr="000C2499">
        <w:rPr>
          <w:sz w:val="22"/>
          <w:szCs w:val="22"/>
        </w:rPr>
        <w:t xml:space="preserve"> </w:t>
      </w:r>
    </w:p>
    <w:p w:rsidR="00520A85" w:rsidRDefault="00520A85" w:rsidP="006F15B2">
      <w:bookmarkStart w:id="97" w:name="_Toc306893716"/>
    </w:p>
    <w:p w:rsidR="001E01FF" w:rsidRPr="0065017F" w:rsidRDefault="002F2C3F" w:rsidP="0065017F">
      <w:pPr>
        <w:pStyle w:val="Nadpis3"/>
        <w:spacing w:before="0" w:after="0"/>
        <w:rPr>
          <w:rFonts w:ascii="Times New Roman" w:hAnsi="Times New Roman"/>
          <w:sz w:val="24"/>
          <w:szCs w:val="24"/>
        </w:rPr>
      </w:pPr>
      <w:bookmarkStart w:id="98" w:name="_Toc433873502"/>
      <w:r w:rsidRPr="0065017F">
        <w:rPr>
          <w:rFonts w:ascii="Times New Roman" w:hAnsi="Times New Roman"/>
          <w:sz w:val="24"/>
          <w:szCs w:val="24"/>
        </w:rPr>
        <w:t>3.3.3 Naplňování indikátorů</w:t>
      </w:r>
      <w:bookmarkEnd w:id="97"/>
      <w:bookmarkEnd w:id="98"/>
    </w:p>
    <w:p w:rsidR="00134515" w:rsidRDefault="00134515" w:rsidP="00052D5E">
      <w:pPr>
        <w:rPr>
          <w:b/>
          <w:sz w:val="22"/>
          <w:szCs w:val="22"/>
        </w:rPr>
      </w:pPr>
    </w:p>
    <w:p w:rsidR="00052D5E" w:rsidRDefault="00052D5E" w:rsidP="00052D5E">
      <w:pPr>
        <w:rPr>
          <w:b/>
          <w:sz w:val="22"/>
          <w:szCs w:val="22"/>
        </w:rPr>
      </w:pPr>
      <w:r w:rsidRPr="00075AE1">
        <w:rPr>
          <w:b/>
          <w:sz w:val="22"/>
          <w:szCs w:val="22"/>
        </w:rPr>
        <w:t>Oblast intervence 3.1</w:t>
      </w:r>
    </w:p>
    <w:p w:rsidR="00D636EA" w:rsidRDefault="00D636EA" w:rsidP="007D66D0">
      <w:pPr>
        <w:jc w:val="both"/>
        <w:rPr>
          <w:sz w:val="22"/>
          <w:szCs w:val="22"/>
        </w:rPr>
      </w:pPr>
      <w:r w:rsidRPr="00383A47">
        <w:rPr>
          <w:sz w:val="22"/>
          <w:szCs w:val="22"/>
        </w:rPr>
        <w:t xml:space="preserve">Indikátor </w:t>
      </w:r>
      <w:r w:rsidRPr="00383A47">
        <w:rPr>
          <w:b/>
          <w:sz w:val="22"/>
          <w:szCs w:val="22"/>
        </w:rPr>
        <w:t>330300 „Počet projektů zaměřených na sociální inkluzi“</w:t>
      </w:r>
      <w:r w:rsidRPr="00383A47">
        <w:rPr>
          <w:sz w:val="22"/>
          <w:szCs w:val="22"/>
        </w:rPr>
        <w:t xml:space="preserve"> odráží plnění ve všech </w:t>
      </w:r>
      <w:r>
        <w:rPr>
          <w:sz w:val="22"/>
          <w:szCs w:val="22"/>
        </w:rPr>
        <w:br/>
        <w:t>3 aktivitách této oblasti intervence</w:t>
      </w:r>
      <w:r w:rsidRPr="00383A47">
        <w:rPr>
          <w:sz w:val="22"/>
          <w:szCs w:val="22"/>
        </w:rPr>
        <w:t xml:space="preserve">. Vzhledem k tomu, že se k  1. </w:t>
      </w:r>
      <w:r>
        <w:rPr>
          <w:sz w:val="22"/>
          <w:szCs w:val="22"/>
        </w:rPr>
        <w:t>10</w:t>
      </w:r>
      <w:r w:rsidRPr="00383A47">
        <w:rPr>
          <w:sz w:val="22"/>
          <w:szCs w:val="22"/>
        </w:rPr>
        <w:t>. 2015 nachází ve stavu závazku ze schválených projektů 128 projektů v aktivitách 3.1 a) b) c), což představuje 100,8</w:t>
      </w:r>
      <w:r w:rsidR="00C94812">
        <w:rPr>
          <w:sz w:val="22"/>
          <w:szCs w:val="22"/>
        </w:rPr>
        <w:t xml:space="preserve"> </w:t>
      </w:r>
      <w:r w:rsidRPr="00383A47">
        <w:rPr>
          <w:sz w:val="22"/>
          <w:szCs w:val="22"/>
        </w:rPr>
        <w:t xml:space="preserve">%, předpokládá </w:t>
      </w:r>
      <w:r>
        <w:rPr>
          <w:sz w:val="22"/>
          <w:szCs w:val="22"/>
        </w:rPr>
        <w:t xml:space="preserve">MPSV </w:t>
      </w:r>
      <w:r w:rsidRPr="00383A47">
        <w:rPr>
          <w:sz w:val="22"/>
          <w:szCs w:val="22"/>
        </w:rPr>
        <w:t xml:space="preserve">naplnění cílové hodnoty. Dosažená hodnota </w:t>
      </w:r>
      <w:r>
        <w:rPr>
          <w:sz w:val="22"/>
          <w:szCs w:val="22"/>
        </w:rPr>
        <w:t>činí 113</w:t>
      </w:r>
      <w:r w:rsidR="00C94812">
        <w:rPr>
          <w:sz w:val="22"/>
          <w:szCs w:val="22"/>
        </w:rPr>
        <w:t xml:space="preserve"> a</w:t>
      </w:r>
      <w:r>
        <w:rPr>
          <w:sz w:val="22"/>
          <w:szCs w:val="22"/>
        </w:rPr>
        <w:t xml:space="preserve"> </w:t>
      </w:r>
      <w:r w:rsidRPr="00383A47">
        <w:rPr>
          <w:sz w:val="22"/>
          <w:szCs w:val="22"/>
        </w:rPr>
        <w:t xml:space="preserve">ve srovnání s předchozím sledovaným obdobím </w:t>
      </w:r>
      <w:r>
        <w:rPr>
          <w:sz w:val="22"/>
          <w:szCs w:val="22"/>
        </w:rPr>
        <w:t xml:space="preserve">se dosažená hodnota </w:t>
      </w:r>
      <w:r w:rsidR="00C94812">
        <w:rPr>
          <w:sz w:val="22"/>
          <w:szCs w:val="22"/>
        </w:rPr>
        <w:t>z</w:t>
      </w:r>
      <w:r w:rsidRPr="00383A47">
        <w:rPr>
          <w:sz w:val="22"/>
          <w:szCs w:val="22"/>
        </w:rPr>
        <w:t xml:space="preserve">výšila o </w:t>
      </w:r>
      <w:r>
        <w:rPr>
          <w:sz w:val="22"/>
          <w:szCs w:val="22"/>
        </w:rPr>
        <w:t>29 projektů.</w:t>
      </w:r>
      <w:r w:rsidRPr="00383A47">
        <w:rPr>
          <w:sz w:val="22"/>
          <w:szCs w:val="22"/>
        </w:rPr>
        <w:t xml:space="preserve"> </w:t>
      </w:r>
    </w:p>
    <w:p w:rsidR="007D66D0" w:rsidRPr="00383A47" w:rsidRDefault="007D66D0" w:rsidP="007D66D0">
      <w:pPr>
        <w:jc w:val="both"/>
        <w:rPr>
          <w:sz w:val="22"/>
          <w:szCs w:val="22"/>
        </w:rPr>
      </w:pPr>
    </w:p>
    <w:p w:rsidR="00D636EA" w:rsidRDefault="00D636EA" w:rsidP="007D66D0">
      <w:pPr>
        <w:jc w:val="both"/>
        <w:rPr>
          <w:sz w:val="22"/>
          <w:szCs w:val="22"/>
        </w:rPr>
      </w:pPr>
      <w:r w:rsidRPr="00383A47">
        <w:rPr>
          <w:sz w:val="22"/>
          <w:szCs w:val="22"/>
        </w:rPr>
        <w:t xml:space="preserve">Indikátor </w:t>
      </w:r>
      <w:r w:rsidRPr="00383A47">
        <w:rPr>
          <w:b/>
          <w:sz w:val="22"/>
          <w:szCs w:val="22"/>
        </w:rPr>
        <w:t>75713</w:t>
      </w:r>
      <w:r w:rsidRPr="00383A47">
        <w:rPr>
          <w:sz w:val="22"/>
          <w:szCs w:val="22"/>
        </w:rPr>
        <w:t xml:space="preserve"> uvádí </w:t>
      </w:r>
      <w:r w:rsidRPr="00383A47">
        <w:rPr>
          <w:b/>
          <w:sz w:val="22"/>
          <w:szCs w:val="22"/>
        </w:rPr>
        <w:t>„Počet pobytových zařízení sociálních služeb realizující transformaci</w:t>
      </w:r>
      <w:r w:rsidRPr="00383A47">
        <w:rPr>
          <w:sz w:val="22"/>
          <w:szCs w:val="22"/>
        </w:rPr>
        <w:t>“. Počet zařízení, která započala transformaci</w:t>
      </w:r>
      <w:r w:rsidR="00C94812">
        <w:rPr>
          <w:sz w:val="22"/>
          <w:szCs w:val="22"/>
        </w:rPr>
        <w:t>,</w:t>
      </w:r>
      <w:r w:rsidRPr="00383A47">
        <w:rPr>
          <w:sz w:val="22"/>
          <w:szCs w:val="22"/>
        </w:rPr>
        <w:t xml:space="preserve"> </w:t>
      </w:r>
      <w:r w:rsidRPr="00BE6852">
        <w:rPr>
          <w:sz w:val="22"/>
          <w:szCs w:val="22"/>
        </w:rPr>
        <w:t xml:space="preserve">je </w:t>
      </w:r>
      <w:r>
        <w:rPr>
          <w:sz w:val="22"/>
          <w:szCs w:val="22"/>
        </w:rPr>
        <w:t xml:space="preserve">k 1. 10. 2015 </w:t>
      </w:r>
      <w:r w:rsidRPr="00BE6852">
        <w:rPr>
          <w:sz w:val="22"/>
          <w:szCs w:val="22"/>
        </w:rPr>
        <w:t xml:space="preserve">na hodnotě </w:t>
      </w:r>
      <w:r>
        <w:rPr>
          <w:sz w:val="22"/>
          <w:szCs w:val="22"/>
        </w:rPr>
        <w:t>9</w:t>
      </w:r>
      <w:r w:rsidRPr="00383A47">
        <w:rPr>
          <w:sz w:val="22"/>
          <w:szCs w:val="22"/>
        </w:rPr>
        <w:t xml:space="preserve"> a v závazku ze schválených projektů se nachází </w:t>
      </w:r>
      <w:r w:rsidRPr="00EC1912">
        <w:rPr>
          <w:sz w:val="22"/>
          <w:szCs w:val="22"/>
        </w:rPr>
        <w:t>20</w:t>
      </w:r>
      <w:r w:rsidRPr="00383A47">
        <w:rPr>
          <w:sz w:val="22"/>
          <w:szCs w:val="22"/>
        </w:rPr>
        <w:t xml:space="preserve"> zařízení sociálních služeb. MPSV předpokládá naplnění cílové hodnoty.</w:t>
      </w:r>
      <w:r>
        <w:rPr>
          <w:sz w:val="22"/>
          <w:szCs w:val="22"/>
        </w:rPr>
        <w:t xml:space="preserve"> </w:t>
      </w:r>
    </w:p>
    <w:p w:rsidR="007D66D0" w:rsidRDefault="007D66D0" w:rsidP="007D66D0">
      <w:pPr>
        <w:jc w:val="both"/>
        <w:rPr>
          <w:sz w:val="22"/>
          <w:szCs w:val="22"/>
        </w:rPr>
      </w:pPr>
    </w:p>
    <w:p w:rsidR="00D636EA" w:rsidRDefault="00D636EA" w:rsidP="007D66D0">
      <w:pPr>
        <w:jc w:val="both"/>
        <w:rPr>
          <w:sz w:val="22"/>
          <w:szCs w:val="22"/>
        </w:rPr>
      </w:pPr>
      <w:r>
        <w:rPr>
          <w:sz w:val="22"/>
          <w:szCs w:val="22"/>
        </w:rPr>
        <w:t>Dosažená</w:t>
      </w:r>
      <w:r w:rsidRPr="00383A47">
        <w:rPr>
          <w:sz w:val="22"/>
          <w:szCs w:val="22"/>
        </w:rPr>
        <w:t xml:space="preserve"> hodnota indikátoru </w:t>
      </w:r>
      <w:r w:rsidRPr="00383A47">
        <w:rPr>
          <w:b/>
          <w:sz w:val="22"/>
          <w:szCs w:val="22"/>
        </w:rPr>
        <w:t>75714 „Počet podpořených organizací“</w:t>
      </w:r>
      <w:r w:rsidRPr="00383A47">
        <w:rPr>
          <w:sz w:val="22"/>
          <w:szCs w:val="22"/>
        </w:rPr>
        <w:t xml:space="preserve"> v aktivitě 3.1 b)</w:t>
      </w:r>
      <w:r>
        <w:rPr>
          <w:sz w:val="22"/>
          <w:szCs w:val="22"/>
        </w:rPr>
        <w:t xml:space="preserve"> u projektů zaměřených na začlenění romských lokalit k 1. 10. 2015 činí </w:t>
      </w:r>
      <w:r w:rsidRPr="00383A47">
        <w:rPr>
          <w:sz w:val="22"/>
          <w:szCs w:val="22"/>
        </w:rPr>
        <w:t>2</w:t>
      </w:r>
      <w:r>
        <w:rPr>
          <w:sz w:val="22"/>
          <w:szCs w:val="22"/>
        </w:rPr>
        <w:t>8 podpořených organizací</w:t>
      </w:r>
      <w:r w:rsidRPr="00383A47">
        <w:rPr>
          <w:sz w:val="22"/>
          <w:szCs w:val="22"/>
        </w:rPr>
        <w:t xml:space="preserve">, v závazku </w:t>
      </w:r>
      <w:r>
        <w:rPr>
          <w:sz w:val="22"/>
          <w:szCs w:val="22"/>
        </w:rPr>
        <w:t xml:space="preserve">ze schválených projektů </w:t>
      </w:r>
      <w:r w:rsidRPr="00383A47">
        <w:rPr>
          <w:sz w:val="22"/>
          <w:szCs w:val="22"/>
        </w:rPr>
        <w:t>se nachází 29 projektů, což činí 96,7</w:t>
      </w:r>
      <w:r w:rsidR="00C94812">
        <w:rPr>
          <w:sz w:val="22"/>
          <w:szCs w:val="22"/>
        </w:rPr>
        <w:t xml:space="preserve"> </w:t>
      </w:r>
      <w:r w:rsidRPr="00383A47">
        <w:rPr>
          <w:sz w:val="22"/>
          <w:szCs w:val="22"/>
        </w:rPr>
        <w:t>%</w:t>
      </w:r>
      <w:r>
        <w:rPr>
          <w:sz w:val="22"/>
          <w:szCs w:val="22"/>
        </w:rPr>
        <w:t xml:space="preserve">. Dosažená hodnota se ve srovnání s předchozím obdobím </w:t>
      </w:r>
      <w:r w:rsidR="00C94812">
        <w:rPr>
          <w:sz w:val="22"/>
          <w:szCs w:val="22"/>
        </w:rPr>
        <w:t>z</w:t>
      </w:r>
      <w:r>
        <w:rPr>
          <w:sz w:val="22"/>
          <w:szCs w:val="22"/>
        </w:rPr>
        <w:t>výšila o 3 projekty.</w:t>
      </w:r>
    </w:p>
    <w:p w:rsidR="007D66D0" w:rsidRDefault="007D66D0" w:rsidP="007D66D0">
      <w:pPr>
        <w:jc w:val="both"/>
        <w:rPr>
          <w:sz w:val="22"/>
          <w:szCs w:val="22"/>
        </w:rPr>
      </w:pPr>
    </w:p>
    <w:p w:rsidR="00D636EA" w:rsidRDefault="00D636EA" w:rsidP="007D66D0">
      <w:pPr>
        <w:jc w:val="both"/>
        <w:rPr>
          <w:sz w:val="22"/>
          <w:szCs w:val="22"/>
        </w:rPr>
      </w:pPr>
      <w:r w:rsidRPr="00383A47">
        <w:rPr>
          <w:sz w:val="22"/>
          <w:szCs w:val="22"/>
        </w:rPr>
        <w:t xml:space="preserve">Dosažené hodnotě k indikátoru </w:t>
      </w:r>
      <w:r w:rsidRPr="00383A47">
        <w:rPr>
          <w:b/>
          <w:sz w:val="22"/>
          <w:szCs w:val="22"/>
        </w:rPr>
        <w:t>75802 „Počet podpořených subjektů</w:t>
      </w:r>
      <w:r w:rsidRPr="00383A47">
        <w:rPr>
          <w:sz w:val="22"/>
          <w:szCs w:val="22"/>
        </w:rPr>
        <w:t>“ v oblasti investiční podpory sociální ekonomiky v aktivit</w:t>
      </w:r>
      <w:r w:rsidR="00C94812">
        <w:rPr>
          <w:sz w:val="22"/>
          <w:szCs w:val="22"/>
        </w:rPr>
        <w:t>ě</w:t>
      </w:r>
      <w:r w:rsidRPr="00383A47">
        <w:rPr>
          <w:sz w:val="22"/>
          <w:szCs w:val="22"/>
        </w:rPr>
        <w:t xml:space="preserve"> 3.1 c) odpovídá k  </w:t>
      </w:r>
      <w:r>
        <w:rPr>
          <w:sz w:val="22"/>
          <w:szCs w:val="22"/>
        </w:rPr>
        <w:t>1. 10. 2015</w:t>
      </w:r>
      <w:r w:rsidRPr="00383A47">
        <w:rPr>
          <w:sz w:val="22"/>
          <w:szCs w:val="22"/>
        </w:rPr>
        <w:t xml:space="preserve"> hodnota </w:t>
      </w:r>
      <w:r>
        <w:rPr>
          <w:sz w:val="22"/>
          <w:szCs w:val="22"/>
        </w:rPr>
        <w:t>53</w:t>
      </w:r>
      <w:r w:rsidRPr="00383A47">
        <w:rPr>
          <w:sz w:val="22"/>
          <w:szCs w:val="22"/>
        </w:rPr>
        <w:t xml:space="preserve"> podpořených subjektů</w:t>
      </w:r>
      <w:r w:rsidR="00C94812">
        <w:rPr>
          <w:sz w:val="22"/>
          <w:szCs w:val="22"/>
        </w:rPr>
        <w:t xml:space="preserve"> a vz</w:t>
      </w:r>
      <w:r w:rsidRPr="00383A47">
        <w:rPr>
          <w:sz w:val="22"/>
          <w:szCs w:val="22"/>
        </w:rPr>
        <w:t>r</w:t>
      </w:r>
      <w:r w:rsidR="00C94812">
        <w:rPr>
          <w:sz w:val="22"/>
          <w:szCs w:val="22"/>
        </w:rPr>
        <w:t>ostla</w:t>
      </w:r>
      <w:r w:rsidRPr="00383A47">
        <w:rPr>
          <w:sz w:val="22"/>
          <w:szCs w:val="22"/>
        </w:rPr>
        <w:t xml:space="preserve"> v porovnání s předchozím sledovaným obdobím o </w:t>
      </w:r>
      <w:r>
        <w:rPr>
          <w:sz w:val="22"/>
          <w:szCs w:val="22"/>
        </w:rPr>
        <w:t>12</w:t>
      </w:r>
      <w:r w:rsidRPr="00383A47">
        <w:rPr>
          <w:sz w:val="22"/>
          <w:szCs w:val="22"/>
        </w:rPr>
        <w:t>. Ve stavu závazku ze schválených projektů se nachází 5</w:t>
      </w:r>
      <w:r>
        <w:rPr>
          <w:sz w:val="22"/>
          <w:szCs w:val="22"/>
        </w:rPr>
        <w:t>3</w:t>
      </w:r>
      <w:r w:rsidRPr="00383A47">
        <w:rPr>
          <w:sz w:val="22"/>
          <w:szCs w:val="22"/>
        </w:rPr>
        <w:t xml:space="preserve"> projektů, proto MPSV předpokládá naplnění cílové hodnoty.</w:t>
      </w:r>
      <w:r>
        <w:rPr>
          <w:sz w:val="22"/>
          <w:szCs w:val="22"/>
        </w:rPr>
        <w:t xml:space="preserve"> </w:t>
      </w:r>
    </w:p>
    <w:p w:rsidR="00D636EA" w:rsidRDefault="00D636EA" w:rsidP="007D66D0">
      <w:pPr>
        <w:jc w:val="both"/>
      </w:pPr>
    </w:p>
    <w:p w:rsidR="00D636EA" w:rsidRPr="006011D0" w:rsidRDefault="00D636EA" w:rsidP="007D66D0">
      <w:pPr>
        <w:jc w:val="both"/>
        <w:rPr>
          <w:sz w:val="22"/>
          <w:szCs w:val="22"/>
        </w:rPr>
      </w:pPr>
      <w:r>
        <w:rPr>
          <w:sz w:val="22"/>
          <w:szCs w:val="22"/>
        </w:rPr>
        <w:t>Dosažená hodnota indikátoru</w:t>
      </w:r>
      <w:r w:rsidRPr="006011D0">
        <w:rPr>
          <w:sz w:val="22"/>
          <w:szCs w:val="22"/>
        </w:rPr>
        <w:t xml:space="preserve"> </w:t>
      </w:r>
      <w:r w:rsidRPr="00384A2C">
        <w:rPr>
          <w:b/>
          <w:sz w:val="22"/>
          <w:szCs w:val="22"/>
        </w:rPr>
        <w:t>75711 „Alternativní sociální služby“</w:t>
      </w:r>
      <w:r w:rsidRPr="006011D0">
        <w:rPr>
          <w:sz w:val="22"/>
          <w:szCs w:val="22"/>
        </w:rPr>
        <w:t xml:space="preserve"> </w:t>
      </w:r>
      <w:r>
        <w:rPr>
          <w:sz w:val="22"/>
          <w:szCs w:val="22"/>
        </w:rPr>
        <w:t xml:space="preserve">v aktivitě 3.1 a) zahrnuje </w:t>
      </w:r>
      <w:r w:rsidR="00FA791B">
        <w:rPr>
          <w:sz w:val="22"/>
          <w:szCs w:val="22"/>
        </w:rPr>
        <w:br/>
      </w:r>
      <w:r>
        <w:rPr>
          <w:sz w:val="22"/>
          <w:szCs w:val="22"/>
        </w:rPr>
        <w:t>k  1. 10. 2015 49 alternativních sociálních služeb. Ve stavu závazku ze schválených projektů je 93 alternativních sociálních služeb), což představuje 120,78</w:t>
      </w:r>
      <w:r w:rsidR="00C94812">
        <w:rPr>
          <w:sz w:val="22"/>
          <w:szCs w:val="22"/>
        </w:rPr>
        <w:t xml:space="preserve"> </w:t>
      </w:r>
      <w:r>
        <w:rPr>
          <w:sz w:val="22"/>
          <w:szCs w:val="22"/>
        </w:rPr>
        <w:t xml:space="preserve">%. Ve srovnání s předchozím sledovaným obdobím </w:t>
      </w:r>
      <w:r w:rsidR="00C94812">
        <w:rPr>
          <w:sz w:val="22"/>
          <w:szCs w:val="22"/>
        </w:rPr>
        <w:t>vz</w:t>
      </w:r>
      <w:r>
        <w:rPr>
          <w:sz w:val="22"/>
          <w:szCs w:val="22"/>
        </w:rPr>
        <w:t>r</w:t>
      </w:r>
      <w:r w:rsidR="00C94812">
        <w:rPr>
          <w:sz w:val="22"/>
          <w:szCs w:val="22"/>
        </w:rPr>
        <w:t>o</w:t>
      </w:r>
      <w:r>
        <w:rPr>
          <w:sz w:val="22"/>
          <w:szCs w:val="22"/>
        </w:rPr>
        <w:t>st</w:t>
      </w:r>
      <w:r w:rsidR="00C94812">
        <w:rPr>
          <w:sz w:val="22"/>
          <w:szCs w:val="22"/>
        </w:rPr>
        <w:t>la</w:t>
      </w:r>
      <w:r>
        <w:rPr>
          <w:sz w:val="22"/>
          <w:szCs w:val="22"/>
        </w:rPr>
        <w:t xml:space="preserve"> dosažen</w:t>
      </w:r>
      <w:r w:rsidR="00C94812">
        <w:rPr>
          <w:sz w:val="22"/>
          <w:szCs w:val="22"/>
        </w:rPr>
        <w:t>á</w:t>
      </w:r>
      <w:r>
        <w:rPr>
          <w:sz w:val="22"/>
          <w:szCs w:val="22"/>
        </w:rPr>
        <w:t xml:space="preserve"> hodnot</w:t>
      </w:r>
      <w:r w:rsidR="00C94812">
        <w:rPr>
          <w:sz w:val="22"/>
          <w:szCs w:val="22"/>
        </w:rPr>
        <w:t>a</w:t>
      </w:r>
      <w:r>
        <w:rPr>
          <w:sz w:val="22"/>
          <w:szCs w:val="22"/>
        </w:rPr>
        <w:t xml:space="preserve"> o 18 projektů. MPSV proto </w:t>
      </w:r>
      <w:r w:rsidRPr="002B1255">
        <w:rPr>
          <w:sz w:val="22"/>
          <w:szCs w:val="22"/>
        </w:rPr>
        <w:t xml:space="preserve">predikuje </w:t>
      </w:r>
      <w:r w:rsidR="003715C2" w:rsidRPr="002B1255">
        <w:rPr>
          <w:sz w:val="22"/>
          <w:szCs w:val="22"/>
        </w:rPr>
        <w:t>překročení cílové hodnoty</w:t>
      </w:r>
      <w:r w:rsidRPr="002B1255">
        <w:rPr>
          <w:sz w:val="22"/>
          <w:szCs w:val="22"/>
        </w:rPr>
        <w:t xml:space="preserve"> tohoto</w:t>
      </w:r>
      <w:r>
        <w:rPr>
          <w:sz w:val="22"/>
          <w:szCs w:val="22"/>
        </w:rPr>
        <w:t xml:space="preserve"> indikátoru.</w:t>
      </w:r>
    </w:p>
    <w:p w:rsidR="00D636EA" w:rsidRDefault="00D636EA" w:rsidP="007D66D0">
      <w:pPr>
        <w:ind w:left="1797"/>
        <w:rPr>
          <w:sz w:val="22"/>
          <w:szCs w:val="22"/>
        </w:rPr>
      </w:pPr>
    </w:p>
    <w:p w:rsidR="00961B06" w:rsidRDefault="00C94812" w:rsidP="007D66D0">
      <w:pPr>
        <w:jc w:val="both"/>
        <w:rPr>
          <w:color w:val="FF0000"/>
        </w:rPr>
      </w:pPr>
      <w:r>
        <w:rPr>
          <w:sz w:val="22"/>
          <w:szCs w:val="22"/>
        </w:rPr>
        <w:t xml:space="preserve">Hodnota </w:t>
      </w:r>
      <w:r w:rsidR="00D636EA">
        <w:rPr>
          <w:sz w:val="22"/>
          <w:szCs w:val="22"/>
        </w:rPr>
        <w:t xml:space="preserve">indikátoru </w:t>
      </w:r>
      <w:r w:rsidR="00D636EA" w:rsidRPr="008426EF">
        <w:rPr>
          <w:b/>
          <w:sz w:val="22"/>
          <w:szCs w:val="22"/>
        </w:rPr>
        <w:t xml:space="preserve">75712 </w:t>
      </w:r>
      <w:r w:rsidR="00AE1806">
        <w:rPr>
          <w:b/>
          <w:sz w:val="22"/>
          <w:szCs w:val="22"/>
        </w:rPr>
        <w:t>„</w:t>
      </w:r>
      <w:r w:rsidR="00D636EA" w:rsidRPr="008426EF">
        <w:rPr>
          <w:b/>
          <w:sz w:val="22"/>
          <w:szCs w:val="22"/>
        </w:rPr>
        <w:t>Počet nových sociálních služeb a aktivit“</w:t>
      </w:r>
      <w:r w:rsidR="00D636EA">
        <w:rPr>
          <w:sz w:val="22"/>
          <w:szCs w:val="22"/>
        </w:rPr>
        <w:t>, který je vázán na aktivitu 3.1 b)</w:t>
      </w:r>
      <w:r>
        <w:rPr>
          <w:sz w:val="22"/>
          <w:szCs w:val="22"/>
        </w:rPr>
        <w:t>,</w:t>
      </w:r>
      <w:r w:rsidR="00D636EA">
        <w:rPr>
          <w:sz w:val="22"/>
          <w:szCs w:val="22"/>
        </w:rPr>
        <w:t xml:space="preserve"> </w:t>
      </w:r>
      <w:r>
        <w:rPr>
          <w:sz w:val="22"/>
          <w:szCs w:val="22"/>
        </w:rPr>
        <w:t>se z</w:t>
      </w:r>
      <w:r w:rsidR="00D636EA">
        <w:rPr>
          <w:sz w:val="22"/>
          <w:szCs w:val="22"/>
        </w:rPr>
        <w:t>výš</w:t>
      </w:r>
      <w:r>
        <w:rPr>
          <w:sz w:val="22"/>
          <w:szCs w:val="22"/>
        </w:rPr>
        <w:t>ila</w:t>
      </w:r>
      <w:r w:rsidR="00D636EA">
        <w:rPr>
          <w:sz w:val="22"/>
          <w:szCs w:val="22"/>
        </w:rPr>
        <w:t xml:space="preserve"> ve srovnání s předchozím sledova</w:t>
      </w:r>
      <w:r w:rsidR="00F64D7E">
        <w:rPr>
          <w:sz w:val="22"/>
          <w:szCs w:val="22"/>
        </w:rPr>
        <w:t>ným</w:t>
      </w:r>
      <w:r w:rsidR="00D636EA">
        <w:rPr>
          <w:sz w:val="22"/>
          <w:szCs w:val="22"/>
        </w:rPr>
        <w:t xml:space="preserve"> obdobím o 10 nových sociálních služeb. Ve stavu závazku se nachází 126 sociálních služeb, což představuje 88,73</w:t>
      </w:r>
      <w:r>
        <w:rPr>
          <w:sz w:val="22"/>
          <w:szCs w:val="22"/>
        </w:rPr>
        <w:t xml:space="preserve"> </w:t>
      </w:r>
      <w:r w:rsidR="00D636EA">
        <w:rPr>
          <w:sz w:val="22"/>
          <w:szCs w:val="22"/>
        </w:rPr>
        <w:t xml:space="preserve">%. </w:t>
      </w:r>
      <w:r w:rsidR="00961B06" w:rsidRPr="00961B06">
        <w:rPr>
          <w:color w:val="FF0000"/>
        </w:rPr>
        <w:t xml:space="preserve"> </w:t>
      </w:r>
      <w:r w:rsidR="00961B06" w:rsidRPr="007D66D0">
        <w:rPr>
          <w:sz w:val="22"/>
          <w:szCs w:val="22"/>
        </w:rPr>
        <w:t>Ve vazbě na odstoupení příjemců od realizace projektů v roce 2014 došlo ke snížení dosažené hodnoty tohoto indikátoru. Častým důvodem pro neúspěšné ukončení realizace projektů bylo prodlužování administrace projektů v důsledku problémů se stavebním řízením a výběrovým řízením</w:t>
      </w:r>
      <w:r w:rsidR="00757CE4" w:rsidRPr="007D66D0">
        <w:rPr>
          <w:sz w:val="22"/>
          <w:szCs w:val="22"/>
        </w:rPr>
        <w:t>.</w:t>
      </w:r>
      <w:r w:rsidR="00961B06" w:rsidRPr="007D66D0">
        <w:rPr>
          <w:sz w:val="22"/>
          <w:szCs w:val="22"/>
        </w:rPr>
        <w:t xml:space="preserve"> MPSV pracovalo s jednotlivými příjemci a poskytovalo jim podporu formou individuálních konzultací tak, aby nedocházelo ke kritickým situacím, jež by vyžadovaly ukončení realizace projektů. I přes tato opatření ovšem nebude naplněna původně stan</w:t>
      </w:r>
      <w:r w:rsidR="00BE0FD0" w:rsidRPr="007D66D0">
        <w:rPr>
          <w:sz w:val="22"/>
          <w:szCs w:val="22"/>
        </w:rPr>
        <w:t>ovená cílová hodnota indikátoru, která činí 142.</w:t>
      </w:r>
    </w:p>
    <w:p w:rsidR="00D636EA" w:rsidRDefault="00D636EA" w:rsidP="007D66D0">
      <w:pPr>
        <w:jc w:val="both"/>
        <w:rPr>
          <w:sz w:val="22"/>
          <w:szCs w:val="22"/>
        </w:rPr>
      </w:pPr>
      <w:r>
        <w:rPr>
          <w:sz w:val="22"/>
          <w:szCs w:val="22"/>
        </w:rPr>
        <w:t xml:space="preserve">Cílová hodnota indikátoru </w:t>
      </w:r>
      <w:r w:rsidRPr="00971042">
        <w:rPr>
          <w:b/>
          <w:sz w:val="22"/>
          <w:szCs w:val="22"/>
        </w:rPr>
        <w:t xml:space="preserve">75603 </w:t>
      </w:r>
      <w:r w:rsidR="00AE1806">
        <w:rPr>
          <w:b/>
          <w:sz w:val="22"/>
          <w:szCs w:val="22"/>
        </w:rPr>
        <w:t>„</w:t>
      </w:r>
      <w:r w:rsidRPr="00971042">
        <w:rPr>
          <w:b/>
          <w:sz w:val="22"/>
          <w:szCs w:val="22"/>
        </w:rPr>
        <w:t>Účelnost podpory“</w:t>
      </w:r>
      <w:r>
        <w:rPr>
          <w:sz w:val="22"/>
          <w:szCs w:val="22"/>
        </w:rPr>
        <w:t xml:space="preserve"> v aktivitě 3.1 c) je 60 % a dosažená hodnota činí 73,5 %, dochází tedy k </w:t>
      </w:r>
      <w:r w:rsidR="003715C2" w:rsidRPr="002B1255">
        <w:rPr>
          <w:sz w:val="22"/>
          <w:szCs w:val="22"/>
        </w:rPr>
        <w:t>překročení cílové hodnoty</w:t>
      </w:r>
      <w:r w:rsidRPr="002B1255">
        <w:rPr>
          <w:sz w:val="22"/>
          <w:szCs w:val="22"/>
        </w:rPr>
        <w:t xml:space="preserve"> indikátoru.</w:t>
      </w:r>
      <w:r>
        <w:rPr>
          <w:sz w:val="22"/>
          <w:szCs w:val="22"/>
        </w:rPr>
        <w:t xml:space="preserve"> </w:t>
      </w:r>
    </w:p>
    <w:p w:rsidR="00363E2E" w:rsidRDefault="00363E2E" w:rsidP="007D66D0">
      <w:pPr>
        <w:jc w:val="both"/>
        <w:rPr>
          <w:sz w:val="22"/>
          <w:szCs w:val="22"/>
        </w:rPr>
      </w:pPr>
    </w:p>
    <w:p w:rsidR="00D636EA" w:rsidRDefault="00D636EA" w:rsidP="007D66D0">
      <w:pPr>
        <w:jc w:val="both"/>
        <w:rPr>
          <w:sz w:val="22"/>
          <w:szCs w:val="22"/>
        </w:rPr>
      </w:pPr>
      <w:r>
        <w:rPr>
          <w:sz w:val="22"/>
          <w:szCs w:val="22"/>
        </w:rPr>
        <w:t>V aktivitě 3.1 a</w:t>
      </w:r>
      <w:r w:rsidRPr="002242CA">
        <w:rPr>
          <w:sz w:val="22"/>
          <w:szCs w:val="22"/>
        </w:rPr>
        <w:t xml:space="preserve">) </w:t>
      </w:r>
      <w:r>
        <w:rPr>
          <w:sz w:val="22"/>
          <w:szCs w:val="22"/>
        </w:rPr>
        <w:t xml:space="preserve">bude naplněna cílová hodnota monitorovacího indikátoru </w:t>
      </w:r>
      <w:r w:rsidRPr="00AE1806">
        <w:rPr>
          <w:b/>
          <w:sz w:val="22"/>
          <w:szCs w:val="22"/>
        </w:rPr>
        <w:t>75713</w:t>
      </w:r>
      <w:r w:rsidR="00AE1806">
        <w:rPr>
          <w:b/>
          <w:sz w:val="22"/>
          <w:szCs w:val="22"/>
        </w:rPr>
        <w:t xml:space="preserve"> </w:t>
      </w:r>
      <w:r w:rsidR="00AE1806" w:rsidRPr="00AE1806">
        <w:rPr>
          <w:b/>
          <w:sz w:val="22"/>
          <w:szCs w:val="22"/>
        </w:rPr>
        <w:t>„Zařízení realizující transformaci“</w:t>
      </w:r>
      <w:r w:rsidRPr="00AE1806">
        <w:rPr>
          <w:sz w:val="22"/>
          <w:szCs w:val="22"/>
        </w:rPr>
        <w:t>,</w:t>
      </w:r>
      <w:r>
        <w:rPr>
          <w:sz w:val="22"/>
          <w:szCs w:val="22"/>
        </w:rPr>
        <w:t xml:space="preserve"> kde dosahují projekty s vydaným Rozhodnutím k 1. 10. 2015 94,72</w:t>
      </w:r>
      <w:r w:rsidR="00925A1B">
        <w:rPr>
          <w:sz w:val="22"/>
          <w:szCs w:val="22"/>
        </w:rPr>
        <w:t xml:space="preserve"> </w:t>
      </w:r>
      <w:r w:rsidR="003715C2">
        <w:rPr>
          <w:sz w:val="22"/>
          <w:szCs w:val="22"/>
        </w:rPr>
        <w:t xml:space="preserve">%.  Dále dojde k překročení cílové hodnoty </w:t>
      </w:r>
      <w:r>
        <w:rPr>
          <w:sz w:val="22"/>
          <w:szCs w:val="22"/>
        </w:rPr>
        <w:t>indikátor</w:t>
      </w:r>
      <w:r w:rsidR="003715C2">
        <w:rPr>
          <w:sz w:val="22"/>
          <w:szCs w:val="22"/>
        </w:rPr>
        <w:t>u</w:t>
      </w:r>
      <w:r>
        <w:rPr>
          <w:sz w:val="22"/>
          <w:szCs w:val="22"/>
        </w:rPr>
        <w:t xml:space="preserve"> </w:t>
      </w:r>
      <w:r w:rsidRPr="00D85745">
        <w:rPr>
          <w:b/>
          <w:sz w:val="22"/>
          <w:szCs w:val="22"/>
        </w:rPr>
        <w:t>75711</w:t>
      </w:r>
      <w:r w:rsidR="00D85745">
        <w:rPr>
          <w:sz w:val="22"/>
          <w:szCs w:val="22"/>
        </w:rPr>
        <w:t xml:space="preserve"> </w:t>
      </w:r>
      <w:r w:rsidR="00D85745" w:rsidRPr="00D85745">
        <w:rPr>
          <w:b/>
          <w:sz w:val="22"/>
          <w:szCs w:val="22"/>
        </w:rPr>
        <w:t>„Alternativní sociální služby“</w:t>
      </w:r>
      <w:r w:rsidRPr="00D85745">
        <w:rPr>
          <w:sz w:val="22"/>
          <w:szCs w:val="22"/>
        </w:rPr>
        <w:t>,</w:t>
      </w:r>
      <w:r>
        <w:rPr>
          <w:sz w:val="22"/>
          <w:szCs w:val="22"/>
        </w:rPr>
        <w:t xml:space="preserve"> kde činí závazek ze schválených projektů 120,78</w:t>
      </w:r>
      <w:r w:rsidR="00925A1B">
        <w:rPr>
          <w:sz w:val="22"/>
          <w:szCs w:val="22"/>
        </w:rPr>
        <w:t xml:space="preserve"> </w:t>
      </w:r>
      <w:r>
        <w:rPr>
          <w:sz w:val="22"/>
          <w:szCs w:val="22"/>
        </w:rPr>
        <w:t xml:space="preserve">%. Aktuálně dosahují projekty s vydaným Rozhodnutím </w:t>
      </w:r>
      <w:r w:rsidR="00925A1B">
        <w:rPr>
          <w:sz w:val="22"/>
          <w:szCs w:val="22"/>
        </w:rPr>
        <w:t>plnění</w:t>
      </w:r>
      <w:r>
        <w:rPr>
          <w:sz w:val="22"/>
          <w:szCs w:val="22"/>
        </w:rPr>
        <w:t xml:space="preserve"> indikátoru </w:t>
      </w:r>
      <w:r w:rsidR="00925A1B">
        <w:rPr>
          <w:sz w:val="22"/>
          <w:szCs w:val="22"/>
        </w:rPr>
        <w:t>na</w:t>
      </w:r>
      <w:r>
        <w:rPr>
          <w:sz w:val="22"/>
          <w:szCs w:val="22"/>
        </w:rPr>
        <w:t xml:space="preserve"> 94,72</w:t>
      </w:r>
      <w:r w:rsidR="00925A1B">
        <w:rPr>
          <w:sz w:val="22"/>
          <w:szCs w:val="22"/>
        </w:rPr>
        <w:t xml:space="preserve"> </w:t>
      </w:r>
      <w:r>
        <w:rPr>
          <w:sz w:val="22"/>
          <w:szCs w:val="22"/>
        </w:rPr>
        <w:t>%.</w:t>
      </w:r>
    </w:p>
    <w:p w:rsidR="002B1255" w:rsidRDefault="002B1255" w:rsidP="007D66D0">
      <w:pPr>
        <w:jc w:val="both"/>
        <w:rPr>
          <w:sz w:val="22"/>
          <w:szCs w:val="22"/>
        </w:rPr>
      </w:pPr>
    </w:p>
    <w:p w:rsidR="00D636EA" w:rsidRDefault="00D636EA" w:rsidP="007D66D0">
      <w:pPr>
        <w:jc w:val="both"/>
        <w:rPr>
          <w:sz w:val="22"/>
          <w:szCs w:val="22"/>
        </w:rPr>
      </w:pPr>
      <w:r>
        <w:rPr>
          <w:sz w:val="22"/>
          <w:szCs w:val="22"/>
        </w:rPr>
        <w:t xml:space="preserve">U monitorovacího indikátoru </w:t>
      </w:r>
      <w:r w:rsidRPr="00D85745">
        <w:rPr>
          <w:b/>
          <w:sz w:val="22"/>
          <w:szCs w:val="22"/>
        </w:rPr>
        <w:t>75714</w:t>
      </w:r>
      <w:r>
        <w:rPr>
          <w:sz w:val="22"/>
          <w:szCs w:val="22"/>
        </w:rPr>
        <w:t xml:space="preserve"> </w:t>
      </w:r>
      <w:r w:rsidR="00D85745" w:rsidRPr="00D85745">
        <w:rPr>
          <w:b/>
          <w:sz w:val="22"/>
          <w:szCs w:val="22"/>
        </w:rPr>
        <w:t>„Počet podpořených organizací“</w:t>
      </w:r>
      <w:r w:rsidR="00D85745">
        <w:rPr>
          <w:sz w:val="22"/>
          <w:szCs w:val="22"/>
        </w:rPr>
        <w:t xml:space="preserve"> </w:t>
      </w:r>
      <w:r>
        <w:rPr>
          <w:sz w:val="22"/>
          <w:szCs w:val="22"/>
        </w:rPr>
        <w:t xml:space="preserve">aktivitě 3.1 b) je </w:t>
      </w:r>
      <w:r w:rsidR="00D85745">
        <w:rPr>
          <w:sz w:val="22"/>
          <w:szCs w:val="22"/>
        </w:rPr>
        <w:t>hodnota stavu</w:t>
      </w:r>
      <w:r>
        <w:rPr>
          <w:sz w:val="22"/>
          <w:szCs w:val="22"/>
        </w:rPr>
        <w:t xml:space="preserve"> závazku ze schválených projektů </w:t>
      </w:r>
      <w:r w:rsidR="003715C2">
        <w:rPr>
          <w:sz w:val="22"/>
          <w:szCs w:val="22"/>
        </w:rPr>
        <w:t>96,67 %.</w:t>
      </w:r>
    </w:p>
    <w:p w:rsidR="002B1255" w:rsidRDefault="002B1255" w:rsidP="007D66D0">
      <w:pPr>
        <w:jc w:val="both"/>
        <w:rPr>
          <w:sz w:val="22"/>
          <w:szCs w:val="22"/>
        </w:rPr>
      </w:pPr>
    </w:p>
    <w:p w:rsidR="007D66D0" w:rsidRDefault="00D636EA" w:rsidP="007D66D0">
      <w:pPr>
        <w:jc w:val="both"/>
        <w:rPr>
          <w:sz w:val="22"/>
          <w:szCs w:val="22"/>
        </w:rPr>
      </w:pPr>
      <w:r>
        <w:rPr>
          <w:sz w:val="22"/>
          <w:szCs w:val="22"/>
        </w:rPr>
        <w:t xml:space="preserve">U indikátoru </w:t>
      </w:r>
      <w:r w:rsidR="00D85745" w:rsidRPr="00D85745">
        <w:rPr>
          <w:b/>
          <w:sz w:val="22"/>
          <w:szCs w:val="22"/>
        </w:rPr>
        <w:t>75802 „</w:t>
      </w:r>
      <w:r w:rsidRPr="00D85745">
        <w:rPr>
          <w:b/>
          <w:sz w:val="22"/>
          <w:szCs w:val="22"/>
        </w:rPr>
        <w:t>Počtu podpořených subjektů</w:t>
      </w:r>
      <w:r w:rsidR="00D85745">
        <w:rPr>
          <w:sz w:val="22"/>
          <w:szCs w:val="22"/>
        </w:rPr>
        <w:t xml:space="preserve">“ </w:t>
      </w:r>
      <w:r w:rsidR="00925A1B">
        <w:rPr>
          <w:sz w:val="22"/>
          <w:szCs w:val="22"/>
        </w:rPr>
        <w:t>v</w:t>
      </w:r>
      <w:r>
        <w:rPr>
          <w:sz w:val="22"/>
          <w:szCs w:val="22"/>
        </w:rPr>
        <w:t xml:space="preserve"> aktivit</w:t>
      </w:r>
      <w:r w:rsidR="00925A1B">
        <w:rPr>
          <w:sz w:val="22"/>
          <w:szCs w:val="22"/>
        </w:rPr>
        <w:t>ě</w:t>
      </w:r>
      <w:r>
        <w:rPr>
          <w:sz w:val="22"/>
          <w:szCs w:val="22"/>
        </w:rPr>
        <w:t xml:space="preserve"> 3.1 c) je ve stavu závazku 101,92</w:t>
      </w:r>
      <w:r w:rsidR="00925A1B">
        <w:rPr>
          <w:sz w:val="22"/>
          <w:szCs w:val="22"/>
        </w:rPr>
        <w:t xml:space="preserve"> </w:t>
      </w:r>
      <w:r>
        <w:rPr>
          <w:sz w:val="22"/>
          <w:szCs w:val="22"/>
        </w:rPr>
        <w:t>% projektů a projekty s vydaným Rozhodnutím dosahují 90,87</w:t>
      </w:r>
      <w:r w:rsidR="00925A1B">
        <w:rPr>
          <w:sz w:val="22"/>
          <w:szCs w:val="22"/>
        </w:rPr>
        <w:t xml:space="preserve"> </w:t>
      </w:r>
      <w:r>
        <w:rPr>
          <w:sz w:val="22"/>
          <w:szCs w:val="22"/>
        </w:rPr>
        <w:t xml:space="preserve">%. </w:t>
      </w:r>
    </w:p>
    <w:p w:rsidR="00D636EA" w:rsidRDefault="00D85745" w:rsidP="007D66D0">
      <w:pPr>
        <w:jc w:val="both"/>
        <w:rPr>
          <w:sz w:val="22"/>
          <w:szCs w:val="22"/>
        </w:rPr>
      </w:pPr>
      <w:r>
        <w:rPr>
          <w:sz w:val="22"/>
          <w:szCs w:val="22"/>
        </w:rPr>
        <w:lastRenderedPageBreak/>
        <w:t>MPSV o</w:t>
      </w:r>
      <w:r w:rsidR="00D636EA">
        <w:rPr>
          <w:sz w:val="22"/>
          <w:szCs w:val="22"/>
        </w:rPr>
        <w:t xml:space="preserve">čekává naplnění tohoto indikátoru. U indikátoru </w:t>
      </w:r>
      <w:r w:rsidR="00D636EA" w:rsidRPr="00D85745">
        <w:rPr>
          <w:b/>
          <w:sz w:val="22"/>
          <w:szCs w:val="22"/>
        </w:rPr>
        <w:t>účelnosti podpory 75603</w:t>
      </w:r>
      <w:r w:rsidR="00925A1B">
        <w:rPr>
          <w:b/>
          <w:sz w:val="22"/>
          <w:szCs w:val="22"/>
        </w:rPr>
        <w:t xml:space="preserve"> v</w:t>
      </w:r>
      <w:r w:rsidR="00D636EA" w:rsidRPr="00D85745">
        <w:rPr>
          <w:b/>
          <w:sz w:val="22"/>
          <w:szCs w:val="22"/>
        </w:rPr>
        <w:t xml:space="preserve"> </w:t>
      </w:r>
      <w:r w:rsidR="00D636EA">
        <w:rPr>
          <w:sz w:val="22"/>
          <w:szCs w:val="22"/>
        </w:rPr>
        <w:t>aktivit</w:t>
      </w:r>
      <w:r w:rsidR="00925A1B">
        <w:rPr>
          <w:sz w:val="22"/>
          <w:szCs w:val="22"/>
        </w:rPr>
        <w:t>ě</w:t>
      </w:r>
      <w:r w:rsidR="00D636EA">
        <w:rPr>
          <w:sz w:val="22"/>
          <w:szCs w:val="22"/>
        </w:rPr>
        <w:t xml:space="preserve"> 3.1 c) je hodnota závazku ze schválených projektů 122,5</w:t>
      </w:r>
      <w:r w:rsidR="00925A1B">
        <w:rPr>
          <w:sz w:val="22"/>
          <w:szCs w:val="22"/>
        </w:rPr>
        <w:t xml:space="preserve"> </w:t>
      </w:r>
      <w:r w:rsidR="00D636EA">
        <w:rPr>
          <w:sz w:val="22"/>
          <w:szCs w:val="22"/>
        </w:rPr>
        <w:t xml:space="preserve">%. </w:t>
      </w:r>
    </w:p>
    <w:p w:rsidR="008E1F4C" w:rsidRDefault="008E1F4C" w:rsidP="00E858A5">
      <w:pPr>
        <w:jc w:val="both"/>
        <w:rPr>
          <w:b/>
          <w:sz w:val="22"/>
          <w:szCs w:val="22"/>
        </w:rPr>
      </w:pPr>
    </w:p>
    <w:p w:rsidR="002B1255" w:rsidRDefault="002B1255" w:rsidP="00E858A5">
      <w:pPr>
        <w:jc w:val="both"/>
        <w:rPr>
          <w:b/>
          <w:sz w:val="22"/>
          <w:szCs w:val="22"/>
        </w:rPr>
      </w:pPr>
    </w:p>
    <w:p w:rsidR="00052D5E" w:rsidRDefault="00052D5E" w:rsidP="00E858A5">
      <w:pPr>
        <w:jc w:val="both"/>
        <w:rPr>
          <w:b/>
          <w:sz w:val="22"/>
          <w:szCs w:val="22"/>
        </w:rPr>
      </w:pPr>
      <w:r w:rsidRPr="00075AE1">
        <w:rPr>
          <w:b/>
          <w:sz w:val="22"/>
          <w:szCs w:val="22"/>
        </w:rPr>
        <w:t>Oblast intervence 3</w:t>
      </w:r>
      <w:r>
        <w:rPr>
          <w:b/>
          <w:sz w:val="22"/>
          <w:szCs w:val="22"/>
        </w:rPr>
        <w:t>.2</w:t>
      </w:r>
    </w:p>
    <w:p w:rsidR="00D00C77" w:rsidRPr="00585853" w:rsidRDefault="00D00C77" w:rsidP="00D00C77">
      <w:pPr>
        <w:jc w:val="both"/>
        <w:rPr>
          <w:color w:val="FF0000"/>
          <w:sz w:val="22"/>
          <w:szCs w:val="22"/>
        </w:rPr>
      </w:pPr>
    </w:p>
    <w:p w:rsidR="006C5A1C" w:rsidRPr="006C5A1C" w:rsidRDefault="006C5A1C" w:rsidP="006C5A1C">
      <w:pPr>
        <w:jc w:val="both"/>
        <w:rPr>
          <w:b/>
          <w:sz w:val="22"/>
          <w:szCs w:val="22"/>
        </w:rPr>
      </w:pPr>
      <w:r w:rsidRPr="006C5A1C">
        <w:rPr>
          <w:b/>
          <w:sz w:val="22"/>
          <w:szCs w:val="22"/>
        </w:rPr>
        <w:t>Indikátor 80721 Zvýšení vybavenosti specializovaných pracovišť</w:t>
      </w:r>
    </w:p>
    <w:p w:rsidR="001E3794" w:rsidRPr="001E3794" w:rsidRDefault="001E3794" w:rsidP="001E3794">
      <w:pPr>
        <w:jc w:val="both"/>
        <w:rPr>
          <w:sz w:val="22"/>
          <w:szCs w:val="22"/>
        </w:rPr>
      </w:pPr>
      <w:r w:rsidRPr="001E3794">
        <w:rPr>
          <w:sz w:val="22"/>
          <w:szCs w:val="22"/>
        </w:rPr>
        <w:t>Hodnota indikátoru činí 68,14 % z cílové hodnoty 60% vybavenosti (je dosaženo 113% plnění). V případě, že budou úspěšně dokončeny veškeré projekty, bude dosažená hodnota ke konci programového období 60 %</w:t>
      </w:r>
      <w:r w:rsidR="00925A1B">
        <w:rPr>
          <w:sz w:val="22"/>
          <w:szCs w:val="22"/>
        </w:rPr>
        <w:t xml:space="preserve"> a</w:t>
      </w:r>
      <w:r w:rsidRPr="001E3794">
        <w:rPr>
          <w:sz w:val="22"/>
          <w:szCs w:val="22"/>
        </w:rPr>
        <w:t xml:space="preserve"> bude zajištěno 100% plnění indikátoru (pokles hodnoty je způsoben vyšším podílem obnovovaných zdravotnických prostředků na úkor nově pořizovaných). V současné době se míra prostředků pod vydaným Rozhodnutím pohybuje na úrovni 158,80 %.</w:t>
      </w:r>
    </w:p>
    <w:p w:rsidR="006C5A1C" w:rsidRPr="001E3794" w:rsidRDefault="006C5A1C" w:rsidP="006C5A1C">
      <w:pPr>
        <w:jc w:val="both"/>
        <w:rPr>
          <w:sz w:val="22"/>
          <w:szCs w:val="22"/>
        </w:rPr>
      </w:pPr>
    </w:p>
    <w:p w:rsidR="006C5A1C" w:rsidRPr="006C5A1C" w:rsidRDefault="006C5A1C" w:rsidP="00C57395">
      <w:pPr>
        <w:jc w:val="both"/>
        <w:rPr>
          <w:b/>
          <w:sz w:val="22"/>
          <w:szCs w:val="22"/>
        </w:rPr>
      </w:pPr>
      <w:r w:rsidRPr="006C5A1C">
        <w:rPr>
          <w:b/>
          <w:sz w:val="22"/>
          <w:szCs w:val="22"/>
        </w:rPr>
        <w:t xml:space="preserve">Indikátor 080712 Počet dostupných programů prevence pro obyvatele </w:t>
      </w:r>
    </w:p>
    <w:p w:rsidR="006C5A1C" w:rsidRPr="006C5A1C" w:rsidRDefault="006C5A1C" w:rsidP="00C57395">
      <w:pPr>
        <w:jc w:val="both"/>
        <w:rPr>
          <w:sz w:val="22"/>
          <w:szCs w:val="22"/>
        </w:rPr>
      </w:pPr>
      <w:r w:rsidRPr="006C5A1C">
        <w:rPr>
          <w:sz w:val="22"/>
          <w:szCs w:val="22"/>
        </w:rPr>
        <w:t>V současné době činí hodnota indikátoru 51 programů (je zavedeno 51 programů prevence z cílové hodnoty 45 programů</w:t>
      </w:r>
      <w:r w:rsidR="00925A1B">
        <w:rPr>
          <w:sz w:val="22"/>
          <w:szCs w:val="22"/>
        </w:rPr>
        <w:t xml:space="preserve"> a</w:t>
      </w:r>
      <w:r w:rsidR="00925A1B" w:rsidRPr="006C5A1C">
        <w:rPr>
          <w:sz w:val="22"/>
          <w:szCs w:val="22"/>
        </w:rPr>
        <w:t xml:space="preserve"> </w:t>
      </w:r>
      <w:r w:rsidRPr="006C5A1C">
        <w:rPr>
          <w:sz w:val="22"/>
          <w:szCs w:val="22"/>
        </w:rPr>
        <w:t>je plněna hodnota indikátoru na 113</w:t>
      </w:r>
      <w:r w:rsidR="00925A1B">
        <w:rPr>
          <w:sz w:val="22"/>
          <w:szCs w:val="22"/>
        </w:rPr>
        <w:t xml:space="preserve"> </w:t>
      </w:r>
      <w:r w:rsidRPr="006C5A1C">
        <w:rPr>
          <w:sz w:val="22"/>
          <w:szCs w:val="22"/>
        </w:rPr>
        <w:t>%. V aktivit</w:t>
      </w:r>
      <w:r w:rsidR="00925A1B">
        <w:rPr>
          <w:sz w:val="22"/>
          <w:szCs w:val="22"/>
        </w:rPr>
        <w:t>ě</w:t>
      </w:r>
      <w:r w:rsidRPr="006C5A1C">
        <w:rPr>
          <w:sz w:val="22"/>
          <w:szCs w:val="22"/>
        </w:rPr>
        <w:t xml:space="preserve"> 3.2b byl zaznamenáván postupný růst absorpční kapacity v oblasti prevence zdravotních rizik a epidemiologie, který vyústil ve větší počet vyhlašovaných výzev. Výsledkem každého zrealizovaného projektu je zpravidla jeden program prevence a v současné době je evidován závazek ze schválených projektů ve výši 55 programů prevence, cílová hodnota indikátoru </w:t>
      </w:r>
      <w:r w:rsidR="00C57395">
        <w:rPr>
          <w:sz w:val="22"/>
          <w:szCs w:val="22"/>
        </w:rPr>
        <w:t xml:space="preserve">bude tedy </w:t>
      </w:r>
      <w:r w:rsidRPr="006C5A1C">
        <w:rPr>
          <w:sz w:val="22"/>
          <w:szCs w:val="22"/>
        </w:rPr>
        <w:t>ke konci programového období vyšší a bude se pohybovat na úrovni 122,22</w:t>
      </w:r>
      <w:r w:rsidR="00C57395">
        <w:rPr>
          <w:sz w:val="22"/>
          <w:szCs w:val="22"/>
        </w:rPr>
        <w:t xml:space="preserve"> </w:t>
      </w:r>
      <w:r w:rsidRPr="006C5A1C">
        <w:rPr>
          <w:sz w:val="22"/>
          <w:szCs w:val="22"/>
        </w:rPr>
        <w:t>%.  V současné době se míra prostředků pod vydaným Rozhodnutím pohybuje na úrovni 48,76 %.</w:t>
      </w:r>
    </w:p>
    <w:p w:rsidR="006C5A1C" w:rsidRPr="005C6F01" w:rsidRDefault="006C5A1C" w:rsidP="006C5A1C">
      <w:pPr>
        <w:jc w:val="both"/>
        <w:rPr>
          <w:color w:val="FF0000"/>
          <w:sz w:val="22"/>
          <w:szCs w:val="22"/>
        </w:rPr>
      </w:pPr>
    </w:p>
    <w:p w:rsidR="006C5A1C" w:rsidRPr="006C5A1C" w:rsidRDefault="006C5A1C" w:rsidP="006C5A1C">
      <w:pPr>
        <w:jc w:val="both"/>
        <w:rPr>
          <w:b/>
          <w:sz w:val="22"/>
          <w:szCs w:val="22"/>
        </w:rPr>
      </w:pPr>
      <w:r w:rsidRPr="006C5A1C">
        <w:rPr>
          <w:b/>
          <w:sz w:val="22"/>
          <w:szCs w:val="22"/>
        </w:rPr>
        <w:t xml:space="preserve">Indikátor 080704 Počet programů zavádějících standardy a standardní postupy řízení kvality </w:t>
      </w:r>
      <w:r w:rsidR="000F7A39">
        <w:rPr>
          <w:b/>
          <w:sz w:val="22"/>
          <w:szCs w:val="22"/>
        </w:rPr>
        <w:br/>
      </w:r>
      <w:r w:rsidRPr="006C5A1C">
        <w:rPr>
          <w:b/>
          <w:sz w:val="22"/>
          <w:szCs w:val="22"/>
        </w:rPr>
        <w:t xml:space="preserve">a nákladovosti </w:t>
      </w:r>
    </w:p>
    <w:p w:rsidR="006C5A1C" w:rsidRPr="006C5A1C" w:rsidRDefault="006C5A1C" w:rsidP="006C5A1C">
      <w:pPr>
        <w:jc w:val="both"/>
        <w:rPr>
          <w:sz w:val="22"/>
          <w:szCs w:val="22"/>
        </w:rPr>
      </w:pPr>
      <w:r w:rsidRPr="006C5A1C">
        <w:rPr>
          <w:sz w:val="22"/>
          <w:szCs w:val="22"/>
        </w:rPr>
        <w:t xml:space="preserve">V současné době se plnění indikátoru pohybuje na úrovni 62,5 % (je zavedeno 15 programů prevence z cílové hodnoty 24 programů). Nyní evidujeme závazek ve výši dalších 14 programů </w:t>
      </w:r>
      <w:r w:rsidR="00C57395">
        <w:rPr>
          <w:sz w:val="22"/>
          <w:szCs w:val="22"/>
        </w:rPr>
        <w:t xml:space="preserve">v </w:t>
      </w:r>
      <w:r w:rsidRPr="006C5A1C">
        <w:rPr>
          <w:sz w:val="22"/>
          <w:szCs w:val="22"/>
        </w:rPr>
        <w:t>projekt</w:t>
      </w:r>
      <w:r w:rsidR="00C57395">
        <w:rPr>
          <w:sz w:val="22"/>
          <w:szCs w:val="22"/>
        </w:rPr>
        <w:t>ech</w:t>
      </w:r>
      <w:r w:rsidRPr="006C5A1C">
        <w:rPr>
          <w:sz w:val="22"/>
          <w:szCs w:val="22"/>
        </w:rPr>
        <w:t xml:space="preserve"> v realizaci. V případě, že budou úspěšně dokončeny veškeré projekty, bude cílová hodnota naplněna na 100</w:t>
      </w:r>
      <w:r w:rsidR="00C57395">
        <w:rPr>
          <w:sz w:val="22"/>
          <w:szCs w:val="22"/>
        </w:rPr>
        <w:t xml:space="preserve"> </w:t>
      </w:r>
      <w:r w:rsidRPr="006C5A1C">
        <w:rPr>
          <w:sz w:val="22"/>
          <w:szCs w:val="22"/>
        </w:rPr>
        <w:t>%. V současné době se míra prostředků pod vydaným Rozhodnutím pohybuje na úrovni 67,37 %.</w:t>
      </w:r>
    </w:p>
    <w:p w:rsidR="006C5A1C" w:rsidRPr="006C5A1C" w:rsidRDefault="006C5A1C" w:rsidP="006C5A1C">
      <w:pPr>
        <w:jc w:val="both"/>
        <w:rPr>
          <w:sz w:val="22"/>
          <w:szCs w:val="22"/>
          <w:highlight w:val="yellow"/>
        </w:rPr>
      </w:pPr>
    </w:p>
    <w:p w:rsidR="006C5A1C" w:rsidRPr="006C5A1C" w:rsidRDefault="006C5A1C" w:rsidP="006C5A1C">
      <w:pPr>
        <w:jc w:val="both"/>
        <w:rPr>
          <w:b/>
          <w:sz w:val="22"/>
          <w:szCs w:val="22"/>
          <w:u w:val="single"/>
        </w:rPr>
      </w:pPr>
      <w:r w:rsidRPr="006C5A1C">
        <w:rPr>
          <w:b/>
          <w:sz w:val="22"/>
          <w:szCs w:val="22"/>
          <w:u w:val="single"/>
        </w:rPr>
        <w:t>Indikátory výstupu</w:t>
      </w:r>
    </w:p>
    <w:p w:rsidR="006C5A1C" w:rsidRPr="006C5A1C" w:rsidRDefault="006C5A1C" w:rsidP="006C5A1C">
      <w:pPr>
        <w:jc w:val="both"/>
        <w:rPr>
          <w:sz w:val="22"/>
          <w:szCs w:val="22"/>
        </w:rPr>
      </w:pPr>
    </w:p>
    <w:p w:rsidR="006C5A1C" w:rsidRPr="006C5A1C" w:rsidRDefault="006C5A1C" w:rsidP="006C5A1C">
      <w:pPr>
        <w:jc w:val="both"/>
        <w:rPr>
          <w:b/>
          <w:sz w:val="22"/>
          <w:szCs w:val="22"/>
        </w:rPr>
      </w:pPr>
      <w:r w:rsidRPr="006C5A1C">
        <w:rPr>
          <w:b/>
          <w:sz w:val="22"/>
          <w:szCs w:val="22"/>
        </w:rPr>
        <w:t>Indikátor 080101 Počet projektů na podporu zdraví – pro prevenci zdravotních rizik</w:t>
      </w:r>
    </w:p>
    <w:p w:rsidR="006C5A1C" w:rsidRPr="006C5A1C" w:rsidRDefault="006C5A1C" w:rsidP="006C5A1C">
      <w:pPr>
        <w:jc w:val="both"/>
        <w:rPr>
          <w:sz w:val="22"/>
          <w:szCs w:val="22"/>
        </w:rPr>
      </w:pPr>
      <w:r w:rsidRPr="006C5A1C">
        <w:rPr>
          <w:sz w:val="22"/>
          <w:szCs w:val="22"/>
        </w:rPr>
        <w:t>V současné době se plnění hodnoty indikátoru pohybuje na úrovni 117 % (je zrealizováno 53 projektů zaměřených na prevenci zdravotních rizik z cílové hodnoty 45 projektů). V aktivit</w:t>
      </w:r>
      <w:r w:rsidR="00C57395">
        <w:rPr>
          <w:sz w:val="22"/>
          <w:szCs w:val="22"/>
        </w:rPr>
        <w:t>ě</w:t>
      </w:r>
      <w:r w:rsidRPr="006C5A1C">
        <w:rPr>
          <w:sz w:val="22"/>
          <w:szCs w:val="22"/>
        </w:rPr>
        <w:t xml:space="preserve"> 3.2b byl zaznamenáván postupný nárůst absorpční kapacity v oblasti prevence zdravotních rizik </w:t>
      </w:r>
      <w:r w:rsidR="000F7A39">
        <w:rPr>
          <w:sz w:val="22"/>
          <w:szCs w:val="22"/>
        </w:rPr>
        <w:br/>
      </w:r>
      <w:r w:rsidRPr="006C5A1C">
        <w:rPr>
          <w:sz w:val="22"/>
          <w:szCs w:val="22"/>
        </w:rPr>
        <w:t>a epidemiologie, který vyústil ve větší počet vyhlašovaných výzev, do kterých bylo předkládáno větší množství projektů s nižším finančním objemem. Vzhledem k tomu, že indikátor vyjadřuje počet zrealizovaných projektů na prevenci zdravotních rizik a v současné době je evidován závazek ze schválených projektů ve výši 1 projektu, bude cílová hodnota indikátoru činit 120</w:t>
      </w:r>
      <w:r w:rsidR="00C57395">
        <w:rPr>
          <w:sz w:val="22"/>
          <w:szCs w:val="22"/>
        </w:rPr>
        <w:t xml:space="preserve"> </w:t>
      </w:r>
      <w:r w:rsidRPr="006C5A1C">
        <w:rPr>
          <w:sz w:val="22"/>
          <w:szCs w:val="22"/>
        </w:rPr>
        <w:t>%. V současné době se míra prostředků pod vydaným Rozhodnutím pohybuje na úrovni 48,76 %.</w:t>
      </w:r>
    </w:p>
    <w:p w:rsidR="006C5A1C" w:rsidRPr="006C5A1C" w:rsidRDefault="006C5A1C" w:rsidP="006C5A1C">
      <w:pPr>
        <w:jc w:val="both"/>
        <w:rPr>
          <w:sz w:val="22"/>
          <w:szCs w:val="22"/>
          <w:highlight w:val="yellow"/>
        </w:rPr>
      </w:pPr>
    </w:p>
    <w:p w:rsidR="006C5A1C" w:rsidRPr="006C5A1C" w:rsidRDefault="006C5A1C" w:rsidP="006C5A1C">
      <w:pPr>
        <w:jc w:val="both"/>
        <w:rPr>
          <w:b/>
          <w:sz w:val="22"/>
          <w:szCs w:val="22"/>
        </w:rPr>
      </w:pPr>
      <w:r w:rsidRPr="006C5A1C">
        <w:rPr>
          <w:b/>
          <w:sz w:val="22"/>
          <w:szCs w:val="22"/>
        </w:rPr>
        <w:t>Indikátor 080102 Projekty na podporu zdraví – pro modernizaci přístrojového vybavení</w:t>
      </w:r>
    </w:p>
    <w:p w:rsidR="006C5A1C" w:rsidRPr="006C5A1C" w:rsidRDefault="006C5A1C" w:rsidP="006C5A1C">
      <w:pPr>
        <w:jc w:val="both"/>
        <w:rPr>
          <w:sz w:val="22"/>
          <w:szCs w:val="22"/>
        </w:rPr>
      </w:pPr>
      <w:r w:rsidRPr="006C5A1C">
        <w:rPr>
          <w:sz w:val="22"/>
          <w:szCs w:val="22"/>
        </w:rPr>
        <w:t>V současné době se plnění hodnoty indikátoru pohybuje na úrovni 212</w:t>
      </w:r>
      <w:r w:rsidR="00C57395">
        <w:rPr>
          <w:sz w:val="22"/>
          <w:szCs w:val="22"/>
        </w:rPr>
        <w:t xml:space="preserve"> </w:t>
      </w:r>
      <w:r w:rsidRPr="006C5A1C">
        <w:rPr>
          <w:sz w:val="22"/>
          <w:szCs w:val="22"/>
        </w:rPr>
        <w:t>% (je zrealizováno 106 projektů zaměřených na modernizaci přístrojového vybavení z cílové hodnoty 50 projektů).</w:t>
      </w:r>
    </w:p>
    <w:p w:rsidR="006C5A1C" w:rsidRPr="006C5A1C" w:rsidRDefault="006C5A1C" w:rsidP="006C5A1C">
      <w:pPr>
        <w:jc w:val="both"/>
        <w:rPr>
          <w:sz w:val="22"/>
          <w:szCs w:val="22"/>
        </w:rPr>
      </w:pPr>
      <w:r w:rsidRPr="006C5A1C">
        <w:rPr>
          <w:sz w:val="22"/>
          <w:szCs w:val="22"/>
        </w:rPr>
        <w:t>V aktivit</w:t>
      </w:r>
      <w:r w:rsidR="00C57395">
        <w:rPr>
          <w:sz w:val="22"/>
          <w:szCs w:val="22"/>
        </w:rPr>
        <w:t>ě</w:t>
      </w:r>
      <w:r w:rsidRPr="006C5A1C">
        <w:rPr>
          <w:sz w:val="22"/>
          <w:szCs w:val="22"/>
        </w:rPr>
        <w:t xml:space="preserve"> 3.2a je evidována největší absorpční kapacita</w:t>
      </w:r>
      <w:r w:rsidR="00C57395">
        <w:rPr>
          <w:sz w:val="22"/>
          <w:szCs w:val="22"/>
        </w:rPr>
        <w:t xml:space="preserve"> a vyhlašování výzev jí bylo přizpůsobeno.</w:t>
      </w:r>
      <w:r w:rsidRPr="006C5A1C">
        <w:rPr>
          <w:sz w:val="22"/>
          <w:szCs w:val="22"/>
        </w:rPr>
        <w:t xml:space="preserve"> Důvodem pro vyhlašování většího počtu výzev</w:t>
      </w:r>
      <w:r w:rsidR="00C57395">
        <w:rPr>
          <w:sz w:val="22"/>
          <w:szCs w:val="22"/>
        </w:rPr>
        <w:t>,</w:t>
      </w:r>
      <w:r w:rsidRPr="006C5A1C">
        <w:rPr>
          <w:sz w:val="22"/>
          <w:szCs w:val="22"/>
        </w:rPr>
        <w:t xml:space="preserve"> saturujících menší projekty jednotlivých sítí, byla také nutnost naplňování hodnoty výsledkového indikátoru 080721, kde jsou jako měrné jednotky užita procenta vyjadřující zvýšení počtu materiální vybavenosti standardizovaných specializovaných pracovišť na 68,14</w:t>
      </w:r>
      <w:r w:rsidR="00C57395">
        <w:rPr>
          <w:sz w:val="22"/>
          <w:szCs w:val="22"/>
        </w:rPr>
        <w:t xml:space="preserve"> </w:t>
      </w:r>
      <w:r w:rsidRPr="006C5A1C">
        <w:rPr>
          <w:sz w:val="22"/>
          <w:szCs w:val="22"/>
        </w:rPr>
        <w:t xml:space="preserve">% standardu. </w:t>
      </w:r>
      <w:r w:rsidR="00C57395">
        <w:rPr>
          <w:sz w:val="22"/>
          <w:szCs w:val="22"/>
        </w:rPr>
        <w:t>I</w:t>
      </w:r>
      <w:r w:rsidRPr="006C5A1C">
        <w:rPr>
          <w:sz w:val="22"/>
          <w:szCs w:val="22"/>
        </w:rPr>
        <w:t xml:space="preserve">ndikátor vyjadřuje počet realizovaných projektů na modernizaci přístrojového vybavení a v roce 2015 budou dokončeny téměř veškeré projekty z 18. a 19. výzvy, bude </w:t>
      </w:r>
      <w:r w:rsidR="00C57395">
        <w:rPr>
          <w:sz w:val="22"/>
          <w:szCs w:val="22"/>
        </w:rPr>
        <w:t xml:space="preserve">tedy </w:t>
      </w:r>
      <w:r w:rsidRPr="006C5A1C">
        <w:rPr>
          <w:sz w:val="22"/>
          <w:szCs w:val="22"/>
        </w:rPr>
        <w:t>cílová hodnota indikátoru za předpokladu, že všechny projektu ukončí zdárně</w:t>
      </w:r>
      <w:r w:rsidR="00BC408E">
        <w:rPr>
          <w:sz w:val="22"/>
          <w:szCs w:val="22"/>
        </w:rPr>
        <w:t xml:space="preserve"> realizaci</w:t>
      </w:r>
      <w:r w:rsidR="00144AB1">
        <w:rPr>
          <w:sz w:val="22"/>
          <w:szCs w:val="22"/>
        </w:rPr>
        <w:t xml:space="preserve">, </w:t>
      </w:r>
      <w:r w:rsidRPr="006C5A1C">
        <w:rPr>
          <w:sz w:val="22"/>
          <w:szCs w:val="22"/>
        </w:rPr>
        <w:t>výrazně překročena na hodnotu 280</w:t>
      </w:r>
      <w:r w:rsidR="00C57395">
        <w:rPr>
          <w:sz w:val="22"/>
          <w:szCs w:val="22"/>
        </w:rPr>
        <w:t xml:space="preserve"> </w:t>
      </w:r>
      <w:r w:rsidRPr="006C5A1C">
        <w:rPr>
          <w:sz w:val="22"/>
          <w:szCs w:val="22"/>
        </w:rPr>
        <w:t>%. V současné době se míra prostředků pod vydaným Rozhodnutím pohybuje na úrovni 158,80 %.</w:t>
      </w:r>
    </w:p>
    <w:p w:rsidR="006C5A1C" w:rsidRPr="006C5A1C" w:rsidRDefault="006C5A1C" w:rsidP="006C5A1C">
      <w:pPr>
        <w:jc w:val="both"/>
        <w:rPr>
          <w:sz w:val="22"/>
          <w:szCs w:val="22"/>
        </w:rPr>
      </w:pPr>
    </w:p>
    <w:p w:rsidR="006C5A1C" w:rsidRPr="006C5A1C" w:rsidRDefault="006C5A1C" w:rsidP="006C5A1C">
      <w:pPr>
        <w:jc w:val="both"/>
        <w:rPr>
          <w:b/>
          <w:sz w:val="22"/>
          <w:szCs w:val="22"/>
        </w:rPr>
      </w:pPr>
      <w:r w:rsidRPr="006C5A1C">
        <w:rPr>
          <w:b/>
          <w:sz w:val="22"/>
          <w:szCs w:val="22"/>
        </w:rPr>
        <w:t>Indikátor 080702 Počet projektů zaměřených na zavádění standardů a standardních postupů řízení kvality a nákladovosti.</w:t>
      </w:r>
    </w:p>
    <w:p w:rsidR="006C5A1C" w:rsidRPr="006C5A1C" w:rsidRDefault="006C5A1C" w:rsidP="006C5A1C">
      <w:pPr>
        <w:jc w:val="both"/>
        <w:rPr>
          <w:sz w:val="22"/>
          <w:szCs w:val="22"/>
        </w:rPr>
      </w:pPr>
      <w:r w:rsidRPr="006C5A1C">
        <w:rPr>
          <w:sz w:val="22"/>
          <w:szCs w:val="22"/>
        </w:rPr>
        <w:t>V současné době se plnění hodnoty indikátoru pohybuje na úrovni 93</w:t>
      </w:r>
      <w:r w:rsidR="00BC408E">
        <w:rPr>
          <w:sz w:val="22"/>
          <w:szCs w:val="22"/>
        </w:rPr>
        <w:t xml:space="preserve"> </w:t>
      </w:r>
      <w:r w:rsidRPr="006C5A1C">
        <w:rPr>
          <w:sz w:val="22"/>
          <w:szCs w:val="22"/>
        </w:rPr>
        <w:t xml:space="preserve">% (je realizováno 14 projektů zaměřených na zavádění standardů a standardních postupů řízení kvality a nákladovosti z cílové hodnoty 15 projektů). V současné době je evidován závazek dalších 5 schválených projektů, cílová hodnota indikátoru </w:t>
      </w:r>
      <w:r w:rsidR="00F64D7E" w:rsidRPr="006C5A1C">
        <w:rPr>
          <w:sz w:val="22"/>
          <w:szCs w:val="22"/>
        </w:rPr>
        <w:t xml:space="preserve">bude </w:t>
      </w:r>
      <w:r w:rsidR="00F64D7E">
        <w:rPr>
          <w:sz w:val="22"/>
          <w:szCs w:val="22"/>
        </w:rPr>
        <w:t xml:space="preserve">proto </w:t>
      </w:r>
      <w:r w:rsidRPr="006C5A1C">
        <w:rPr>
          <w:sz w:val="22"/>
          <w:szCs w:val="22"/>
        </w:rPr>
        <w:t>mírně překročena na úroveň 19 projektů, což představuje 126,67</w:t>
      </w:r>
      <w:r w:rsidR="00BC408E">
        <w:rPr>
          <w:sz w:val="22"/>
          <w:szCs w:val="22"/>
        </w:rPr>
        <w:t xml:space="preserve"> </w:t>
      </w:r>
      <w:r w:rsidRPr="006C5A1C">
        <w:rPr>
          <w:sz w:val="22"/>
          <w:szCs w:val="22"/>
        </w:rPr>
        <w:t>%. V současné době se míra prostředků pod vydaným Rozhodnutím pohybuje na úrovni 67,37 %.</w:t>
      </w:r>
    </w:p>
    <w:p w:rsidR="00052D5E" w:rsidRPr="00B11FED" w:rsidRDefault="00052D5E" w:rsidP="00052D5E">
      <w:pPr>
        <w:jc w:val="both"/>
        <w:rPr>
          <w:highlight w:val="yellow"/>
        </w:rPr>
      </w:pPr>
    </w:p>
    <w:p w:rsidR="00052D5E" w:rsidRPr="00FE3FE9" w:rsidRDefault="00052D5E" w:rsidP="00052D5E">
      <w:pPr>
        <w:jc w:val="both"/>
        <w:rPr>
          <w:b/>
          <w:sz w:val="22"/>
          <w:szCs w:val="22"/>
        </w:rPr>
      </w:pPr>
      <w:r w:rsidRPr="00FE3FE9">
        <w:rPr>
          <w:b/>
          <w:sz w:val="22"/>
          <w:szCs w:val="22"/>
        </w:rPr>
        <w:t>Oblast intervence 3.3</w:t>
      </w:r>
    </w:p>
    <w:p w:rsidR="00274138" w:rsidRPr="00090BC4" w:rsidRDefault="00BC408E" w:rsidP="00BC408E">
      <w:pPr>
        <w:jc w:val="both"/>
        <w:rPr>
          <w:sz w:val="22"/>
          <w:szCs w:val="22"/>
        </w:rPr>
      </w:pPr>
      <w:r>
        <w:rPr>
          <w:sz w:val="22"/>
          <w:szCs w:val="22"/>
        </w:rPr>
        <w:t>Ú</w:t>
      </w:r>
      <w:r w:rsidR="00274138" w:rsidRPr="00090BC4">
        <w:rPr>
          <w:sz w:val="22"/>
          <w:szCs w:val="22"/>
        </w:rPr>
        <w:t xml:space="preserve">spěšně </w:t>
      </w:r>
      <w:r>
        <w:rPr>
          <w:sz w:val="22"/>
          <w:szCs w:val="22"/>
        </w:rPr>
        <w:t xml:space="preserve">byla </w:t>
      </w:r>
      <w:r w:rsidR="00274138" w:rsidRPr="00090BC4">
        <w:rPr>
          <w:sz w:val="22"/>
          <w:szCs w:val="22"/>
        </w:rPr>
        <w:t xml:space="preserve">ukončena realizace </w:t>
      </w:r>
      <w:r w:rsidR="00274138">
        <w:rPr>
          <w:sz w:val="22"/>
          <w:szCs w:val="22"/>
        </w:rPr>
        <w:t>5</w:t>
      </w:r>
      <w:r w:rsidR="00274138" w:rsidRPr="00090BC4">
        <w:rPr>
          <w:sz w:val="22"/>
          <w:szCs w:val="22"/>
        </w:rPr>
        <w:t xml:space="preserve"> projektů, proto </w:t>
      </w:r>
      <w:r w:rsidR="00274138">
        <w:rPr>
          <w:sz w:val="22"/>
          <w:szCs w:val="22"/>
        </w:rPr>
        <w:t xml:space="preserve">je </w:t>
      </w:r>
      <w:r w:rsidR="00274138" w:rsidRPr="00090BC4">
        <w:rPr>
          <w:sz w:val="22"/>
          <w:szCs w:val="22"/>
        </w:rPr>
        <w:t xml:space="preserve">dosažená hodnota indikátoru </w:t>
      </w:r>
      <w:r w:rsidR="00274138" w:rsidRPr="00090BC4">
        <w:rPr>
          <w:b/>
          <w:sz w:val="22"/>
          <w:szCs w:val="22"/>
        </w:rPr>
        <w:t>74521 – „Počet podpořených institucí služeb zaměstnanosti“</w:t>
      </w:r>
      <w:r w:rsidR="00274138" w:rsidRPr="00090BC4">
        <w:rPr>
          <w:sz w:val="22"/>
          <w:szCs w:val="22"/>
        </w:rPr>
        <w:t xml:space="preserve"> </w:t>
      </w:r>
      <w:r w:rsidR="00274138">
        <w:rPr>
          <w:sz w:val="22"/>
          <w:szCs w:val="22"/>
        </w:rPr>
        <w:t xml:space="preserve">na </w:t>
      </w:r>
      <w:r w:rsidR="00274138" w:rsidRPr="00090BC4">
        <w:rPr>
          <w:sz w:val="22"/>
          <w:szCs w:val="22"/>
        </w:rPr>
        <w:t>hodnot</w:t>
      </w:r>
      <w:r w:rsidR="00274138">
        <w:rPr>
          <w:sz w:val="22"/>
          <w:szCs w:val="22"/>
        </w:rPr>
        <w:t>ě</w:t>
      </w:r>
      <w:r w:rsidR="00274138" w:rsidRPr="00090BC4">
        <w:rPr>
          <w:sz w:val="22"/>
          <w:szCs w:val="22"/>
        </w:rPr>
        <w:t xml:space="preserve"> </w:t>
      </w:r>
      <w:r w:rsidR="00274138">
        <w:rPr>
          <w:sz w:val="22"/>
          <w:szCs w:val="22"/>
        </w:rPr>
        <w:t>5</w:t>
      </w:r>
      <w:r>
        <w:rPr>
          <w:sz w:val="22"/>
          <w:szCs w:val="22"/>
        </w:rPr>
        <w:t>.</w:t>
      </w:r>
      <w:r w:rsidR="00274138">
        <w:rPr>
          <w:sz w:val="22"/>
          <w:szCs w:val="22"/>
        </w:rPr>
        <w:t xml:space="preserve"> </w:t>
      </w:r>
      <w:r>
        <w:rPr>
          <w:sz w:val="22"/>
          <w:szCs w:val="22"/>
        </w:rPr>
        <w:t>V</w:t>
      </w:r>
      <w:r w:rsidR="00274138">
        <w:rPr>
          <w:sz w:val="22"/>
          <w:szCs w:val="22"/>
        </w:rPr>
        <w:t xml:space="preserve">e srovnání s předchozím sledovacím obdobím došlo k nárůstu MI o 2 ukončené projekty. </w:t>
      </w:r>
      <w:r w:rsidR="00274138" w:rsidRPr="00090BC4">
        <w:rPr>
          <w:sz w:val="22"/>
          <w:szCs w:val="22"/>
        </w:rPr>
        <w:t>V závazku ze schválených projektů se nachází 13 projektů, stejně jako v předchozím sledova</w:t>
      </w:r>
      <w:r>
        <w:rPr>
          <w:sz w:val="22"/>
          <w:szCs w:val="22"/>
        </w:rPr>
        <w:t>né</w:t>
      </w:r>
      <w:r w:rsidR="00274138" w:rsidRPr="00090BC4">
        <w:rPr>
          <w:sz w:val="22"/>
          <w:szCs w:val="22"/>
        </w:rPr>
        <w:t>m období. U některých rozsáhlých investičních projektů MPSV eviduje problémy v</w:t>
      </w:r>
      <w:r w:rsidR="00274138">
        <w:rPr>
          <w:sz w:val="22"/>
          <w:szCs w:val="22"/>
        </w:rPr>
        <w:t> </w:t>
      </w:r>
      <w:r w:rsidR="00274138" w:rsidRPr="00090BC4">
        <w:rPr>
          <w:sz w:val="22"/>
          <w:szCs w:val="22"/>
        </w:rPr>
        <w:t>realizaci</w:t>
      </w:r>
      <w:r w:rsidR="00274138">
        <w:rPr>
          <w:sz w:val="22"/>
          <w:szCs w:val="22"/>
        </w:rPr>
        <w:t>.</w:t>
      </w:r>
      <w:r w:rsidR="00274138" w:rsidRPr="00090BC4">
        <w:rPr>
          <w:sz w:val="22"/>
          <w:szCs w:val="22"/>
        </w:rPr>
        <w:t xml:space="preserve"> Rizikovým projekt</w:t>
      </w:r>
      <w:r w:rsidR="00274138">
        <w:rPr>
          <w:sz w:val="22"/>
          <w:szCs w:val="22"/>
        </w:rPr>
        <w:t>em</w:t>
      </w:r>
      <w:r w:rsidR="00274138" w:rsidRPr="00090BC4">
        <w:rPr>
          <w:sz w:val="22"/>
          <w:szCs w:val="22"/>
        </w:rPr>
        <w:t xml:space="preserve"> </w:t>
      </w:r>
      <w:r w:rsidR="00274138">
        <w:rPr>
          <w:sz w:val="22"/>
          <w:szCs w:val="22"/>
        </w:rPr>
        <w:t xml:space="preserve">je </w:t>
      </w:r>
      <w:r w:rsidR="00274138" w:rsidRPr="00090BC4">
        <w:rPr>
          <w:sz w:val="22"/>
          <w:szCs w:val="22"/>
        </w:rPr>
        <w:t>„ÚP ČR Praha – nákup administrativní budovy“, který je vystaven výhradám EK</w:t>
      </w:r>
      <w:r>
        <w:rPr>
          <w:sz w:val="22"/>
          <w:szCs w:val="22"/>
        </w:rPr>
        <w:t>, a</w:t>
      </w:r>
      <w:r w:rsidR="00274138" w:rsidRPr="00090BC4">
        <w:rPr>
          <w:sz w:val="22"/>
          <w:szCs w:val="22"/>
        </w:rPr>
        <w:t xml:space="preserve"> projekt „ÚP ČR – Pardubice – výstavba budovy a </w:t>
      </w:r>
      <w:r>
        <w:rPr>
          <w:sz w:val="22"/>
          <w:szCs w:val="22"/>
        </w:rPr>
        <w:t>š</w:t>
      </w:r>
      <w:r w:rsidR="00274138" w:rsidRPr="00090BC4">
        <w:rPr>
          <w:sz w:val="22"/>
          <w:szCs w:val="22"/>
        </w:rPr>
        <w:t>kolicího střediska“. Na základě rozhodnutí GŘ ÚP ČR odstoup</w:t>
      </w:r>
      <w:r>
        <w:rPr>
          <w:sz w:val="22"/>
          <w:szCs w:val="22"/>
        </w:rPr>
        <w:t>il</w:t>
      </w:r>
      <w:r w:rsidR="00274138" w:rsidRPr="00090BC4">
        <w:rPr>
          <w:sz w:val="22"/>
          <w:szCs w:val="22"/>
        </w:rPr>
        <w:t xml:space="preserve"> příjemce od </w:t>
      </w:r>
      <w:r>
        <w:rPr>
          <w:sz w:val="22"/>
          <w:szCs w:val="22"/>
        </w:rPr>
        <w:t xml:space="preserve">realizace </w:t>
      </w:r>
      <w:r w:rsidR="00274138" w:rsidRPr="00090BC4">
        <w:rPr>
          <w:sz w:val="22"/>
          <w:szCs w:val="22"/>
        </w:rPr>
        <w:t>projektu, ukončení projektu schvál</w:t>
      </w:r>
      <w:r>
        <w:rPr>
          <w:sz w:val="22"/>
          <w:szCs w:val="22"/>
        </w:rPr>
        <w:t>ila</w:t>
      </w:r>
      <w:r w:rsidR="00274138" w:rsidRPr="00090BC4">
        <w:rPr>
          <w:sz w:val="22"/>
          <w:szCs w:val="22"/>
        </w:rPr>
        <w:t xml:space="preserve"> 10. </w:t>
      </w:r>
      <w:r w:rsidR="00B4411B">
        <w:rPr>
          <w:sz w:val="22"/>
          <w:szCs w:val="22"/>
        </w:rPr>
        <w:t>p</w:t>
      </w:r>
      <w:r w:rsidR="00274138" w:rsidRPr="00090BC4">
        <w:rPr>
          <w:sz w:val="22"/>
          <w:szCs w:val="22"/>
        </w:rPr>
        <w:t>orad</w:t>
      </w:r>
      <w:r>
        <w:rPr>
          <w:sz w:val="22"/>
          <w:szCs w:val="22"/>
        </w:rPr>
        <w:t>a</w:t>
      </w:r>
      <w:r w:rsidR="00274138" w:rsidRPr="00090BC4">
        <w:rPr>
          <w:sz w:val="22"/>
          <w:szCs w:val="22"/>
        </w:rPr>
        <w:t xml:space="preserve"> vedení MPSV dne 10. 4. 2015</w:t>
      </w:r>
      <w:r>
        <w:rPr>
          <w:sz w:val="22"/>
          <w:szCs w:val="22"/>
        </w:rPr>
        <w:t>.</w:t>
      </w:r>
      <w:r w:rsidR="00274138" w:rsidRPr="00090BC4">
        <w:rPr>
          <w:sz w:val="22"/>
          <w:szCs w:val="22"/>
        </w:rPr>
        <w:t xml:space="preserve"> </w:t>
      </w:r>
      <w:r>
        <w:rPr>
          <w:sz w:val="22"/>
          <w:szCs w:val="22"/>
        </w:rPr>
        <w:t>Z</w:t>
      </w:r>
      <w:r w:rsidR="00274138">
        <w:rPr>
          <w:sz w:val="22"/>
          <w:szCs w:val="22"/>
        </w:rPr>
        <w:t xml:space="preserve">měna hodnoty indikátoru </w:t>
      </w:r>
      <w:r w:rsidR="00274138" w:rsidRPr="00090BC4">
        <w:rPr>
          <w:sz w:val="22"/>
          <w:szCs w:val="22"/>
        </w:rPr>
        <w:t>bude zohledněn</w:t>
      </w:r>
      <w:r w:rsidR="00274138">
        <w:rPr>
          <w:sz w:val="22"/>
          <w:szCs w:val="22"/>
        </w:rPr>
        <w:t>a</w:t>
      </w:r>
      <w:r w:rsidR="00274138" w:rsidRPr="00090BC4">
        <w:rPr>
          <w:sz w:val="22"/>
          <w:szCs w:val="22"/>
        </w:rPr>
        <w:t xml:space="preserve"> </w:t>
      </w:r>
      <w:r w:rsidR="00274138">
        <w:rPr>
          <w:sz w:val="22"/>
          <w:szCs w:val="22"/>
        </w:rPr>
        <w:t xml:space="preserve">po ukončení probíhající </w:t>
      </w:r>
      <w:r w:rsidR="00760885">
        <w:rPr>
          <w:sz w:val="22"/>
          <w:szCs w:val="22"/>
        </w:rPr>
        <w:t>veřejnosprávní kontroly</w:t>
      </w:r>
      <w:r w:rsidR="00274138">
        <w:rPr>
          <w:sz w:val="22"/>
          <w:szCs w:val="22"/>
        </w:rPr>
        <w:t xml:space="preserve"> tohoto projektu</w:t>
      </w:r>
      <w:r w:rsidR="00274138" w:rsidRPr="00090BC4">
        <w:rPr>
          <w:sz w:val="22"/>
          <w:szCs w:val="22"/>
        </w:rPr>
        <w:t xml:space="preserve">. </w:t>
      </w:r>
      <w:r>
        <w:rPr>
          <w:sz w:val="22"/>
          <w:szCs w:val="22"/>
        </w:rPr>
        <w:t>P</w:t>
      </w:r>
      <w:r w:rsidR="00274138" w:rsidRPr="00090BC4">
        <w:rPr>
          <w:sz w:val="22"/>
          <w:szCs w:val="22"/>
        </w:rPr>
        <w:t xml:space="preserve">ravděpodobně </w:t>
      </w:r>
      <w:r w:rsidR="00274138">
        <w:rPr>
          <w:sz w:val="22"/>
          <w:szCs w:val="22"/>
        </w:rPr>
        <w:t>hrozí</w:t>
      </w:r>
      <w:r w:rsidR="00274138" w:rsidRPr="00090BC4">
        <w:rPr>
          <w:sz w:val="22"/>
          <w:szCs w:val="22"/>
        </w:rPr>
        <w:t xml:space="preserve"> </w:t>
      </w:r>
      <w:r w:rsidR="00274138">
        <w:rPr>
          <w:sz w:val="22"/>
          <w:szCs w:val="22"/>
        </w:rPr>
        <w:t> riziko nenaplnění</w:t>
      </w:r>
      <w:r w:rsidR="00274138" w:rsidRPr="00090BC4">
        <w:rPr>
          <w:sz w:val="22"/>
          <w:szCs w:val="22"/>
        </w:rPr>
        <w:t xml:space="preserve"> cílové hodnoty indikátoru.</w:t>
      </w:r>
    </w:p>
    <w:p w:rsidR="00274138" w:rsidRDefault="00274138" w:rsidP="00274138">
      <w:pPr>
        <w:jc w:val="both"/>
        <w:rPr>
          <w:sz w:val="22"/>
          <w:szCs w:val="22"/>
        </w:rPr>
      </w:pPr>
    </w:p>
    <w:p w:rsidR="00274138" w:rsidRPr="00090BC4" w:rsidRDefault="00274138" w:rsidP="00274138">
      <w:pPr>
        <w:jc w:val="both"/>
        <w:rPr>
          <w:sz w:val="22"/>
          <w:szCs w:val="22"/>
        </w:rPr>
      </w:pPr>
      <w:r w:rsidRPr="00090BC4">
        <w:rPr>
          <w:sz w:val="22"/>
          <w:szCs w:val="22"/>
        </w:rPr>
        <w:t xml:space="preserve">Indikátor </w:t>
      </w:r>
      <w:r w:rsidRPr="00090BC4">
        <w:rPr>
          <w:b/>
          <w:sz w:val="22"/>
          <w:szCs w:val="22"/>
        </w:rPr>
        <w:t>„74532 Počet nově vybudovaných a podpořených stávajících školicích středisek SZ“</w:t>
      </w:r>
      <w:r w:rsidRPr="00090BC4">
        <w:rPr>
          <w:sz w:val="22"/>
          <w:szCs w:val="22"/>
        </w:rPr>
        <w:t xml:space="preserve"> v aktivitě 3.3 b) zahrnuje 1 úspěšně ukončený projekt s názvem „ÚP ČR – Hradec Králové – rekonstrukce školicího střediska“ a dosažená hodnota je tedy 1. Cílová hodnota indikátoru zahrnuje vybudování 3 školicích středisek Služeb zaměstnanosti. V závazku ze schválených projektů se nachází aktuálně 4 projekty. </w:t>
      </w:r>
      <w:r w:rsidR="00BC408E">
        <w:rPr>
          <w:sz w:val="22"/>
          <w:szCs w:val="22"/>
        </w:rPr>
        <w:t>V</w:t>
      </w:r>
      <w:r w:rsidRPr="00090BC4">
        <w:rPr>
          <w:sz w:val="22"/>
          <w:szCs w:val="22"/>
        </w:rPr>
        <w:t xml:space="preserve"> hodnotě není zohledněno odstoupení příjemce od projektu ÚP ČR Pardubice. </w:t>
      </w:r>
      <w:r w:rsidR="00BC408E">
        <w:rPr>
          <w:sz w:val="22"/>
          <w:szCs w:val="22"/>
        </w:rPr>
        <w:t>P</w:t>
      </w:r>
      <w:r w:rsidRPr="00090BC4">
        <w:rPr>
          <w:sz w:val="22"/>
          <w:szCs w:val="22"/>
        </w:rPr>
        <w:t xml:space="preserve">okud nenastanou vážné skutečnosti v realizaci projektů, naplní </w:t>
      </w:r>
      <w:r w:rsidR="00BC408E">
        <w:rPr>
          <w:sz w:val="22"/>
          <w:szCs w:val="22"/>
        </w:rPr>
        <w:t xml:space="preserve">se </w:t>
      </w:r>
      <w:r w:rsidRPr="00090BC4">
        <w:rPr>
          <w:sz w:val="22"/>
          <w:szCs w:val="22"/>
        </w:rPr>
        <w:t>cílov</w:t>
      </w:r>
      <w:r w:rsidR="00BC408E">
        <w:rPr>
          <w:sz w:val="22"/>
          <w:szCs w:val="22"/>
        </w:rPr>
        <w:t>á</w:t>
      </w:r>
      <w:r w:rsidRPr="00090BC4">
        <w:rPr>
          <w:sz w:val="22"/>
          <w:szCs w:val="22"/>
        </w:rPr>
        <w:t xml:space="preserve"> hodnot</w:t>
      </w:r>
      <w:r w:rsidR="00BC408E">
        <w:rPr>
          <w:sz w:val="22"/>
          <w:szCs w:val="22"/>
        </w:rPr>
        <w:t>a</w:t>
      </w:r>
      <w:r w:rsidRPr="00090BC4">
        <w:rPr>
          <w:sz w:val="22"/>
          <w:szCs w:val="22"/>
        </w:rPr>
        <w:t xml:space="preserve"> indikátoru, tzn.</w:t>
      </w:r>
      <w:r w:rsidR="00BC408E">
        <w:rPr>
          <w:sz w:val="22"/>
          <w:szCs w:val="22"/>
        </w:rPr>
        <w:t>, budou</w:t>
      </w:r>
      <w:r w:rsidRPr="00090BC4">
        <w:rPr>
          <w:sz w:val="22"/>
          <w:szCs w:val="22"/>
        </w:rPr>
        <w:t xml:space="preserve"> vybudován</w:t>
      </w:r>
      <w:r w:rsidR="00BC408E">
        <w:rPr>
          <w:sz w:val="22"/>
          <w:szCs w:val="22"/>
        </w:rPr>
        <w:t>a</w:t>
      </w:r>
      <w:r w:rsidRPr="00090BC4">
        <w:rPr>
          <w:sz w:val="22"/>
          <w:szCs w:val="22"/>
        </w:rPr>
        <w:t xml:space="preserve"> 3 školicí středisk</w:t>
      </w:r>
      <w:r w:rsidR="00BC408E">
        <w:rPr>
          <w:sz w:val="22"/>
          <w:szCs w:val="22"/>
        </w:rPr>
        <w:t>a</w:t>
      </w:r>
      <w:r w:rsidRPr="00090BC4">
        <w:rPr>
          <w:sz w:val="22"/>
          <w:szCs w:val="22"/>
        </w:rPr>
        <w:t xml:space="preserve"> SZ. </w:t>
      </w:r>
    </w:p>
    <w:p w:rsidR="00274138" w:rsidRDefault="00274138" w:rsidP="00274138">
      <w:pPr>
        <w:jc w:val="both"/>
        <w:rPr>
          <w:sz w:val="22"/>
          <w:szCs w:val="22"/>
        </w:rPr>
      </w:pPr>
    </w:p>
    <w:p w:rsidR="00274138" w:rsidRDefault="00274138" w:rsidP="00BC408E">
      <w:pPr>
        <w:jc w:val="both"/>
        <w:rPr>
          <w:sz w:val="22"/>
          <w:szCs w:val="22"/>
        </w:rPr>
      </w:pPr>
      <w:r w:rsidRPr="00090BC4">
        <w:rPr>
          <w:sz w:val="22"/>
          <w:szCs w:val="22"/>
        </w:rPr>
        <w:t xml:space="preserve">Dosažená hodnota indikátoru </w:t>
      </w:r>
      <w:r w:rsidRPr="00090BC4">
        <w:rPr>
          <w:b/>
          <w:sz w:val="22"/>
          <w:szCs w:val="22"/>
        </w:rPr>
        <w:t>„74533 – Počet nově vybudovaných informačně-vzdělávacích středisek SZ“</w:t>
      </w:r>
      <w:r w:rsidRPr="00090BC4">
        <w:rPr>
          <w:sz w:val="22"/>
          <w:szCs w:val="22"/>
        </w:rPr>
        <w:t xml:space="preserve"> činí 1 a váže se k ukončení projektu v aktivitě 3.3 c) „Vybudování informačně-vzdělávacího střediska Jihočeského kraje“</w:t>
      </w:r>
      <w:r>
        <w:rPr>
          <w:sz w:val="22"/>
          <w:szCs w:val="22"/>
        </w:rPr>
        <w:t xml:space="preserve">. </w:t>
      </w:r>
      <w:r w:rsidRPr="00090BC4">
        <w:rPr>
          <w:sz w:val="22"/>
          <w:szCs w:val="22"/>
        </w:rPr>
        <w:t xml:space="preserve">V aktivitě 3.3 c)  se ve stavu závazku nachází projekt Informačně-vzdělávací středisko Plzeňského kraje. Proto lze očekávat, že plánovaná cílová hodnota 2 bude </w:t>
      </w:r>
      <w:r w:rsidR="00BC408E">
        <w:rPr>
          <w:sz w:val="22"/>
          <w:szCs w:val="22"/>
        </w:rPr>
        <w:t xml:space="preserve">dosažena </w:t>
      </w:r>
      <w:r w:rsidRPr="00090BC4">
        <w:rPr>
          <w:sz w:val="22"/>
          <w:szCs w:val="22"/>
        </w:rPr>
        <w:t>v případě, že nenastanou vážné komplikace</w:t>
      </w:r>
      <w:r w:rsidR="00BC408E">
        <w:rPr>
          <w:sz w:val="22"/>
          <w:szCs w:val="22"/>
        </w:rPr>
        <w:t xml:space="preserve"> v realizac</w:t>
      </w:r>
      <w:r w:rsidR="00F64D7E">
        <w:rPr>
          <w:sz w:val="22"/>
          <w:szCs w:val="22"/>
        </w:rPr>
        <w:t>i</w:t>
      </w:r>
      <w:r w:rsidRPr="00090BC4">
        <w:rPr>
          <w:sz w:val="22"/>
          <w:szCs w:val="22"/>
        </w:rPr>
        <w:t xml:space="preserve"> projektu.</w:t>
      </w:r>
    </w:p>
    <w:p w:rsidR="00794EEB" w:rsidRPr="008545F4" w:rsidRDefault="00794EEB" w:rsidP="00407FF7">
      <w:pPr>
        <w:jc w:val="both"/>
        <w:rPr>
          <w:sz w:val="22"/>
          <w:szCs w:val="22"/>
        </w:rPr>
      </w:pPr>
    </w:p>
    <w:p w:rsidR="00274138" w:rsidRDefault="00274138" w:rsidP="00274138">
      <w:pPr>
        <w:jc w:val="both"/>
        <w:rPr>
          <w:sz w:val="22"/>
          <w:szCs w:val="22"/>
        </w:rPr>
      </w:pPr>
      <w:r w:rsidRPr="00090BC4">
        <w:rPr>
          <w:sz w:val="22"/>
          <w:szCs w:val="22"/>
        </w:rPr>
        <w:t>Indikátor výsledku „</w:t>
      </w:r>
      <w:r w:rsidRPr="00090BC4">
        <w:rPr>
          <w:b/>
          <w:sz w:val="22"/>
          <w:szCs w:val="22"/>
        </w:rPr>
        <w:t>74514 Nárůst kvality pracovního a klientského prostředí institucí služeb zaměstnanosti“</w:t>
      </w:r>
      <w:r w:rsidRPr="00090BC4">
        <w:rPr>
          <w:sz w:val="22"/>
          <w:szCs w:val="22"/>
        </w:rPr>
        <w:t xml:space="preserve"> je vykazován procentuálně za programové </w:t>
      </w:r>
      <w:r w:rsidR="00532F63" w:rsidRPr="00090BC4">
        <w:rPr>
          <w:sz w:val="22"/>
          <w:szCs w:val="22"/>
        </w:rPr>
        <w:t>období.</w:t>
      </w:r>
      <w:r w:rsidR="00532F63">
        <w:rPr>
          <w:sz w:val="22"/>
          <w:szCs w:val="22"/>
        </w:rPr>
        <w:t xml:space="preserve"> </w:t>
      </w:r>
      <w:r w:rsidR="00532F63" w:rsidRPr="00090BC4">
        <w:rPr>
          <w:sz w:val="22"/>
          <w:szCs w:val="22"/>
        </w:rPr>
        <w:t>Ukončením</w:t>
      </w:r>
      <w:r w:rsidRPr="00090BC4">
        <w:rPr>
          <w:sz w:val="22"/>
          <w:szCs w:val="22"/>
        </w:rPr>
        <w:t xml:space="preserve"> realizace projektů bylo</w:t>
      </w:r>
      <w:r w:rsidR="00532F63">
        <w:rPr>
          <w:sz w:val="22"/>
          <w:szCs w:val="22"/>
        </w:rPr>
        <w:t xml:space="preserve"> dosaženo hodnoty </w:t>
      </w:r>
      <w:r>
        <w:rPr>
          <w:sz w:val="22"/>
          <w:szCs w:val="22"/>
        </w:rPr>
        <w:t>8,29</w:t>
      </w:r>
      <w:r w:rsidRPr="00090BC4">
        <w:rPr>
          <w:sz w:val="22"/>
          <w:szCs w:val="22"/>
        </w:rPr>
        <w:t xml:space="preserve"> %.</w:t>
      </w:r>
      <w:r w:rsidR="00F21B38">
        <w:rPr>
          <w:sz w:val="22"/>
          <w:szCs w:val="22"/>
        </w:rPr>
        <w:t xml:space="preserve"> </w:t>
      </w:r>
      <w:r w:rsidR="00F21B38" w:rsidRPr="00090BC4">
        <w:rPr>
          <w:sz w:val="22"/>
          <w:szCs w:val="22"/>
        </w:rPr>
        <w:t xml:space="preserve">Vzhledem k aktuálnímu stavu realizace rizikových projektů MPSV („ÚP ČR Praha – nákup administrativní budovy“, a dále odstoupení příjemce od realizace projektu „ÚP ČR – Pardubice), </w:t>
      </w:r>
      <w:r w:rsidR="00F21B38">
        <w:rPr>
          <w:sz w:val="22"/>
          <w:szCs w:val="22"/>
        </w:rPr>
        <w:t>nepředpokládá MPSV naplnění</w:t>
      </w:r>
      <w:r w:rsidR="00532F63">
        <w:rPr>
          <w:sz w:val="22"/>
          <w:szCs w:val="22"/>
        </w:rPr>
        <w:t xml:space="preserve"> cílové hodnoty</w:t>
      </w:r>
      <w:r w:rsidR="00F21B38">
        <w:rPr>
          <w:sz w:val="22"/>
          <w:szCs w:val="22"/>
        </w:rPr>
        <w:t xml:space="preserve"> indikátoru</w:t>
      </w:r>
      <w:r w:rsidR="00532F63">
        <w:rPr>
          <w:sz w:val="22"/>
          <w:szCs w:val="22"/>
        </w:rPr>
        <w:t xml:space="preserve">, která je stanovena ve výši </w:t>
      </w:r>
      <w:r w:rsidR="00F21B38">
        <w:rPr>
          <w:sz w:val="22"/>
          <w:szCs w:val="22"/>
        </w:rPr>
        <w:t xml:space="preserve">18% (predikce naplnění tohoto MI je 17%). </w:t>
      </w:r>
      <w:r w:rsidR="00F21B38" w:rsidRPr="00DD6F98">
        <w:rPr>
          <w:sz w:val="22"/>
          <w:szCs w:val="22"/>
        </w:rPr>
        <w:t>Vzhledem k tomu, že řada projektů v OI 3.3 a) je ve stavu před ukončením realizace projektu, bude MI naplněn až po úspěšném ukončení realizace všech těchto projektů (plnění MI odpovídá predikci MPSV). Aktuálně nízké plnění indikátoru 74514 lze přisuzovat pouze většímu počtu doposud neukončených projektů. MPSV proto maximálně komunikuje s příjemci a poskytuje jim podporu pro úspěšné ukončení projektů</w:t>
      </w:r>
      <w:r w:rsidRPr="00DD6F98">
        <w:rPr>
          <w:sz w:val="22"/>
          <w:szCs w:val="22"/>
        </w:rPr>
        <w:t xml:space="preserve"> </w:t>
      </w:r>
    </w:p>
    <w:p w:rsidR="00274138" w:rsidRDefault="00274138" w:rsidP="00274138">
      <w:pPr>
        <w:jc w:val="both"/>
        <w:rPr>
          <w:sz w:val="22"/>
          <w:szCs w:val="22"/>
        </w:rPr>
      </w:pPr>
    </w:p>
    <w:p w:rsidR="002E5B61" w:rsidRDefault="00274138" w:rsidP="00274138">
      <w:pPr>
        <w:jc w:val="both"/>
        <w:rPr>
          <w:sz w:val="22"/>
          <w:szCs w:val="22"/>
        </w:rPr>
      </w:pPr>
      <w:r w:rsidRPr="00090BC4">
        <w:rPr>
          <w:sz w:val="22"/>
          <w:szCs w:val="22"/>
        </w:rPr>
        <w:t xml:space="preserve">K naplnění indikátorů </w:t>
      </w:r>
      <w:r w:rsidRPr="00DD6F98">
        <w:rPr>
          <w:b/>
          <w:sz w:val="22"/>
          <w:szCs w:val="22"/>
        </w:rPr>
        <w:t>74512</w:t>
      </w:r>
      <w:r w:rsidRPr="00090BC4">
        <w:rPr>
          <w:sz w:val="22"/>
          <w:szCs w:val="22"/>
        </w:rPr>
        <w:t xml:space="preserve"> a </w:t>
      </w:r>
      <w:r w:rsidRPr="00DD6F98">
        <w:rPr>
          <w:b/>
          <w:sz w:val="22"/>
          <w:szCs w:val="22"/>
        </w:rPr>
        <w:t>74513</w:t>
      </w:r>
      <w:r w:rsidRPr="00090BC4">
        <w:rPr>
          <w:sz w:val="22"/>
          <w:szCs w:val="22"/>
        </w:rPr>
        <w:t xml:space="preserve"> bude docházet od ukončení realizace projektů do ukončení povinné 5 leté udržitelnosti projektů.  Proto dosažená hodnota vykazuje nízké plnění. </w:t>
      </w:r>
    </w:p>
    <w:p w:rsidR="00274138" w:rsidRPr="00090BC4" w:rsidRDefault="00274138" w:rsidP="00274138">
      <w:pPr>
        <w:jc w:val="both"/>
        <w:rPr>
          <w:sz w:val="22"/>
          <w:szCs w:val="22"/>
        </w:rPr>
      </w:pPr>
      <w:r w:rsidRPr="00090BC4">
        <w:rPr>
          <w:sz w:val="22"/>
          <w:szCs w:val="22"/>
        </w:rPr>
        <w:t xml:space="preserve">Ve srovnání s předchozím obdobím </w:t>
      </w:r>
      <w:r>
        <w:rPr>
          <w:sz w:val="22"/>
          <w:szCs w:val="22"/>
        </w:rPr>
        <w:t>nedošlo</w:t>
      </w:r>
      <w:r w:rsidRPr="00090BC4">
        <w:rPr>
          <w:sz w:val="22"/>
          <w:szCs w:val="22"/>
        </w:rPr>
        <w:t xml:space="preserve"> v aktivitě 3.3 b) k pokroku v naplňování indikátoru </w:t>
      </w:r>
      <w:r w:rsidRPr="00090BC4">
        <w:rPr>
          <w:b/>
          <w:sz w:val="22"/>
          <w:szCs w:val="22"/>
        </w:rPr>
        <w:t>74512 – „Nárůst kapacity školicích středisek služeb zaměstnanosti“</w:t>
      </w:r>
      <w:r w:rsidRPr="00090BC4">
        <w:rPr>
          <w:sz w:val="22"/>
          <w:szCs w:val="22"/>
        </w:rPr>
        <w:t>. Dosažená hodnota vykazuje růst kapacity školicích středisek služeb zaměstnanosti</w:t>
      </w:r>
      <w:r w:rsidR="00407FF7">
        <w:rPr>
          <w:sz w:val="22"/>
          <w:szCs w:val="22"/>
        </w:rPr>
        <w:t xml:space="preserve"> </w:t>
      </w:r>
      <w:r w:rsidR="00407FF7" w:rsidRPr="00090BC4">
        <w:rPr>
          <w:sz w:val="22"/>
          <w:szCs w:val="22"/>
        </w:rPr>
        <w:t>1,27 %</w:t>
      </w:r>
      <w:r w:rsidRPr="00090BC4">
        <w:rPr>
          <w:sz w:val="22"/>
          <w:szCs w:val="22"/>
        </w:rPr>
        <w:t>.</w:t>
      </w:r>
      <w:r>
        <w:rPr>
          <w:sz w:val="22"/>
          <w:szCs w:val="22"/>
        </w:rPr>
        <w:t xml:space="preserve"> Projekty s vydaným Rozhodnutím </w:t>
      </w:r>
      <w:r w:rsidR="00407FF7">
        <w:rPr>
          <w:sz w:val="22"/>
          <w:szCs w:val="22"/>
        </w:rPr>
        <w:t>plnění indikátoru na</w:t>
      </w:r>
      <w:r>
        <w:rPr>
          <w:sz w:val="22"/>
          <w:szCs w:val="22"/>
        </w:rPr>
        <w:t xml:space="preserve"> 69,06</w:t>
      </w:r>
      <w:r w:rsidR="00407FF7">
        <w:rPr>
          <w:sz w:val="22"/>
          <w:szCs w:val="22"/>
        </w:rPr>
        <w:t xml:space="preserve"> </w:t>
      </w:r>
      <w:r>
        <w:rPr>
          <w:sz w:val="22"/>
          <w:szCs w:val="22"/>
        </w:rPr>
        <w:t>%.</w:t>
      </w:r>
    </w:p>
    <w:p w:rsidR="00274138" w:rsidRDefault="00274138" w:rsidP="00274138">
      <w:pPr>
        <w:jc w:val="both"/>
        <w:rPr>
          <w:sz w:val="22"/>
          <w:szCs w:val="22"/>
        </w:rPr>
      </w:pPr>
    </w:p>
    <w:p w:rsidR="00274138" w:rsidRPr="00090BC4" w:rsidRDefault="00274138" w:rsidP="00274138">
      <w:pPr>
        <w:jc w:val="both"/>
        <w:rPr>
          <w:sz w:val="22"/>
          <w:szCs w:val="22"/>
        </w:rPr>
      </w:pPr>
      <w:r>
        <w:rPr>
          <w:sz w:val="22"/>
          <w:szCs w:val="22"/>
        </w:rPr>
        <w:t xml:space="preserve">Také u indikátoru </w:t>
      </w:r>
      <w:r w:rsidRPr="00090BC4">
        <w:rPr>
          <w:b/>
          <w:sz w:val="22"/>
          <w:szCs w:val="22"/>
        </w:rPr>
        <w:t>74513 - „Nárůst kapacity poradensko-vzdělávacích středisek“</w:t>
      </w:r>
      <w:r w:rsidR="00407FF7">
        <w:rPr>
          <w:sz w:val="22"/>
          <w:szCs w:val="22"/>
        </w:rPr>
        <w:t xml:space="preserve"> v</w:t>
      </w:r>
      <w:r w:rsidRPr="00090BC4">
        <w:rPr>
          <w:sz w:val="22"/>
          <w:szCs w:val="22"/>
        </w:rPr>
        <w:t> aktivit</w:t>
      </w:r>
      <w:r w:rsidR="00407FF7">
        <w:rPr>
          <w:sz w:val="22"/>
          <w:szCs w:val="22"/>
        </w:rPr>
        <w:t>ě</w:t>
      </w:r>
      <w:r w:rsidRPr="00090BC4">
        <w:rPr>
          <w:sz w:val="22"/>
          <w:szCs w:val="22"/>
        </w:rPr>
        <w:t xml:space="preserve"> 3.3 c)</w:t>
      </w:r>
      <w:r>
        <w:rPr>
          <w:sz w:val="22"/>
          <w:szCs w:val="22"/>
        </w:rPr>
        <w:t xml:space="preserve">, </w:t>
      </w:r>
      <w:r w:rsidR="00407FF7">
        <w:rPr>
          <w:sz w:val="22"/>
          <w:szCs w:val="22"/>
        </w:rPr>
        <w:t>s</w:t>
      </w:r>
      <w:r>
        <w:rPr>
          <w:sz w:val="22"/>
          <w:szCs w:val="22"/>
        </w:rPr>
        <w:t>e n</w:t>
      </w:r>
      <w:r w:rsidR="00407FF7">
        <w:rPr>
          <w:sz w:val="22"/>
          <w:szCs w:val="22"/>
        </w:rPr>
        <w:t>ez</w:t>
      </w:r>
      <w:r>
        <w:rPr>
          <w:sz w:val="22"/>
          <w:szCs w:val="22"/>
        </w:rPr>
        <w:t>výš</w:t>
      </w:r>
      <w:r w:rsidR="00407FF7">
        <w:rPr>
          <w:sz w:val="22"/>
          <w:szCs w:val="22"/>
        </w:rPr>
        <w:t>ila</w:t>
      </w:r>
      <w:r>
        <w:rPr>
          <w:sz w:val="22"/>
          <w:szCs w:val="22"/>
        </w:rPr>
        <w:t xml:space="preserve"> dosažen</w:t>
      </w:r>
      <w:r w:rsidR="00407FF7">
        <w:rPr>
          <w:sz w:val="22"/>
          <w:szCs w:val="22"/>
        </w:rPr>
        <w:t>á</w:t>
      </w:r>
      <w:r>
        <w:rPr>
          <w:sz w:val="22"/>
          <w:szCs w:val="22"/>
        </w:rPr>
        <w:t xml:space="preserve"> hodnot</w:t>
      </w:r>
      <w:r w:rsidR="00407FF7">
        <w:rPr>
          <w:sz w:val="22"/>
          <w:szCs w:val="22"/>
        </w:rPr>
        <w:t>a</w:t>
      </w:r>
      <w:r>
        <w:rPr>
          <w:sz w:val="22"/>
          <w:szCs w:val="22"/>
        </w:rPr>
        <w:t xml:space="preserve"> oproti předchozímu sledovanému období</w:t>
      </w:r>
      <w:r w:rsidR="00407FF7">
        <w:rPr>
          <w:sz w:val="22"/>
          <w:szCs w:val="22"/>
        </w:rPr>
        <w:t xml:space="preserve"> a dosahuje</w:t>
      </w:r>
      <w:r w:rsidRPr="00090BC4">
        <w:rPr>
          <w:sz w:val="22"/>
          <w:szCs w:val="22"/>
        </w:rPr>
        <w:t xml:space="preserve"> 4,98 %. </w:t>
      </w:r>
      <w:r w:rsidRPr="00090BC4">
        <w:rPr>
          <w:sz w:val="22"/>
          <w:szCs w:val="22"/>
        </w:rPr>
        <w:lastRenderedPageBreak/>
        <w:t>V závazku ze schválených projektů se nacházejí 2 projekty s cílovou hodnotou růstu kapacity poradensko-vzdělávacích středisek o 25</w:t>
      </w:r>
      <w:r w:rsidR="00407FF7">
        <w:rPr>
          <w:sz w:val="22"/>
          <w:szCs w:val="22"/>
        </w:rPr>
        <w:t xml:space="preserve"> </w:t>
      </w:r>
      <w:r w:rsidRPr="00090BC4">
        <w:rPr>
          <w:sz w:val="22"/>
          <w:szCs w:val="22"/>
        </w:rPr>
        <w:t xml:space="preserve">%, což představuje 100% naplnění. MPSV očekává naplnění cílové hodnoty indikátoru. </w:t>
      </w:r>
    </w:p>
    <w:p w:rsidR="00274138" w:rsidRDefault="00274138" w:rsidP="00274138">
      <w:pPr>
        <w:jc w:val="both"/>
        <w:rPr>
          <w:sz w:val="22"/>
          <w:szCs w:val="22"/>
        </w:rPr>
      </w:pPr>
    </w:p>
    <w:p w:rsidR="00274138" w:rsidRDefault="00274138" w:rsidP="00274138">
      <w:pPr>
        <w:jc w:val="both"/>
        <w:rPr>
          <w:sz w:val="22"/>
          <w:szCs w:val="22"/>
        </w:rPr>
      </w:pPr>
      <w:r w:rsidRPr="002242CA">
        <w:rPr>
          <w:sz w:val="22"/>
          <w:szCs w:val="22"/>
        </w:rPr>
        <w:t xml:space="preserve">V aktivitě 3.3 c) </w:t>
      </w:r>
      <w:r>
        <w:rPr>
          <w:sz w:val="22"/>
          <w:szCs w:val="22"/>
        </w:rPr>
        <w:t xml:space="preserve">bude </w:t>
      </w:r>
      <w:r w:rsidR="00293829">
        <w:rPr>
          <w:sz w:val="22"/>
          <w:szCs w:val="22"/>
        </w:rPr>
        <w:t>pravděpodobně</w:t>
      </w:r>
      <w:r>
        <w:rPr>
          <w:sz w:val="22"/>
          <w:szCs w:val="22"/>
        </w:rPr>
        <w:t xml:space="preserve"> naplněna cílová hodnota monitorovacího indikátoru</w:t>
      </w:r>
      <w:r w:rsidRPr="002242CA">
        <w:rPr>
          <w:sz w:val="22"/>
          <w:szCs w:val="22"/>
        </w:rPr>
        <w:t xml:space="preserve"> 74533</w:t>
      </w:r>
      <w:r>
        <w:rPr>
          <w:sz w:val="22"/>
          <w:szCs w:val="22"/>
        </w:rPr>
        <w:t xml:space="preserve"> a 74513. Ve stavu závazku ze schválených projektů se u </w:t>
      </w:r>
      <w:proofErr w:type="gramStart"/>
      <w:r>
        <w:rPr>
          <w:sz w:val="22"/>
          <w:szCs w:val="22"/>
        </w:rPr>
        <w:t>MI</w:t>
      </w:r>
      <w:proofErr w:type="gramEnd"/>
      <w:r>
        <w:rPr>
          <w:sz w:val="22"/>
          <w:szCs w:val="22"/>
        </w:rPr>
        <w:t xml:space="preserve"> 74533 nachází 100</w:t>
      </w:r>
      <w:r w:rsidR="00293829">
        <w:rPr>
          <w:sz w:val="22"/>
          <w:szCs w:val="22"/>
        </w:rPr>
        <w:t xml:space="preserve"> </w:t>
      </w:r>
      <w:r>
        <w:rPr>
          <w:sz w:val="22"/>
          <w:szCs w:val="22"/>
        </w:rPr>
        <w:t xml:space="preserve">% projektů (jedná se </w:t>
      </w:r>
      <w:r w:rsidR="004D4261">
        <w:rPr>
          <w:sz w:val="22"/>
          <w:szCs w:val="22"/>
        </w:rPr>
        <w:br/>
      </w:r>
      <w:r>
        <w:rPr>
          <w:sz w:val="22"/>
          <w:szCs w:val="22"/>
        </w:rPr>
        <w:t xml:space="preserve">o 2 projekty) a výše finančních prostředků </w:t>
      </w:r>
      <w:r w:rsidR="00293829">
        <w:rPr>
          <w:sz w:val="22"/>
          <w:szCs w:val="22"/>
        </w:rPr>
        <w:t>v</w:t>
      </w:r>
      <w:r>
        <w:rPr>
          <w:sz w:val="22"/>
          <w:szCs w:val="22"/>
        </w:rPr>
        <w:t>e vydaných Rozhodnutí</w:t>
      </w:r>
      <w:r w:rsidR="00293829">
        <w:rPr>
          <w:sz w:val="22"/>
          <w:szCs w:val="22"/>
        </w:rPr>
        <w:t>ch</w:t>
      </w:r>
      <w:r>
        <w:rPr>
          <w:sz w:val="22"/>
          <w:szCs w:val="22"/>
        </w:rPr>
        <w:t xml:space="preserve"> </w:t>
      </w:r>
      <w:r w:rsidR="00293829">
        <w:rPr>
          <w:sz w:val="22"/>
          <w:szCs w:val="22"/>
        </w:rPr>
        <w:t>je</w:t>
      </w:r>
      <w:r>
        <w:rPr>
          <w:sz w:val="22"/>
          <w:szCs w:val="22"/>
        </w:rPr>
        <w:t xml:space="preserve"> 52,78</w:t>
      </w:r>
      <w:r w:rsidR="00293829">
        <w:rPr>
          <w:sz w:val="22"/>
          <w:szCs w:val="22"/>
        </w:rPr>
        <w:t xml:space="preserve"> </w:t>
      </w:r>
      <w:r>
        <w:rPr>
          <w:sz w:val="22"/>
          <w:szCs w:val="22"/>
        </w:rPr>
        <w:t>%.</w:t>
      </w:r>
      <w:r w:rsidRPr="002242CA">
        <w:rPr>
          <w:sz w:val="22"/>
          <w:szCs w:val="22"/>
        </w:rPr>
        <w:t xml:space="preserve"> </w:t>
      </w:r>
      <w:r>
        <w:rPr>
          <w:sz w:val="22"/>
          <w:szCs w:val="22"/>
        </w:rPr>
        <w:t>U monitorovacího indikátoru 74532 v aktivitě 3.3 b) je ve stavu závazku 133,3</w:t>
      </w:r>
      <w:r w:rsidR="00293829">
        <w:rPr>
          <w:sz w:val="22"/>
          <w:szCs w:val="22"/>
        </w:rPr>
        <w:t xml:space="preserve"> </w:t>
      </w:r>
      <w:r>
        <w:rPr>
          <w:sz w:val="22"/>
          <w:szCs w:val="22"/>
        </w:rPr>
        <w:t>% projektů a hodnota projektů s vydaným Rozhodnutím činí 69</w:t>
      </w:r>
      <w:r w:rsidR="00293829">
        <w:rPr>
          <w:sz w:val="22"/>
          <w:szCs w:val="22"/>
        </w:rPr>
        <w:t xml:space="preserve"> </w:t>
      </w:r>
      <w:r>
        <w:rPr>
          <w:sz w:val="22"/>
          <w:szCs w:val="22"/>
        </w:rPr>
        <w:t xml:space="preserve">%. </w:t>
      </w:r>
    </w:p>
    <w:p w:rsidR="00DD6F98" w:rsidRDefault="00DD6F98" w:rsidP="00274138">
      <w:pPr>
        <w:jc w:val="both"/>
        <w:rPr>
          <w:sz w:val="22"/>
          <w:szCs w:val="22"/>
        </w:rPr>
      </w:pPr>
    </w:p>
    <w:p w:rsidR="00274138" w:rsidRDefault="00274138" w:rsidP="00274138">
      <w:pPr>
        <w:jc w:val="both"/>
        <w:rPr>
          <w:sz w:val="22"/>
          <w:szCs w:val="22"/>
        </w:rPr>
      </w:pPr>
      <w:r>
        <w:rPr>
          <w:sz w:val="22"/>
          <w:szCs w:val="22"/>
        </w:rPr>
        <w:t xml:space="preserve">U indikátoru 74521 </w:t>
      </w:r>
      <w:r w:rsidR="004D4261" w:rsidRPr="004D4261">
        <w:rPr>
          <w:b/>
          <w:sz w:val="22"/>
          <w:szCs w:val="22"/>
        </w:rPr>
        <w:t>„</w:t>
      </w:r>
      <w:r w:rsidRPr="004D4261">
        <w:rPr>
          <w:b/>
          <w:sz w:val="22"/>
          <w:szCs w:val="22"/>
        </w:rPr>
        <w:t>Nárůst kvality pracovního prostředí</w:t>
      </w:r>
      <w:r w:rsidR="004D4261">
        <w:rPr>
          <w:sz w:val="22"/>
          <w:szCs w:val="22"/>
        </w:rPr>
        <w:t>“</w:t>
      </w:r>
      <w:r>
        <w:rPr>
          <w:sz w:val="22"/>
          <w:szCs w:val="22"/>
        </w:rPr>
        <w:t>, který je spojen s aktivitou 3.3 a), se ve stavu závazku nachází 108,3</w:t>
      </w:r>
      <w:r w:rsidR="00293829">
        <w:rPr>
          <w:sz w:val="22"/>
          <w:szCs w:val="22"/>
        </w:rPr>
        <w:t xml:space="preserve"> </w:t>
      </w:r>
      <w:r>
        <w:rPr>
          <w:sz w:val="22"/>
          <w:szCs w:val="22"/>
        </w:rPr>
        <w:t>% projektů, hodnota projektů s vydaným Rozhodnutím je na hodnotě 72,38</w:t>
      </w:r>
      <w:r w:rsidR="00293829">
        <w:rPr>
          <w:sz w:val="22"/>
          <w:szCs w:val="22"/>
        </w:rPr>
        <w:t xml:space="preserve"> </w:t>
      </w:r>
      <w:r>
        <w:rPr>
          <w:sz w:val="22"/>
          <w:szCs w:val="22"/>
        </w:rPr>
        <w:t>%.</w:t>
      </w:r>
    </w:p>
    <w:p w:rsidR="00274138" w:rsidRDefault="00274138" w:rsidP="00274138">
      <w:pPr>
        <w:jc w:val="both"/>
        <w:rPr>
          <w:sz w:val="22"/>
          <w:szCs w:val="22"/>
        </w:rPr>
      </w:pPr>
      <w:r>
        <w:rPr>
          <w:sz w:val="22"/>
          <w:szCs w:val="22"/>
        </w:rPr>
        <w:t>Plnění cílových hodnot monitorovacích indikátorů v aktivitě 3.3 a) a b) významně ovlivňuje průběh realizace rozsáhlých projektů, zejména ÚP ČR Praha a odstoupení projektu ÚP ČR Pardubice.</w:t>
      </w:r>
    </w:p>
    <w:p w:rsidR="00274138" w:rsidRPr="00090BC4" w:rsidRDefault="00274138" w:rsidP="00274138">
      <w:pPr>
        <w:jc w:val="both"/>
        <w:rPr>
          <w:sz w:val="22"/>
          <w:szCs w:val="22"/>
        </w:rPr>
      </w:pPr>
    </w:p>
    <w:p w:rsidR="00C82B02" w:rsidRPr="00FE3FE9" w:rsidRDefault="00C82B02" w:rsidP="00C82B02">
      <w:pPr>
        <w:jc w:val="both"/>
        <w:rPr>
          <w:b/>
          <w:sz w:val="22"/>
          <w:szCs w:val="22"/>
        </w:rPr>
      </w:pPr>
      <w:r w:rsidRPr="00FE3FE9">
        <w:rPr>
          <w:b/>
          <w:sz w:val="22"/>
          <w:szCs w:val="22"/>
        </w:rPr>
        <w:t>Oblast intervence 3.</w:t>
      </w:r>
      <w:r>
        <w:rPr>
          <w:b/>
          <w:sz w:val="22"/>
          <w:szCs w:val="22"/>
        </w:rPr>
        <w:t>4</w:t>
      </w:r>
    </w:p>
    <w:p w:rsidR="003C30F3" w:rsidRPr="003C30F3" w:rsidRDefault="003C30F3" w:rsidP="003C30F3">
      <w:pPr>
        <w:jc w:val="both"/>
        <w:rPr>
          <w:sz w:val="22"/>
          <w:szCs w:val="22"/>
        </w:rPr>
      </w:pPr>
      <w:r w:rsidRPr="003C30F3">
        <w:rPr>
          <w:sz w:val="22"/>
          <w:szCs w:val="22"/>
        </w:rPr>
        <w:t xml:space="preserve">Indikátor </w:t>
      </w:r>
      <w:r w:rsidRPr="003C30F3">
        <w:rPr>
          <w:b/>
          <w:bCs/>
          <w:sz w:val="22"/>
          <w:szCs w:val="22"/>
        </w:rPr>
        <w:t>260407 Počet operačních středisek IZS s provedenou integrací ICT</w:t>
      </w:r>
    </w:p>
    <w:p w:rsidR="003C30F3" w:rsidRPr="003C30F3" w:rsidRDefault="003C30F3" w:rsidP="003C30F3">
      <w:pPr>
        <w:jc w:val="both"/>
        <w:rPr>
          <w:sz w:val="22"/>
          <w:szCs w:val="22"/>
        </w:rPr>
      </w:pPr>
      <w:r w:rsidRPr="003C30F3">
        <w:rPr>
          <w:sz w:val="22"/>
          <w:szCs w:val="22"/>
        </w:rPr>
        <w:t>Hodnota indikátoru je v současné době 0 z důvodu zpoždění napojení Integrovaného operačního střediska složky na Národní informační systém IZS. Dokončením projektu NIS IZS dojde k plnění indikátoru.</w:t>
      </w:r>
    </w:p>
    <w:p w:rsidR="003C30F3" w:rsidRPr="003C30F3" w:rsidRDefault="003C30F3" w:rsidP="003C30F3">
      <w:pPr>
        <w:jc w:val="both"/>
        <w:rPr>
          <w:sz w:val="22"/>
          <w:szCs w:val="22"/>
        </w:rPr>
      </w:pPr>
    </w:p>
    <w:p w:rsidR="003C30F3" w:rsidRPr="003C30F3" w:rsidRDefault="003C30F3" w:rsidP="003C30F3">
      <w:pPr>
        <w:jc w:val="both"/>
        <w:rPr>
          <w:b/>
          <w:bCs/>
          <w:sz w:val="22"/>
          <w:szCs w:val="22"/>
        </w:rPr>
      </w:pPr>
      <w:r w:rsidRPr="003C30F3">
        <w:rPr>
          <w:sz w:val="22"/>
          <w:szCs w:val="22"/>
        </w:rPr>
        <w:t xml:space="preserve">Indikátor </w:t>
      </w:r>
      <w:r w:rsidRPr="003C30F3">
        <w:rPr>
          <w:b/>
          <w:bCs/>
          <w:sz w:val="22"/>
          <w:szCs w:val="22"/>
        </w:rPr>
        <w:t>260408 Počet nově vybudovaných logistických základen</w:t>
      </w:r>
      <w:r w:rsidRPr="003C30F3">
        <w:rPr>
          <w:sz w:val="22"/>
          <w:szCs w:val="22"/>
        </w:rPr>
        <w:t xml:space="preserve"> a </w:t>
      </w:r>
      <w:r w:rsidRPr="003C30F3">
        <w:rPr>
          <w:b/>
          <w:bCs/>
          <w:sz w:val="22"/>
          <w:szCs w:val="22"/>
        </w:rPr>
        <w:t>260404 Vytvoření nových kapacit pro efektivní zajištění  poskytování humanitární pomoci jiným zemím</w:t>
      </w:r>
    </w:p>
    <w:p w:rsidR="003C30F3" w:rsidRPr="003C30F3" w:rsidRDefault="003C30F3" w:rsidP="003C30F3">
      <w:pPr>
        <w:jc w:val="both"/>
        <w:rPr>
          <w:sz w:val="22"/>
          <w:szCs w:val="22"/>
        </w:rPr>
      </w:pPr>
      <w:r w:rsidRPr="003C30F3">
        <w:rPr>
          <w:bCs/>
          <w:sz w:val="22"/>
          <w:szCs w:val="22"/>
        </w:rPr>
        <w:t>Ve velkém projektu došlo k prodloužení termínu realizace projektu a jeho dokončením budou indikátory naplněny. V současné době činí hodnota indikátoru 1 z cílového počtu 2 a v indikátoru 260404 2500 m² z cílových 3450 m².</w:t>
      </w:r>
    </w:p>
    <w:p w:rsidR="003C30F3" w:rsidRPr="003C30F3" w:rsidRDefault="003C30F3" w:rsidP="003C30F3">
      <w:pPr>
        <w:jc w:val="both"/>
        <w:rPr>
          <w:sz w:val="22"/>
          <w:szCs w:val="22"/>
        </w:rPr>
      </w:pPr>
    </w:p>
    <w:p w:rsidR="003C30F3" w:rsidRPr="003C30F3" w:rsidRDefault="003C30F3" w:rsidP="003C30F3">
      <w:pPr>
        <w:jc w:val="both"/>
        <w:rPr>
          <w:sz w:val="22"/>
          <w:szCs w:val="22"/>
        </w:rPr>
      </w:pPr>
      <w:r w:rsidRPr="003C30F3">
        <w:rPr>
          <w:sz w:val="22"/>
          <w:szCs w:val="22"/>
        </w:rPr>
        <w:t xml:space="preserve">Indikátor </w:t>
      </w:r>
      <w:r w:rsidRPr="003C30F3">
        <w:rPr>
          <w:b/>
          <w:bCs/>
          <w:sz w:val="22"/>
          <w:szCs w:val="22"/>
        </w:rPr>
        <w:t xml:space="preserve">260410 Počet modernizovaných nebo vybudovaných kontaktních pracovišť typu Front </w:t>
      </w:r>
      <w:proofErr w:type="spellStart"/>
      <w:r w:rsidRPr="003C30F3">
        <w:rPr>
          <w:b/>
          <w:bCs/>
          <w:sz w:val="22"/>
          <w:szCs w:val="22"/>
        </w:rPr>
        <w:t>office</w:t>
      </w:r>
      <w:proofErr w:type="spellEnd"/>
      <w:r w:rsidRPr="003C30F3">
        <w:rPr>
          <w:b/>
          <w:bCs/>
          <w:sz w:val="22"/>
          <w:szCs w:val="22"/>
        </w:rPr>
        <w:t xml:space="preserve"> napojených do sítě IZS</w:t>
      </w:r>
      <w:r w:rsidRPr="003C30F3">
        <w:rPr>
          <w:sz w:val="22"/>
          <w:szCs w:val="22"/>
        </w:rPr>
        <w:t xml:space="preserve"> je naplněn na 99,73 % cílové hodnoty.</w:t>
      </w:r>
    </w:p>
    <w:p w:rsidR="003C30F3" w:rsidRPr="003C30F3" w:rsidRDefault="003C30F3" w:rsidP="003C30F3">
      <w:pPr>
        <w:jc w:val="both"/>
        <w:rPr>
          <w:sz w:val="22"/>
          <w:szCs w:val="22"/>
        </w:rPr>
      </w:pPr>
    </w:p>
    <w:p w:rsidR="003C30F3" w:rsidRPr="003C30F3" w:rsidRDefault="003C30F3" w:rsidP="003C30F3">
      <w:pPr>
        <w:jc w:val="both"/>
        <w:rPr>
          <w:b/>
          <w:sz w:val="22"/>
          <w:szCs w:val="22"/>
        </w:rPr>
      </w:pPr>
      <w:r w:rsidRPr="003C30F3">
        <w:rPr>
          <w:sz w:val="22"/>
          <w:szCs w:val="22"/>
        </w:rPr>
        <w:t xml:space="preserve">Indikátor </w:t>
      </w:r>
      <w:r w:rsidRPr="003C30F3">
        <w:rPr>
          <w:b/>
          <w:sz w:val="22"/>
          <w:szCs w:val="22"/>
        </w:rPr>
        <w:t>260412 Počet technologických zařízení k eliminaci hrozeb či následků bezpečnostních rizik</w:t>
      </w:r>
    </w:p>
    <w:p w:rsidR="003C30F3" w:rsidRPr="003C30F3" w:rsidRDefault="003C30F3" w:rsidP="003C30F3">
      <w:pPr>
        <w:jc w:val="both"/>
        <w:rPr>
          <w:sz w:val="22"/>
          <w:szCs w:val="22"/>
        </w:rPr>
      </w:pPr>
      <w:r w:rsidRPr="003C30F3">
        <w:rPr>
          <w:sz w:val="22"/>
          <w:szCs w:val="22"/>
        </w:rPr>
        <w:t>V současné době činí hodnota indikátoru 373 z celkového počtu 3</w:t>
      </w:r>
      <w:r w:rsidR="00293829">
        <w:rPr>
          <w:sz w:val="22"/>
          <w:szCs w:val="22"/>
        </w:rPr>
        <w:t xml:space="preserve"> </w:t>
      </w:r>
      <w:r w:rsidRPr="003C30F3">
        <w:rPr>
          <w:sz w:val="22"/>
          <w:szCs w:val="22"/>
        </w:rPr>
        <w:t>286. Hodnota závazku ze schválených projektů činí počet 7</w:t>
      </w:r>
      <w:r w:rsidR="00293829">
        <w:rPr>
          <w:sz w:val="22"/>
          <w:szCs w:val="22"/>
        </w:rPr>
        <w:t xml:space="preserve"> </w:t>
      </w:r>
      <w:r w:rsidRPr="003C30F3">
        <w:rPr>
          <w:sz w:val="22"/>
          <w:szCs w:val="22"/>
        </w:rPr>
        <w:t>145, což představuje 217,44 % naplnění indikátoru a postupným ukončováním projektů dojde k plnění indikátoru. V současné době se míra prostředků pod vydaným Rozhodnutím/Stanovením výdajů pohybuje na úrovni 107,49 %.</w:t>
      </w:r>
    </w:p>
    <w:p w:rsidR="00274138" w:rsidRPr="003C30F3" w:rsidRDefault="00274138" w:rsidP="005502E3">
      <w:pPr>
        <w:jc w:val="both"/>
        <w:rPr>
          <w:sz w:val="22"/>
          <w:szCs w:val="22"/>
        </w:rPr>
      </w:pPr>
    </w:p>
    <w:p w:rsidR="00DB0C1D" w:rsidRDefault="000B4F62" w:rsidP="000B4F62">
      <w:pPr>
        <w:pStyle w:val="Tabulkanzev"/>
        <w:rPr>
          <w:rStyle w:val="Siln"/>
        </w:rPr>
      </w:pPr>
      <w:bookmarkStart w:id="99" w:name="_Toc433873558"/>
      <w:r w:rsidRPr="007125EE">
        <w:rPr>
          <w:rStyle w:val="Siln"/>
        </w:rPr>
        <w:t>Indikátory výstupu</w:t>
      </w:r>
      <w:bookmarkEnd w:id="99"/>
    </w:p>
    <w:tbl>
      <w:tblPr>
        <w:tblW w:w="9148" w:type="dxa"/>
        <w:tblInd w:w="55" w:type="dxa"/>
        <w:tblBorders>
          <w:top w:val="single" w:sz="8" w:space="0" w:color="1F497D" w:themeColor="text2"/>
          <w:left w:val="single" w:sz="8" w:space="0" w:color="1F497D" w:themeColor="text2"/>
          <w:bottom w:val="single" w:sz="8" w:space="0" w:color="1F497D" w:themeColor="text2"/>
          <w:right w:val="single" w:sz="8" w:space="0" w:color="1F497D" w:themeColor="text2"/>
          <w:insideH w:val="single" w:sz="8" w:space="0" w:color="1F497D" w:themeColor="text2"/>
          <w:insideV w:val="single" w:sz="8" w:space="0" w:color="1F497D" w:themeColor="text2"/>
        </w:tblBorders>
        <w:tblCellMar>
          <w:left w:w="70" w:type="dxa"/>
          <w:right w:w="70" w:type="dxa"/>
        </w:tblCellMar>
        <w:tblLook w:val="04A0" w:firstRow="1" w:lastRow="0" w:firstColumn="1" w:lastColumn="0" w:noHBand="0" w:noVBand="1"/>
      </w:tblPr>
      <w:tblGrid>
        <w:gridCol w:w="1026"/>
        <w:gridCol w:w="1554"/>
        <w:gridCol w:w="957"/>
        <w:gridCol w:w="899"/>
        <w:gridCol w:w="899"/>
        <w:gridCol w:w="1256"/>
        <w:gridCol w:w="1079"/>
        <w:gridCol w:w="1478"/>
      </w:tblGrid>
      <w:tr w:rsidR="00704FAB" w:rsidRPr="0077267C" w:rsidTr="002E5B61">
        <w:trPr>
          <w:trHeight w:val="1033"/>
          <w:tblHeader/>
        </w:trPr>
        <w:tc>
          <w:tcPr>
            <w:tcW w:w="1026" w:type="dxa"/>
            <w:shd w:val="clear" w:color="000000" w:fill="C5D9F1"/>
            <w:vAlign w:val="center"/>
            <w:hideMark/>
          </w:tcPr>
          <w:p w:rsidR="00704FAB" w:rsidRPr="00704FAB" w:rsidRDefault="00704FAB" w:rsidP="00704FAB">
            <w:pPr>
              <w:jc w:val="center"/>
              <w:rPr>
                <w:b/>
                <w:bCs/>
              </w:rPr>
            </w:pPr>
            <w:r w:rsidRPr="00704FAB">
              <w:rPr>
                <w:b/>
                <w:bCs/>
              </w:rPr>
              <w:t>Kód</w:t>
            </w:r>
          </w:p>
        </w:tc>
        <w:tc>
          <w:tcPr>
            <w:tcW w:w="1554" w:type="dxa"/>
            <w:shd w:val="clear" w:color="000000" w:fill="C5D9F1"/>
            <w:vAlign w:val="center"/>
            <w:hideMark/>
          </w:tcPr>
          <w:p w:rsidR="00704FAB" w:rsidRPr="00704FAB" w:rsidRDefault="00704FAB" w:rsidP="00704FAB">
            <w:pPr>
              <w:jc w:val="center"/>
              <w:rPr>
                <w:b/>
                <w:bCs/>
              </w:rPr>
            </w:pPr>
            <w:r w:rsidRPr="00704FAB">
              <w:rPr>
                <w:b/>
                <w:bCs/>
              </w:rPr>
              <w:t>Název indikátoru</w:t>
            </w:r>
          </w:p>
        </w:tc>
        <w:tc>
          <w:tcPr>
            <w:tcW w:w="957" w:type="dxa"/>
            <w:shd w:val="clear" w:color="000000" w:fill="C5D9F1"/>
            <w:vAlign w:val="center"/>
            <w:hideMark/>
          </w:tcPr>
          <w:p w:rsidR="00704FAB" w:rsidRPr="00704FAB" w:rsidRDefault="00704FAB" w:rsidP="00704FAB">
            <w:pPr>
              <w:jc w:val="center"/>
              <w:rPr>
                <w:b/>
                <w:bCs/>
              </w:rPr>
            </w:pPr>
            <w:r w:rsidRPr="00704FAB">
              <w:rPr>
                <w:b/>
                <w:bCs/>
              </w:rPr>
              <w:t>Měrná jednotka</w:t>
            </w:r>
          </w:p>
        </w:tc>
        <w:tc>
          <w:tcPr>
            <w:tcW w:w="899" w:type="dxa"/>
            <w:shd w:val="clear" w:color="000000" w:fill="C5D9F1"/>
            <w:vAlign w:val="center"/>
            <w:hideMark/>
          </w:tcPr>
          <w:p w:rsidR="00704FAB" w:rsidRPr="00704FAB" w:rsidRDefault="00704FAB" w:rsidP="00704FAB">
            <w:pPr>
              <w:jc w:val="center"/>
              <w:rPr>
                <w:b/>
                <w:bCs/>
              </w:rPr>
            </w:pPr>
            <w:r w:rsidRPr="00704FAB">
              <w:rPr>
                <w:b/>
                <w:bCs/>
              </w:rPr>
              <w:t xml:space="preserve">Výchozí hodnota </w:t>
            </w:r>
          </w:p>
        </w:tc>
        <w:tc>
          <w:tcPr>
            <w:tcW w:w="899" w:type="dxa"/>
            <w:shd w:val="clear" w:color="000000" w:fill="C5D9F1"/>
            <w:vAlign w:val="center"/>
            <w:hideMark/>
          </w:tcPr>
          <w:p w:rsidR="00704FAB" w:rsidRPr="00704FAB" w:rsidRDefault="00704FAB" w:rsidP="00704FAB">
            <w:pPr>
              <w:jc w:val="center"/>
              <w:rPr>
                <w:b/>
                <w:bCs/>
              </w:rPr>
            </w:pPr>
            <w:r w:rsidRPr="00704FAB">
              <w:rPr>
                <w:b/>
                <w:bCs/>
              </w:rPr>
              <w:t>Cílová hodnota</w:t>
            </w:r>
          </w:p>
        </w:tc>
        <w:tc>
          <w:tcPr>
            <w:tcW w:w="1256" w:type="dxa"/>
            <w:shd w:val="clear" w:color="000000" w:fill="C5D9F1"/>
            <w:vAlign w:val="center"/>
            <w:hideMark/>
          </w:tcPr>
          <w:p w:rsidR="00704FAB" w:rsidRPr="00704FAB" w:rsidRDefault="00704FAB" w:rsidP="00704FAB">
            <w:pPr>
              <w:jc w:val="center"/>
              <w:rPr>
                <w:b/>
                <w:bCs/>
              </w:rPr>
            </w:pPr>
            <w:r w:rsidRPr="00704FAB">
              <w:rPr>
                <w:b/>
                <w:bCs/>
              </w:rPr>
              <w:t>Závazek ze schválených projektů</w:t>
            </w:r>
          </w:p>
        </w:tc>
        <w:tc>
          <w:tcPr>
            <w:tcW w:w="1079" w:type="dxa"/>
            <w:shd w:val="clear" w:color="000000" w:fill="C5D9F1"/>
            <w:vAlign w:val="center"/>
            <w:hideMark/>
          </w:tcPr>
          <w:p w:rsidR="00704FAB" w:rsidRPr="00704FAB" w:rsidRDefault="00704FAB" w:rsidP="00704FAB">
            <w:pPr>
              <w:jc w:val="center"/>
              <w:rPr>
                <w:b/>
                <w:bCs/>
              </w:rPr>
            </w:pPr>
            <w:r w:rsidRPr="00704FAB">
              <w:rPr>
                <w:b/>
                <w:bCs/>
              </w:rPr>
              <w:t>Dosažená hodnota k 30. 9. 2015</w:t>
            </w:r>
          </w:p>
        </w:tc>
        <w:tc>
          <w:tcPr>
            <w:tcW w:w="1478" w:type="dxa"/>
            <w:shd w:val="clear" w:color="000000" w:fill="C5D9F1"/>
            <w:vAlign w:val="center"/>
            <w:hideMark/>
          </w:tcPr>
          <w:p w:rsidR="00704FAB" w:rsidRPr="00704FAB" w:rsidRDefault="00704FAB" w:rsidP="00704FAB">
            <w:pPr>
              <w:jc w:val="center"/>
              <w:rPr>
                <w:b/>
                <w:bCs/>
              </w:rPr>
            </w:pPr>
            <w:r w:rsidRPr="00704FAB">
              <w:rPr>
                <w:b/>
                <w:bCs/>
              </w:rPr>
              <w:t>V Rozhodnutí k 30. 9. 2015</w:t>
            </w:r>
          </w:p>
        </w:tc>
      </w:tr>
      <w:tr w:rsidR="00704FAB" w:rsidRPr="0077267C" w:rsidTr="0077267C">
        <w:trPr>
          <w:trHeight w:val="719"/>
        </w:trPr>
        <w:tc>
          <w:tcPr>
            <w:tcW w:w="1026" w:type="dxa"/>
            <w:shd w:val="clear" w:color="000000" w:fill="FFFFFF"/>
            <w:vAlign w:val="center"/>
            <w:hideMark/>
          </w:tcPr>
          <w:p w:rsidR="00704FAB" w:rsidRPr="00704FAB" w:rsidRDefault="00704FAB" w:rsidP="0077267C">
            <w:pPr>
              <w:jc w:val="center"/>
              <w:rPr>
                <w:sz w:val="18"/>
                <w:szCs w:val="18"/>
              </w:rPr>
            </w:pPr>
            <w:r w:rsidRPr="00704FAB">
              <w:rPr>
                <w:sz w:val="18"/>
                <w:szCs w:val="18"/>
              </w:rPr>
              <w:t>330300</w:t>
            </w:r>
          </w:p>
        </w:tc>
        <w:tc>
          <w:tcPr>
            <w:tcW w:w="1554" w:type="dxa"/>
            <w:shd w:val="clear" w:color="000000" w:fill="FFFFFF"/>
            <w:vAlign w:val="bottom"/>
            <w:hideMark/>
          </w:tcPr>
          <w:p w:rsidR="00704FAB" w:rsidRPr="00704FAB" w:rsidRDefault="00704FAB" w:rsidP="00704FAB">
            <w:pPr>
              <w:rPr>
                <w:sz w:val="18"/>
                <w:szCs w:val="18"/>
              </w:rPr>
            </w:pPr>
            <w:r w:rsidRPr="00704FAB">
              <w:rPr>
                <w:sz w:val="18"/>
                <w:szCs w:val="18"/>
              </w:rPr>
              <w:t xml:space="preserve">Počet projektů zaměřených na sociální inkluzi </w:t>
            </w:r>
          </w:p>
        </w:tc>
        <w:tc>
          <w:tcPr>
            <w:tcW w:w="957" w:type="dxa"/>
            <w:shd w:val="clear" w:color="000000" w:fill="FFFFFF"/>
            <w:noWrap/>
            <w:vAlign w:val="center"/>
            <w:hideMark/>
          </w:tcPr>
          <w:p w:rsidR="00704FAB" w:rsidRPr="00704FAB" w:rsidRDefault="00704FAB" w:rsidP="00704FAB">
            <w:pPr>
              <w:jc w:val="center"/>
              <w:rPr>
                <w:sz w:val="18"/>
                <w:szCs w:val="18"/>
              </w:rPr>
            </w:pPr>
            <w:r w:rsidRPr="00704FAB">
              <w:rPr>
                <w:sz w:val="18"/>
                <w:szCs w:val="18"/>
              </w:rPr>
              <w:t>Počet</w:t>
            </w:r>
          </w:p>
        </w:tc>
        <w:tc>
          <w:tcPr>
            <w:tcW w:w="899" w:type="dxa"/>
            <w:shd w:val="clear" w:color="000000" w:fill="FFFFFF"/>
            <w:noWrap/>
            <w:vAlign w:val="center"/>
            <w:hideMark/>
          </w:tcPr>
          <w:p w:rsidR="00704FAB" w:rsidRPr="00704FAB" w:rsidRDefault="00704FAB" w:rsidP="00704FAB">
            <w:pPr>
              <w:jc w:val="center"/>
              <w:rPr>
                <w:sz w:val="18"/>
                <w:szCs w:val="18"/>
              </w:rPr>
            </w:pPr>
            <w:r w:rsidRPr="00704FAB">
              <w:rPr>
                <w:sz w:val="18"/>
                <w:szCs w:val="18"/>
              </w:rPr>
              <w:t>0</w:t>
            </w:r>
          </w:p>
        </w:tc>
        <w:tc>
          <w:tcPr>
            <w:tcW w:w="899" w:type="dxa"/>
            <w:shd w:val="clear" w:color="000000" w:fill="FFFFFF"/>
            <w:noWrap/>
            <w:vAlign w:val="center"/>
            <w:hideMark/>
          </w:tcPr>
          <w:p w:rsidR="00704FAB" w:rsidRPr="00704FAB" w:rsidRDefault="00704FAB" w:rsidP="00704FAB">
            <w:pPr>
              <w:jc w:val="center"/>
              <w:rPr>
                <w:sz w:val="18"/>
                <w:szCs w:val="18"/>
              </w:rPr>
            </w:pPr>
            <w:r w:rsidRPr="00704FAB">
              <w:rPr>
                <w:sz w:val="18"/>
                <w:szCs w:val="18"/>
              </w:rPr>
              <w:t>127</w:t>
            </w:r>
          </w:p>
        </w:tc>
        <w:tc>
          <w:tcPr>
            <w:tcW w:w="1256" w:type="dxa"/>
            <w:shd w:val="clear" w:color="000000" w:fill="FFFFFF"/>
            <w:vAlign w:val="center"/>
            <w:hideMark/>
          </w:tcPr>
          <w:p w:rsidR="00704FAB" w:rsidRPr="00704FAB" w:rsidRDefault="00704FAB" w:rsidP="00704FAB">
            <w:pPr>
              <w:jc w:val="center"/>
              <w:rPr>
                <w:sz w:val="18"/>
                <w:szCs w:val="18"/>
              </w:rPr>
            </w:pPr>
            <w:r w:rsidRPr="00704FAB">
              <w:rPr>
                <w:sz w:val="18"/>
                <w:szCs w:val="18"/>
              </w:rPr>
              <w:t>128</w:t>
            </w:r>
          </w:p>
        </w:tc>
        <w:tc>
          <w:tcPr>
            <w:tcW w:w="1079" w:type="dxa"/>
            <w:shd w:val="clear" w:color="000000" w:fill="FFFFFF"/>
            <w:vAlign w:val="center"/>
            <w:hideMark/>
          </w:tcPr>
          <w:p w:rsidR="00704FAB" w:rsidRPr="00704FAB" w:rsidRDefault="00704FAB" w:rsidP="00704FAB">
            <w:pPr>
              <w:jc w:val="center"/>
              <w:rPr>
                <w:sz w:val="18"/>
                <w:szCs w:val="18"/>
              </w:rPr>
            </w:pPr>
            <w:r w:rsidRPr="00704FAB">
              <w:rPr>
                <w:sz w:val="18"/>
                <w:szCs w:val="18"/>
              </w:rPr>
              <w:t>113</w:t>
            </w:r>
          </w:p>
        </w:tc>
        <w:tc>
          <w:tcPr>
            <w:tcW w:w="1478" w:type="dxa"/>
            <w:shd w:val="clear" w:color="000000" w:fill="FFFFFF"/>
            <w:noWrap/>
            <w:vAlign w:val="center"/>
            <w:hideMark/>
          </w:tcPr>
          <w:p w:rsidR="00704FAB" w:rsidRPr="00704FAB" w:rsidRDefault="00704FAB" w:rsidP="00704FAB">
            <w:pPr>
              <w:jc w:val="right"/>
              <w:rPr>
                <w:sz w:val="18"/>
                <w:szCs w:val="18"/>
              </w:rPr>
            </w:pPr>
            <w:r w:rsidRPr="00704FAB">
              <w:rPr>
                <w:sz w:val="18"/>
                <w:szCs w:val="18"/>
              </w:rPr>
              <w:t>1 321 854 024</w:t>
            </w:r>
          </w:p>
        </w:tc>
      </w:tr>
      <w:tr w:rsidR="00704FAB" w:rsidRPr="0077267C" w:rsidTr="0077267C">
        <w:trPr>
          <w:trHeight w:val="479"/>
        </w:trPr>
        <w:tc>
          <w:tcPr>
            <w:tcW w:w="1026" w:type="dxa"/>
            <w:shd w:val="clear" w:color="000000" w:fill="FFFFFF"/>
            <w:noWrap/>
            <w:vAlign w:val="center"/>
            <w:hideMark/>
          </w:tcPr>
          <w:p w:rsidR="00704FAB" w:rsidRPr="00704FAB" w:rsidRDefault="00704FAB" w:rsidP="0077267C">
            <w:pPr>
              <w:jc w:val="center"/>
              <w:rPr>
                <w:sz w:val="18"/>
                <w:szCs w:val="18"/>
              </w:rPr>
            </w:pPr>
            <w:r w:rsidRPr="00704FAB">
              <w:rPr>
                <w:sz w:val="18"/>
                <w:szCs w:val="18"/>
              </w:rPr>
              <w:t>75713</w:t>
            </w:r>
          </w:p>
        </w:tc>
        <w:tc>
          <w:tcPr>
            <w:tcW w:w="1554" w:type="dxa"/>
            <w:shd w:val="clear" w:color="000000" w:fill="FFFFFF"/>
            <w:vAlign w:val="bottom"/>
            <w:hideMark/>
          </w:tcPr>
          <w:p w:rsidR="00704FAB" w:rsidRPr="00704FAB" w:rsidRDefault="00704FAB" w:rsidP="00704FAB">
            <w:pPr>
              <w:rPr>
                <w:sz w:val="18"/>
                <w:szCs w:val="18"/>
              </w:rPr>
            </w:pPr>
            <w:r w:rsidRPr="00704FAB">
              <w:rPr>
                <w:sz w:val="18"/>
                <w:szCs w:val="18"/>
              </w:rPr>
              <w:t>Zařízení realizující transformaci</w:t>
            </w:r>
          </w:p>
        </w:tc>
        <w:tc>
          <w:tcPr>
            <w:tcW w:w="957" w:type="dxa"/>
            <w:shd w:val="clear" w:color="000000" w:fill="FFFFFF"/>
            <w:noWrap/>
            <w:vAlign w:val="center"/>
            <w:hideMark/>
          </w:tcPr>
          <w:p w:rsidR="00704FAB" w:rsidRPr="00704FAB" w:rsidRDefault="00704FAB" w:rsidP="00704FAB">
            <w:pPr>
              <w:jc w:val="center"/>
              <w:rPr>
                <w:sz w:val="18"/>
                <w:szCs w:val="18"/>
              </w:rPr>
            </w:pPr>
            <w:r w:rsidRPr="00704FAB">
              <w:rPr>
                <w:sz w:val="18"/>
                <w:szCs w:val="18"/>
              </w:rPr>
              <w:t>Počet</w:t>
            </w:r>
          </w:p>
        </w:tc>
        <w:tc>
          <w:tcPr>
            <w:tcW w:w="899" w:type="dxa"/>
            <w:shd w:val="clear" w:color="000000" w:fill="FFFFFF"/>
            <w:noWrap/>
            <w:vAlign w:val="center"/>
            <w:hideMark/>
          </w:tcPr>
          <w:p w:rsidR="00704FAB" w:rsidRPr="00704FAB" w:rsidRDefault="00704FAB" w:rsidP="00704FAB">
            <w:pPr>
              <w:jc w:val="center"/>
              <w:rPr>
                <w:sz w:val="18"/>
                <w:szCs w:val="18"/>
              </w:rPr>
            </w:pPr>
            <w:r w:rsidRPr="00704FAB">
              <w:rPr>
                <w:sz w:val="18"/>
                <w:szCs w:val="18"/>
              </w:rPr>
              <w:t>0</w:t>
            </w:r>
          </w:p>
        </w:tc>
        <w:tc>
          <w:tcPr>
            <w:tcW w:w="899" w:type="dxa"/>
            <w:shd w:val="clear" w:color="000000" w:fill="FFFFFF"/>
            <w:noWrap/>
            <w:vAlign w:val="center"/>
            <w:hideMark/>
          </w:tcPr>
          <w:p w:rsidR="00704FAB" w:rsidRPr="00704FAB" w:rsidRDefault="00704FAB" w:rsidP="00704FAB">
            <w:pPr>
              <w:jc w:val="center"/>
              <w:rPr>
                <w:sz w:val="18"/>
                <w:szCs w:val="18"/>
              </w:rPr>
            </w:pPr>
            <w:r w:rsidRPr="00704FAB">
              <w:rPr>
                <w:sz w:val="18"/>
                <w:szCs w:val="18"/>
              </w:rPr>
              <w:t>20</w:t>
            </w:r>
          </w:p>
        </w:tc>
        <w:tc>
          <w:tcPr>
            <w:tcW w:w="1256" w:type="dxa"/>
            <w:shd w:val="clear" w:color="000000" w:fill="FFFFFF"/>
            <w:vAlign w:val="center"/>
            <w:hideMark/>
          </w:tcPr>
          <w:p w:rsidR="00704FAB" w:rsidRPr="00704FAB" w:rsidRDefault="00704FAB" w:rsidP="00704FAB">
            <w:pPr>
              <w:jc w:val="center"/>
              <w:rPr>
                <w:sz w:val="18"/>
                <w:szCs w:val="18"/>
              </w:rPr>
            </w:pPr>
            <w:r w:rsidRPr="00704FAB">
              <w:rPr>
                <w:sz w:val="18"/>
                <w:szCs w:val="18"/>
              </w:rPr>
              <w:t>21</w:t>
            </w:r>
          </w:p>
        </w:tc>
        <w:tc>
          <w:tcPr>
            <w:tcW w:w="1079" w:type="dxa"/>
            <w:shd w:val="clear" w:color="000000" w:fill="FFFFFF"/>
            <w:vAlign w:val="center"/>
            <w:hideMark/>
          </w:tcPr>
          <w:p w:rsidR="00704FAB" w:rsidRPr="00704FAB" w:rsidRDefault="00704FAB" w:rsidP="00704FAB">
            <w:pPr>
              <w:jc w:val="center"/>
              <w:rPr>
                <w:sz w:val="18"/>
                <w:szCs w:val="18"/>
              </w:rPr>
            </w:pPr>
            <w:r w:rsidRPr="00704FAB">
              <w:rPr>
                <w:sz w:val="18"/>
                <w:szCs w:val="18"/>
              </w:rPr>
              <w:t>3</w:t>
            </w:r>
          </w:p>
        </w:tc>
        <w:tc>
          <w:tcPr>
            <w:tcW w:w="1478" w:type="dxa"/>
            <w:shd w:val="clear" w:color="000000" w:fill="FFFFFF"/>
            <w:noWrap/>
            <w:vAlign w:val="center"/>
            <w:hideMark/>
          </w:tcPr>
          <w:p w:rsidR="00704FAB" w:rsidRPr="00704FAB" w:rsidRDefault="00704FAB" w:rsidP="00704FAB">
            <w:pPr>
              <w:jc w:val="right"/>
              <w:rPr>
                <w:sz w:val="18"/>
                <w:szCs w:val="18"/>
              </w:rPr>
            </w:pPr>
            <w:r w:rsidRPr="00704FAB">
              <w:rPr>
                <w:sz w:val="18"/>
                <w:szCs w:val="18"/>
              </w:rPr>
              <w:t>997 242 768</w:t>
            </w:r>
          </w:p>
        </w:tc>
      </w:tr>
      <w:tr w:rsidR="00704FAB" w:rsidRPr="0077267C" w:rsidTr="0077267C">
        <w:trPr>
          <w:trHeight w:val="479"/>
        </w:trPr>
        <w:tc>
          <w:tcPr>
            <w:tcW w:w="1026" w:type="dxa"/>
            <w:shd w:val="clear" w:color="000000" w:fill="FFFFFF"/>
            <w:noWrap/>
            <w:vAlign w:val="center"/>
            <w:hideMark/>
          </w:tcPr>
          <w:p w:rsidR="00704FAB" w:rsidRPr="00704FAB" w:rsidRDefault="00704FAB" w:rsidP="0077267C">
            <w:pPr>
              <w:jc w:val="center"/>
              <w:rPr>
                <w:sz w:val="18"/>
                <w:szCs w:val="18"/>
              </w:rPr>
            </w:pPr>
            <w:r w:rsidRPr="00704FAB">
              <w:rPr>
                <w:sz w:val="18"/>
                <w:szCs w:val="18"/>
              </w:rPr>
              <w:t>75714</w:t>
            </w:r>
          </w:p>
        </w:tc>
        <w:tc>
          <w:tcPr>
            <w:tcW w:w="1554" w:type="dxa"/>
            <w:shd w:val="clear" w:color="000000" w:fill="FFFFFF"/>
            <w:vAlign w:val="bottom"/>
            <w:hideMark/>
          </w:tcPr>
          <w:p w:rsidR="00704FAB" w:rsidRPr="00704FAB" w:rsidRDefault="00704FAB" w:rsidP="00704FAB">
            <w:pPr>
              <w:rPr>
                <w:sz w:val="18"/>
                <w:szCs w:val="18"/>
              </w:rPr>
            </w:pPr>
            <w:r w:rsidRPr="00704FAB">
              <w:rPr>
                <w:sz w:val="18"/>
                <w:szCs w:val="18"/>
              </w:rPr>
              <w:t>Počet podpořených organizací</w:t>
            </w:r>
          </w:p>
        </w:tc>
        <w:tc>
          <w:tcPr>
            <w:tcW w:w="957" w:type="dxa"/>
            <w:shd w:val="clear" w:color="000000" w:fill="FFFFFF"/>
            <w:noWrap/>
            <w:vAlign w:val="center"/>
            <w:hideMark/>
          </w:tcPr>
          <w:p w:rsidR="00704FAB" w:rsidRPr="00704FAB" w:rsidRDefault="00704FAB" w:rsidP="00704FAB">
            <w:pPr>
              <w:jc w:val="center"/>
              <w:rPr>
                <w:sz w:val="18"/>
                <w:szCs w:val="18"/>
              </w:rPr>
            </w:pPr>
            <w:r w:rsidRPr="00704FAB">
              <w:rPr>
                <w:sz w:val="18"/>
                <w:szCs w:val="18"/>
              </w:rPr>
              <w:t>Počet</w:t>
            </w:r>
          </w:p>
        </w:tc>
        <w:tc>
          <w:tcPr>
            <w:tcW w:w="899" w:type="dxa"/>
            <w:shd w:val="clear" w:color="000000" w:fill="FFFFFF"/>
            <w:noWrap/>
            <w:vAlign w:val="center"/>
            <w:hideMark/>
          </w:tcPr>
          <w:p w:rsidR="00704FAB" w:rsidRPr="00704FAB" w:rsidRDefault="00704FAB" w:rsidP="00704FAB">
            <w:pPr>
              <w:jc w:val="center"/>
              <w:rPr>
                <w:sz w:val="18"/>
                <w:szCs w:val="18"/>
              </w:rPr>
            </w:pPr>
            <w:r w:rsidRPr="00704FAB">
              <w:rPr>
                <w:sz w:val="18"/>
                <w:szCs w:val="18"/>
              </w:rPr>
              <w:t>0</w:t>
            </w:r>
          </w:p>
        </w:tc>
        <w:tc>
          <w:tcPr>
            <w:tcW w:w="899" w:type="dxa"/>
            <w:shd w:val="clear" w:color="000000" w:fill="FFFFFF"/>
            <w:noWrap/>
            <w:vAlign w:val="center"/>
            <w:hideMark/>
          </w:tcPr>
          <w:p w:rsidR="00704FAB" w:rsidRPr="00704FAB" w:rsidRDefault="00704FAB" w:rsidP="00704FAB">
            <w:pPr>
              <w:jc w:val="center"/>
              <w:rPr>
                <w:sz w:val="18"/>
                <w:szCs w:val="18"/>
              </w:rPr>
            </w:pPr>
            <w:r w:rsidRPr="00704FAB">
              <w:rPr>
                <w:sz w:val="18"/>
                <w:szCs w:val="18"/>
              </w:rPr>
              <w:t>30</w:t>
            </w:r>
          </w:p>
        </w:tc>
        <w:tc>
          <w:tcPr>
            <w:tcW w:w="1256" w:type="dxa"/>
            <w:shd w:val="clear" w:color="000000" w:fill="FFFFFF"/>
            <w:vAlign w:val="center"/>
            <w:hideMark/>
          </w:tcPr>
          <w:p w:rsidR="00704FAB" w:rsidRPr="00704FAB" w:rsidRDefault="00704FAB" w:rsidP="00704FAB">
            <w:pPr>
              <w:jc w:val="center"/>
              <w:rPr>
                <w:sz w:val="18"/>
                <w:szCs w:val="18"/>
              </w:rPr>
            </w:pPr>
            <w:r w:rsidRPr="00704FAB">
              <w:rPr>
                <w:sz w:val="18"/>
                <w:szCs w:val="18"/>
              </w:rPr>
              <w:t>29</w:t>
            </w:r>
          </w:p>
        </w:tc>
        <w:tc>
          <w:tcPr>
            <w:tcW w:w="1079" w:type="dxa"/>
            <w:shd w:val="clear" w:color="000000" w:fill="FFFFFF"/>
            <w:vAlign w:val="center"/>
            <w:hideMark/>
          </w:tcPr>
          <w:p w:rsidR="00704FAB" w:rsidRPr="00704FAB" w:rsidRDefault="00704FAB" w:rsidP="00704FAB">
            <w:pPr>
              <w:jc w:val="center"/>
              <w:rPr>
                <w:sz w:val="18"/>
                <w:szCs w:val="18"/>
              </w:rPr>
            </w:pPr>
            <w:r w:rsidRPr="00704FAB">
              <w:rPr>
                <w:sz w:val="18"/>
                <w:szCs w:val="18"/>
              </w:rPr>
              <w:t>28</w:t>
            </w:r>
          </w:p>
        </w:tc>
        <w:tc>
          <w:tcPr>
            <w:tcW w:w="1478" w:type="dxa"/>
            <w:shd w:val="clear" w:color="000000" w:fill="FFFFFF"/>
            <w:noWrap/>
            <w:vAlign w:val="center"/>
            <w:hideMark/>
          </w:tcPr>
          <w:p w:rsidR="00704FAB" w:rsidRPr="00704FAB" w:rsidRDefault="00704FAB" w:rsidP="00704FAB">
            <w:pPr>
              <w:jc w:val="right"/>
              <w:rPr>
                <w:sz w:val="18"/>
                <w:szCs w:val="18"/>
              </w:rPr>
            </w:pPr>
            <w:r w:rsidRPr="00704FAB">
              <w:rPr>
                <w:sz w:val="18"/>
                <w:szCs w:val="18"/>
              </w:rPr>
              <w:t>215 176 570</w:t>
            </w:r>
          </w:p>
        </w:tc>
      </w:tr>
      <w:tr w:rsidR="00704FAB" w:rsidRPr="0077267C" w:rsidTr="0077267C">
        <w:trPr>
          <w:trHeight w:val="479"/>
        </w:trPr>
        <w:tc>
          <w:tcPr>
            <w:tcW w:w="1026" w:type="dxa"/>
            <w:shd w:val="clear" w:color="000000" w:fill="FFFFFF"/>
            <w:noWrap/>
            <w:vAlign w:val="center"/>
            <w:hideMark/>
          </w:tcPr>
          <w:p w:rsidR="00704FAB" w:rsidRPr="00704FAB" w:rsidRDefault="00704FAB" w:rsidP="0077267C">
            <w:pPr>
              <w:jc w:val="center"/>
              <w:rPr>
                <w:sz w:val="18"/>
                <w:szCs w:val="18"/>
              </w:rPr>
            </w:pPr>
            <w:r w:rsidRPr="00704FAB">
              <w:rPr>
                <w:sz w:val="18"/>
                <w:szCs w:val="18"/>
              </w:rPr>
              <w:t>75802</w:t>
            </w:r>
          </w:p>
        </w:tc>
        <w:tc>
          <w:tcPr>
            <w:tcW w:w="1554" w:type="dxa"/>
            <w:shd w:val="clear" w:color="000000" w:fill="FFFFFF"/>
            <w:vAlign w:val="bottom"/>
            <w:hideMark/>
          </w:tcPr>
          <w:p w:rsidR="00704FAB" w:rsidRPr="00704FAB" w:rsidRDefault="00704FAB" w:rsidP="00704FAB">
            <w:pPr>
              <w:rPr>
                <w:sz w:val="18"/>
                <w:szCs w:val="18"/>
              </w:rPr>
            </w:pPr>
            <w:r w:rsidRPr="00704FAB">
              <w:rPr>
                <w:sz w:val="18"/>
                <w:szCs w:val="18"/>
              </w:rPr>
              <w:t>Počet podpořených subjektů</w:t>
            </w:r>
          </w:p>
        </w:tc>
        <w:tc>
          <w:tcPr>
            <w:tcW w:w="957" w:type="dxa"/>
            <w:shd w:val="clear" w:color="000000" w:fill="FFFFFF"/>
            <w:noWrap/>
            <w:vAlign w:val="center"/>
            <w:hideMark/>
          </w:tcPr>
          <w:p w:rsidR="00704FAB" w:rsidRPr="00704FAB" w:rsidRDefault="00704FAB" w:rsidP="00704FAB">
            <w:pPr>
              <w:jc w:val="center"/>
              <w:rPr>
                <w:sz w:val="18"/>
                <w:szCs w:val="18"/>
              </w:rPr>
            </w:pPr>
            <w:r w:rsidRPr="00704FAB">
              <w:rPr>
                <w:sz w:val="18"/>
                <w:szCs w:val="18"/>
              </w:rPr>
              <w:t>Počet</w:t>
            </w:r>
          </w:p>
        </w:tc>
        <w:tc>
          <w:tcPr>
            <w:tcW w:w="899" w:type="dxa"/>
            <w:shd w:val="clear" w:color="000000" w:fill="FFFFFF"/>
            <w:noWrap/>
            <w:vAlign w:val="center"/>
            <w:hideMark/>
          </w:tcPr>
          <w:p w:rsidR="00704FAB" w:rsidRPr="00704FAB" w:rsidRDefault="00704FAB" w:rsidP="00704FAB">
            <w:pPr>
              <w:jc w:val="center"/>
              <w:rPr>
                <w:sz w:val="18"/>
                <w:szCs w:val="18"/>
              </w:rPr>
            </w:pPr>
            <w:r w:rsidRPr="00704FAB">
              <w:rPr>
                <w:sz w:val="18"/>
                <w:szCs w:val="18"/>
              </w:rPr>
              <w:t>0</w:t>
            </w:r>
          </w:p>
        </w:tc>
        <w:tc>
          <w:tcPr>
            <w:tcW w:w="899" w:type="dxa"/>
            <w:shd w:val="clear" w:color="000000" w:fill="FFFFFF"/>
            <w:noWrap/>
            <w:vAlign w:val="center"/>
            <w:hideMark/>
          </w:tcPr>
          <w:p w:rsidR="00704FAB" w:rsidRPr="00704FAB" w:rsidRDefault="00704FAB" w:rsidP="00704FAB">
            <w:pPr>
              <w:jc w:val="center"/>
              <w:rPr>
                <w:sz w:val="18"/>
                <w:szCs w:val="18"/>
              </w:rPr>
            </w:pPr>
            <w:r w:rsidRPr="00704FAB">
              <w:rPr>
                <w:sz w:val="18"/>
                <w:szCs w:val="18"/>
              </w:rPr>
              <w:t>52</w:t>
            </w:r>
          </w:p>
        </w:tc>
        <w:tc>
          <w:tcPr>
            <w:tcW w:w="1256" w:type="dxa"/>
            <w:shd w:val="clear" w:color="000000" w:fill="FFFFFF"/>
            <w:vAlign w:val="center"/>
            <w:hideMark/>
          </w:tcPr>
          <w:p w:rsidR="00704FAB" w:rsidRPr="00704FAB" w:rsidRDefault="00704FAB" w:rsidP="00704FAB">
            <w:pPr>
              <w:jc w:val="center"/>
              <w:rPr>
                <w:sz w:val="18"/>
                <w:szCs w:val="18"/>
              </w:rPr>
            </w:pPr>
            <w:r w:rsidRPr="00704FAB">
              <w:rPr>
                <w:sz w:val="18"/>
                <w:szCs w:val="18"/>
              </w:rPr>
              <w:t>53</w:t>
            </w:r>
          </w:p>
        </w:tc>
        <w:tc>
          <w:tcPr>
            <w:tcW w:w="1079" w:type="dxa"/>
            <w:shd w:val="clear" w:color="000000" w:fill="FFFFFF"/>
            <w:vAlign w:val="center"/>
            <w:hideMark/>
          </w:tcPr>
          <w:p w:rsidR="00704FAB" w:rsidRPr="00704FAB" w:rsidRDefault="00704FAB" w:rsidP="00704FAB">
            <w:pPr>
              <w:jc w:val="center"/>
              <w:rPr>
                <w:sz w:val="18"/>
                <w:szCs w:val="18"/>
              </w:rPr>
            </w:pPr>
            <w:r w:rsidRPr="00704FAB">
              <w:rPr>
                <w:sz w:val="18"/>
                <w:szCs w:val="18"/>
              </w:rPr>
              <w:t>53</w:t>
            </w:r>
          </w:p>
        </w:tc>
        <w:tc>
          <w:tcPr>
            <w:tcW w:w="1478" w:type="dxa"/>
            <w:shd w:val="clear" w:color="000000" w:fill="FFFFFF"/>
            <w:noWrap/>
            <w:vAlign w:val="center"/>
            <w:hideMark/>
          </w:tcPr>
          <w:p w:rsidR="00704FAB" w:rsidRPr="00704FAB" w:rsidRDefault="00704FAB" w:rsidP="00704FAB">
            <w:pPr>
              <w:jc w:val="right"/>
              <w:rPr>
                <w:sz w:val="18"/>
                <w:szCs w:val="18"/>
              </w:rPr>
            </w:pPr>
            <w:r w:rsidRPr="00704FAB">
              <w:rPr>
                <w:sz w:val="18"/>
                <w:szCs w:val="18"/>
              </w:rPr>
              <w:t>109 434 686</w:t>
            </w:r>
          </w:p>
        </w:tc>
      </w:tr>
      <w:tr w:rsidR="00704FAB" w:rsidRPr="0077267C" w:rsidTr="0077267C">
        <w:trPr>
          <w:trHeight w:val="719"/>
        </w:trPr>
        <w:tc>
          <w:tcPr>
            <w:tcW w:w="1026" w:type="dxa"/>
            <w:shd w:val="clear" w:color="000000" w:fill="FFFFFF"/>
            <w:vAlign w:val="center"/>
            <w:hideMark/>
          </w:tcPr>
          <w:p w:rsidR="00704FAB" w:rsidRPr="00704FAB" w:rsidRDefault="00704FAB" w:rsidP="0077267C">
            <w:pPr>
              <w:jc w:val="center"/>
              <w:rPr>
                <w:sz w:val="18"/>
                <w:szCs w:val="18"/>
              </w:rPr>
            </w:pPr>
            <w:r w:rsidRPr="00704FAB">
              <w:rPr>
                <w:sz w:val="18"/>
                <w:szCs w:val="18"/>
              </w:rPr>
              <w:t>80100</w:t>
            </w:r>
          </w:p>
        </w:tc>
        <w:tc>
          <w:tcPr>
            <w:tcW w:w="1554" w:type="dxa"/>
            <w:shd w:val="clear" w:color="000000" w:fill="FFFFFF"/>
            <w:vAlign w:val="bottom"/>
            <w:hideMark/>
          </w:tcPr>
          <w:p w:rsidR="00704FAB" w:rsidRPr="00704FAB" w:rsidRDefault="00704FAB" w:rsidP="00704FAB">
            <w:pPr>
              <w:rPr>
                <w:sz w:val="18"/>
                <w:szCs w:val="18"/>
              </w:rPr>
            </w:pPr>
            <w:r w:rsidRPr="00704FAB">
              <w:rPr>
                <w:sz w:val="18"/>
                <w:szCs w:val="18"/>
              </w:rPr>
              <w:t>Projekty na podporu zdraví – celkem</w:t>
            </w:r>
          </w:p>
        </w:tc>
        <w:tc>
          <w:tcPr>
            <w:tcW w:w="957" w:type="dxa"/>
            <w:shd w:val="clear" w:color="000000" w:fill="FFFFFF"/>
            <w:noWrap/>
            <w:vAlign w:val="center"/>
            <w:hideMark/>
          </w:tcPr>
          <w:p w:rsidR="00704FAB" w:rsidRPr="00704FAB" w:rsidRDefault="00704FAB" w:rsidP="00704FAB">
            <w:pPr>
              <w:jc w:val="center"/>
              <w:rPr>
                <w:sz w:val="18"/>
                <w:szCs w:val="18"/>
              </w:rPr>
            </w:pPr>
            <w:r w:rsidRPr="00704FAB">
              <w:rPr>
                <w:sz w:val="18"/>
                <w:szCs w:val="18"/>
              </w:rPr>
              <w:t>Počet</w:t>
            </w:r>
          </w:p>
        </w:tc>
        <w:tc>
          <w:tcPr>
            <w:tcW w:w="899" w:type="dxa"/>
            <w:shd w:val="clear" w:color="000000" w:fill="FFFFFF"/>
            <w:noWrap/>
            <w:vAlign w:val="center"/>
            <w:hideMark/>
          </w:tcPr>
          <w:p w:rsidR="00704FAB" w:rsidRPr="00704FAB" w:rsidRDefault="00704FAB" w:rsidP="00704FAB">
            <w:pPr>
              <w:jc w:val="center"/>
              <w:rPr>
                <w:sz w:val="18"/>
                <w:szCs w:val="18"/>
              </w:rPr>
            </w:pPr>
            <w:r w:rsidRPr="00704FAB">
              <w:rPr>
                <w:sz w:val="18"/>
                <w:szCs w:val="18"/>
              </w:rPr>
              <w:t>0</w:t>
            </w:r>
          </w:p>
        </w:tc>
        <w:tc>
          <w:tcPr>
            <w:tcW w:w="899" w:type="dxa"/>
            <w:shd w:val="clear" w:color="000000" w:fill="FFFFFF"/>
            <w:noWrap/>
            <w:vAlign w:val="center"/>
            <w:hideMark/>
          </w:tcPr>
          <w:p w:rsidR="00704FAB" w:rsidRPr="00704FAB" w:rsidRDefault="00704FAB" w:rsidP="00704FAB">
            <w:pPr>
              <w:jc w:val="center"/>
              <w:rPr>
                <w:sz w:val="18"/>
                <w:szCs w:val="18"/>
              </w:rPr>
            </w:pPr>
            <w:r w:rsidRPr="00704FAB">
              <w:rPr>
                <w:sz w:val="18"/>
                <w:szCs w:val="18"/>
              </w:rPr>
              <w:t>110</w:t>
            </w:r>
          </w:p>
        </w:tc>
        <w:tc>
          <w:tcPr>
            <w:tcW w:w="1256" w:type="dxa"/>
            <w:shd w:val="clear" w:color="000000" w:fill="FFFFFF"/>
            <w:vAlign w:val="center"/>
            <w:hideMark/>
          </w:tcPr>
          <w:p w:rsidR="00704FAB" w:rsidRPr="00704FAB" w:rsidRDefault="00704FAB" w:rsidP="00704FAB">
            <w:pPr>
              <w:jc w:val="center"/>
              <w:rPr>
                <w:sz w:val="18"/>
                <w:szCs w:val="18"/>
              </w:rPr>
            </w:pPr>
            <w:r w:rsidRPr="00704FAB">
              <w:rPr>
                <w:sz w:val="18"/>
                <w:szCs w:val="18"/>
              </w:rPr>
              <w:t>212</w:t>
            </w:r>
          </w:p>
        </w:tc>
        <w:tc>
          <w:tcPr>
            <w:tcW w:w="1079" w:type="dxa"/>
            <w:shd w:val="clear" w:color="000000" w:fill="FFFFFF"/>
            <w:vAlign w:val="center"/>
            <w:hideMark/>
          </w:tcPr>
          <w:p w:rsidR="00704FAB" w:rsidRPr="00704FAB" w:rsidRDefault="00704FAB" w:rsidP="00704FAB">
            <w:pPr>
              <w:jc w:val="center"/>
              <w:rPr>
                <w:sz w:val="18"/>
                <w:szCs w:val="18"/>
              </w:rPr>
            </w:pPr>
            <w:r w:rsidRPr="00704FAB">
              <w:rPr>
                <w:sz w:val="18"/>
                <w:szCs w:val="18"/>
              </w:rPr>
              <w:t>173</w:t>
            </w:r>
          </w:p>
        </w:tc>
        <w:tc>
          <w:tcPr>
            <w:tcW w:w="1478" w:type="dxa"/>
            <w:shd w:val="clear" w:color="000000" w:fill="FFFFFF"/>
            <w:noWrap/>
            <w:vAlign w:val="center"/>
            <w:hideMark/>
          </w:tcPr>
          <w:p w:rsidR="00704FAB" w:rsidRPr="00704FAB" w:rsidRDefault="00704FAB" w:rsidP="00704FAB">
            <w:pPr>
              <w:jc w:val="right"/>
              <w:rPr>
                <w:sz w:val="18"/>
                <w:szCs w:val="18"/>
              </w:rPr>
            </w:pPr>
            <w:r w:rsidRPr="00704FAB">
              <w:rPr>
                <w:sz w:val="18"/>
                <w:szCs w:val="18"/>
              </w:rPr>
              <w:t>8 350 692 189</w:t>
            </w:r>
          </w:p>
        </w:tc>
      </w:tr>
      <w:tr w:rsidR="00704FAB" w:rsidRPr="0077267C" w:rsidTr="0077267C">
        <w:trPr>
          <w:trHeight w:val="1198"/>
        </w:trPr>
        <w:tc>
          <w:tcPr>
            <w:tcW w:w="1026" w:type="dxa"/>
            <w:shd w:val="clear" w:color="000000" w:fill="FFFFFF"/>
            <w:noWrap/>
            <w:vAlign w:val="center"/>
            <w:hideMark/>
          </w:tcPr>
          <w:p w:rsidR="00704FAB" w:rsidRPr="00704FAB" w:rsidRDefault="00704FAB" w:rsidP="0077267C">
            <w:pPr>
              <w:jc w:val="center"/>
              <w:rPr>
                <w:sz w:val="18"/>
                <w:szCs w:val="18"/>
              </w:rPr>
            </w:pPr>
            <w:r w:rsidRPr="00704FAB">
              <w:rPr>
                <w:sz w:val="18"/>
                <w:szCs w:val="18"/>
              </w:rPr>
              <w:lastRenderedPageBreak/>
              <w:t>80102</w:t>
            </w:r>
          </w:p>
        </w:tc>
        <w:tc>
          <w:tcPr>
            <w:tcW w:w="1554" w:type="dxa"/>
            <w:shd w:val="clear" w:color="000000" w:fill="FFFFFF"/>
            <w:vAlign w:val="bottom"/>
            <w:hideMark/>
          </w:tcPr>
          <w:p w:rsidR="00704FAB" w:rsidRPr="00704FAB" w:rsidRDefault="00704FAB" w:rsidP="00704FAB">
            <w:pPr>
              <w:rPr>
                <w:sz w:val="18"/>
                <w:szCs w:val="18"/>
              </w:rPr>
            </w:pPr>
            <w:r w:rsidRPr="00704FAB">
              <w:rPr>
                <w:sz w:val="18"/>
                <w:szCs w:val="18"/>
              </w:rPr>
              <w:t xml:space="preserve">Projekty na podporu zdraví – pro modernizaci přístrojového vybavení </w:t>
            </w:r>
          </w:p>
        </w:tc>
        <w:tc>
          <w:tcPr>
            <w:tcW w:w="957" w:type="dxa"/>
            <w:shd w:val="clear" w:color="000000" w:fill="FFFFFF"/>
            <w:noWrap/>
            <w:vAlign w:val="center"/>
            <w:hideMark/>
          </w:tcPr>
          <w:p w:rsidR="00704FAB" w:rsidRPr="00704FAB" w:rsidRDefault="00704FAB" w:rsidP="00704FAB">
            <w:pPr>
              <w:jc w:val="center"/>
              <w:rPr>
                <w:sz w:val="18"/>
                <w:szCs w:val="18"/>
              </w:rPr>
            </w:pPr>
            <w:r w:rsidRPr="00704FAB">
              <w:rPr>
                <w:sz w:val="18"/>
                <w:szCs w:val="18"/>
              </w:rPr>
              <w:t>Počet</w:t>
            </w:r>
          </w:p>
        </w:tc>
        <w:tc>
          <w:tcPr>
            <w:tcW w:w="899" w:type="dxa"/>
            <w:shd w:val="clear" w:color="000000" w:fill="FFFFFF"/>
            <w:noWrap/>
            <w:vAlign w:val="center"/>
            <w:hideMark/>
          </w:tcPr>
          <w:p w:rsidR="00704FAB" w:rsidRPr="00704FAB" w:rsidRDefault="00704FAB" w:rsidP="00704FAB">
            <w:pPr>
              <w:jc w:val="center"/>
              <w:rPr>
                <w:sz w:val="18"/>
                <w:szCs w:val="18"/>
              </w:rPr>
            </w:pPr>
            <w:r w:rsidRPr="00704FAB">
              <w:rPr>
                <w:sz w:val="18"/>
                <w:szCs w:val="18"/>
              </w:rPr>
              <w:t>0</w:t>
            </w:r>
          </w:p>
        </w:tc>
        <w:tc>
          <w:tcPr>
            <w:tcW w:w="899" w:type="dxa"/>
            <w:shd w:val="clear" w:color="000000" w:fill="FFFFFF"/>
            <w:noWrap/>
            <w:vAlign w:val="center"/>
            <w:hideMark/>
          </w:tcPr>
          <w:p w:rsidR="00704FAB" w:rsidRPr="00704FAB" w:rsidRDefault="00704FAB" w:rsidP="00704FAB">
            <w:pPr>
              <w:jc w:val="center"/>
              <w:rPr>
                <w:sz w:val="18"/>
                <w:szCs w:val="18"/>
              </w:rPr>
            </w:pPr>
            <w:r w:rsidRPr="00704FAB">
              <w:rPr>
                <w:sz w:val="18"/>
                <w:szCs w:val="18"/>
              </w:rPr>
              <w:t>50</w:t>
            </w:r>
          </w:p>
        </w:tc>
        <w:tc>
          <w:tcPr>
            <w:tcW w:w="1256" w:type="dxa"/>
            <w:shd w:val="clear" w:color="000000" w:fill="FFFFFF"/>
            <w:vAlign w:val="center"/>
            <w:hideMark/>
          </w:tcPr>
          <w:p w:rsidR="00704FAB" w:rsidRPr="00704FAB" w:rsidRDefault="00704FAB" w:rsidP="00704FAB">
            <w:pPr>
              <w:jc w:val="center"/>
              <w:rPr>
                <w:sz w:val="18"/>
                <w:szCs w:val="18"/>
              </w:rPr>
            </w:pPr>
            <w:r w:rsidRPr="00704FAB">
              <w:rPr>
                <w:sz w:val="18"/>
                <w:szCs w:val="18"/>
              </w:rPr>
              <w:t>140</w:t>
            </w:r>
          </w:p>
        </w:tc>
        <w:tc>
          <w:tcPr>
            <w:tcW w:w="1079" w:type="dxa"/>
            <w:shd w:val="clear" w:color="000000" w:fill="FFFFFF"/>
            <w:vAlign w:val="center"/>
            <w:hideMark/>
          </w:tcPr>
          <w:p w:rsidR="00704FAB" w:rsidRPr="00704FAB" w:rsidRDefault="00704FAB" w:rsidP="00704FAB">
            <w:pPr>
              <w:jc w:val="center"/>
              <w:rPr>
                <w:sz w:val="18"/>
                <w:szCs w:val="18"/>
              </w:rPr>
            </w:pPr>
            <w:r w:rsidRPr="00704FAB">
              <w:rPr>
                <w:sz w:val="18"/>
                <w:szCs w:val="18"/>
              </w:rPr>
              <w:t>106</w:t>
            </w:r>
          </w:p>
        </w:tc>
        <w:tc>
          <w:tcPr>
            <w:tcW w:w="1478" w:type="dxa"/>
            <w:shd w:val="clear" w:color="000000" w:fill="FFFFFF"/>
            <w:noWrap/>
            <w:vAlign w:val="center"/>
            <w:hideMark/>
          </w:tcPr>
          <w:p w:rsidR="00704FAB" w:rsidRPr="00704FAB" w:rsidRDefault="00704FAB" w:rsidP="00704FAB">
            <w:pPr>
              <w:jc w:val="right"/>
              <w:rPr>
                <w:sz w:val="18"/>
                <w:szCs w:val="18"/>
              </w:rPr>
            </w:pPr>
            <w:r w:rsidRPr="00704FAB">
              <w:rPr>
                <w:sz w:val="18"/>
                <w:szCs w:val="18"/>
              </w:rPr>
              <w:t>7 166 511 310</w:t>
            </w:r>
          </w:p>
        </w:tc>
      </w:tr>
      <w:tr w:rsidR="00704FAB" w:rsidRPr="0077267C" w:rsidTr="0077267C">
        <w:trPr>
          <w:trHeight w:val="958"/>
        </w:trPr>
        <w:tc>
          <w:tcPr>
            <w:tcW w:w="1026" w:type="dxa"/>
            <w:shd w:val="clear" w:color="000000" w:fill="FFFFFF"/>
            <w:noWrap/>
            <w:vAlign w:val="center"/>
            <w:hideMark/>
          </w:tcPr>
          <w:p w:rsidR="00704FAB" w:rsidRPr="00704FAB" w:rsidRDefault="00704FAB" w:rsidP="0077267C">
            <w:pPr>
              <w:jc w:val="center"/>
              <w:rPr>
                <w:sz w:val="18"/>
                <w:szCs w:val="18"/>
              </w:rPr>
            </w:pPr>
            <w:r w:rsidRPr="00704FAB">
              <w:rPr>
                <w:sz w:val="18"/>
                <w:szCs w:val="18"/>
              </w:rPr>
              <w:t>80101</w:t>
            </w:r>
          </w:p>
        </w:tc>
        <w:tc>
          <w:tcPr>
            <w:tcW w:w="1554" w:type="dxa"/>
            <w:shd w:val="clear" w:color="000000" w:fill="FFFFFF"/>
            <w:vAlign w:val="bottom"/>
            <w:hideMark/>
          </w:tcPr>
          <w:p w:rsidR="00704FAB" w:rsidRPr="00704FAB" w:rsidRDefault="00704FAB" w:rsidP="00704FAB">
            <w:pPr>
              <w:rPr>
                <w:sz w:val="18"/>
                <w:szCs w:val="18"/>
              </w:rPr>
            </w:pPr>
            <w:r w:rsidRPr="00704FAB">
              <w:rPr>
                <w:sz w:val="18"/>
                <w:szCs w:val="18"/>
              </w:rPr>
              <w:t>Projekty na podporu zdraví - pro prevenci zdravotních rizik</w:t>
            </w:r>
          </w:p>
        </w:tc>
        <w:tc>
          <w:tcPr>
            <w:tcW w:w="957" w:type="dxa"/>
            <w:shd w:val="clear" w:color="000000" w:fill="FFFFFF"/>
            <w:noWrap/>
            <w:vAlign w:val="center"/>
            <w:hideMark/>
          </w:tcPr>
          <w:p w:rsidR="00704FAB" w:rsidRPr="00704FAB" w:rsidRDefault="00704FAB" w:rsidP="00704FAB">
            <w:pPr>
              <w:jc w:val="center"/>
              <w:rPr>
                <w:sz w:val="18"/>
                <w:szCs w:val="18"/>
              </w:rPr>
            </w:pPr>
            <w:r w:rsidRPr="00704FAB">
              <w:rPr>
                <w:sz w:val="18"/>
                <w:szCs w:val="18"/>
              </w:rPr>
              <w:t>Počet</w:t>
            </w:r>
          </w:p>
        </w:tc>
        <w:tc>
          <w:tcPr>
            <w:tcW w:w="899" w:type="dxa"/>
            <w:shd w:val="clear" w:color="000000" w:fill="FFFFFF"/>
            <w:noWrap/>
            <w:vAlign w:val="center"/>
            <w:hideMark/>
          </w:tcPr>
          <w:p w:rsidR="00704FAB" w:rsidRPr="00704FAB" w:rsidRDefault="00704FAB" w:rsidP="00704FAB">
            <w:pPr>
              <w:jc w:val="center"/>
              <w:rPr>
                <w:sz w:val="18"/>
                <w:szCs w:val="18"/>
              </w:rPr>
            </w:pPr>
            <w:r w:rsidRPr="00704FAB">
              <w:rPr>
                <w:sz w:val="18"/>
                <w:szCs w:val="18"/>
              </w:rPr>
              <w:t>0</w:t>
            </w:r>
          </w:p>
        </w:tc>
        <w:tc>
          <w:tcPr>
            <w:tcW w:w="899" w:type="dxa"/>
            <w:shd w:val="clear" w:color="000000" w:fill="FFFFFF"/>
            <w:noWrap/>
            <w:vAlign w:val="center"/>
            <w:hideMark/>
          </w:tcPr>
          <w:p w:rsidR="00704FAB" w:rsidRPr="00704FAB" w:rsidRDefault="00704FAB" w:rsidP="00704FAB">
            <w:pPr>
              <w:jc w:val="center"/>
              <w:rPr>
                <w:sz w:val="18"/>
                <w:szCs w:val="18"/>
              </w:rPr>
            </w:pPr>
            <w:r w:rsidRPr="00704FAB">
              <w:rPr>
                <w:sz w:val="18"/>
                <w:szCs w:val="18"/>
              </w:rPr>
              <w:t>45</w:t>
            </w:r>
          </w:p>
        </w:tc>
        <w:tc>
          <w:tcPr>
            <w:tcW w:w="1256" w:type="dxa"/>
            <w:shd w:val="clear" w:color="000000" w:fill="FFFFFF"/>
            <w:vAlign w:val="center"/>
            <w:hideMark/>
          </w:tcPr>
          <w:p w:rsidR="00704FAB" w:rsidRPr="00704FAB" w:rsidRDefault="00704FAB" w:rsidP="00704FAB">
            <w:pPr>
              <w:jc w:val="center"/>
              <w:rPr>
                <w:sz w:val="18"/>
                <w:szCs w:val="18"/>
              </w:rPr>
            </w:pPr>
            <w:r w:rsidRPr="00704FAB">
              <w:rPr>
                <w:sz w:val="18"/>
                <w:szCs w:val="18"/>
              </w:rPr>
              <w:t>54</w:t>
            </w:r>
          </w:p>
        </w:tc>
        <w:tc>
          <w:tcPr>
            <w:tcW w:w="1079" w:type="dxa"/>
            <w:shd w:val="clear" w:color="000000" w:fill="FFFFFF"/>
            <w:vAlign w:val="center"/>
            <w:hideMark/>
          </w:tcPr>
          <w:p w:rsidR="00704FAB" w:rsidRPr="00704FAB" w:rsidRDefault="00704FAB" w:rsidP="00704FAB">
            <w:pPr>
              <w:jc w:val="center"/>
              <w:rPr>
                <w:sz w:val="18"/>
                <w:szCs w:val="18"/>
              </w:rPr>
            </w:pPr>
            <w:r w:rsidRPr="00704FAB">
              <w:rPr>
                <w:sz w:val="18"/>
                <w:szCs w:val="18"/>
              </w:rPr>
              <w:t>53</w:t>
            </w:r>
          </w:p>
        </w:tc>
        <w:tc>
          <w:tcPr>
            <w:tcW w:w="1478" w:type="dxa"/>
            <w:shd w:val="clear" w:color="000000" w:fill="FFFFFF"/>
            <w:noWrap/>
            <w:vAlign w:val="center"/>
            <w:hideMark/>
          </w:tcPr>
          <w:p w:rsidR="00704FAB" w:rsidRPr="00704FAB" w:rsidRDefault="00704FAB" w:rsidP="00704FAB">
            <w:pPr>
              <w:jc w:val="right"/>
              <w:rPr>
                <w:sz w:val="18"/>
                <w:szCs w:val="18"/>
              </w:rPr>
            </w:pPr>
            <w:r w:rsidRPr="00704FAB">
              <w:rPr>
                <w:sz w:val="18"/>
                <w:szCs w:val="18"/>
              </w:rPr>
              <w:t>865 338 888</w:t>
            </w:r>
          </w:p>
        </w:tc>
      </w:tr>
      <w:tr w:rsidR="00704FAB" w:rsidRPr="0077267C" w:rsidTr="0077267C">
        <w:trPr>
          <w:trHeight w:val="1677"/>
        </w:trPr>
        <w:tc>
          <w:tcPr>
            <w:tcW w:w="1026" w:type="dxa"/>
            <w:shd w:val="clear" w:color="000000" w:fill="FFFFFF"/>
            <w:noWrap/>
            <w:vAlign w:val="center"/>
            <w:hideMark/>
          </w:tcPr>
          <w:p w:rsidR="00704FAB" w:rsidRPr="00704FAB" w:rsidRDefault="00704FAB" w:rsidP="0077267C">
            <w:pPr>
              <w:jc w:val="center"/>
              <w:rPr>
                <w:sz w:val="18"/>
                <w:szCs w:val="18"/>
              </w:rPr>
            </w:pPr>
            <w:r w:rsidRPr="00704FAB">
              <w:rPr>
                <w:sz w:val="18"/>
                <w:szCs w:val="18"/>
              </w:rPr>
              <w:t>80702</w:t>
            </w:r>
          </w:p>
        </w:tc>
        <w:tc>
          <w:tcPr>
            <w:tcW w:w="1554" w:type="dxa"/>
            <w:shd w:val="clear" w:color="000000" w:fill="FFFFFF"/>
            <w:vAlign w:val="bottom"/>
            <w:hideMark/>
          </w:tcPr>
          <w:p w:rsidR="00704FAB" w:rsidRPr="00704FAB" w:rsidRDefault="00704FAB" w:rsidP="00704FAB">
            <w:pPr>
              <w:rPr>
                <w:sz w:val="18"/>
                <w:szCs w:val="18"/>
              </w:rPr>
            </w:pPr>
            <w:r w:rsidRPr="00704FAB">
              <w:rPr>
                <w:sz w:val="18"/>
                <w:szCs w:val="18"/>
              </w:rPr>
              <w:t xml:space="preserve">Počet projektů zaměřených na zavádění standardů a standardních postupů řízení kvality a nákladovosti  </w:t>
            </w:r>
          </w:p>
        </w:tc>
        <w:tc>
          <w:tcPr>
            <w:tcW w:w="957" w:type="dxa"/>
            <w:shd w:val="clear" w:color="000000" w:fill="FFFFFF"/>
            <w:noWrap/>
            <w:vAlign w:val="center"/>
            <w:hideMark/>
          </w:tcPr>
          <w:p w:rsidR="00704FAB" w:rsidRPr="00704FAB" w:rsidRDefault="00704FAB" w:rsidP="00704FAB">
            <w:pPr>
              <w:jc w:val="center"/>
              <w:rPr>
                <w:sz w:val="18"/>
                <w:szCs w:val="18"/>
              </w:rPr>
            </w:pPr>
            <w:r w:rsidRPr="00704FAB">
              <w:rPr>
                <w:sz w:val="18"/>
                <w:szCs w:val="18"/>
              </w:rPr>
              <w:t>Počet</w:t>
            </w:r>
          </w:p>
        </w:tc>
        <w:tc>
          <w:tcPr>
            <w:tcW w:w="899" w:type="dxa"/>
            <w:shd w:val="clear" w:color="000000" w:fill="FFFFFF"/>
            <w:noWrap/>
            <w:vAlign w:val="center"/>
            <w:hideMark/>
          </w:tcPr>
          <w:p w:rsidR="00704FAB" w:rsidRPr="00704FAB" w:rsidRDefault="00704FAB" w:rsidP="00704FAB">
            <w:pPr>
              <w:jc w:val="center"/>
              <w:rPr>
                <w:sz w:val="18"/>
                <w:szCs w:val="18"/>
              </w:rPr>
            </w:pPr>
            <w:r w:rsidRPr="00704FAB">
              <w:rPr>
                <w:sz w:val="18"/>
                <w:szCs w:val="18"/>
              </w:rPr>
              <w:t>0,00</w:t>
            </w:r>
          </w:p>
        </w:tc>
        <w:tc>
          <w:tcPr>
            <w:tcW w:w="899" w:type="dxa"/>
            <w:shd w:val="clear" w:color="000000" w:fill="FFFFFF"/>
            <w:noWrap/>
            <w:vAlign w:val="center"/>
            <w:hideMark/>
          </w:tcPr>
          <w:p w:rsidR="00704FAB" w:rsidRPr="00704FAB" w:rsidRDefault="00704FAB" w:rsidP="00704FAB">
            <w:pPr>
              <w:jc w:val="center"/>
              <w:rPr>
                <w:sz w:val="18"/>
                <w:szCs w:val="18"/>
              </w:rPr>
            </w:pPr>
            <w:r w:rsidRPr="00704FAB">
              <w:rPr>
                <w:sz w:val="18"/>
                <w:szCs w:val="18"/>
              </w:rPr>
              <w:t>15,00</w:t>
            </w:r>
          </w:p>
        </w:tc>
        <w:tc>
          <w:tcPr>
            <w:tcW w:w="1256" w:type="dxa"/>
            <w:shd w:val="clear" w:color="000000" w:fill="FFFFFF"/>
            <w:vAlign w:val="center"/>
            <w:hideMark/>
          </w:tcPr>
          <w:p w:rsidR="00704FAB" w:rsidRPr="00704FAB" w:rsidRDefault="00704FAB" w:rsidP="00704FAB">
            <w:pPr>
              <w:jc w:val="center"/>
              <w:rPr>
                <w:sz w:val="18"/>
                <w:szCs w:val="18"/>
              </w:rPr>
            </w:pPr>
            <w:r w:rsidRPr="00704FAB">
              <w:rPr>
                <w:sz w:val="18"/>
                <w:szCs w:val="18"/>
              </w:rPr>
              <w:t>19,00</w:t>
            </w:r>
          </w:p>
        </w:tc>
        <w:tc>
          <w:tcPr>
            <w:tcW w:w="1079" w:type="dxa"/>
            <w:shd w:val="clear" w:color="000000" w:fill="FFFFFF"/>
            <w:vAlign w:val="center"/>
            <w:hideMark/>
          </w:tcPr>
          <w:p w:rsidR="00704FAB" w:rsidRPr="00704FAB" w:rsidRDefault="00704FAB" w:rsidP="00704FAB">
            <w:pPr>
              <w:jc w:val="center"/>
              <w:rPr>
                <w:sz w:val="18"/>
                <w:szCs w:val="18"/>
              </w:rPr>
            </w:pPr>
            <w:r w:rsidRPr="00704FAB">
              <w:rPr>
                <w:sz w:val="18"/>
                <w:szCs w:val="18"/>
              </w:rPr>
              <w:t>14,00</w:t>
            </w:r>
          </w:p>
        </w:tc>
        <w:tc>
          <w:tcPr>
            <w:tcW w:w="1478" w:type="dxa"/>
            <w:shd w:val="clear" w:color="000000" w:fill="FFFFFF"/>
            <w:noWrap/>
            <w:vAlign w:val="center"/>
            <w:hideMark/>
          </w:tcPr>
          <w:p w:rsidR="00704FAB" w:rsidRPr="00704FAB" w:rsidRDefault="00704FAB" w:rsidP="00704FAB">
            <w:pPr>
              <w:jc w:val="right"/>
              <w:rPr>
                <w:sz w:val="18"/>
                <w:szCs w:val="18"/>
              </w:rPr>
            </w:pPr>
            <w:r w:rsidRPr="00704FAB">
              <w:rPr>
                <w:sz w:val="18"/>
                <w:szCs w:val="18"/>
              </w:rPr>
              <w:t>318 841 990</w:t>
            </w:r>
          </w:p>
        </w:tc>
      </w:tr>
      <w:tr w:rsidR="00704FAB" w:rsidRPr="0077267C" w:rsidTr="0077267C">
        <w:trPr>
          <w:trHeight w:val="719"/>
        </w:trPr>
        <w:tc>
          <w:tcPr>
            <w:tcW w:w="1026" w:type="dxa"/>
            <w:shd w:val="clear" w:color="000000" w:fill="FFFFFF"/>
            <w:noWrap/>
            <w:vAlign w:val="center"/>
            <w:hideMark/>
          </w:tcPr>
          <w:p w:rsidR="00704FAB" w:rsidRPr="00704FAB" w:rsidRDefault="00704FAB" w:rsidP="0077267C">
            <w:pPr>
              <w:jc w:val="center"/>
              <w:rPr>
                <w:sz w:val="18"/>
                <w:szCs w:val="18"/>
              </w:rPr>
            </w:pPr>
            <w:r w:rsidRPr="00704FAB">
              <w:rPr>
                <w:sz w:val="18"/>
                <w:szCs w:val="18"/>
              </w:rPr>
              <w:t>74521</w:t>
            </w:r>
          </w:p>
        </w:tc>
        <w:tc>
          <w:tcPr>
            <w:tcW w:w="1554" w:type="dxa"/>
            <w:shd w:val="clear" w:color="000000" w:fill="FFFFFF"/>
            <w:vAlign w:val="bottom"/>
            <w:hideMark/>
          </w:tcPr>
          <w:p w:rsidR="00704FAB" w:rsidRPr="00704FAB" w:rsidRDefault="00704FAB" w:rsidP="00704FAB">
            <w:pPr>
              <w:rPr>
                <w:sz w:val="18"/>
                <w:szCs w:val="18"/>
              </w:rPr>
            </w:pPr>
            <w:r w:rsidRPr="00704FAB">
              <w:rPr>
                <w:sz w:val="18"/>
                <w:szCs w:val="18"/>
              </w:rPr>
              <w:t xml:space="preserve">Počet podpořených institucí služeb zaměstnanosti </w:t>
            </w:r>
          </w:p>
        </w:tc>
        <w:tc>
          <w:tcPr>
            <w:tcW w:w="957" w:type="dxa"/>
            <w:shd w:val="clear" w:color="000000" w:fill="FFFFFF"/>
            <w:noWrap/>
            <w:vAlign w:val="center"/>
            <w:hideMark/>
          </w:tcPr>
          <w:p w:rsidR="00704FAB" w:rsidRPr="00704FAB" w:rsidRDefault="00704FAB" w:rsidP="00704FAB">
            <w:pPr>
              <w:jc w:val="center"/>
              <w:rPr>
                <w:sz w:val="18"/>
                <w:szCs w:val="18"/>
              </w:rPr>
            </w:pPr>
            <w:r w:rsidRPr="00704FAB">
              <w:rPr>
                <w:sz w:val="18"/>
                <w:szCs w:val="18"/>
              </w:rPr>
              <w:t>Počet</w:t>
            </w:r>
          </w:p>
        </w:tc>
        <w:tc>
          <w:tcPr>
            <w:tcW w:w="899" w:type="dxa"/>
            <w:shd w:val="clear" w:color="000000" w:fill="FFFFFF"/>
            <w:noWrap/>
            <w:vAlign w:val="center"/>
            <w:hideMark/>
          </w:tcPr>
          <w:p w:rsidR="00704FAB" w:rsidRPr="00704FAB" w:rsidRDefault="00704FAB" w:rsidP="00704FAB">
            <w:pPr>
              <w:jc w:val="center"/>
              <w:rPr>
                <w:sz w:val="18"/>
                <w:szCs w:val="18"/>
              </w:rPr>
            </w:pPr>
            <w:r w:rsidRPr="00704FAB">
              <w:rPr>
                <w:sz w:val="18"/>
                <w:szCs w:val="18"/>
              </w:rPr>
              <w:t>0</w:t>
            </w:r>
          </w:p>
        </w:tc>
        <w:tc>
          <w:tcPr>
            <w:tcW w:w="899" w:type="dxa"/>
            <w:shd w:val="clear" w:color="000000" w:fill="FFFFFF"/>
            <w:noWrap/>
            <w:vAlign w:val="center"/>
            <w:hideMark/>
          </w:tcPr>
          <w:p w:rsidR="00704FAB" w:rsidRPr="00704FAB" w:rsidRDefault="00704FAB" w:rsidP="00704FAB">
            <w:pPr>
              <w:jc w:val="center"/>
              <w:rPr>
                <w:sz w:val="18"/>
                <w:szCs w:val="18"/>
              </w:rPr>
            </w:pPr>
            <w:r w:rsidRPr="00704FAB">
              <w:rPr>
                <w:sz w:val="18"/>
                <w:szCs w:val="18"/>
              </w:rPr>
              <w:t>12</w:t>
            </w:r>
          </w:p>
        </w:tc>
        <w:tc>
          <w:tcPr>
            <w:tcW w:w="1256" w:type="dxa"/>
            <w:shd w:val="clear" w:color="000000" w:fill="FFFFFF"/>
            <w:vAlign w:val="center"/>
            <w:hideMark/>
          </w:tcPr>
          <w:p w:rsidR="00704FAB" w:rsidRPr="00704FAB" w:rsidRDefault="00704FAB" w:rsidP="00704FAB">
            <w:pPr>
              <w:jc w:val="center"/>
              <w:rPr>
                <w:sz w:val="18"/>
                <w:szCs w:val="18"/>
              </w:rPr>
            </w:pPr>
            <w:r w:rsidRPr="00704FAB">
              <w:rPr>
                <w:sz w:val="18"/>
                <w:szCs w:val="18"/>
              </w:rPr>
              <w:t>13</w:t>
            </w:r>
          </w:p>
        </w:tc>
        <w:tc>
          <w:tcPr>
            <w:tcW w:w="1079" w:type="dxa"/>
            <w:shd w:val="clear" w:color="000000" w:fill="FFFFFF"/>
            <w:vAlign w:val="center"/>
            <w:hideMark/>
          </w:tcPr>
          <w:p w:rsidR="00704FAB" w:rsidRPr="00704FAB" w:rsidRDefault="00704FAB" w:rsidP="00704FAB">
            <w:pPr>
              <w:jc w:val="center"/>
              <w:rPr>
                <w:sz w:val="18"/>
                <w:szCs w:val="18"/>
              </w:rPr>
            </w:pPr>
            <w:r w:rsidRPr="00704FAB">
              <w:rPr>
                <w:sz w:val="18"/>
                <w:szCs w:val="18"/>
              </w:rPr>
              <w:t>4</w:t>
            </w:r>
          </w:p>
        </w:tc>
        <w:tc>
          <w:tcPr>
            <w:tcW w:w="1478" w:type="dxa"/>
            <w:shd w:val="clear" w:color="000000" w:fill="FFFFFF"/>
            <w:noWrap/>
            <w:vAlign w:val="center"/>
            <w:hideMark/>
          </w:tcPr>
          <w:p w:rsidR="00704FAB" w:rsidRPr="00704FAB" w:rsidRDefault="00704FAB" w:rsidP="00704FAB">
            <w:pPr>
              <w:jc w:val="right"/>
              <w:rPr>
                <w:sz w:val="18"/>
                <w:szCs w:val="18"/>
              </w:rPr>
            </w:pPr>
            <w:r w:rsidRPr="00704FAB">
              <w:rPr>
                <w:sz w:val="18"/>
                <w:szCs w:val="18"/>
              </w:rPr>
              <w:t>649 160 182</w:t>
            </w:r>
          </w:p>
        </w:tc>
      </w:tr>
      <w:tr w:rsidR="00704FAB" w:rsidRPr="0077267C" w:rsidTr="0077267C">
        <w:trPr>
          <w:trHeight w:val="1198"/>
        </w:trPr>
        <w:tc>
          <w:tcPr>
            <w:tcW w:w="1026" w:type="dxa"/>
            <w:shd w:val="clear" w:color="000000" w:fill="FFFFFF"/>
            <w:noWrap/>
            <w:vAlign w:val="center"/>
            <w:hideMark/>
          </w:tcPr>
          <w:p w:rsidR="00704FAB" w:rsidRPr="00704FAB" w:rsidRDefault="00704FAB" w:rsidP="0077267C">
            <w:pPr>
              <w:jc w:val="center"/>
              <w:rPr>
                <w:sz w:val="18"/>
                <w:szCs w:val="18"/>
              </w:rPr>
            </w:pPr>
            <w:r w:rsidRPr="00704FAB">
              <w:rPr>
                <w:sz w:val="18"/>
                <w:szCs w:val="18"/>
              </w:rPr>
              <w:t>74532</w:t>
            </w:r>
          </w:p>
        </w:tc>
        <w:tc>
          <w:tcPr>
            <w:tcW w:w="1554" w:type="dxa"/>
            <w:shd w:val="clear" w:color="000000" w:fill="FFFFFF"/>
            <w:vAlign w:val="bottom"/>
            <w:hideMark/>
          </w:tcPr>
          <w:p w:rsidR="00704FAB" w:rsidRPr="00704FAB" w:rsidRDefault="00704FAB" w:rsidP="00704FAB">
            <w:pPr>
              <w:rPr>
                <w:sz w:val="18"/>
                <w:szCs w:val="18"/>
              </w:rPr>
            </w:pPr>
            <w:r w:rsidRPr="00704FAB">
              <w:rPr>
                <w:sz w:val="18"/>
                <w:szCs w:val="18"/>
              </w:rPr>
              <w:t xml:space="preserve">Počet nově vybudovaných a podpořených stávajících </w:t>
            </w:r>
            <w:proofErr w:type="gramStart"/>
            <w:r w:rsidRPr="00704FAB">
              <w:rPr>
                <w:sz w:val="18"/>
                <w:szCs w:val="18"/>
              </w:rPr>
              <w:t>školících</w:t>
            </w:r>
            <w:proofErr w:type="gramEnd"/>
            <w:r w:rsidRPr="00704FAB">
              <w:rPr>
                <w:sz w:val="18"/>
                <w:szCs w:val="18"/>
              </w:rPr>
              <w:t xml:space="preserve"> středisek SZ </w:t>
            </w:r>
          </w:p>
        </w:tc>
        <w:tc>
          <w:tcPr>
            <w:tcW w:w="957" w:type="dxa"/>
            <w:shd w:val="clear" w:color="000000" w:fill="FFFFFF"/>
            <w:noWrap/>
            <w:vAlign w:val="center"/>
            <w:hideMark/>
          </w:tcPr>
          <w:p w:rsidR="00704FAB" w:rsidRPr="00704FAB" w:rsidRDefault="00704FAB" w:rsidP="00704FAB">
            <w:pPr>
              <w:jc w:val="center"/>
              <w:rPr>
                <w:sz w:val="18"/>
                <w:szCs w:val="18"/>
              </w:rPr>
            </w:pPr>
            <w:r w:rsidRPr="00704FAB">
              <w:rPr>
                <w:sz w:val="18"/>
                <w:szCs w:val="18"/>
              </w:rPr>
              <w:t>Počet</w:t>
            </w:r>
          </w:p>
        </w:tc>
        <w:tc>
          <w:tcPr>
            <w:tcW w:w="899" w:type="dxa"/>
            <w:shd w:val="clear" w:color="000000" w:fill="FFFFFF"/>
            <w:noWrap/>
            <w:vAlign w:val="center"/>
            <w:hideMark/>
          </w:tcPr>
          <w:p w:rsidR="00704FAB" w:rsidRPr="00704FAB" w:rsidRDefault="00704FAB" w:rsidP="00704FAB">
            <w:pPr>
              <w:jc w:val="center"/>
              <w:rPr>
                <w:sz w:val="18"/>
                <w:szCs w:val="18"/>
              </w:rPr>
            </w:pPr>
            <w:r w:rsidRPr="00704FAB">
              <w:rPr>
                <w:sz w:val="18"/>
                <w:szCs w:val="18"/>
              </w:rPr>
              <w:t>0</w:t>
            </w:r>
          </w:p>
        </w:tc>
        <w:tc>
          <w:tcPr>
            <w:tcW w:w="899" w:type="dxa"/>
            <w:shd w:val="clear" w:color="000000" w:fill="FFFFFF"/>
            <w:noWrap/>
            <w:vAlign w:val="center"/>
            <w:hideMark/>
          </w:tcPr>
          <w:p w:rsidR="00704FAB" w:rsidRPr="00704FAB" w:rsidRDefault="00704FAB" w:rsidP="00704FAB">
            <w:pPr>
              <w:jc w:val="center"/>
              <w:rPr>
                <w:sz w:val="18"/>
                <w:szCs w:val="18"/>
              </w:rPr>
            </w:pPr>
            <w:r w:rsidRPr="00704FAB">
              <w:rPr>
                <w:sz w:val="18"/>
                <w:szCs w:val="18"/>
              </w:rPr>
              <w:t>3</w:t>
            </w:r>
          </w:p>
        </w:tc>
        <w:tc>
          <w:tcPr>
            <w:tcW w:w="1256" w:type="dxa"/>
            <w:shd w:val="clear" w:color="000000" w:fill="FFFFFF"/>
            <w:vAlign w:val="center"/>
            <w:hideMark/>
          </w:tcPr>
          <w:p w:rsidR="00704FAB" w:rsidRPr="00704FAB" w:rsidRDefault="00704FAB" w:rsidP="00704FAB">
            <w:pPr>
              <w:jc w:val="center"/>
              <w:rPr>
                <w:sz w:val="18"/>
                <w:szCs w:val="18"/>
              </w:rPr>
            </w:pPr>
            <w:r w:rsidRPr="00704FAB">
              <w:rPr>
                <w:sz w:val="18"/>
                <w:szCs w:val="18"/>
              </w:rPr>
              <w:t>4</w:t>
            </w:r>
          </w:p>
        </w:tc>
        <w:tc>
          <w:tcPr>
            <w:tcW w:w="1079" w:type="dxa"/>
            <w:shd w:val="clear" w:color="000000" w:fill="FFFFFF"/>
            <w:vAlign w:val="center"/>
            <w:hideMark/>
          </w:tcPr>
          <w:p w:rsidR="00704FAB" w:rsidRPr="00704FAB" w:rsidRDefault="00704FAB" w:rsidP="00704FAB">
            <w:pPr>
              <w:jc w:val="center"/>
              <w:rPr>
                <w:sz w:val="18"/>
                <w:szCs w:val="18"/>
              </w:rPr>
            </w:pPr>
            <w:r w:rsidRPr="00704FAB">
              <w:rPr>
                <w:sz w:val="18"/>
                <w:szCs w:val="18"/>
              </w:rPr>
              <w:t>1</w:t>
            </w:r>
          </w:p>
        </w:tc>
        <w:tc>
          <w:tcPr>
            <w:tcW w:w="1478" w:type="dxa"/>
            <w:shd w:val="clear" w:color="000000" w:fill="FFFFFF"/>
            <w:noWrap/>
            <w:vAlign w:val="center"/>
            <w:hideMark/>
          </w:tcPr>
          <w:p w:rsidR="00704FAB" w:rsidRPr="00704FAB" w:rsidRDefault="00704FAB" w:rsidP="00704FAB">
            <w:pPr>
              <w:jc w:val="right"/>
              <w:rPr>
                <w:sz w:val="18"/>
                <w:szCs w:val="18"/>
              </w:rPr>
            </w:pPr>
            <w:r w:rsidRPr="00704FAB">
              <w:rPr>
                <w:sz w:val="18"/>
                <w:szCs w:val="18"/>
              </w:rPr>
              <w:t>89 498 131</w:t>
            </w:r>
          </w:p>
        </w:tc>
      </w:tr>
      <w:tr w:rsidR="00704FAB" w:rsidRPr="0077267C" w:rsidTr="0077267C">
        <w:trPr>
          <w:trHeight w:val="1198"/>
        </w:trPr>
        <w:tc>
          <w:tcPr>
            <w:tcW w:w="1026" w:type="dxa"/>
            <w:shd w:val="clear" w:color="000000" w:fill="FFFFFF"/>
            <w:noWrap/>
            <w:vAlign w:val="center"/>
            <w:hideMark/>
          </w:tcPr>
          <w:p w:rsidR="00704FAB" w:rsidRPr="00704FAB" w:rsidRDefault="00704FAB" w:rsidP="0077267C">
            <w:pPr>
              <w:jc w:val="center"/>
              <w:rPr>
                <w:sz w:val="18"/>
                <w:szCs w:val="18"/>
              </w:rPr>
            </w:pPr>
            <w:r w:rsidRPr="00704FAB">
              <w:rPr>
                <w:sz w:val="18"/>
                <w:szCs w:val="18"/>
              </w:rPr>
              <w:t>74533</w:t>
            </w:r>
          </w:p>
        </w:tc>
        <w:tc>
          <w:tcPr>
            <w:tcW w:w="1554" w:type="dxa"/>
            <w:shd w:val="clear" w:color="000000" w:fill="FFFFFF"/>
            <w:vAlign w:val="bottom"/>
            <w:hideMark/>
          </w:tcPr>
          <w:p w:rsidR="00704FAB" w:rsidRPr="00704FAB" w:rsidRDefault="00704FAB" w:rsidP="00704FAB">
            <w:pPr>
              <w:rPr>
                <w:sz w:val="18"/>
                <w:szCs w:val="18"/>
              </w:rPr>
            </w:pPr>
            <w:r w:rsidRPr="00704FAB">
              <w:rPr>
                <w:sz w:val="18"/>
                <w:szCs w:val="18"/>
              </w:rPr>
              <w:t>Počet nově vybudovaných informačně-vzdělávacích středisek SZ</w:t>
            </w:r>
          </w:p>
        </w:tc>
        <w:tc>
          <w:tcPr>
            <w:tcW w:w="957" w:type="dxa"/>
            <w:shd w:val="clear" w:color="000000" w:fill="FFFFFF"/>
            <w:noWrap/>
            <w:vAlign w:val="center"/>
            <w:hideMark/>
          </w:tcPr>
          <w:p w:rsidR="00704FAB" w:rsidRPr="00704FAB" w:rsidRDefault="00704FAB" w:rsidP="00704FAB">
            <w:pPr>
              <w:jc w:val="center"/>
              <w:rPr>
                <w:sz w:val="18"/>
                <w:szCs w:val="18"/>
              </w:rPr>
            </w:pPr>
            <w:r w:rsidRPr="00704FAB">
              <w:rPr>
                <w:sz w:val="18"/>
                <w:szCs w:val="18"/>
              </w:rPr>
              <w:t>Počet</w:t>
            </w:r>
          </w:p>
        </w:tc>
        <w:tc>
          <w:tcPr>
            <w:tcW w:w="899" w:type="dxa"/>
            <w:shd w:val="clear" w:color="000000" w:fill="FFFFFF"/>
            <w:noWrap/>
            <w:vAlign w:val="center"/>
            <w:hideMark/>
          </w:tcPr>
          <w:p w:rsidR="00704FAB" w:rsidRPr="00704FAB" w:rsidRDefault="00704FAB" w:rsidP="00704FAB">
            <w:pPr>
              <w:jc w:val="center"/>
              <w:rPr>
                <w:sz w:val="18"/>
                <w:szCs w:val="18"/>
              </w:rPr>
            </w:pPr>
            <w:r w:rsidRPr="00704FAB">
              <w:rPr>
                <w:sz w:val="18"/>
                <w:szCs w:val="18"/>
              </w:rPr>
              <w:t>0</w:t>
            </w:r>
          </w:p>
        </w:tc>
        <w:tc>
          <w:tcPr>
            <w:tcW w:w="899" w:type="dxa"/>
            <w:shd w:val="clear" w:color="000000" w:fill="FFFFFF"/>
            <w:noWrap/>
            <w:vAlign w:val="center"/>
            <w:hideMark/>
          </w:tcPr>
          <w:p w:rsidR="00704FAB" w:rsidRPr="00704FAB" w:rsidRDefault="00704FAB" w:rsidP="00704FAB">
            <w:pPr>
              <w:jc w:val="center"/>
              <w:rPr>
                <w:sz w:val="18"/>
                <w:szCs w:val="18"/>
              </w:rPr>
            </w:pPr>
            <w:r w:rsidRPr="00704FAB">
              <w:rPr>
                <w:sz w:val="18"/>
                <w:szCs w:val="18"/>
              </w:rPr>
              <w:t>2</w:t>
            </w:r>
          </w:p>
        </w:tc>
        <w:tc>
          <w:tcPr>
            <w:tcW w:w="1256" w:type="dxa"/>
            <w:shd w:val="clear" w:color="000000" w:fill="FFFFFF"/>
            <w:vAlign w:val="center"/>
            <w:hideMark/>
          </w:tcPr>
          <w:p w:rsidR="00704FAB" w:rsidRPr="00704FAB" w:rsidRDefault="00704FAB" w:rsidP="00704FAB">
            <w:pPr>
              <w:jc w:val="center"/>
              <w:rPr>
                <w:sz w:val="18"/>
                <w:szCs w:val="18"/>
              </w:rPr>
            </w:pPr>
            <w:r w:rsidRPr="00704FAB">
              <w:rPr>
                <w:sz w:val="18"/>
                <w:szCs w:val="18"/>
              </w:rPr>
              <w:t>2</w:t>
            </w:r>
          </w:p>
        </w:tc>
        <w:tc>
          <w:tcPr>
            <w:tcW w:w="1079" w:type="dxa"/>
            <w:shd w:val="clear" w:color="000000" w:fill="FFFFFF"/>
            <w:vAlign w:val="center"/>
            <w:hideMark/>
          </w:tcPr>
          <w:p w:rsidR="00704FAB" w:rsidRPr="00704FAB" w:rsidRDefault="00704FAB" w:rsidP="00704FAB">
            <w:pPr>
              <w:jc w:val="center"/>
              <w:rPr>
                <w:sz w:val="18"/>
                <w:szCs w:val="18"/>
              </w:rPr>
            </w:pPr>
            <w:r w:rsidRPr="00704FAB">
              <w:rPr>
                <w:sz w:val="18"/>
                <w:szCs w:val="18"/>
              </w:rPr>
              <w:t>1</w:t>
            </w:r>
          </w:p>
        </w:tc>
        <w:tc>
          <w:tcPr>
            <w:tcW w:w="1478" w:type="dxa"/>
            <w:shd w:val="clear" w:color="000000" w:fill="FFFFFF"/>
            <w:noWrap/>
            <w:vAlign w:val="center"/>
            <w:hideMark/>
          </w:tcPr>
          <w:p w:rsidR="00704FAB" w:rsidRPr="00704FAB" w:rsidRDefault="00704FAB" w:rsidP="00704FAB">
            <w:pPr>
              <w:jc w:val="right"/>
              <w:rPr>
                <w:sz w:val="18"/>
                <w:szCs w:val="18"/>
              </w:rPr>
            </w:pPr>
            <w:r w:rsidRPr="00704FAB">
              <w:rPr>
                <w:sz w:val="18"/>
                <w:szCs w:val="18"/>
              </w:rPr>
              <w:t>35 585 551</w:t>
            </w:r>
          </w:p>
        </w:tc>
      </w:tr>
      <w:tr w:rsidR="00704FAB" w:rsidRPr="0077267C" w:rsidTr="0077267C">
        <w:trPr>
          <w:trHeight w:val="958"/>
        </w:trPr>
        <w:tc>
          <w:tcPr>
            <w:tcW w:w="1026" w:type="dxa"/>
            <w:shd w:val="clear" w:color="000000" w:fill="FFFFFF"/>
            <w:noWrap/>
            <w:vAlign w:val="center"/>
            <w:hideMark/>
          </w:tcPr>
          <w:p w:rsidR="00704FAB" w:rsidRPr="00704FAB" w:rsidRDefault="00704FAB" w:rsidP="0077267C">
            <w:pPr>
              <w:jc w:val="center"/>
              <w:rPr>
                <w:sz w:val="18"/>
                <w:szCs w:val="18"/>
              </w:rPr>
            </w:pPr>
            <w:r w:rsidRPr="00704FAB">
              <w:rPr>
                <w:sz w:val="18"/>
                <w:szCs w:val="18"/>
              </w:rPr>
              <w:t>260407</w:t>
            </w:r>
          </w:p>
        </w:tc>
        <w:tc>
          <w:tcPr>
            <w:tcW w:w="1554" w:type="dxa"/>
            <w:shd w:val="clear" w:color="000000" w:fill="FFFFFF"/>
            <w:vAlign w:val="bottom"/>
            <w:hideMark/>
          </w:tcPr>
          <w:p w:rsidR="00704FAB" w:rsidRPr="00704FAB" w:rsidRDefault="00704FAB" w:rsidP="00704FAB">
            <w:pPr>
              <w:rPr>
                <w:sz w:val="18"/>
                <w:szCs w:val="18"/>
              </w:rPr>
            </w:pPr>
            <w:r w:rsidRPr="00704FAB">
              <w:rPr>
                <w:sz w:val="18"/>
                <w:szCs w:val="18"/>
              </w:rPr>
              <w:t xml:space="preserve">Počet operačních středisek IZS s provedenou integrací ICT </w:t>
            </w:r>
          </w:p>
        </w:tc>
        <w:tc>
          <w:tcPr>
            <w:tcW w:w="957" w:type="dxa"/>
            <w:shd w:val="clear" w:color="000000" w:fill="FFFFFF"/>
            <w:noWrap/>
            <w:vAlign w:val="center"/>
            <w:hideMark/>
          </w:tcPr>
          <w:p w:rsidR="00704FAB" w:rsidRPr="00704FAB" w:rsidRDefault="00704FAB" w:rsidP="00704FAB">
            <w:pPr>
              <w:jc w:val="center"/>
              <w:rPr>
                <w:sz w:val="18"/>
                <w:szCs w:val="18"/>
              </w:rPr>
            </w:pPr>
            <w:r w:rsidRPr="00704FAB">
              <w:rPr>
                <w:sz w:val="18"/>
                <w:szCs w:val="18"/>
              </w:rPr>
              <w:t>Počet</w:t>
            </w:r>
          </w:p>
        </w:tc>
        <w:tc>
          <w:tcPr>
            <w:tcW w:w="899" w:type="dxa"/>
            <w:shd w:val="clear" w:color="000000" w:fill="FFFFFF"/>
            <w:noWrap/>
            <w:vAlign w:val="center"/>
            <w:hideMark/>
          </w:tcPr>
          <w:p w:rsidR="00704FAB" w:rsidRPr="00704FAB" w:rsidRDefault="00704FAB" w:rsidP="00704FAB">
            <w:pPr>
              <w:jc w:val="center"/>
              <w:rPr>
                <w:sz w:val="18"/>
                <w:szCs w:val="18"/>
              </w:rPr>
            </w:pPr>
            <w:r w:rsidRPr="00704FAB">
              <w:rPr>
                <w:sz w:val="18"/>
                <w:szCs w:val="18"/>
              </w:rPr>
              <w:t>0</w:t>
            </w:r>
          </w:p>
        </w:tc>
        <w:tc>
          <w:tcPr>
            <w:tcW w:w="899" w:type="dxa"/>
            <w:shd w:val="clear" w:color="000000" w:fill="FFFFFF"/>
            <w:noWrap/>
            <w:vAlign w:val="center"/>
            <w:hideMark/>
          </w:tcPr>
          <w:p w:rsidR="00704FAB" w:rsidRPr="00704FAB" w:rsidRDefault="00704FAB" w:rsidP="00704FAB">
            <w:pPr>
              <w:jc w:val="center"/>
              <w:rPr>
                <w:sz w:val="18"/>
                <w:szCs w:val="18"/>
              </w:rPr>
            </w:pPr>
            <w:r w:rsidRPr="00704FAB">
              <w:rPr>
                <w:sz w:val="18"/>
                <w:szCs w:val="18"/>
              </w:rPr>
              <w:t>41</w:t>
            </w:r>
          </w:p>
        </w:tc>
        <w:tc>
          <w:tcPr>
            <w:tcW w:w="1256" w:type="dxa"/>
            <w:shd w:val="clear" w:color="000000" w:fill="FFFFFF"/>
            <w:vAlign w:val="center"/>
            <w:hideMark/>
          </w:tcPr>
          <w:p w:rsidR="00704FAB" w:rsidRPr="00704FAB" w:rsidRDefault="00704FAB" w:rsidP="00704FAB">
            <w:pPr>
              <w:jc w:val="center"/>
              <w:rPr>
                <w:sz w:val="18"/>
                <w:szCs w:val="18"/>
              </w:rPr>
            </w:pPr>
            <w:r w:rsidRPr="00704FAB">
              <w:rPr>
                <w:sz w:val="18"/>
                <w:szCs w:val="18"/>
              </w:rPr>
              <w:t>41</w:t>
            </w:r>
          </w:p>
        </w:tc>
        <w:tc>
          <w:tcPr>
            <w:tcW w:w="1079" w:type="dxa"/>
            <w:shd w:val="clear" w:color="000000" w:fill="FFFFFF"/>
            <w:vAlign w:val="center"/>
            <w:hideMark/>
          </w:tcPr>
          <w:p w:rsidR="00704FAB" w:rsidRPr="00704FAB" w:rsidRDefault="00704FAB" w:rsidP="00704FAB">
            <w:pPr>
              <w:jc w:val="center"/>
              <w:rPr>
                <w:sz w:val="18"/>
                <w:szCs w:val="18"/>
              </w:rPr>
            </w:pPr>
            <w:r w:rsidRPr="00704FAB">
              <w:rPr>
                <w:sz w:val="18"/>
                <w:szCs w:val="18"/>
              </w:rPr>
              <w:t>0</w:t>
            </w:r>
          </w:p>
        </w:tc>
        <w:tc>
          <w:tcPr>
            <w:tcW w:w="1478" w:type="dxa"/>
            <w:shd w:val="clear" w:color="000000" w:fill="FFFFFF"/>
            <w:noWrap/>
            <w:vAlign w:val="center"/>
            <w:hideMark/>
          </w:tcPr>
          <w:p w:rsidR="00704FAB" w:rsidRPr="00704FAB" w:rsidRDefault="00704FAB" w:rsidP="00704FAB">
            <w:pPr>
              <w:jc w:val="right"/>
              <w:rPr>
                <w:sz w:val="18"/>
                <w:szCs w:val="18"/>
              </w:rPr>
            </w:pPr>
            <w:r w:rsidRPr="00704FAB">
              <w:rPr>
                <w:sz w:val="18"/>
                <w:szCs w:val="18"/>
              </w:rPr>
              <w:t>1 756 111 087</w:t>
            </w:r>
          </w:p>
        </w:tc>
      </w:tr>
      <w:tr w:rsidR="00704FAB" w:rsidRPr="0077267C" w:rsidTr="0077267C">
        <w:trPr>
          <w:trHeight w:val="958"/>
        </w:trPr>
        <w:tc>
          <w:tcPr>
            <w:tcW w:w="1026" w:type="dxa"/>
            <w:shd w:val="clear" w:color="000000" w:fill="FFFFFF"/>
            <w:noWrap/>
            <w:vAlign w:val="center"/>
            <w:hideMark/>
          </w:tcPr>
          <w:p w:rsidR="00704FAB" w:rsidRPr="00704FAB" w:rsidRDefault="00704FAB" w:rsidP="0077267C">
            <w:pPr>
              <w:jc w:val="center"/>
              <w:rPr>
                <w:sz w:val="18"/>
                <w:szCs w:val="18"/>
              </w:rPr>
            </w:pPr>
            <w:r w:rsidRPr="00704FAB">
              <w:rPr>
                <w:sz w:val="18"/>
                <w:szCs w:val="18"/>
              </w:rPr>
              <w:t>260408</w:t>
            </w:r>
          </w:p>
        </w:tc>
        <w:tc>
          <w:tcPr>
            <w:tcW w:w="1554" w:type="dxa"/>
            <w:shd w:val="clear" w:color="000000" w:fill="FFFFFF"/>
            <w:vAlign w:val="bottom"/>
            <w:hideMark/>
          </w:tcPr>
          <w:p w:rsidR="00704FAB" w:rsidRPr="00704FAB" w:rsidRDefault="00704FAB" w:rsidP="00704FAB">
            <w:pPr>
              <w:rPr>
                <w:sz w:val="18"/>
                <w:szCs w:val="18"/>
              </w:rPr>
            </w:pPr>
            <w:r w:rsidRPr="00704FAB">
              <w:rPr>
                <w:sz w:val="18"/>
                <w:szCs w:val="18"/>
              </w:rPr>
              <w:t xml:space="preserve">Počet nově vybudovaných logistických základen </w:t>
            </w:r>
          </w:p>
        </w:tc>
        <w:tc>
          <w:tcPr>
            <w:tcW w:w="957" w:type="dxa"/>
            <w:shd w:val="clear" w:color="000000" w:fill="FFFFFF"/>
            <w:noWrap/>
            <w:vAlign w:val="center"/>
            <w:hideMark/>
          </w:tcPr>
          <w:p w:rsidR="00704FAB" w:rsidRPr="00704FAB" w:rsidRDefault="00704FAB" w:rsidP="00704FAB">
            <w:pPr>
              <w:jc w:val="center"/>
              <w:rPr>
                <w:sz w:val="18"/>
                <w:szCs w:val="18"/>
              </w:rPr>
            </w:pPr>
            <w:r w:rsidRPr="00704FAB">
              <w:rPr>
                <w:sz w:val="18"/>
                <w:szCs w:val="18"/>
              </w:rPr>
              <w:t>Počet</w:t>
            </w:r>
          </w:p>
        </w:tc>
        <w:tc>
          <w:tcPr>
            <w:tcW w:w="899" w:type="dxa"/>
            <w:shd w:val="clear" w:color="000000" w:fill="FFFFFF"/>
            <w:noWrap/>
            <w:vAlign w:val="center"/>
            <w:hideMark/>
          </w:tcPr>
          <w:p w:rsidR="00704FAB" w:rsidRPr="00704FAB" w:rsidRDefault="00704FAB" w:rsidP="00704FAB">
            <w:pPr>
              <w:jc w:val="center"/>
              <w:rPr>
                <w:sz w:val="18"/>
                <w:szCs w:val="18"/>
              </w:rPr>
            </w:pPr>
            <w:r w:rsidRPr="00704FAB">
              <w:rPr>
                <w:sz w:val="18"/>
                <w:szCs w:val="18"/>
              </w:rPr>
              <w:t>0</w:t>
            </w:r>
          </w:p>
        </w:tc>
        <w:tc>
          <w:tcPr>
            <w:tcW w:w="899" w:type="dxa"/>
            <w:shd w:val="clear" w:color="000000" w:fill="FFFFFF"/>
            <w:noWrap/>
            <w:vAlign w:val="center"/>
            <w:hideMark/>
          </w:tcPr>
          <w:p w:rsidR="00704FAB" w:rsidRPr="00704FAB" w:rsidRDefault="00704FAB" w:rsidP="00704FAB">
            <w:pPr>
              <w:jc w:val="center"/>
              <w:rPr>
                <w:sz w:val="18"/>
                <w:szCs w:val="18"/>
              </w:rPr>
            </w:pPr>
            <w:r w:rsidRPr="00704FAB">
              <w:rPr>
                <w:sz w:val="18"/>
                <w:szCs w:val="18"/>
              </w:rPr>
              <w:t>2</w:t>
            </w:r>
          </w:p>
        </w:tc>
        <w:tc>
          <w:tcPr>
            <w:tcW w:w="1256" w:type="dxa"/>
            <w:shd w:val="clear" w:color="000000" w:fill="FFFFFF"/>
            <w:vAlign w:val="center"/>
            <w:hideMark/>
          </w:tcPr>
          <w:p w:rsidR="00704FAB" w:rsidRPr="00704FAB" w:rsidRDefault="00704FAB" w:rsidP="00704FAB">
            <w:pPr>
              <w:jc w:val="center"/>
              <w:rPr>
                <w:sz w:val="18"/>
                <w:szCs w:val="18"/>
              </w:rPr>
            </w:pPr>
            <w:r w:rsidRPr="00704FAB">
              <w:rPr>
                <w:sz w:val="18"/>
                <w:szCs w:val="18"/>
              </w:rPr>
              <w:t>2</w:t>
            </w:r>
          </w:p>
        </w:tc>
        <w:tc>
          <w:tcPr>
            <w:tcW w:w="1079" w:type="dxa"/>
            <w:shd w:val="clear" w:color="000000" w:fill="FFFFFF"/>
            <w:vAlign w:val="center"/>
            <w:hideMark/>
          </w:tcPr>
          <w:p w:rsidR="00704FAB" w:rsidRPr="00704FAB" w:rsidRDefault="00704FAB" w:rsidP="00704FAB">
            <w:pPr>
              <w:jc w:val="center"/>
              <w:rPr>
                <w:sz w:val="18"/>
                <w:szCs w:val="18"/>
              </w:rPr>
            </w:pPr>
            <w:r w:rsidRPr="00704FAB">
              <w:rPr>
                <w:sz w:val="18"/>
                <w:szCs w:val="18"/>
              </w:rPr>
              <w:t>1</w:t>
            </w:r>
          </w:p>
        </w:tc>
        <w:tc>
          <w:tcPr>
            <w:tcW w:w="1478" w:type="dxa"/>
            <w:shd w:val="clear" w:color="000000" w:fill="FFFFFF"/>
            <w:noWrap/>
            <w:vAlign w:val="center"/>
            <w:hideMark/>
          </w:tcPr>
          <w:p w:rsidR="00704FAB" w:rsidRPr="00704FAB" w:rsidRDefault="00704FAB" w:rsidP="00704FAB">
            <w:pPr>
              <w:jc w:val="right"/>
              <w:rPr>
                <w:sz w:val="18"/>
                <w:szCs w:val="18"/>
              </w:rPr>
            </w:pPr>
            <w:r w:rsidRPr="00704FAB">
              <w:rPr>
                <w:sz w:val="18"/>
                <w:szCs w:val="18"/>
              </w:rPr>
              <w:t>175 123 827</w:t>
            </w:r>
          </w:p>
        </w:tc>
      </w:tr>
      <w:tr w:rsidR="00704FAB" w:rsidRPr="0077267C" w:rsidTr="00DD6F98">
        <w:trPr>
          <w:trHeight w:val="1840"/>
        </w:trPr>
        <w:tc>
          <w:tcPr>
            <w:tcW w:w="1026" w:type="dxa"/>
            <w:shd w:val="clear" w:color="000000" w:fill="FFFFFF"/>
            <w:noWrap/>
            <w:vAlign w:val="center"/>
            <w:hideMark/>
          </w:tcPr>
          <w:p w:rsidR="00704FAB" w:rsidRPr="00704FAB" w:rsidRDefault="00704FAB" w:rsidP="00DD6F98">
            <w:pPr>
              <w:jc w:val="center"/>
              <w:rPr>
                <w:sz w:val="18"/>
                <w:szCs w:val="18"/>
              </w:rPr>
            </w:pPr>
            <w:r w:rsidRPr="00704FAB">
              <w:rPr>
                <w:sz w:val="18"/>
                <w:szCs w:val="18"/>
              </w:rPr>
              <w:t>260410</w:t>
            </w:r>
          </w:p>
        </w:tc>
        <w:tc>
          <w:tcPr>
            <w:tcW w:w="1554" w:type="dxa"/>
            <w:shd w:val="clear" w:color="000000" w:fill="FFFFFF"/>
            <w:vAlign w:val="bottom"/>
            <w:hideMark/>
          </w:tcPr>
          <w:p w:rsidR="00704FAB" w:rsidRPr="00704FAB" w:rsidRDefault="00704FAB" w:rsidP="00704FAB">
            <w:pPr>
              <w:rPr>
                <w:sz w:val="18"/>
                <w:szCs w:val="18"/>
              </w:rPr>
            </w:pPr>
            <w:r w:rsidRPr="00704FAB">
              <w:rPr>
                <w:sz w:val="18"/>
                <w:szCs w:val="18"/>
              </w:rPr>
              <w:t xml:space="preserve">Počet modernizovaných nebo vybudovaných kontaktních pracovišť typu Front </w:t>
            </w:r>
            <w:proofErr w:type="spellStart"/>
            <w:r w:rsidRPr="00704FAB">
              <w:rPr>
                <w:sz w:val="18"/>
                <w:szCs w:val="18"/>
              </w:rPr>
              <w:t>office</w:t>
            </w:r>
            <w:proofErr w:type="spellEnd"/>
            <w:r w:rsidRPr="00704FAB">
              <w:rPr>
                <w:sz w:val="18"/>
                <w:szCs w:val="18"/>
              </w:rPr>
              <w:t xml:space="preserve"> napojených do sítě IZS </w:t>
            </w:r>
          </w:p>
        </w:tc>
        <w:tc>
          <w:tcPr>
            <w:tcW w:w="957" w:type="dxa"/>
            <w:shd w:val="clear" w:color="000000" w:fill="FFFFFF"/>
            <w:noWrap/>
            <w:vAlign w:val="center"/>
            <w:hideMark/>
          </w:tcPr>
          <w:p w:rsidR="00704FAB" w:rsidRPr="00704FAB" w:rsidRDefault="00704FAB" w:rsidP="00704FAB">
            <w:pPr>
              <w:jc w:val="center"/>
              <w:rPr>
                <w:sz w:val="18"/>
                <w:szCs w:val="18"/>
              </w:rPr>
            </w:pPr>
            <w:r w:rsidRPr="00704FAB">
              <w:rPr>
                <w:sz w:val="18"/>
                <w:szCs w:val="18"/>
              </w:rPr>
              <w:t>Počet</w:t>
            </w:r>
          </w:p>
        </w:tc>
        <w:tc>
          <w:tcPr>
            <w:tcW w:w="899" w:type="dxa"/>
            <w:shd w:val="clear" w:color="000000" w:fill="FFFFFF"/>
            <w:noWrap/>
            <w:vAlign w:val="center"/>
            <w:hideMark/>
          </w:tcPr>
          <w:p w:rsidR="00704FAB" w:rsidRPr="00704FAB" w:rsidRDefault="00704FAB" w:rsidP="00704FAB">
            <w:pPr>
              <w:jc w:val="center"/>
              <w:rPr>
                <w:sz w:val="18"/>
                <w:szCs w:val="18"/>
              </w:rPr>
            </w:pPr>
            <w:r w:rsidRPr="00704FAB">
              <w:rPr>
                <w:sz w:val="18"/>
                <w:szCs w:val="18"/>
              </w:rPr>
              <w:t>0</w:t>
            </w:r>
          </w:p>
        </w:tc>
        <w:tc>
          <w:tcPr>
            <w:tcW w:w="899" w:type="dxa"/>
            <w:shd w:val="clear" w:color="000000" w:fill="FFFFFF"/>
            <w:noWrap/>
            <w:vAlign w:val="center"/>
            <w:hideMark/>
          </w:tcPr>
          <w:p w:rsidR="00704FAB" w:rsidRPr="00704FAB" w:rsidRDefault="00704FAB" w:rsidP="00704FAB">
            <w:pPr>
              <w:jc w:val="center"/>
              <w:rPr>
                <w:sz w:val="18"/>
                <w:szCs w:val="18"/>
              </w:rPr>
            </w:pPr>
            <w:r w:rsidRPr="00704FAB">
              <w:rPr>
                <w:sz w:val="18"/>
                <w:szCs w:val="18"/>
              </w:rPr>
              <w:t>369</w:t>
            </w:r>
          </w:p>
        </w:tc>
        <w:tc>
          <w:tcPr>
            <w:tcW w:w="1256" w:type="dxa"/>
            <w:shd w:val="clear" w:color="000000" w:fill="FFFFFF"/>
            <w:vAlign w:val="center"/>
            <w:hideMark/>
          </w:tcPr>
          <w:p w:rsidR="00704FAB" w:rsidRPr="00704FAB" w:rsidRDefault="00704FAB" w:rsidP="00704FAB">
            <w:pPr>
              <w:jc w:val="center"/>
              <w:rPr>
                <w:sz w:val="18"/>
                <w:szCs w:val="18"/>
              </w:rPr>
            </w:pPr>
            <w:r w:rsidRPr="00704FAB">
              <w:rPr>
                <w:sz w:val="18"/>
                <w:szCs w:val="18"/>
              </w:rPr>
              <w:t>368</w:t>
            </w:r>
          </w:p>
        </w:tc>
        <w:tc>
          <w:tcPr>
            <w:tcW w:w="1079" w:type="dxa"/>
            <w:shd w:val="clear" w:color="000000" w:fill="FFFFFF"/>
            <w:vAlign w:val="center"/>
            <w:hideMark/>
          </w:tcPr>
          <w:p w:rsidR="00704FAB" w:rsidRPr="00704FAB" w:rsidRDefault="00704FAB" w:rsidP="00704FAB">
            <w:pPr>
              <w:jc w:val="center"/>
              <w:rPr>
                <w:sz w:val="18"/>
                <w:szCs w:val="18"/>
              </w:rPr>
            </w:pPr>
            <w:r w:rsidRPr="00704FAB">
              <w:rPr>
                <w:sz w:val="18"/>
                <w:szCs w:val="18"/>
              </w:rPr>
              <w:t>368</w:t>
            </w:r>
          </w:p>
        </w:tc>
        <w:tc>
          <w:tcPr>
            <w:tcW w:w="1478" w:type="dxa"/>
            <w:shd w:val="clear" w:color="000000" w:fill="FFFFFF"/>
            <w:noWrap/>
            <w:vAlign w:val="center"/>
            <w:hideMark/>
          </w:tcPr>
          <w:p w:rsidR="00704FAB" w:rsidRPr="00704FAB" w:rsidRDefault="00704FAB" w:rsidP="00704FAB">
            <w:pPr>
              <w:jc w:val="right"/>
              <w:rPr>
                <w:sz w:val="18"/>
                <w:szCs w:val="18"/>
              </w:rPr>
            </w:pPr>
            <w:r w:rsidRPr="00704FAB">
              <w:rPr>
                <w:sz w:val="18"/>
                <w:szCs w:val="18"/>
              </w:rPr>
              <w:t>730 615 103</w:t>
            </w:r>
          </w:p>
        </w:tc>
      </w:tr>
      <w:tr w:rsidR="00704FAB" w:rsidRPr="0077267C" w:rsidTr="0077267C">
        <w:trPr>
          <w:trHeight w:val="1452"/>
        </w:trPr>
        <w:tc>
          <w:tcPr>
            <w:tcW w:w="1026" w:type="dxa"/>
            <w:shd w:val="clear" w:color="000000" w:fill="FFFFFF"/>
            <w:noWrap/>
            <w:vAlign w:val="center"/>
            <w:hideMark/>
          </w:tcPr>
          <w:p w:rsidR="00704FAB" w:rsidRPr="00704FAB" w:rsidRDefault="00704FAB" w:rsidP="0077267C">
            <w:pPr>
              <w:jc w:val="center"/>
              <w:rPr>
                <w:sz w:val="18"/>
                <w:szCs w:val="18"/>
              </w:rPr>
            </w:pPr>
            <w:r w:rsidRPr="00704FAB">
              <w:rPr>
                <w:sz w:val="18"/>
                <w:szCs w:val="18"/>
              </w:rPr>
              <w:t>260412</w:t>
            </w:r>
          </w:p>
        </w:tc>
        <w:tc>
          <w:tcPr>
            <w:tcW w:w="1554" w:type="dxa"/>
            <w:shd w:val="clear" w:color="000000" w:fill="FFFFFF"/>
            <w:vAlign w:val="bottom"/>
            <w:hideMark/>
          </w:tcPr>
          <w:p w:rsidR="00704FAB" w:rsidRPr="00704FAB" w:rsidRDefault="00704FAB" w:rsidP="00704FAB">
            <w:pPr>
              <w:rPr>
                <w:sz w:val="18"/>
                <w:szCs w:val="18"/>
              </w:rPr>
            </w:pPr>
            <w:r w:rsidRPr="00704FAB">
              <w:rPr>
                <w:sz w:val="18"/>
                <w:szCs w:val="18"/>
              </w:rPr>
              <w:t>Počet technologických zařízení k eliminaci hrozeb či následků bezpečnostních rizik</w:t>
            </w:r>
          </w:p>
        </w:tc>
        <w:tc>
          <w:tcPr>
            <w:tcW w:w="957" w:type="dxa"/>
            <w:shd w:val="clear" w:color="000000" w:fill="FFFFFF"/>
            <w:noWrap/>
            <w:vAlign w:val="center"/>
            <w:hideMark/>
          </w:tcPr>
          <w:p w:rsidR="00704FAB" w:rsidRPr="00704FAB" w:rsidRDefault="00704FAB" w:rsidP="00704FAB">
            <w:pPr>
              <w:jc w:val="center"/>
              <w:rPr>
                <w:sz w:val="18"/>
                <w:szCs w:val="18"/>
              </w:rPr>
            </w:pPr>
            <w:r w:rsidRPr="00704FAB">
              <w:rPr>
                <w:sz w:val="18"/>
                <w:szCs w:val="18"/>
              </w:rPr>
              <w:t>Počet</w:t>
            </w:r>
          </w:p>
        </w:tc>
        <w:tc>
          <w:tcPr>
            <w:tcW w:w="899" w:type="dxa"/>
            <w:shd w:val="clear" w:color="000000" w:fill="FFFFFF"/>
            <w:noWrap/>
            <w:vAlign w:val="center"/>
            <w:hideMark/>
          </w:tcPr>
          <w:p w:rsidR="00704FAB" w:rsidRPr="00704FAB" w:rsidRDefault="00704FAB" w:rsidP="00704FAB">
            <w:pPr>
              <w:jc w:val="center"/>
              <w:rPr>
                <w:sz w:val="18"/>
                <w:szCs w:val="18"/>
              </w:rPr>
            </w:pPr>
            <w:r w:rsidRPr="00704FAB">
              <w:rPr>
                <w:sz w:val="18"/>
                <w:szCs w:val="18"/>
              </w:rPr>
              <w:t>0,00</w:t>
            </w:r>
          </w:p>
        </w:tc>
        <w:tc>
          <w:tcPr>
            <w:tcW w:w="899" w:type="dxa"/>
            <w:shd w:val="clear" w:color="000000" w:fill="FFFFFF"/>
            <w:noWrap/>
            <w:vAlign w:val="center"/>
            <w:hideMark/>
          </w:tcPr>
          <w:p w:rsidR="00704FAB" w:rsidRPr="00704FAB" w:rsidRDefault="00704FAB" w:rsidP="00704FAB">
            <w:pPr>
              <w:jc w:val="center"/>
              <w:rPr>
                <w:sz w:val="18"/>
                <w:szCs w:val="18"/>
              </w:rPr>
            </w:pPr>
            <w:r w:rsidRPr="00704FAB">
              <w:rPr>
                <w:sz w:val="18"/>
                <w:szCs w:val="18"/>
              </w:rPr>
              <w:t>3286,00</w:t>
            </w:r>
          </w:p>
        </w:tc>
        <w:tc>
          <w:tcPr>
            <w:tcW w:w="1256" w:type="dxa"/>
            <w:shd w:val="clear" w:color="000000" w:fill="FFFFFF"/>
            <w:vAlign w:val="center"/>
            <w:hideMark/>
          </w:tcPr>
          <w:p w:rsidR="00704FAB" w:rsidRPr="00704FAB" w:rsidRDefault="00704FAB" w:rsidP="00704FAB">
            <w:pPr>
              <w:jc w:val="center"/>
              <w:rPr>
                <w:sz w:val="18"/>
                <w:szCs w:val="18"/>
              </w:rPr>
            </w:pPr>
            <w:r w:rsidRPr="00704FAB">
              <w:rPr>
                <w:sz w:val="18"/>
                <w:szCs w:val="18"/>
              </w:rPr>
              <w:t>7145,00</w:t>
            </w:r>
          </w:p>
        </w:tc>
        <w:tc>
          <w:tcPr>
            <w:tcW w:w="1079" w:type="dxa"/>
            <w:shd w:val="clear" w:color="000000" w:fill="FFFFFF"/>
            <w:vAlign w:val="center"/>
            <w:hideMark/>
          </w:tcPr>
          <w:p w:rsidR="00704FAB" w:rsidRPr="00704FAB" w:rsidRDefault="00704FAB" w:rsidP="00704FAB">
            <w:pPr>
              <w:jc w:val="center"/>
              <w:rPr>
                <w:sz w:val="18"/>
                <w:szCs w:val="18"/>
              </w:rPr>
            </w:pPr>
            <w:r w:rsidRPr="00704FAB">
              <w:rPr>
                <w:sz w:val="18"/>
                <w:szCs w:val="18"/>
              </w:rPr>
              <w:t>373,00</w:t>
            </w:r>
          </w:p>
        </w:tc>
        <w:tc>
          <w:tcPr>
            <w:tcW w:w="1478" w:type="dxa"/>
            <w:shd w:val="clear" w:color="000000" w:fill="FFFFFF"/>
            <w:noWrap/>
            <w:vAlign w:val="center"/>
            <w:hideMark/>
          </w:tcPr>
          <w:p w:rsidR="00704FAB" w:rsidRPr="00704FAB" w:rsidRDefault="00704FAB" w:rsidP="00704FAB">
            <w:pPr>
              <w:jc w:val="right"/>
              <w:rPr>
                <w:sz w:val="18"/>
                <w:szCs w:val="18"/>
              </w:rPr>
            </w:pPr>
            <w:r w:rsidRPr="00704FAB">
              <w:rPr>
                <w:sz w:val="18"/>
                <w:szCs w:val="18"/>
              </w:rPr>
              <w:t>5 073 464 263</w:t>
            </w:r>
          </w:p>
        </w:tc>
      </w:tr>
    </w:tbl>
    <w:p w:rsidR="00E31E74" w:rsidRPr="00DA157E" w:rsidRDefault="008E0127" w:rsidP="00DF3B19">
      <w:pPr>
        <w:rPr>
          <w:bCs/>
          <w:i/>
          <w:sz w:val="18"/>
          <w:szCs w:val="18"/>
        </w:rPr>
      </w:pPr>
      <w:r w:rsidRPr="000F53E8">
        <w:rPr>
          <w:rStyle w:val="Siln"/>
          <w:b w:val="0"/>
          <w:i/>
          <w:sz w:val="18"/>
          <w:szCs w:val="18"/>
        </w:rPr>
        <w:t xml:space="preserve">Zdroj: </w:t>
      </w:r>
      <w:r w:rsidR="00275DC0">
        <w:rPr>
          <w:rStyle w:val="Siln"/>
          <w:b w:val="0"/>
          <w:i/>
          <w:sz w:val="18"/>
          <w:szCs w:val="18"/>
        </w:rPr>
        <w:t xml:space="preserve">MSC2007 </w:t>
      </w:r>
      <w:r w:rsidR="00914BC7">
        <w:rPr>
          <w:rStyle w:val="Siln"/>
          <w:b w:val="0"/>
          <w:i/>
          <w:sz w:val="18"/>
          <w:szCs w:val="18"/>
        </w:rPr>
        <w:t>k 30. 9. 2015</w:t>
      </w:r>
      <w:r w:rsidRPr="000F53E8">
        <w:rPr>
          <w:rStyle w:val="Siln"/>
          <w:b w:val="0"/>
          <w:i/>
          <w:sz w:val="18"/>
          <w:szCs w:val="18"/>
        </w:rPr>
        <w:t>, informac</w:t>
      </w:r>
      <w:r>
        <w:rPr>
          <w:rStyle w:val="Siln"/>
          <w:b w:val="0"/>
          <w:i/>
          <w:sz w:val="18"/>
          <w:szCs w:val="18"/>
        </w:rPr>
        <w:t>e od ZS u podílových indikátorů</w:t>
      </w:r>
    </w:p>
    <w:p w:rsidR="00DB0C1D" w:rsidRDefault="00DB0C1D" w:rsidP="005502E3">
      <w:pPr>
        <w:jc w:val="both"/>
      </w:pPr>
    </w:p>
    <w:p w:rsidR="001C307C" w:rsidRDefault="000B4F62" w:rsidP="001C307C">
      <w:pPr>
        <w:pStyle w:val="Tabulkanzev"/>
        <w:keepNext/>
        <w:rPr>
          <w:rStyle w:val="Siln"/>
        </w:rPr>
      </w:pPr>
      <w:bookmarkStart w:id="100" w:name="_Toc433873559"/>
      <w:r w:rsidRPr="007125EE">
        <w:rPr>
          <w:rStyle w:val="Siln"/>
        </w:rPr>
        <w:lastRenderedPageBreak/>
        <w:t>Indikátory výsledku</w:t>
      </w:r>
      <w:bookmarkEnd w:id="100"/>
    </w:p>
    <w:tbl>
      <w:tblPr>
        <w:tblW w:w="9198" w:type="dxa"/>
        <w:tblInd w:w="55" w:type="dxa"/>
        <w:tblBorders>
          <w:top w:val="single" w:sz="8" w:space="0" w:color="1F497D"/>
          <w:left w:val="single" w:sz="8" w:space="0" w:color="1F497D" w:themeColor="text2"/>
          <w:bottom w:val="single" w:sz="8" w:space="0" w:color="1F497D" w:themeColor="text2"/>
          <w:right w:val="single" w:sz="8" w:space="0" w:color="1F497D" w:themeColor="text2"/>
          <w:insideH w:val="single" w:sz="8" w:space="0" w:color="1F497D" w:themeColor="text2"/>
          <w:insideV w:val="single" w:sz="8" w:space="0" w:color="1F497D" w:themeColor="text2"/>
        </w:tblBorders>
        <w:tblCellMar>
          <w:left w:w="70" w:type="dxa"/>
          <w:right w:w="70" w:type="dxa"/>
        </w:tblCellMar>
        <w:tblLook w:val="04A0" w:firstRow="1" w:lastRow="0" w:firstColumn="1" w:lastColumn="0" w:noHBand="0" w:noVBand="1"/>
      </w:tblPr>
      <w:tblGrid>
        <w:gridCol w:w="948"/>
        <w:gridCol w:w="1637"/>
        <w:gridCol w:w="963"/>
        <w:gridCol w:w="904"/>
        <w:gridCol w:w="904"/>
        <w:gridCol w:w="1266"/>
        <w:gridCol w:w="1331"/>
        <w:gridCol w:w="1245"/>
      </w:tblGrid>
      <w:tr w:rsidR="0077267C" w:rsidRPr="0077267C" w:rsidTr="002E5B61">
        <w:trPr>
          <w:trHeight w:val="1034"/>
          <w:tblHeader/>
        </w:trPr>
        <w:tc>
          <w:tcPr>
            <w:tcW w:w="948" w:type="dxa"/>
            <w:shd w:val="clear" w:color="000000" w:fill="C5D9F1"/>
            <w:vAlign w:val="center"/>
            <w:hideMark/>
          </w:tcPr>
          <w:p w:rsidR="0077267C" w:rsidRPr="0077267C" w:rsidRDefault="0077267C" w:rsidP="0077267C">
            <w:pPr>
              <w:jc w:val="center"/>
              <w:rPr>
                <w:b/>
                <w:bCs/>
              </w:rPr>
            </w:pPr>
            <w:r w:rsidRPr="0077267C">
              <w:rPr>
                <w:b/>
                <w:bCs/>
              </w:rPr>
              <w:t>Kód</w:t>
            </w:r>
          </w:p>
        </w:tc>
        <w:tc>
          <w:tcPr>
            <w:tcW w:w="1637" w:type="dxa"/>
            <w:shd w:val="clear" w:color="000000" w:fill="C5D9F1"/>
            <w:vAlign w:val="center"/>
            <w:hideMark/>
          </w:tcPr>
          <w:p w:rsidR="0077267C" w:rsidRPr="0077267C" w:rsidRDefault="0077267C" w:rsidP="0077267C">
            <w:pPr>
              <w:jc w:val="center"/>
              <w:rPr>
                <w:b/>
                <w:bCs/>
              </w:rPr>
            </w:pPr>
            <w:r w:rsidRPr="0077267C">
              <w:rPr>
                <w:b/>
                <w:bCs/>
              </w:rPr>
              <w:t>Název indikátoru</w:t>
            </w:r>
          </w:p>
        </w:tc>
        <w:tc>
          <w:tcPr>
            <w:tcW w:w="963" w:type="dxa"/>
            <w:shd w:val="clear" w:color="000000" w:fill="C5D9F1"/>
            <w:vAlign w:val="center"/>
            <w:hideMark/>
          </w:tcPr>
          <w:p w:rsidR="0077267C" w:rsidRPr="0077267C" w:rsidRDefault="0077267C" w:rsidP="0077267C">
            <w:pPr>
              <w:jc w:val="center"/>
              <w:rPr>
                <w:b/>
                <w:bCs/>
              </w:rPr>
            </w:pPr>
            <w:r w:rsidRPr="0077267C">
              <w:rPr>
                <w:b/>
                <w:bCs/>
              </w:rPr>
              <w:t>Měrná jednotka</w:t>
            </w:r>
          </w:p>
        </w:tc>
        <w:tc>
          <w:tcPr>
            <w:tcW w:w="904" w:type="dxa"/>
            <w:shd w:val="clear" w:color="000000" w:fill="C5D9F1"/>
            <w:vAlign w:val="center"/>
            <w:hideMark/>
          </w:tcPr>
          <w:p w:rsidR="0077267C" w:rsidRPr="0077267C" w:rsidRDefault="0077267C" w:rsidP="0077267C">
            <w:pPr>
              <w:jc w:val="center"/>
              <w:rPr>
                <w:b/>
                <w:bCs/>
              </w:rPr>
            </w:pPr>
            <w:r w:rsidRPr="0077267C">
              <w:rPr>
                <w:b/>
                <w:bCs/>
              </w:rPr>
              <w:t xml:space="preserve">Výchozí hodnota </w:t>
            </w:r>
          </w:p>
        </w:tc>
        <w:tc>
          <w:tcPr>
            <w:tcW w:w="904" w:type="dxa"/>
            <w:shd w:val="clear" w:color="000000" w:fill="C5D9F1"/>
            <w:vAlign w:val="center"/>
            <w:hideMark/>
          </w:tcPr>
          <w:p w:rsidR="0077267C" w:rsidRPr="0077267C" w:rsidRDefault="0077267C" w:rsidP="0077267C">
            <w:pPr>
              <w:jc w:val="center"/>
              <w:rPr>
                <w:b/>
                <w:bCs/>
              </w:rPr>
            </w:pPr>
            <w:r w:rsidRPr="0077267C">
              <w:rPr>
                <w:b/>
                <w:bCs/>
              </w:rPr>
              <w:t>Cílová hodnota</w:t>
            </w:r>
          </w:p>
        </w:tc>
        <w:tc>
          <w:tcPr>
            <w:tcW w:w="1266" w:type="dxa"/>
            <w:shd w:val="clear" w:color="000000" w:fill="C5D9F1"/>
            <w:vAlign w:val="center"/>
            <w:hideMark/>
          </w:tcPr>
          <w:p w:rsidR="0077267C" w:rsidRPr="0077267C" w:rsidRDefault="0077267C" w:rsidP="0077267C">
            <w:pPr>
              <w:jc w:val="center"/>
              <w:rPr>
                <w:b/>
                <w:bCs/>
              </w:rPr>
            </w:pPr>
            <w:r w:rsidRPr="0077267C">
              <w:rPr>
                <w:b/>
                <w:bCs/>
              </w:rPr>
              <w:t>Závazek ze schválených projektů</w:t>
            </w:r>
          </w:p>
        </w:tc>
        <w:tc>
          <w:tcPr>
            <w:tcW w:w="1331" w:type="dxa"/>
            <w:shd w:val="clear" w:color="000000" w:fill="C5D9F1"/>
            <w:vAlign w:val="center"/>
            <w:hideMark/>
          </w:tcPr>
          <w:p w:rsidR="0077267C" w:rsidRPr="0077267C" w:rsidRDefault="0077267C" w:rsidP="0077267C">
            <w:pPr>
              <w:jc w:val="center"/>
              <w:rPr>
                <w:b/>
                <w:bCs/>
              </w:rPr>
            </w:pPr>
            <w:r w:rsidRPr="0077267C">
              <w:rPr>
                <w:b/>
                <w:bCs/>
              </w:rPr>
              <w:t>Dosažená hodnota k 30. 9. 2015</w:t>
            </w:r>
          </w:p>
        </w:tc>
        <w:tc>
          <w:tcPr>
            <w:tcW w:w="1245" w:type="dxa"/>
            <w:shd w:val="clear" w:color="000000" w:fill="C5D9F1"/>
            <w:vAlign w:val="center"/>
            <w:hideMark/>
          </w:tcPr>
          <w:p w:rsidR="0077267C" w:rsidRPr="0077267C" w:rsidRDefault="0077267C" w:rsidP="0077267C">
            <w:pPr>
              <w:jc w:val="center"/>
              <w:rPr>
                <w:b/>
                <w:bCs/>
              </w:rPr>
            </w:pPr>
            <w:r w:rsidRPr="0077267C">
              <w:rPr>
                <w:b/>
                <w:bCs/>
              </w:rPr>
              <w:t>V Rozhodnutí k 30. 9. 2015</w:t>
            </w:r>
          </w:p>
        </w:tc>
      </w:tr>
      <w:tr w:rsidR="0077267C" w:rsidRPr="0077267C" w:rsidTr="0077267C">
        <w:trPr>
          <w:trHeight w:val="479"/>
        </w:trPr>
        <w:tc>
          <w:tcPr>
            <w:tcW w:w="948" w:type="dxa"/>
            <w:shd w:val="clear" w:color="000000" w:fill="FFFFFF"/>
            <w:vAlign w:val="center"/>
            <w:hideMark/>
          </w:tcPr>
          <w:p w:rsidR="0077267C" w:rsidRPr="0077267C" w:rsidRDefault="0077267C" w:rsidP="0077267C">
            <w:pPr>
              <w:jc w:val="center"/>
              <w:rPr>
                <w:sz w:val="18"/>
                <w:szCs w:val="18"/>
              </w:rPr>
            </w:pPr>
            <w:r w:rsidRPr="0077267C">
              <w:rPr>
                <w:sz w:val="18"/>
                <w:szCs w:val="18"/>
              </w:rPr>
              <w:t>75711</w:t>
            </w:r>
          </w:p>
        </w:tc>
        <w:tc>
          <w:tcPr>
            <w:tcW w:w="1637" w:type="dxa"/>
            <w:shd w:val="clear" w:color="000000" w:fill="FFFFFF"/>
            <w:vAlign w:val="bottom"/>
            <w:hideMark/>
          </w:tcPr>
          <w:p w:rsidR="0077267C" w:rsidRPr="0077267C" w:rsidRDefault="0077267C" w:rsidP="0077267C">
            <w:pPr>
              <w:rPr>
                <w:sz w:val="18"/>
                <w:szCs w:val="18"/>
              </w:rPr>
            </w:pPr>
            <w:r w:rsidRPr="0077267C">
              <w:rPr>
                <w:sz w:val="18"/>
                <w:szCs w:val="18"/>
              </w:rPr>
              <w:t xml:space="preserve">Alternativní sociální služby </w:t>
            </w:r>
          </w:p>
        </w:tc>
        <w:tc>
          <w:tcPr>
            <w:tcW w:w="963" w:type="dxa"/>
            <w:shd w:val="clear" w:color="000000" w:fill="FFFFFF"/>
            <w:noWrap/>
            <w:vAlign w:val="center"/>
            <w:hideMark/>
          </w:tcPr>
          <w:p w:rsidR="0077267C" w:rsidRPr="0077267C" w:rsidRDefault="0077267C" w:rsidP="0077267C">
            <w:pPr>
              <w:jc w:val="center"/>
              <w:rPr>
                <w:sz w:val="18"/>
                <w:szCs w:val="18"/>
              </w:rPr>
            </w:pPr>
            <w:r w:rsidRPr="0077267C">
              <w:rPr>
                <w:sz w:val="18"/>
                <w:szCs w:val="18"/>
              </w:rPr>
              <w:t>Počet</w:t>
            </w:r>
          </w:p>
        </w:tc>
        <w:tc>
          <w:tcPr>
            <w:tcW w:w="904" w:type="dxa"/>
            <w:shd w:val="clear" w:color="000000" w:fill="FFFFFF"/>
            <w:noWrap/>
            <w:vAlign w:val="center"/>
            <w:hideMark/>
          </w:tcPr>
          <w:p w:rsidR="0077267C" w:rsidRPr="0077267C" w:rsidRDefault="0077267C" w:rsidP="0077267C">
            <w:pPr>
              <w:jc w:val="center"/>
              <w:rPr>
                <w:sz w:val="18"/>
                <w:szCs w:val="18"/>
              </w:rPr>
            </w:pPr>
            <w:r w:rsidRPr="0077267C">
              <w:rPr>
                <w:sz w:val="18"/>
                <w:szCs w:val="18"/>
              </w:rPr>
              <w:t>0</w:t>
            </w:r>
          </w:p>
        </w:tc>
        <w:tc>
          <w:tcPr>
            <w:tcW w:w="904" w:type="dxa"/>
            <w:shd w:val="clear" w:color="000000" w:fill="FFFFFF"/>
            <w:noWrap/>
            <w:vAlign w:val="center"/>
            <w:hideMark/>
          </w:tcPr>
          <w:p w:rsidR="0077267C" w:rsidRPr="0077267C" w:rsidRDefault="0077267C" w:rsidP="0077267C">
            <w:pPr>
              <w:jc w:val="center"/>
              <w:rPr>
                <w:sz w:val="18"/>
                <w:szCs w:val="18"/>
              </w:rPr>
            </w:pPr>
            <w:r w:rsidRPr="0077267C">
              <w:rPr>
                <w:sz w:val="18"/>
                <w:szCs w:val="18"/>
              </w:rPr>
              <w:t>77</w:t>
            </w:r>
          </w:p>
        </w:tc>
        <w:tc>
          <w:tcPr>
            <w:tcW w:w="1266" w:type="dxa"/>
            <w:shd w:val="clear" w:color="000000" w:fill="FFFFFF"/>
            <w:vAlign w:val="center"/>
            <w:hideMark/>
          </w:tcPr>
          <w:p w:rsidR="0077267C" w:rsidRPr="0077267C" w:rsidRDefault="0077267C" w:rsidP="0077267C">
            <w:pPr>
              <w:jc w:val="center"/>
              <w:rPr>
                <w:sz w:val="18"/>
                <w:szCs w:val="18"/>
              </w:rPr>
            </w:pPr>
            <w:r w:rsidRPr="0077267C">
              <w:rPr>
                <w:sz w:val="18"/>
                <w:szCs w:val="18"/>
              </w:rPr>
              <w:t>93</w:t>
            </w:r>
          </w:p>
        </w:tc>
        <w:tc>
          <w:tcPr>
            <w:tcW w:w="1331" w:type="dxa"/>
            <w:shd w:val="clear" w:color="000000" w:fill="FFFFFF"/>
            <w:vAlign w:val="center"/>
            <w:hideMark/>
          </w:tcPr>
          <w:p w:rsidR="0077267C" w:rsidRPr="0077267C" w:rsidRDefault="0077267C" w:rsidP="0077267C">
            <w:pPr>
              <w:jc w:val="center"/>
              <w:rPr>
                <w:sz w:val="18"/>
                <w:szCs w:val="18"/>
              </w:rPr>
            </w:pPr>
            <w:r w:rsidRPr="0077267C">
              <w:rPr>
                <w:sz w:val="18"/>
                <w:szCs w:val="18"/>
              </w:rPr>
              <w:t>49</w:t>
            </w:r>
          </w:p>
        </w:tc>
        <w:tc>
          <w:tcPr>
            <w:tcW w:w="1245" w:type="dxa"/>
            <w:shd w:val="clear" w:color="000000" w:fill="FFFFFF"/>
            <w:noWrap/>
            <w:vAlign w:val="center"/>
            <w:hideMark/>
          </w:tcPr>
          <w:p w:rsidR="0077267C" w:rsidRPr="0077267C" w:rsidRDefault="0077267C" w:rsidP="0077267C">
            <w:pPr>
              <w:jc w:val="right"/>
              <w:rPr>
                <w:sz w:val="18"/>
                <w:szCs w:val="18"/>
              </w:rPr>
            </w:pPr>
            <w:r w:rsidRPr="0077267C">
              <w:rPr>
                <w:sz w:val="18"/>
                <w:szCs w:val="18"/>
              </w:rPr>
              <w:t>997 242 768</w:t>
            </w:r>
          </w:p>
        </w:tc>
      </w:tr>
      <w:tr w:rsidR="0077267C" w:rsidRPr="0077267C" w:rsidTr="0077267C">
        <w:trPr>
          <w:trHeight w:val="719"/>
        </w:trPr>
        <w:tc>
          <w:tcPr>
            <w:tcW w:w="948" w:type="dxa"/>
            <w:shd w:val="clear" w:color="000000" w:fill="FFFFFF"/>
            <w:vAlign w:val="center"/>
            <w:hideMark/>
          </w:tcPr>
          <w:p w:rsidR="0077267C" w:rsidRPr="0077267C" w:rsidRDefault="0077267C" w:rsidP="0077267C">
            <w:pPr>
              <w:jc w:val="center"/>
              <w:rPr>
                <w:sz w:val="18"/>
                <w:szCs w:val="18"/>
              </w:rPr>
            </w:pPr>
            <w:r w:rsidRPr="0077267C">
              <w:rPr>
                <w:sz w:val="18"/>
                <w:szCs w:val="18"/>
              </w:rPr>
              <w:t>75712</w:t>
            </w:r>
          </w:p>
        </w:tc>
        <w:tc>
          <w:tcPr>
            <w:tcW w:w="1637" w:type="dxa"/>
            <w:shd w:val="clear" w:color="000000" w:fill="FFFFFF"/>
            <w:vAlign w:val="bottom"/>
            <w:hideMark/>
          </w:tcPr>
          <w:p w:rsidR="0077267C" w:rsidRPr="0077267C" w:rsidRDefault="0077267C" w:rsidP="0077267C">
            <w:pPr>
              <w:rPr>
                <w:sz w:val="18"/>
                <w:szCs w:val="18"/>
              </w:rPr>
            </w:pPr>
            <w:r w:rsidRPr="0077267C">
              <w:rPr>
                <w:sz w:val="18"/>
                <w:szCs w:val="18"/>
              </w:rPr>
              <w:t>Počet nových sociálních služeb a aktivit</w:t>
            </w:r>
          </w:p>
        </w:tc>
        <w:tc>
          <w:tcPr>
            <w:tcW w:w="963" w:type="dxa"/>
            <w:shd w:val="clear" w:color="000000" w:fill="FFFFFF"/>
            <w:noWrap/>
            <w:vAlign w:val="center"/>
            <w:hideMark/>
          </w:tcPr>
          <w:p w:rsidR="0077267C" w:rsidRPr="0077267C" w:rsidRDefault="0077267C" w:rsidP="0077267C">
            <w:pPr>
              <w:jc w:val="center"/>
              <w:rPr>
                <w:sz w:val="18"/>
                <w:szCs w:val="18"/>
              </w:rPr>
            </w:pPr>
            <w:r w:rsidRPr="0077267C">
              <w:rPr>
                <w:sz w:val="18"/>
                <w:szCs w:val="18"/>
              </w:rPr>
              <w:t>Počet</w:t>
            </w:r>
          </w:p>
        </w:tc>
        <w:tc>
          <w:tcPr>
            <w:tcW w:w="904" w:type="dxa"/>
            <w:shd w:val="clear" w:color="000000" w:fill="FFFFFF"/>
            <w:noWrap/>
            <w:vAlign w:val="center"/>
            <w:hideMark/>
          </w:tcPr>
          <w:p w:rsidR="0077267C" w:rsidRPr="0077267C" w:rsidRDefault="0077267C" w:rsidP="0077267C">
            <w:pPr>
              <w:jc w:val="center"/>
              <w:rPr>
                <w:sz w:val="18"/>
                <w:szCs w:val="18"/>
              </w:rPr>
            </w:pPr>
            <w:r w:rsidRPr="0077267C">
              <w:rPr>
                <w:sz w:val="18"/>
                <w:szCs w:val="18"/>
              </w:rPr>
              <w:t>0</w:t>
            </w:r>
          </w:p>
        </w:tc>
        <w:tc>
          <w:tcPr>
            <w:tcW w:w="904" w:type="dxa"/>
            <w:shd w:val="clear" w:color="000000" w:fill="FFFFFF"/>
            <w:noWrap/>
            <w:vAlign w:val="center"/>
            <w:hideMark/>
          </w:tcPr>
          <w:p w:rsidR="0077267C" w:rsidRPr="0077267C" w:rsidRDefault="0077267C" w:rsidP="0077267C">
            <w:pPr>
              <w:jc w:val="center"/>
              <w:rPr>
                <w:sz w:val="18"/>
                <w:szCs w:val="18"/>
              </w:rPr>
            </w:pPr>
            <w:r w:rsidRPr="0077267C">
              <w:rPr>
                <w:sz w:val="18"/>
                <w:szCs w:val="18"/>
              </w:rPr>
              <w:t>142</w:t>
            </w:r>
          </w:p>
        </w:tc>
        <w:tc>
          <w:tcPr>
            <w:tcW w:w="1266" w:type="dxa"/>
            <w:shd w:val="clear" w:color="000000" w:fill="FFFFFF"/>
            <w:vAlign w:val="center"/>
            <w:hideMark/>
          </w:tcPr>
          <w:p w:rsidR="0077267C" w:rsidRPr="0077267C" w:rsidRDefault="0077267C" w:rsidP="0077267C">
            <w:pPr>
              <w:jc w:val="center"/>
              <w:rPr>
                <w:sz w:val="18"/>
                <w:szCs w:val="18"/>
              </w:rPr>
            </w:pPr>
            <w:r w:rsidRPr="0077267C">
              <w:rPr>
                <w:sz w:val="18"/>
                <w:szCs w:val="18"/>
              </w:rPr>
              <w:t>126</w:t>
            </w:r>
          </w:p>
        </w:tc>
        <w:tc>
          <w:tcPr>
            <w:tcW w:w="1331" w:type="dxa"/>
            <w:shd w:val="clear" w:color="000000" w:fill="FFFFFF"/>
            <w:vAlign w:val="center"/>
            <w:hideMark/>
          </w:tcPr>
          <w:p w:rsidR="0077267C" w:rsidRPr="0077267C" w:rsidRDefault="0077267C" w:rsidP="0077267C">
            <w:pPr>
              <w:jc w:val="center"/>
              <w:rPr>
                <w:sz w:val="18"/>
                <w:szCs w:val="18"/>
              </w:rPr>
            </w:pPr>
            <w:r w:rsidRPr="0077267C">
              <w:rPr>
                <w:sz w:val="18"/>
                <w:szCs w:val="18"/>
              </w:rPr>
              <w:t>109</w:t>
            </w:r>
          </w:p>
        </w:tc>
        <w:tc>
          <w:tcPr>
            <w:tcW w:w="1245" w:type="dxa"/>
            <w:shd w:val="clear" w:color="000000" w:fill="FFFFFF"/>
            <w:noWrap/>
            <w:vAlign w:val="center"/>
            <w:hideMark/>
          </w:tcPr>
          <w:p w:rsidR="0077267C" w:rsidRPr="0077267C" w:rsidRDefault="0077267C" w:rsidP="0077267C">
            <w:pPr>
              <w:jc w:val="right"/>
              <w:rPr>
                <w:sz w:val="18"/>
                <w:szCs w:val="18"/>
              </w:rPr>
            </w:pPr>
            <w:r w:rsidRPr="0077267C">
              <w:rPr>
                <w:sz w:val="18"/>
                <w:szCs w:val="18"/>
              </w:rPr>
              <w:t>215 176 570</w:t>
            </w:r>
          </w:p>
        </w:tc>
      </w:tr>
      <w:tr w:rsidR="0077267C" w:rsidRPr="0077267C" w:rsidTr="0077267C">
        <w:trPr>
          <w:trHeight w:val="255"/>
        </w:trPr>
        <w:tc>
          <w:tcPr>
            <w:tcW w:w="948" w:type="dxa"/>
            <w:shd w:val="clear" w:color="000000" w:fill="FFFFFF"/>
            <w:vAlign w:val="center"/>
            <w:hideMark/>
          </w:tcPr>
          <w:p w:rsidR="0077267C" w:rsidRPr="0077267C" w:rsidRDefault="0077267C" w:rsidP="0077267C">
            <w:pPr>
              <w:jc w:val="center"/>
              <w:rPr>
                <w:sz w:val="18"/>
                <w:szCs w:val="18"/>
              </w:rPr>
            </w:pPr>
            <w:r w:rsidRPr="0077267C">
              <w:rPr>
                <w:sz w:val="18"/>
                <w:szCs w:val="18"/>
              </w:rPr>
              <w:t>75603</w:t>
            </w:r>
          </w:p>
        </w:tc>
        <w:tc>
          <w:tcPr>
            <w:tcW w:w="1637" w:type="dxa"/>
            <w:shd w:val="clear" w:color="000000" w:fill="FFFFFF"/>
            <w:vAlign w:val="bottom"/>
            <w:hideMark/>
          </w:tcPr>
          <w:p w:rsidR="0077267C" w:rsidRPr="0077267C" w:rsidRDefault="0077267C" w:rsidP="0077267C">
            <w:pPr>
              <w:rPr>
                <w:sz w:val="18"/>
                <w:szCs w:val="18"/>
              </w:rPr>
            </w:pPr>
            <w:r w:rsidRPr="0077267C">
              <w:rPr>
                <w:sz w:val="18"/>
                <w:szCs w:val="18"/>
              </w:rPr>
              <w:t>Účelnost podpory</w:t>
            </w:r>
          </w:p>
        </w:tc>
        <w:tc>
          <w:tcPr>
            <w:tcW w:w="963" w:type="dxa"/>
            <w:shd w:val="clear" w:color="000000" w:fill="FFFFFF"/>
            <w:noWrap/>
            <w:vAlign w:val="center"/>
            <w:hideMark/>
          </w:tcPr>
          <w:p w:rsidR="0077267C" w:rsidRPr="0077267C" w:rsidRDefault="0077267C" w:rsidP="0077267C">
            <w:pPr>
              <w:jc w:val="center"/>
              <w:rPr>
                <w:sz w:val="18"/>
                <w:szCs w:val="18"/>
              </w:rPr>
            </w:pPr>
            <w:r w:rsidRPr="0077267C">
              <w:rPr>
                <w:sz w:val="18"/>
                <w:szCs w:val="18"/>
              </w:rPr>
              <w:t>%</w:t>
            </w:r>
          </w:p>
        </w:tc>
        <w:tc>
          <w:tcPr>
            <w:tcW w:w="904" w:type="dxa"/>
            <w:shd w:val="clear" w:color="000000" w:fill="FFFFFF"/>
            <w:noWrap/>
            <w:vAlign w:val="center"/>
            <w:hideMark/>
          </w:tcPr>
          <w:p w:rsidR="0077267C" w:rsidRPr="0077267C" w:rsidRDefault="0077267C" w:rsidP="0077267C">
            <w:pPr>
              <w:jc w:val="center"/>
              <w:rPr>
                <w:sz w:val="18"/>
                <w:szCs w:val="18"/>
              </w:rPr>
            </w:pPr>
            <w:r w:rsidRPr="0077267C">
              <w:rPr>
                <w:sz w:val="18"/>
                <w:szCs w:val="18"/>
              </w:rPr>
              <w:t>0</w:t>
            </w:r>
          </w:p>
        </w:tc>
        <w:tc>
          <w:tcPr>
            <w:tcW w:w="904" w:type="dxa"/>
            <w:shd w:val="clear" w:color="000000" w:fill="FFFFFF"/>
            <w:noWrap/>
            <w:vAlign w:val="center"/>
            <w:hideMark/>
          </w:tcPr>
          <w:p w:rsidR="0077267C" w:rsidRPr="0077267C" w:rsidRDefault="0077267C" w:rsidP="0077267C">
            <w:pPr>
              <w:jc w:val="center"/>
              <w:rPr>
                <w:sz w:val="18"/>
                <w:szCs w:val="18"/>
              </w:rPr>
            </w:pPr>
            <w:r w:rsidRPr="0077267C">
              <w:rPr>
                <w:sz w:val="18"/>
                <w:szCs w:val="18"/>
              </w:rPr>
              <w:t>60</w:t>
            </w:r>
          </w:p>
        </w:tc>
        <w:tc>
          <w:tcPr>
            <w:tcW w:w="1266" w:type="dxa"/>
            <w:shd w:val="clear" w:color="000000" w:fill="FFFFFF"/>
            <w:vAlign w:val="center"/>
            <w:hideMark/>
          </w:tcPr>
          <w:p w:rsidR="0077267C" w:rsidRPr="0077267C" w:rsidRDefault="0077267C" w:rsidP="0077267C">
            <w:pPr>
              <w:jc w:val="center"/>
              <w:rPr>
                <w:sz w:val="18"/>
                <w:szCs w:val="18"/>
              </w:rPr>
            </w:pPr>
            <w:r w:rsidRPr="0077267C">
              <w:rPr>
                <w:sz w:val="18"/>
                <w:szCs w:val="18"/>
              </w:rPr>
              <w:t>73,5</w:t>
            </w:r>
          </w:p>
        </w:tc>
        <w:tc>
          <w:tcPr>
            <w:tcW w:w="1331" w:type="dxa"/>
            <w:shd w:val="clear" w:color="000000" w:fill="FFFFFF"/>
            <w:vAlign w:val="center"/>
            <w:hideMark/>
          </w:tcPr>
          <w:p w:rsidR="0077267C" w:rsidRPr="0077267C" w:rsidRDefault="0077267C" w:rsidP="0077267C">
            <w:pPr>
              <w:jc w:val="center"/>
              <w:rPr>
                <w:sz w:val="18"/>
                <w:szCs w:val="18"/>
              </w:rPr>
            </w:pPr>
            <w:r w:rsidRPr="0077267C">
              <w:rPr>
                <w:sz w:val="18"/>
                <w:szCs w:val="18"/>
              </w:rPr>
              <w:t>73,5</w:t>
            </w:r>
          </w:p>
        </w:tc>
        <w:tc>
          <w:tcPr>
            <w:tcW w:w="1245" w:type="dxa"/>
            <w:shd w:val="clear" w:color="000000" w:fill="FFFFFF"/>
            <w:noWrap/>
            <w:vAlign w:val="center"/>
            <w:hideMark/>
          </w:tcPr>
          <w:p w:rsidR="0077267C" w:rsidRPr="0077267C" w:rsidRDefault="0077267C" w:rsidP="0077267C">
            <w:pPr>
              <w:jc w:val="right"/>
              <w:rPr>
                <w:sz w:val="18"/>
                <w:szCs w:val="18"/>
              </w:rPr>
            </w:pPr>
            <w:r w:rsidRPr="0077267C">
              <w:rPr>
                <w:sz w:val="18"/>
                <w:szCs w:val="18"/>
              </w:rPr>
              <w:t>109 434 686</w:t>
            </w:r>
          </w:p>
        </w:tc>
      </w:tr>
      <w:tr w:rsidR="0077267C" w:rsidRPr="0077267C" w:rsidTr="0077267C">
        <w:trPr>
          <w:trHeight w:val="959"/>
        </w:trPr>
        <w:tc>
          <w:tcPr>
            <w:tcW w:w="948" w:type="dxa"/>
            <w:shd w:val="clear" w:color="000000" w:fill="FFFFFF"/>
            <w:vAlign w:val="center"/>
            <w:hideMark/>
          </w:tcPr>
          <w:p w:rsidR="0077267C" w:rsidRPr="0077267C" w:rsidRDefault="0077267C" w:rsidP="0077267C">
            <w:pPr>
              <w:jc w:val="center"/>
              <w:rPr>
                <w:sz w:val="18"/>
                <w:szCs w:val="18"/>
              </w:rPr>
            </w:pPr>
            <w:r w:rsidRPr="0077267C">
              <w:rPr>
                <w:sz w:val="18"/>
                <w:szCs w:val="18"/>
              </w:rPr>
              <w:t>80721</w:t>
            </w:r>
          </w:p>
        </w:tc>
        <w:tc>
          <w:tcPr>
            <w:tcW w:w="1637" w:type="dxa"/>
            <w:shd w:val="clear" w:color="000000" w:fill="FFFFFF"/>
            <w:vAlign w:val="bottom"/>
            <w:hideMark/>
          </w:tcPr>
          <w:p w:rsidR="0077267C" w:rsidRPr="0077267C" w:rsidRDefault="0077267C" w:rsidP="0077267C">
            <w:pPr>
              <w:rPr>
                <w:sz w:val="18"/>
                <w:szCs w:val="18"/>
              </w:rPr>
            </w:pPr>
            <w:r w:rsidRPr="0077267C">
              <w:rPr>
                <w:sz w:val="18"/>
                <w:szCs w:val="18"/>
              </w:rPr>
              <w:t xml:space="preserve">Zvýšení vybavenosti specializovaných pracovišť </w:t>
            </w:r>
          </w:p>
        </w:tc>
        <w:tc>
          <w:tcPr>
            <w:tcW w:w="963" w:type="dxa"/>
            <w:shd w:val="clear" w:color="000000" w:fill="FFFFFF"/>
            <w:noWrap/>
            <w:vAlign w:val="center"/>
            <w:hideMark/>
          </w:tcPr>
          <w:p w:rsidR="0077267C" w:rsidRPr="0077267C" w:rsidRDefault="0077267C" w:rsidP="0077267C">
            <w:pPr>
              <w:jc w:val="center"/>
              <w:rPr>
                <w:sz w:val="18"/>
                <w:szCs w:val="18"/>
              </w:rPr>
            </w:pPr>
            <w:r w:rsidRPr="0077267C">
              <w:rPr>
                <w:sz w:val="18"/>
                <w:szCs w:val="18"/>
              </w:rPr>
              <w:t>%</w:t>
            </w:r>
          </w:p>
        </w:tc>
        <w:tc>
          <w:tcPr>
            <w:tcW w:w="904" w:type="dxa"/>
            <w:shd w:val="clear" w:color="000000" w:fill="FFFFFF"/>
            <w:noWrap/>
            <w:vAlign w:val="center"/>
            <w:hideMark/>
          </w:tcPr>
          <w:p w:rsidR="0077267C" w:rsidRPr="0077267C" w:rsidRDefault="0077267C" w:rsidP="0077267C">
            <w:pPr>
              <w:jc w:val="center"/>
              <w:rPr>
                <w:sz w:val="18"/>
                <w:szCs w:val="18"/>
              </w:rPr>
            </w:pPr>
            <w:r w:rsidRPr="0077267C">
              <w:rPr>
                <w:sz w:val="18"/>
                <w:szCs w:val="18"/>
              </w:rPr>
              <w:t>0</w:t>
            </w:r>
          </w:p>
        </w:tc>
        <w:tc>
          <w:tcPr>
            <w:tcW w:w="904" w:type="dxa"/>
            <w:shd w:val="clear" w:color="000000" w:fill="FFFFFF"/>
            <w:noWrap/>
            <w:vAlign w:val="center"/>
            <w:hideMark/>
          </w:tcPr>
          <w:p w:rsidR="0077267C" w:rsidRPr="0077267C" w:rsidRDefault="0077267C" w:rsidP="0077267C">
            <w:pPr>
              <w:jc w:val="center"/>
              <w:rPr>
                <w:sz w:val="18"/>
                <w:szCs w:val="18"/>
              </w:rPr>
            </w:pPr>
            <w:r w:rsidRPr="0077267C">
              <w:rPr>
                <w:sz w:val="18"/>
                <w:szCs w:val="18"/>
              </w:rPr>
              <w:t>60</w:t>
            </w:r>
          </w:p>
        </w:tc>
        <w:tc>
          <w:tcPr>
            <w:tcW w:w="1266" w:type="dxa"/>
            <w:shd w:val="clear" w:color="000000" w:fill="FFFFFF"/>
            <w:vAlign w:val="center"/>
            <w:hideMark/>
          </w:tcPr>
          <w:p w:rsidR="0077267C" w:rsidRPr="0077267C" w:rsidRDefault="0077267C" w:rsidP="0077267C">
            <w:pPr>
              <w:jc w:val="center"/>
              <w:rPr>
                <w:sz w:val="18"/>
                <w:szCs w:val="18"/>
              </w:rPr>
            </w:pPr>
            <w:r w:rsidRPr="0077267C">
              <w:rPr>
                <w:sz w:val="18"/>
                <w:szCs w:val="18"/>
              </w:rPr>
              <w:t>60</w:t>
            </w:r>
          </w:p>
        </w:tc>
        <w:tc>
          <w:tcPr>
            <w:tcW w:w="1331" w:type="dxa"/>
            <w:shd w:val="clear" w:color="000000" w:fill="FFFFFF"/>
            <w:vAlign w:val="center"/>
            <w:hideMark/>
          </w:tcPr>
          <w:p w:rsidR="0077267C" w:rsidRPr="0077267C" w:rsidRDefault="0077267C" w:rsidP="0077267C">
            <w:pPr>
              <w:jc w:val="center"/>
              <w:rPr>
                <w:sz w:val="18"/>
                <w:szCs w:val="18"/>
              </w:rPr>
            </w:pPr>
            <w:r w:rsidRPr="0077267C">
              <w:rPr>
                <w:sz w:val="18"/>
                <w:szCs w:val="18"/>
              </w:rPr>
              <w:t>68,14</w:t>
            </w:r>
          </w:p>
        </w:tc>
        <w:tc>
          <w:tcPr>
            <w:tcW w:w="1245" w:type="dxa"/>
            <w:shd w:val="clear" w:color="000000" w:fill="FFFFFF"/>
            <w:noWrap/>
            <w:vAlign w:val="center"/>
            <w:hideMark/>
          </w:tcPr>
          <w:p w:rsidR="0077267C" w:rsidRPr="0077267C" w:rsidRDefault="0077267C" w:rsidP="0077267C">
            <w:pPr>
              <w:jc w:val="right"/>
              <w:rPr>
                <w:sz w:val="18"/>
                <w:szCs w:val="18"/>
              </w:rPr>
            </w:pPr>
            <w:r w:rsidRPr="0077267C">
              <w:rPr>
                <w:sz w:val="18"/>
                <w:szCs w:val="18"/>
              </w:rPr>
              <w:t>7 166 511 310</w:t>
            </w:r>
          </w:p>
        </w:tc>
      </w:tr>
      <w:tr w:rsidR="0077267C" w:rsidRPr="0077267C" w:rsidTr="0077267C">
        <w:trPr>
          <w:trHeight w:val="719"/>
        </w:trPr>
        <w:tc>
          <w:tcPr>
            <w:tcW w:w="948" w:type="dxa"/>
            <w:shd w:val="clear" w:color="000000" w:fill="FFFFFF"/>
            <w:vAlign w:val="center"/>
            <w:hideMark/>
          </w:tcPr>
          <w:p w:rsidR="0077267C" w:rsidRPr="0077267C" w:rsidRDefault="0077267C" w:rsidP="0077267C">
            <w:pPr>
              <w:jc w:val="center"/>
              <w:rPr>
                <w:sz w:val="18"/>
                <w:szCs w:val="18"/>
              </w:rPr>
            </w:pPr>
            <w:r w:rsidRPr="0077267C">
              <w:rPr>
                <w:sz w:val="18"/>
                <w:szCs w:val="18"/>
              </w:rPr>
              <w:t>80712</w:t>
            </w:r>
          </w:p>
        </w:tc>
        <w:tc>
          <w:tcPr>
            <w:tcW w:w="1637" w:type="dxa"/>
            <w:shd w:val="clear" w:color="000000" w:fill="FFFFFF"/>
            <w:vAlign w:val="bottom"/>
            <w:hideMark/>
          </w:tcPr>
          <w:p w:rsidR="0077267C" w:rsidRPr="0077267C" w:rsidRDefault="0077267C" w:rsidP="0077267C">
            <w:pPr>
              <w:rPr>
                <w:sz w:val="18"/>
                <w:szCs w:val="18"/>
              </w:rPr>
            </w:pPr>
            <w:r w:rsidRPr="0077267C">
              <w:rPr>
                <w:sz w:val="18"/>
                <w:szCs w:val="18"/>
              </w:rPr>
              <w:t xml:space="preserve">Počet dostupných programů prevence pro obyvatele </w:t>
            </w:r>
          </w:p>
        </w:tc>
        <w:tc>
          <w:tcPr>
            <w:tcW w:w="963" w:type="dxa"/>
            <w:shd w:val="clear" w:color="000000" w:fill="FFFFFF"/>
            <w:noWrap/>
            <w:vAlign w:val="center"/>
            <w:hideMark/>
          </w:tcPr>
          <w:p w:rsidR="0077267C" w:rsidRPr="0077267C" w:rsidRDefault="0077267C" w:rsidP="0077267C">
            <w:pPr>
              <w:jc w:val="center"/>
              <w:rPr>
                <w:sz w:val="18"/>
                <w:szCs w:val="18"/>
              </w:rPr>
            </w:pPr>
            <w:r w:rsidRPr="0077267C">
              <w:rPr>
                <w:sz w:val="18"/>
                <w:szCs w:val="18"/>
              </w:rPr>
              <w:t>Počet</w:t>
            </w:r>
          </w:p>
        </w:tc>
        <w:tc>
          <w:tcPr>
            <w:tcW w:w="904" w:type="dxa"/>
            <w:shd w:val="clear" w:color="000000" w:fill="FFFFFF"/>
            <w:noWrap/>
            <w:vAlign w:val="center"/>
            <w:hideMark/>
          </w:tcPr>
          <w:p w:rsidR="0077267C" w:rsidRPr="0077267C" w:rsidRDefault="0077267C" w:rsidP="0077267C">
            <w:pPr>
              <w:jc w:val="center"/>
              <w:rPr>
                <w:sz w:val="18"/>
                <w:szCs w:val="18"/>
              </w:rPr>
            </w:pPr>
            <w:r w:rsidRPr="0077267C">
              <w:rPr>
                <w:sz w:val="18"/>
                <w:szCs w:val="18"/>
              </w:rPr>
              <w:t>0</w:t>
            </w:r>
          </w:p>
        </w:tc>
        <w:tc>
          <w:tcPr>
            <w:tcW w:w="904" w:type="dxa"/>
            <w:shd w:val="clear" w:color="000000" w:fill="FFFFFF"/>
            <w:noWrap/>
            <w:vAlign w:val="center"/>
            <w:hideMark/>
          </w:tcPr>
          <w:p w:rsidR="0077267C" w:rsidRPr="0077267C" w:rsidRDefault="0077267C" w:rsidP="0077267C">
            <w:pPr>
              <w:jc w:val="center"/>
              <w:rPr>
                <w:sz w:val="18"/>
                <w:szCs w:val="18"/>
              </w:rPr>
            </w:pPr>
            <w:r w:rsidRPr="0077267C">
              <w:rPr>
                <w:sz w:val="18"/>
                <w:szCs w:val="18"/>
              </w:rPr>
              <w:t>45</w:t>
            </w:r>
          </w:p>
        </w:tc>
        <w:tc>
          <w:tcPr>
            <w:tcW w:w="1266" w:type="dxa"/>
            <w:shd w:val="clear" w:color="000000" w:fill="FFFFFF"/>
            <w:vAlign w:val="center"/>
            <w:hideMark/>
          </w:tcPr>
          <w:p w:rsidR="0077267C" w:rsidRPr="0077267C" w:rsidRDefault="0077267C" w:rsidP="0077267C">
            <w:pPr>
              <w:jc w:val="center"/>
              <w:rPr>
                <w:sz w:val="18"/>
                <w:szCs w:val="18"/>
              </w:rPr>
            </w:pPr>
            <w:r w:rsidRPr="0077267C">
              <w:rPr>
                <w:sz w:val="18"/>
                <w:szCs w:val="18"/>
              </w:rPr>
              <w:t>55</w:t>
            </w:r>
          </w:p>
        </w:tc>
        <w:tc>
          <w:tcPr>
            <w:tcW w:w="1331" w:type="dxa"/>
            <w:shd w:val="clear" w:color="000000" w:fill="FFFFFF"/>
            <w:vAlign w:val="center"/>
            <w:hideMark/>
          </w:tcPr>
          <w:p w:rsidR="0077267C" w:rsidRPr="0077267C" w:rsidRDefault="0077267C" w:rsidP="0077267C">
            <w:pPr>
              <w:jc w:val="center"/>
              <w:rPr>
                <w:sz w:val="18"/>
                <w:szCs w:val="18"/>
              </w:rPr>
            </w:pPr>
            <w:r w:rsidRPr="0077267C">
              <w:rPr>
                <w:sz w:val="18"/>
                <w:szCs w:val="18"/>
              </w:rPr>
              <w:t>51</w:t>
            </w:r>
          </w:p>
        </w:tc>
        <w:tc>
          <w:tcPr>
            <w:tcW w:w="1245" w:type="dxa"/>
            <w:shd w:val="clear" w:color="000000" w:fill="FFFFFF"/>
            <w:noWrap/>
            <w:vAlign w:val="center"/>
            <w:hideMark/>
          </w:tcPr>
          <w:p w:rsidR="0077267C" w:rsidRPr="0077267C" w:rsidRDefault="0077267C" w:rsidP="0077267C">
            <w:pPr>
              <w:jc w:val="right"/>
              <w:rPr>
                <w:sz w:val="18"/>
                <w:szCs w:val="18"/>
              </w:rPr>
            </w:pPr>
            <w:r w:rsidRPr="0077267C">
              <w:rPr>
                <w:sz w:val="18"/>
                <w:szCs w:val="18"/>
              </w:rPr>
              <w:t>865 338 888</w:t>
            </w:r>
          </w:p>
        </w:tc>
      </w:tr>
      <w:tr w:rsidR="0077267C" w:rsidRPr="0077267C" w:rsidTr="0077267C">
        <w:trPr>
          <w:trHeight w:val="1438"/>
        </w:trPr>
        <w:tc>
          <w:tcPr>
            <w:tcW w:w="948" w:type="dxa"/>
            <w:shd w:val="clear" w:color="000000" w:fill="FFFFFF"/>
            <w:vAlign w:val="center"/>
            <w:hideMark/>
          </w:tcPr>
          <w:p w:rsidR="0077267C" w:rsidRPr="0077267C" w:rsidRDefault="0077267C" w:rsidP="0077267C">
            <w:pPr>
              <w:jc w:val="center"/>
              <w:rPr>
                <w:sz w:val="18"/>
                <w:szCs w:val="18"/>
              </w:rPr>
            </w:pPr>
            <w:r w:rsidRPr="0077267C">
              <w:rPr>
                <w:sz w:val="18"/>
                <w:szCs w:val="18"/>
              </w:rPr>
              <w:t>80704</w:t>
            </w:r>
          </w:p>
        </w:tc>
        <w:tc>
          <w:tcPr>
            <w:tcW w:w="1637" w:type="dxa"/>
            <w:shd w:val="clear" w:color="000000" w:fill="FFFFFF"/>
            <w:vAlign w:val="bottom"/>
            <w:hideMark/>
          </w:tcPr>
          <w:p w:rsidR="0077267C" w:rsidRPr="0077267C" w:rsidRDefault="0077267C" w:rsidP="0077267C">
            <w:pPr>
              <w:rPr>
                <w:sz w:val="18"/>
                <w:szCs w:val="18"/>
              </w:rPr>
            </w:pPr>
            <w:r w:rsidRPr="0077267C">
              <w:rPr>
                <w:sz w:val="18"/>
                <w:szCs w:val="18"/>
              </w:rPr>
              <w:t xml:space="preserve">Počet programů zavádějících standardy a standardní postupy řízení kvality a nákladovosti </w:t>
            </w:r>
          </w:p>
        </w:tc>
        <w:tc>
          <w:tcPr>
            <w:tcW w:w="963" w:type="dxa"/>
            <w:shd w:val="clear" w:color="000000" w:fill="FFFFFF"/>
            <w:noWrap/>
            <w:vAlign w:val="center"/>
            <w:hideMark/>
          </w:tcPr>
          <w:p w:rsidR="0077267C" w:rsidRPr="0077267C" w:rsidRDefault="0077267C" w:rsidP="0077267C">
            <w:pPr>
              <w:jc w:val="center"/>
              <w:rPr>
                <w:sz w:val="18"/>
                <w:szCs w:val="18"/>
              </w:rPr>
            </w:pPr>
            <w:r w:rsidRPr="0077267C">
              <w:rPr>
                <w:sz w:val="18"/>
                <w:szCs w:val="18"/>
              </w:rPr>
              <w:t>Počet</w:t>
            </w:r>
          </w:p>
        </w:tc>
        <w:tc>
          <w:tcPr>
            <w:tcW w:w="904" w:type="dxa"/>
            <w:shd w:val="clear" w:color="000000" w:fill="FFFFFF"/>
            <w:noWrap/>
            <w:vAlign w:val="center"/>
            <w:hideMark/>
          </w:tcPr>
          <w:p w:rsidR="0077267C" w:rsidRPr="0077267C" w:rsidRDefault="0077267C" w:rsidP="0077267C">
            <w:pPr>
              <w:jc w:val="center"/>
              <w:rPr>
                <w:sz w:val="18"/>
                <w:szCs w:val="18"/>
              </w:rPr>
            </w:pPr>
            <w:r w:rsidRPr="0077267C">
              <w:rPr>
                <w:sz w:val="18"/>
                <w:szCs w:val="18"/>
              </w:rPr>
              <w:t>0</w:t>
            </w:r>
          </w:p>
        </w:tc>
        <w:tc>
          <w:tcPr>
            <w:tcW w:w="904" w:type="dxa"/>
            <w:shd w:val="clear" w:color="000000" w:fill="FFFFFF"/>
            <w:noWrap/>
            <w:vAlign w:val="center"/>
            <w:hideMark/>
          </w:tcPr>
          <w:p w:rsidR="0077267C" w:rsidRPr="0077267C" w:rsidRDefault="0077267C" w:rsidP="0077267C">
            <w:pPr>
              <w:jc w:val="center"/>
              <w:rPr>
                <w:sz w:val="18"/>
                <w:szCs w:val="18"/>
              </w:rPr>
            </w:pPr>
            <w:r w:rsidRPr="0077267C">
              <w:rPr>
                <w:sz w:val="18"/>
                <w:szCs w:val="18"/>
              </w:rPr>
              <w:t>24</w:t>
            </w:r>
          </w:p>
        </w:tc>
        <w:tc>
          <w:tcPr>
            <w:tcW w:w="1266" w:type="dxa"/>
            <w:shd w:val="clear" w:color="000000" w:fill="FFFFFF"/>
            <w:vAlign w:val="center"/>
            <w:hideMark/>
          </w:tcPr>
          <w:p w:rsidR="0077267C" w:rsidRPr="0077267C" w:rsidRDefault="0077267C" w:rsidP="0077267C">
            <w:pPr>
              <w:jc w:val="center"/>
              <w:rPr>
                <w:sz w:val="18"/>
                <w:szCs w:val="18"/>
              </w:rPr>
            </w:pPr>
            <w:r w:rsidRPr="0077267C">
              <w:rPr>
                <w:sz w:val="18"/>
                <w:szCs w:val="18"/>
              </w:rPr>
              <w:t>24</w:t>
            </w:r>
          </w:p>
        </w:tc>
        <w:tc>
          <w:tcPr>
            <w:tcW w:w="1331" w:type="dxa"/>
            <w:shd w:val="clear" w:color="000000" w:fill="FFFFFF"/>
            <w:vAlign w:val="center"/>
            <w:hideMark/>
          </w:tcPr>
          <w:p w:rsidR="0077267C" w:rsidRPr="0077267C" w:rsidRDefault="0077267C" w:rsidP="0077267C">
            <w:pPr>
              <w:jc w:val="center"/>
              <w:rPr>
                <w:sz w:val="18"/>
                <w:szCs w:val="18"/>
              </w:rPr>
            </w:pPr>
            <w:r w:rsidRPr="0077267C">
              <w:rPr>
                <w:sz w:val="18"/>
                <w:szCs w:val="18"/>
              </w:rPr>
              <w:t>15</w:t>
            </w:r>
          </w:p>
        </w:tc>
        <w:tc>
          <w:tcPr>
            <w:tcW w:w="1245" w:type="dxa"/>
            <w:shd w:val="clear" w:color="000000" w:fill="FFFFFF"/>
            <w:noWrap/>
            <w:vAlign w:val="center"/>
            <w:hideMark/>
          </w:tcPr>
          <w:p w:rsidR="0077267C" w:rsidRPr="0077267C" w:rsidRDefault="0077267C" w:rsidP="0077267C">
            <w:pPr>
              <w:jc w:val="right"/>
              <w:rPr>
                <w:sz w:val="18"/>
                <w:szCs w:val="18"/>
              </w:rPr>
            </w:pPr>
            <w:r w:rsidRPr="0077267C">
              <w:rPr>
                <w:sz w:val="18"/>
                <w:szCs w:val="18"/>
              </w:rPr>
              <w:t>318 841 990</w:t>
            </w:r>
          </w:p>
        </w:tc>
      </w:tr>
      <w:tr w:rsidR="0077267C" w:rsidRPr="0077267C" w:rsidTr="0077267C">
        <w:trPr>
          <w:trHeight w:val="1438"/>
        </w:trPr>
        <w:tc>
          <w:tcPr>
            <w:tcW w:w="948" w:type="dxa"/>
            <w:shd w:val="clear" w:color="000000" w:fill="FFFFFF"/>
            <w:vAlign w:val="center"/>
            <w:hideMark/>
          </w:tcPr>
          <w:p w:rsidR="0077267C" w:rsidRPr="0077267C" w:rsidRDefault="0077267C" w:rsidP="0077267C">
            <w:pPr>
              <w:jc w:val="center"/>
              <w:rPr>
                <w:sz w:val="18"/>
                <w:szCs w:val="18"/>
              </w:rPr>
            </w:pPr>
            <w:r w:rsidRPr="0077267C">
              <w:rPr>
                <w:sz w:val="18"/>
                <w:szCs w:val="18"/>
              </w:rPr>
              <w:t>74514</w:t>
            </w:r>
          </w:p>
        </w:tc>
        <w:tc>
          <w:tcPr>
            <w:tcW w:w="1637" w:type="dxa"/>
            <w:shd w:val="clear" w:color="000000" w:fill="FFFFFF"/>
            <w:vAlign w:val="bottom"/>
            <w:hideMark/>
          </w:tcPr>
          <w:p w:rsidR="0077267C" w:rsidRPr="0077267C" w:rsidRDefault="0077267C" w:rsidP="0077267C">
            <w:pPr>
              <w:rPr>
                <w:sz w:val="18"/>
                <w:szCs w:val="18"/>
              </w:rPr>
            </w:pPr>
            <w:r w:rsidRPr="0077267C">
              <w:rPr>
                <w:sz w:val="18"/>
                <w:szCs w:val="18"/>
              </w:rPr>
              <w:t>Nárůst kvality pracovního a klientského prostředí institucí a služeb zaměstnanosti</w:t>
            </w:r>
          </w:p>
        </w:tc>
        <w:tc>
          <w:tcPr>
            <w:tcW w:w="963" w:type="dxa"/>
            <w:shd w:val="clear" w:color="000000" w:fill="FFFFFF"/>
            <w:noWrap/>
            <w:vAlign w:val="center"/>
            <w:hideMark/>
          </w:tcPr>
          <w:p w:rsidR="0077267C" w:rsidRPr="0077267C" w:rsidRDefault="0077267C" w:rsidP="0077267C">
            <w:pPr>
              <w:jc w:val="center"/>
              <w:rPr>
                <w:sz w:val="18"/>
                <w:szCs w:val="18"/>
              </w:rPr>
            </w:pPr>
            <w:r w:rsidRPr="0077267C">
              <w:rPr>
                <w:sz w:val="18"/>
                <w:szCs w:val="18"/>
              </w:rPr>
              <w:t>%</w:t>
            </w:r>
          </w:p>
        </w:tc>
        <w:tc>
          <w:tcPr>
            <w:tcW w:w="904" w:type="dxa"/>
            <w:shd w:val="clear" w:color="000000" w:fill="FFFFFF"/>
            <w:noWrap/>
            <w:vAlign w:val="center"/>
            <w:hideMark/>
          </w:tcPr>
          <w:p w:rsidR="0077267C" w:rsidRPr="0077267C" w:rsidRDefault="0077267C" w:rsidP="0077267C">
            <w:pPr>
              <w:jc w:val="center"/>
              <w:rPr>
                <w:sz w:val="18"/>
                <w:szCs w:val="18"/>
              </w:rPr>
            </w:pPr>
            <w:r w:rsidRPr="0077267C">
              <w:rPr>
                <w:sz w:val="18"/>
                <w:szCs w:val="18"/>
              </w:rPr>
              <w:t>0</w:t>
            </w:r>
          </w:p>
        </w:tc>
        <w:tc>
          <w:tcPr>
            <w:tcW w:w="904" w:type="dxa"/>
            <w:shd w:val="clear" w:color="000000" w:fill="FFFFFF"/>
            <w:noWrap/>
            <w:vAlign w:val="center"/>
            <w:hideMark/>
          </w:tcPr>
          <w:p w:rsidR="0077267C" w:rsidRPr="0077267C" w:rsidRDefault="0077267C" w:rsidP="0077267C">
            <w:pPr>
              <w:jc w:val="center"/>
              <w:rPr>
                <w:sz w:val="18"/>
                <w:szCs w:val="18"/>
              </w:rPr>
            </w:pPr>
            <w:r w:rsidRPr="0077267C">
              <w:rPr>
                <w:sz w:val="18"/>
                <w:szCs w:val="18"/>
              </w:rPr>
              <w:t>18</w:t>
            </w:r>
          </w:p>
        </w:tc>
        <w:tc>
          <w:tcPr>
            <w:tcW w:w="1266" w:type="dxa"/>
            <w:shd w:val="clear" w:color="000000" w:fill="FFFFFF"/>
            <w:vAlign w:val="center"/>
            <w:hideMark/>
          </w:tcPr>
          <w:p w:rsidR="0077267C" w:rsidRPr="0077267C" w:rsidRDefault="0077267C" w:rsidP="0077267C">
            <w:pPr>
              <w:jc w:val="center"/>
              <w:rPr>
                <w:sz w:val="18"/>
                <w:szCs w:val="18"/>
              </w:rPr>
            </w:pPr>
            <w:r w:rsidRPr="0077267C">
              <w:rPr>
                <w:sz w:val="18"/>
                <w:szCs w:val="18"/>
              </w:rPr>
              <w:t>20,59</w:t>
            </w:r>
          </w:p>
        </w:tc>
        <w:tc>
          <w:tcPr>
            <w:tcW w:w="1331" w:type="dxa"/>
            <w:shd w:val="clear" w:color="000000" w:fill="FFFFFF"/>
            <w:vAlign w:val="center"/>
            <w:hideMark/>
          </w:tcPr>
          <w:p w:rsidR="0077267C" w:rsidRPr="0077267C" w:rsidRDefault="0077267C" w:rsidP="0077267C">
            <w:pPr>
              <w:jc w:val="center"/>
              <w:rPr>
                <w:sz w:val="18"/>
                <w:szCs w:val="18"/>
              </w:rPr>
            </w:pPr>
            <w:r w:rsidRPr="0077267C">
              <w:rPr>
                <w:sz w:val="18"/>
                <w:szCs w:val="18"/>
              </w:rPr>
              <w:t>8,29</w:t>
            </w:r>
          </w:p>
        </w:tc>
        <w:tc>
          <w:tcPr>
            <w:tcW w:w="1245" w:type="dxa"/>
            <w:shd w:val="clear" w:color="000000" w:fill="FFFFFF"/>
            <w:noWrap/>
            <w:vAlign w:val="center"/>
            <w:hideMark/>
          </w:tcPr>
          <w:p w:rsidR="0077267C" w:rsidRPr="0077267C" w:rsidRDefault="0077267C" w:rsidP="0077267C">
            <w:pPr>
              <w:jc w:val="right"/>
              <w:rPr>
                <w:sz w:val="18"/>
                <w:szCs w:val="18"/>
              </w:rPr>
            </w:pPr>
            <w:r w:rsidRPr="0077267C">
              <w:rPr>
                <w:sz w:val="18"/>
                <w:szCs w:val="18"/>
              </w:rPr>
              <w:t>649 160 182</w:t>
            </w:r>
          </w:p>
        </w:tc>
      </w:tr>
      <w:tr w:rsidR="0077267C" w:rsidRPr="0077267C" w:rsidTr="0077267C">
        <w:trPr>
          <w:trHeight w:val="959"/>
        </w:trPr>
        <w:tc>
          <w:tcPr>
            <w:tcW w:w="948" w:type="dxa"/>
            <w:shd w:val="clear" w:color="000000" w:fill="FFFFFF"/>
            <w:vAlign w:val="center"/>
            <w:hideMark/>
          </w:tcPr>
          <w:p w:rsidR="0077267C" w:rsidRPr="0077267C" w:rsidRDefault="0077267C" w:rsidP="0077267C">
            <w:pPr>
              <w:jc w:val="center"/>
              <w:rPr>
                <w:sz w:val="18"/>
                <w:szCs w:val="18"/>
              </w:rPr>
            </w:pPr>
            <w:r w:rsidRPr="0077267C">
              <w:rPr>
                <w:sz w:val="18"/>
                <w:szCs w:val="18"/>
              </w:rPr>
              <w:t>74512</w:t>
            </w:r>
          </w:p>
        </w:tc>
        <w:tc>
          <w:tcPr>
            <w:tcW w:w="1637" w:type="dxa"/>
            <w:shd w:val="clear" w:color="000000" w:fill="FFFFFF"/>
            <w:vAlign w:val="bottom"/>
            <w:hideMark/>
          </w:tcPr>
          <w:p w:rsidR="0077267C" w:rsidRPr="0077267C" w:rsidRDefault="0077267C" w:rsidP="0077267C">
            <w:pPr>
              <w:rPr>
                <w:sz w:val="18"/>
                <w:szCs w:val="18"/>
              </w:rPr>
            </w:pPr>
            <w:r w:rsidRPr="0077267C">
              <w:rPr>
                <w:sz w:val="18"/>
                <w:szCs w:val="18"/>
              </w:rPr>
              <w:t xml:space="preserve">Nárůst kapacity </w:t>
            </w:r>
            <w:r w:rsidR="00284D1F" w:rsidRPr="0077267C">
              <w:rPr>
                <w:sz w:val="18"/>
                <w:szCs w:val="18"/>
              </w:rPr>
              <w:t>školicích</w:t>
            </w:r>
            <w:r w:rsidRPr="0077267C">
              <w:rPr>
                <w:sz w:val="18"/>
                <w:szCs w:val="18"/>
              </w:rPr>
              <w:t xml:space="preserve"> středisek služeb zaměstnanosti</w:t>
            </w:r>
          </w:p>
        </w:tc>
        <w:tc>
          <w:tcPr>
            <w:tcW w:w="963" w:type="dxa"/>
            <w:shd w:val="clear" w:color="000000" w:fill="FFFFFF"/>
            <w:noWrap/>
            <w:vAlign w:val="center"/>
            <w:hideMark/>
          </w:tcPr>
          <w:p w:rsidR="0077267C" w:rsidRPr="0077267C" w:rsidRDefault="0077267C" w:rsidP="0077267C">
            <w:pPr>
              <w:jc w:val="center"/>
              <w:rPr>
                <w:sz w:val="18"/>
                <w:szCs w:val="18"/>
              </w:rPr>
            </w:pPr>
            <w:r w:rsidRPr="0077267C">
              <w:rPr>
                <w:sz w:val="18"/>
                <w:szCs w:val="18"/>
              </w:rPr>
              <w:t>%</w:t>
            </w:r>
          </w:p>
        </w:tc>
        <w:tc>
          <w:tcPr>
            <w:tcW w:w="904" w:type="dxa"/>
            <w:shd w:val="clear" w:color="000000" w:fill="FFFFFF"/>
            <w:noWrap/>
            <w:vAlign w:val="center"/>
            <w:hideMark/>
          </w:tcPr>
          <w:p w:rsidR="0077267C" w:rsidRPr="0077267C" w:rsidRDefault="0077267C" w:rsidP="0077267C">
            <w:pPr>
              <w:jc w:val="center"/>
              <w:rPr>
                <w:sz w:val="18"/>
                <w:szCs w:val="18"/>
              </w:rPr>
            </w:pPr>
            <w:r w:rsidRPr="0077267C">
              <w:rPr>
                <w:sz w:val="18"/>
                <w:szCs w:val="18"/>
              </w:rPr>
              <w:t>0,00</w:t>
            </w:r>
          </w:p>
        </w:tc>
        <w:tc>
          <w:tcPr>
            <w:tcW w:w="904" w:type="dxa"/>
            <w:shd w:val="clear" w:color="000000" w:fill="FFFFFF"/>
            <w:noWrap/>
            <w:vAlign w:val="center"/>
            <w:hideMark/>
          </w:tcPr>
          <w:p w:rsidR="0077267C" w:rsidRPr="0077267C" w:rsidRDefault="0077267C" w:rsidP="0077267C">
            <w:pPr>
              <w:jc w:val="center"/>
              <w:rPr>
                <w:sz w:val="18"/>
                <w:szCs w:val="18"/>
              </w:rPr>
            </w:pPr>
            <w:r w:rsidRPr="0077267C">
              <w:rPr>
                <w:sz w:val="18"/>
                <w:szCs w:val="18"/>
              </w:rPr>
              <w:t>20,00</w:t>
            </w:r>
          </w:p>
        </w:tc>
        <w:tc>
          <w:tcPr>
            <w:tcW w:w="1266" w:type="dxa"/>
            <w:shd w:val="clear" w:color="000000" w:fill="FFFFFF"/>
            <w:vAlign w:val="center"/>
            <w:hideMark/>
          </w:tcPr>
          <w:p w:rsidR="0077267C" w:rsidRPr="0077267C" w:rsidRDefault="0077267C" w:rsidP="0077267C">
            <w:pPr>
              <w:jc w:val="center"/>
              <w:rPr>
                <w:sz w:val="18"/>
                <w:szCs w:val="18"/>
              </w:rPr>
            </w:pPr>
            <w:r w:rsidRPr="0077267C">
              <w:rPr>
                <w:sz w:val="18"/>
                <w:szCs w:val="18"/>
              </w:rPr>
              <w:t>20,03</w:t>
            </w:r>
          </w:p>
        </w:tc>
        <w:tc>
          <w:tcPr>
            <w:tcW w:w="1331" w:type="dxa"/>
            <w:shd w:val="clear" w:color="000000" w:fill="FFFFFF"/>
            <w:vAlign w:val="center"/>
            <w:hideMark/>
          </w:tcPr>
          <w:p w:rsidR="0077267C" w:rsidRPr="0077267C" w:rsidRDefault="0077267C" w:rsidP="0077267C">
            <w:pPr>
              <w:jc w:val="center"/>
              <w:rPr>
                <w:sz w:val="18"/>
                <w:szCs w:val="18"/>
              </w:rPr>
            </w:pPr>
            <w:r w:rsidRPr="0077267C">
              <w:rPr>
                <w:sz w:val="18"/>
                <w:szCs w:val="18"/>
              </w:rPr>
              <w:t>1,27</w:t>
            </w:r>
          </w:p>
        </w:tc>
        <w:tc>
          <w:tcPr>
            <w:tcW w:w="1245" w:type="dxa"/>
            <w:shd w:val="clear" w:color="000000" w:fill="FFFFFF"/>
            <w:noWrap/>
            <w:vAlign w:val="center"/>
            <w:hideMark/>
          </w:tcPr>
          <w:p w:rsidR="0077267C" w:rsidRPr="0077267C" w:rsidRDefault="0077267C" w:rsidP="0077267C">
            <w:pPr>
              <w:jc w:val="right"/>
              <w:rPr>
                <w:sz w:val="18"/>
                <w:szCs w:val="18"/>
              </w:rPr>
            </w:pPr>
            <w:r w:rsidRPr="0077267C">
              <w:rPr>
                <w:sz w:val="18"/>
                <w:szCs w:val="18"/>
              </w:rPr>
              <w:t>89 498 131</w:t>
            </w:r>
          </w:p>
        </w:tc>
      </w:tr>
      <w:tr w:rsidR="0077267C" w:rsidRPr="0077267C" w:rsidTr="0077267C">
        <w:trPr>
          <w:trHeight w:val="959"/>
        </w:trPr>
        <w:tc>
          <w:tcPr>
            <w:tcW w:w="948" w:type="dxa"/>
            <w:shd w:val="clear" w:color="000000" w:fill="FFFFFF"/>
            <w:vAlign w:val="center"/>
            <w:hideMark/>
          </w:tcPr>
          <w:p w:rsidR="0077267C" w:rsidRPr="0077267C" w:rsidRDefault="0077267C" w:rsidP="0077267C">
            <w:pPr>
              <w:jc w:val="center"/>
              <w:rPr>
                <w:sz w:val="18"/>
                <w:szCs w:val="18"/>
              </w:rPr>
            </w:pPr>
            <w:r w:rsidRPr="0077267C">
              <w:rPr>
                <w:sz w:val="18"/>
                <w:szCs w:val="18"/>
              </w:rPr>
              <w:t>74513</w:t>
            </w:r>
          </w:p>
        </w:tc>
        <w:tc>
          <w:tcPr>
            <w:tcW w:w="1637" w:type="dxa"/>
            <w:shd w:val="clear" w:color="000000" w:fill="FFFFFF"/>
            <w:vAlign w:val="bottom"/>
            <w:hideMark/>
          </w:tcPr>
          <w:p w:rsidR="0077267C" w:rsidRPr="0077267C" w:rsidRDefault="0077267C" w:rsidP="0077267C">
            <w:pPr>
              <w:rPr>
                <w:sz w:val="18"/>
                <w:szCs w:val="18"/>
              </w:rPr>
            </w:pPr>
            <w:r w:rsidRPr="0077267C">
              <w:rPr>
                <w:sz w:val="18"/>
                <w:szCs w:val="18"/>
              </w:rPr>
              <w:t>Nárůst kapacity poradensko-vzdělávacích středisek</w:t>
            </w:r>
          </w:p>
        </w:tc>
        <w:tc>
          <w:tcPr>
            <w:tcW w:w="963" w:type="dxa"/>
            <w:shd w:val="clear" w:color="000000" w:fill="FFFFFF"/>
            <w:noWrap/>
            <w:vAlign w:val="center"/>
            <w:hideMark/>
          </w:tcPr>
          <w:p w:rsidR="0077267C" w:rsidRPr="0077267C" w:rsidRDefault="0077267C" w:rsidP="0077267C">
            <w:pPr>
              <w:jc w:val="center"/>
              <w:rPr>
                <w:sz w:val="18"/>
                <w:szCs w:val="18"/>
              </w:rPr>
            </w:pPr>
            <w:r w:rsidRPr="0077267C">
              <w:rPr>
                <w:sz w:val="18"/>
                <w:szCs w:val="18"/>
              </w:rPr>
              <w:t>%</w:t>
            </w:r>
          </w:p>
        </w:tc>
        <w:tc>
          <w:tcPr>
            <w:tcW w:w="904" w:type="dxa"/>
            <w:shd w:val="clear" w:color="000000" w:fill="FFFFFF"/>
            <w:noWrap/>
            <w:vAlign w:val="center"/>
            <w:hideMark/>
          </w:tcPr>
          <w:p w:rsidR="0077267C" w:rsidRPr="0077267C" w:rsidRDefault="0077267C" w:rsidP="0077267C">
            <w:pPr>
              <w:jc w:val="center"/>
              <w:rPr>
                <w:sz w:val="18"/>
                <w:szCs w:val="18"/>
              </w:rPr>
            </w:pPr>
            <w:r w:rsidRPr="0077267C">
              <w:rPr>
                <w:sz w:val="18"/>
                <w:szCs w:val="18"/>
              </w:rPr>
              <w:t>0</w:t>
            </w:r>
          </w:p>
        </w:tc>
        <w:tc>
          <w:tcPr>
            <w:tcW w:w="904" w:type="dxa"/>
            <w:shd w:val="clear" w:color="000000" w:fill="FFFFFF"/>
            <w:noWrap/>
            <w:vAlign w:val="center"/>
            <w:hideMark/>
          </w:tcPr>
          <w:p w:rsidR="0077267C" w:rsidRPr="0077267C" w:rsidRDefault="0077267C" w:rsidP="0077267C">
            <w:pPr>
              <w:jc w:val="center"/>
              <w:rPr>
                <w:sz w:val="18"/>
                <w:szCs w:val="18"/>
              </w:rPr>
            </w:pPr>
            <w:r w:rsidRPr="0077267C">
              <w:rPr>
                <w:sz w:val="18"/>
                <w:szCs w:val="18"/>
              </w:rPr>
              <w:t>25</w:t>
            </w:r>
          </w:p>
        </w:tc>
        <w:tc>
          <w:tcPr>
            <w:tcW w:w="1266" w:type="dxa"/>
            <w:shd w:val="clear" w:color="000000" w:fill="FFFFFF"/>
            <w:vAlign w:val="center"/>
            <w:hideMark/>
          </w:tcPr>
          <w:p w:rsidR="0077267C" w:rsidRPr="0077267C" w:rsidRDefault="0077267C" w:rsidP="0077267C">
            <w:pPr>
              <w:jc w:val="center"/>
              <w:rPr>
                <w:sz w:val="18"/>
                <w:szCs w:val="18"/>
              </w:rPr>
            </w:pPr>
            <w:r w:rsidRPr="0077267C">
              <w:rPr>
                <w:sz w:val="18"/>
                <w:szCs w:val="18"/>
              </w:rPr>
              <w:t>25</w:t>
            </w:r>
          </w:p>
        </w:tc>
        <w:tc>
          <w:tcPr>
            <w:tcW w:w="1331" w:type="dxa"/>
            <w:shd w:val="clear" w:color="000000" w:fill="FFFFFF"/>
            <w:vAlign w:val="center"/>
            <w:hideMark/>
          </w:tcPr>
          <w:p w:rsidR="0077267C" w:rsidRPr="0077267C" w:rsidRDefault="0077267C" w:rsidP="0077267C">
            <w:pPr>
              <w:jc w:val="center"/>
              <w:rPr>
                <w:sz w:val="18"/>
                <w:szCs w:val="18"/>
              </w:rPr>
            </w:pPr>
            <w:r w:rsidRPr="0077267C">
              <w:rPr>
                <w:sz w:val="18"/>
                <w:szCs w:val="18"/>
              </w:rPr>
              <w:t>4,98</w:t>
            </w:r>
          </w:p>
        </w:tc>
        <w:tc>
          <w:tcPr>
            <w:tcW w:w="1245" w:type="dxa"/>
            <w:shd w:val="clear" w:color="000000" w:fill="FFFFFF"/>
            <w:noWrap/>
            <w:vAlign w:val="center"/>
            <w:hideMark/>
          </w:tcPr>
          <w:p w:rsidR="0077267C" w:rsidRPr="0077267C" w:rsidRDefault="0077267C" w:rsidP="0077267C">
            <w:pPr>
              <w:jc w:val="right"/>
              <w:rPr>
                <w:sz w:val="18"/>
                <w:szCs w:val="18"/>
              </w:rPr>
            </w:pPr>
            <w:r w:rsidRPr="0077267C">
              <w:rPr>
                <w:sz w:val="18"/>
                <w:szCs w:val="18"/>
              </w:rPr>
              <w:t>35 585 551</w:t>
            </w:r>
          </w:p>
        </w:tc>
      </w:tr>
      <w:tr w:rsidR="0077267C" w:rsidRPr="0077267C" w:rsidTr="0077267C">
        <w:trPr>
          <w:trHeight w:val="479"/>
        </w:trPr>
        <w:tc>
          <w:tcPr>
            <w:tcW w:w="948" w:type="dxa"/>
            <w:shd w:val="clear" w:color="000000" w:fill="FFFFFF"/>
            <w:vAlign w:val="center"/>
            <w:hideMark/>
          </w:tcPr>
          <w:p w:rsidR="0077267C" w:rsidRPr="0077267C" w:rsidRDefault="0077267C" w:rsidP="0077267C">
            <w:pPr>
              <w:jc w:val="center"/>
              <w:rPr>
                <w:sz w:val="18"/>
                <w:szCs w:val="18"/>
              </w:rPr>
            </w:pPr>
            <w:r w:rsidRPr="0077267C">
              <w:rPr>
                <w:sz w:val="18"/>
                <w:szCs w:val="18"/>
              </w:rPr>
              <w:t>260401</w:t>
            </w:r>
          </w:p>
        </w:tc>
        <w:tc>
          <w:tcPr>
            <w:tcW w:w="1637" w:type="dxa"/>
            <w:shd w:val="clear" w:color="000000" w:fill="FFFFFF"/>
            <w:vAlign w:val="bottom"/>
            <w:hideMark/>
          </w:tcPr>
          <w:p w:rsidR="0077267C" w:rsidRPr="0077267C" w:rsidRDefault="0077267C" w:rsidP="0077267C">
            <w:pPr>
              <w:rPr>
                <w:sz w:val="18"/>
                <w:szCs w:val="18"/>
              </w:rPr>
            </w:pPr>
            <w:r w:rsidRPr="0077267C">
              <w:rPr>
                <w:sz w:val="18"/>
                <w:szCs w:val="18"/>
              </w:rPr>
              <w:t xml:space="preserve">Počet podpořených složek IZS  </w:t>
            </w:r>
          </w:p>
        </w:tc>
        <w:tc>
          <w:tcPr>
            <w:tcW w:w="963" w:type="dxa"/>
            <w:shd w:val="clear" w:color="000000" w:fill="FFFFFF"/>
            <w:noWrap/>
            <w:vAlign w:val="center"/>
            <w:hideMark/>
          </w:tcPr>
          <w:p w:rsidR="0077267C" w:rsidRPr="0077267C" w:rsidRDefault="0077267C" w:rsidP="0077267C">
            <w:pPr>
              <w:jc w:val="center"/>
              <w:rPr>
                <w:sz w:val="18"/>
                <w:szCs w:val="18"/>
              </w:rPr>
            </w:pPr>
            <w:r w:rsidRPr="0077267C">
              <w:rPr>
                <w:sz w:val="18"/>
                <w:szCs w:val="18"/>
              </w:rPr>
              <w:t>Počet</w:t>
            </w:r>
          </w:p>
        </w:tc>
        <w:tc>
          <w:tcPr>
            <w:tcW w:w="904" w:type="dxa"/>
            <w:shd w:val="clear" w:color="000000" w:fill="FFFFFF"/>
            <w:noWrap/>
            <w:vAlign w:val="center"/>
            <w:hideMark/>
          </w:tcPr>
          <w:p w:rsidR="0077267C" w:rsidRPr="0077267C" w:rsidRDefault="0077267C" w:rsidP="0077267C">
            <w:pPr>
              <w:jc w:val="center"/>
              <w:rPr>
                <w:sz w:val="18"/>
                <w:szCs w:val="18"/>
              </w:rPr>
            </w:pPr>
            <w:r w:rsidRPr="0077267C">
              <w:rPr>
                <w:sz w:val="18"/>
                <w:szCs w:val="18"/>
              </w:rPr>
              <w:t> 0</w:t>
            </w:r>
          </w:p>
        </w:tc>
        <w:tc>
          <w:tcPr>
            <w:tcW w:w="904" w:type="dxa"/>
            <w:shd w:val="clear" w:color="000000" w:fill="FFFFFF"/>
            <w:noWrap/>
            <w:vAlign w:val="center"/>
            <w:hideMark/>
          </w:tcPr>
          <w:p w:rsidR="0077267C" w:rsidRPr="0077267C" w:rsidRDefault="0077267C" w:rsidP="0077267C">
            <w:pPr>
              <w:jc w:val="center"/>
              <w:rPr>
                <w:sz w:val="18"/>
                <w:szCs w:val="18"/>
              </w:rPr>
            </w:pPr>
            <w:r w:rsidRPr="0077267C">
              <w:rPr>
                <w:sz w:val="18"/>
                <w:szCs w:val="18"/>
              </w:rPr>
              <w:t>3</w:t>
            </w:r>
          </w:p>
        </w:tc>
        <w:tc>
          <w:tcPr>
            <w:tcW w:w="1266" w:type="dxa"/>
            <w:shd w:val="clear" w:color="000000" w:fill="FFFFFF"/>
            <w:vAlign w:val="center"/>
            <w:hideMark/>
          </w:tcPr>
          <w:p w:rsidR="0077267C" w:rsidRPr="0077267C" w:rsidRDefault="0077267C" w:rsidP="0077267C">
            <w:pPr>
              <w:jc w:val="center"/>
              <w:rPr>
                <w:sz w:val="18"/>
                <w:szCs w:val="18"/>
              </w:rPr>
            </w:pPr>
            <w:r w:rsidRPr="0077267C">
              <w:rPr>
                <w:sz w:val="18"/>
                <w:szCs w:val="18"/>
              </w:rPr>
              <w:t>3</w:t>
            </w:r>
          </w:p>
        </w:tc>
        <w:tc>
          <w:tcPr>
            <w:tcW w:w="1331" w:type="dxa"/>
            <w:shd w:val="clear" w:color="000000" w:fill="FFFFFF"/>
            <w:vAlign w:val="center"/>
            <w:hideMark/>
          </w:tcPr>
          <w:p w:rsidR="0077267C" w:rsidRPr="0077267C" w:rsidRDefault="0077267C" w:rsidP="0077267C">
            <w:pPr>
              <w:jc w:val="center"/>
              <w:rPr>
                <w:sz w:val="18"/>
                <w:szCs w:val="18"/>
              </w:rPr>
            </w:pPr>
            <w:r w:rsidRPr="0077267C">
              <w:rPr>
                <w:sz w:val="18"/>
                <w:szCs w:val="18"/>
              </w:rPr>
              <w:t>0</w:t>
            </w:r>
          </w:p>
        </w:tc>
        <w:tc>
          <w:tcPr>
            <w:tcW w:w="1245" w:type="dxa"/>
            <w:shd w:val="clear" w:color="000000" w:fill="FFFFFF"/>
            <w:noWrap/>
            <w:vAlign w:val="center"/>
            <w:hideMark/>
          </w:tcPr>
          <w:p w:rsidR="0077267C" w:rsidRPr="0077267C" w:rsidRDefault="0077267C" w:rsidP="0077267C">
            <w:pPr>
              <w:jc w:val="right"/>
              <w:rPr>
                <w:sz w:val="18"/>
                <w:szCs w:val="18"/>
              </w:rPr>
            </w:pPr>
            <w:r w:rsidRPr="0077267C">
              <w:rPr>
                <w:sz w:val="18"/>
                <w:szCs w:val="18"/>
              </w:rPr>
              <w:t>1 756 111 087</w:t>
            </w:r>
          </w:p>
        </w:tc>
      </w:tr>
      <w:tr w:rsidR="0077267C" w:rsidRPr="0077267C" w:rsidTr="0077267C">
        <w:trPr>
          <w:trHeight w:val="959"/>
        </w:trPr>
        <w:tc>
          <w:tcPr>
            <w:tcW w:w="948" w:type="dxa"/>
            <w:shd w:val="clear" w:color="000000" w:fill="FFFFFF"/>
            <w:vAlign w:val="center"/>
            <w:hideMark/>
          </w:tcPr>
          <w:p w:rsidR="0077267C" w:rsidRPr="0077267C" w:rsidRDefault="0077267C" w:rsidP="0077267C">
            <w:pPr>
              <w:jc w:val="center"/>
              <w:rPr>
                <w:sz w:val="18"/>
                <w:szCs w:val="18"/>
              </w:rPr>
            </w:pPr>
            <w:r w:rsidRPr="0077267C">
              <w:rPr>
                <w:sz w:val="18"/>
                <w:szCs w:val="18"/>
              </w:rPr>
              <w:t>260406</w:t>
            </w:r>
          </w:p>
        </w:tc>
        <w:tc>
          <w:tcPr>
            <w:tcW w:w="1637" w:type="dxa"/>
            <w:shd w:val="clear" w:color="000000" w:fill="FFFFFF"/>
            <w:vAlign w:val="bottom"/>
            <w:hideMark/>
          </w:tcPr>
          <w:p w:rsidR="0077267C" w:rsidRPr="0077267C" w:rsidRDefault="0077267C" w:rsidP="0077267C">
            <w:pPr>
              <w:rPr>
                <w:sz w:val="18"/>
                <w:szCs w:val="18"/>
              </w:rPr>
            </w:pPr>
            <w:r w:rsidRPr="0077267C">
              <w:rPr>
                <w:sz w:val="18"/>
                <w:szCs w:val="18"/>
              </w:rPr>
              <w:t xml:space="preserve">Snížení průměrné doby reakce na hrozící či nastalé bezpečnostní riziko </w:t>
            </w:r>
          </w:p>
        </w:tc>
        <w:tc>
          <w:tcPr>
            <w:tcW w:w="963" w:type="dxa"/>
            <w:shd w:val="clear" w:color="000000" w:fill="FFFFFF"/>
            <w:noWrap/>
            <w:vAlign w:val="center"/>
            <w:hideMark/>
          </w:tcPr>
          <w:p w:rsidR="0077267C" w:rsidRPr="0077267C" w:rsidRDefault="0077267C" w:rsidP="0077267C">
            <w:pPr>
              <w:jc w:val="center"/>
              <w:rPr>
                <w:sz w:val="18"/>
                <w:szCs w:val="18"/>
              </w:rPr>
            </w:pPr>
            <w:r w:rsidRPr="0077267C">
              <w:rPr>
                <w:sz w:val="18"/>
                <w:szCs w:val="18"/>
              </w:rPr>
              <w:t>%</w:t>
            </w:r>
          </w:p>
        </w:tc>
        <w:tc>
          <w:tcPr>
            <w:tcW w:w="904" w:type="dxa"/>
            <w:shd w:val="clear" w:color="000000" w:fill="FFFFFF"/>
            <w:noWrap/>
            <w:vAlign w:val="center"/>
            <w:hideMark/>
          </w:tcPr>
          <w:p w:rsidR="0077267C" w:rsidRPr="0077267C" w:rsidRDefault="0077267C" w:rsidP="0077267C">
            <w:pPr>
              <w:jc w:val="center"/>
              <w:rPr>
                <w:sz w:val="18"/>
                <w:szCs w:val="18"/>
              </w:rPr>
            </w:pPr>
            <w:r w:rsidRPr="0077267C">
              <w:rPr>
                <w:sz w:val="18"/>
                <w:szCs w:val="18"/>
              </w:rPr>
              <w:t>100</w:t>
            </w:r>
          </w:p>
        </w:tc>
        <w:tc>
          <w:tcPr>
            <w:tcW w:w="904" w:type="dxa"/>
            <w:shd w:val="clear" w:color="000000" w:fill="FFFFFF"/>
            <w:noWrap/>
            <w:vAlign w:val="center"/>
            <w:hideMark/>
          </w:tcPr>
          <w:p w:rsidR="0077267C" w:rsidRPr="0077267C" w:rsidRDefault="0077267C" w:rsidP="0077267C">
            <w:pPr>
              <w:jc w:val="center"/>
              <w:rPr>
                <w:sz w:val="18"/>
                <w:szCs w:val="18"/>
              </w:rPr>
            </w:pPr>
            <w:r w:rsidRPr="0077267C">
              <w:rPr>
                <w:sz w:val="18"/>
                <w:szCs w:val="18"/>
              </w:rPr>
              <w:t>75</w:t>
            </w:r>
          </w:p>
        </w:tc>
        <w:tc>
          <w:tcPr>
            <w:tcW w:w="1266" w:type="dxa"/>
            <w:shd w:val="clear" w:color="000000" w:fill="FFFFFF"/>
            <w:vAlign w:val="center"/>
            <w:hideMark/>
          </w:tcPr>
          <w:p w:rsidR="0077267C" w:rsidRPr="0077267C" w:rsidRDefault="0077267C" w:rsidP="0077267C">
            <w:pPr>
              <w:jc w:val="center"/>
              <w:rPr>
                <w:sz w:val="18"/>
                <w:szCs w:val="18"/>
              </w:rPr>
            </w:pPr>
            <w:r w:rsidRPr="0077267C">
              <w:rPr>
                <w:sz w:val="18"/>
                <w:szCs w:val="18"/>
              </w:rPr>
              <w:t>0</w:t>
            </w:r>
          </w:p>
        </w:tc>
        <w:tc>
          <w:tcPr>
            <w:tcW w:w="1331" w:type="dxa"/>
            <w:shd w:val="clear" w:color="000000" w:fill="FFFFFF"/>
            <w:vAlign w:val="center"/>
            <w:hideMark/>
          </w:tcPr>
          <w:p w:rsidR="0077267C" w:rsidRPr="0077267C" w:rsidRDefault="0077267C" w:rsidP="0077267C">
            <w:pPr>
              <w:jc w:val="center"/>
              <w:rPr>
                <w:sz w:val="18"/>
                <w:szCs w:val="18"/>
              </w:rPr>
            </w:pPr>
            <w:r w:rsidRPr="0077267C">
              <w:rPr>
                <w:sz w:val="18"/>
                <w:szCs w:val="18"/>
              </w:rPr>
              <w:t>0</w:t>
            </w:r>
          </w:p>
        </w:tc>
        <w:tc>
          <w:tcPr>
            <w:tcW w:w="1245" w:type="dxa"/>
            <w:shd w:val="clear" w:color="000000" w:fill="FFFFFF"/>
            <w:noWrap/>
            <w:vAlign w:val="center"/>
            <w:hideMark/>
          </w:tcPr>
          <w:p w:rsidR="0077267C" w:rsidRPr="0077267C" w:rsidRDefault="0077267C" w:rsidP="0077267C">
            <w:pPr>
              <w:jc w:val="right"/>
              <w:rPr>
                <w:sz w:val="18"/>
                <w:szCs w:val="18"/>
              </w:rPr>
            </w:pPr>
            <w:r w:rsidRPr="0077267C">
              <w:rPr>
                <w:sz w:val="18"/>
                <w:szCs w:val="18"/>
              </w:rPr>
              <w:t>5 073 464 263</w:t>
            </w:r>
          </w:p>
        </w:tc>
      </w:tr>
      <w:tr w:rsidR="0077267C" w:rsidRPr="0077267C" w:rsidTr="0077267C">
        <w:trPr>
          <w:trHeight w:val="1453"/>
        </w:trPr>
        <w:tc>
          <w:tcPr>
            <w:tcW w:w="948" w:type="dxa"/>
            <w:shd w:val="clear" w:color="000000" w:fill="FFFFFF"/>
            <w:vAlign w:val="center"/>
            <w:hideMark/>
          </w:tcPr>
          <w:p w:rsidR="0077267C" w:rsidRPr="0077267C" w:rsidRDefault="0077267C" w:rsidP="0077267C">
            <w:pPr>
              <w:jc w:val="center"/>
              <w:rPr>
                <w:sz w:val="18"/>
                <w:szCs w:val="18"/>
              </w:rPr>
            </w:pPr>
            <w:r w:rsidRPr="0077267C">
              <w:rPr>
                <w:sz w:val="18"/>
                <w:szCs w:val="18"/>
              </w:rPr>
              <w:t>260404</w:t>
            </w:r>
          </w:p>
        </w:tc>
        <w:tc>
          <w:tcPr>
            <w:tcW w:w="1637" w:type="dxa"/>
            <w:shd w:val="clear" w:color="000000" w:fill="FFFFFF"/>
            <w:vAlign w:val="bottom"/>
            <w:hideMark/>
          </w:tcPr>
          <w:p w:rsidR="0077267C" w:rsidRPr="0077267C" w:rsidRDefault="0077267C" w:rsidP="0077267C">
            <w:pPr>
              <w:rPr>
                <w:sz w:val="18"/>
                <w:szCs w:val="18"/>
              </w:rPr>
            </w:pPr>
            <w:r w:rsidRPr="0077267C">
              <w:rPr>
                <w:sz w:val="18"/>
                <w:szCs w:val="18"/>
              </w:rPr>
              <w:t xml:space="preserve">Vytvoření nových kapacit pro efektivní </w:t>
            </w:r>
            <w:r w:rsidR="003715C2" w:rsidRPr="0077267C">
              <w:rPr>
                <w:sz w:val="18"/>
                <w:szCs w:val="18"/>
              </w:rPr>
              <w:t>zajištění poskytování</w:t>
            </w:r>
            <w:r w:rsidRPr="0077267C">
              <w:rPr>
                <w:sz w:val="18"/>
                <w:szCs w:val="18"/>
              </w:rPr>
              <w:t xml:space="preserve"> humanitární pomoci jiným zemím</w:t>
            </w:r>
          </w:p>
        </w:tc>
        <w:tc>
          <w:tcPr>
            <w:tcW w:w="963" w:type="dxa"/>
            <w:shd w:val="clear" w:color="000000" w:fill="FFFFFF"/>
            <w:noWrap/>
            <w:vAlign w:val="center"/>
            <w:hideMark/>
          </w:tcPr>
          <w:p w:rsidR="0077267C" w:rsidRPr="0077267C" w:rsidRDefault="0077267C" w:rsidP="0077267C">
            <w:pPr>
              <w:jc w:val="center"/>
              <w:rPr>
                <w:sz w:val="18"/>
                <w:szCs w:val="18"/>
              </w:rPr>
            </w:pPr>
            <w:r w:rsidRPr="0077267C">
              <w:rPr>
                <w:sz w:val="18"/>
                <w:szCs w:val="18"/>
              </w:rPr>
              <w:t>m</w:t>
            </w:r>
            <w:r w:rsidRPr="0077267C">
              <w:rPr>
                <w:sz w:val="18"/>
                <w:szCs w:val="18"/>
                <w:vertAlign w:val="superscript"/>
              </w:rPr>
              <w:t>2</w:t>
            </w:r>
          </w:p>
        </w:tc>
        <w:tc>
          <w:tcPr>
            <w:tcW w:w="904" w:type="dxa"/>
            <w:shd w:val="clear" w:color="000000" w:fill="FFFFFF"/>
            <w:noWrap/>
            <w:vAlign w:val="center"/>
            <w:hideMark/>
          </w:tcPr>
          <w:p w:rsidR="0077267C" w:rsidRPr="0077267C" w:rsidRDefault="0077267C" w:rsidP="0077267C">
            <w:pPr>
              <w:jc w:val="center"/>
              <w:rPr>
                <w:sz w:val="18"/>
                <w:szCs w:val="18"/>
              </w:rPr>
            </w:pPr>
            <w:r w:rsidRPr="0077267C">
              <w:rPr>
                <w:sz w:val="18"/>
                <w:szCs w:val="18"/>
              </w:rPr>
              <w:t>0</w:t>
            </w:r>
          </w:p>
        </w:tc>
        <w:tc>
          <w:tcPr>
            <w:tcW w:w="904" w:type="dxa"/>
            <w:shd w:val="clear" w:color="000000" w:fill="FFFFFF"/>
            <w:noWrap/>
            <w:vAlign w:val="center"/>
            <w:hideMark/>
          </w:tcPr>
          <w:p w:rsidR="0077267C" w:rsidRPr="0077267C" w:rsidRDefault="0077267C" w:rsidP="0077267C">
            <w:pPr>
              <w:jc w:val="center"/>
              <w:rPr>
                <w:sz w:val="18"/>
                <w:szCs w:val="18"/>
              </w:rPr>
            </w:pPr>
            <w:r w:rsidRPr="0077267C">
              <w:rPr>
                <w:sz w:val="18"/>
                <w:szCs w:val="18"/>
              </w:rPr>
              <w:t>3450</w:t>
            </w:r>
          </w:p>
        </w:tc>
        <w:tc>
          <w:tcPr>
            <w:tcW w:w="1266" w:type="dxa"/>
            <w:shd w:val="clear" w:color="000000" w:fill="FFFFFF"/>
            <w:vAlign w:val="center"/>
            <w:hideMark/>
          </w:tcPr>
          <w:p w:rsidR="0077267C" w:rsidRPr="0077267C" w:rsidRDefault="0077267C" w:rsidP="0077267C">
            <w:pPr>
              <w:jc w:val="center"/>
              <w:rPr>
                <w:sz w:val="18"/>
                <w:szCs w:val="18"/>
              </w:rPr>
            </w:pPr>
            <w:r w:rsidRPr="0077267C">
              <w:rPr>
                <w:sz w:val="18"/>
                <w:szCs w:val="18"/>
              </w:rPr>
              <w:t>3450</w:t>
            </w:r>
          </w:p>
        </w:tc>
        <w:tc>
          <w:tcPr>
            <w:tcW w:w="1331" w:type="dxa"/>
            <w:shd w:val="clear" w:color="000000" w:fill="FFFFFF"/>
            <w:vAlign w:val="center"/>
            <w:hideMark/>
          </w:tcPr>
          <w:p w:rsidR="0077267C" w:rsidRPr="0077267C" w:rsidRDefault="0077267C" w:rsidP="0077267C">
            <w:pPr>
              <w:jc w:val="center"/>
              <w:rPr>
                <w:sz w:val="18"/>
                <w:szCs w:val="18"/>
              </w:rPr>
            </w:pPr>
            <w:r w:rsidRPr="0077267C">
              <w:rPr>
                <w:sz w:val="18"/>
                <w:szCs w:val="18"/>
              </w:rPr>
              <w:t>2500</w:t>
            </w:r>
          </w:p>
        </w:tc>
        <w:tc>
          <w:tcPr>
            <w:tcW w:w="1245" w:type="dxa"/>
            <w:shd w:val="clear" w:color="000000" w:fill="FFFFFF"/>
            <w:noWrap/>
            <w:vAlign w:val="center"/>
            <w:hideMark/>
          </w:tcPr>
          <w:p w:rsidR="0077267C" w:rsidRPr="0077267C" w:rsidRDefault="0077267C" w:rsidP="0077267C">
            <w:pPr>
              <w:jc w:val="right"/>
              <w:rPr>
                <w:sz w:val="18"/>
                <w:szCs w:val="18"/>
              </w:rPr>
            </w:pPr>
            <w:r w:rsidRPr="0077267C">
              <w:rPr>
                <w:sz w:val="18"/>
                <w:szCs w:val="18"/>
              </w:rPr>
              <w:t>175 123 827</w:t>
            </w:r>
          </w:p>
        </w:tc>
      </w:tr>
    </w:tbl>
    <w:p w:rsidR="00DF3B19" w:rsidRPr="000F53E8" w:rsidRDefault="00DF3B19" w:rsidP="00DF3B19">
      <w:pPr>
        <w:rPr>
          <w:rStyle w:val="Siln"/>
          <w:b w:val="0"/>
          <w:i/>
          <w:sz w:val="18"/>
          <w:szCs w:val="18"/>
        </w:rPr>
      </w:pPr>
      <w:r w:rsidRPr="000F53E8">
        <w:rPr>
          <w:rStyle w:val="Siln"/>
          <w:b w:val="0"/>
          <w:i/>
          <w:sz w:val="18"/>
          <w:szCs w:val="18"/>
        </w:rPr>
        <w:t xml:space="preserve">Zdroj: </w:t>
      </w:r>
      <w:r w:rsidR="00275DC0">
        <w:rPr>
          <w:rStyle w:val="Siln"/>
          <w:b w:val="0"/>
          <w:i/>
          <w:sz w:val="18"/>
          <w:szCs w:val="18"/>
        </w:rPr>
        <w:t xml:space="preserve">MSC2007 </w:t>
      </w:r>
      <w:r w:rsidR="00914BC7">
        <w:rPr>
          <w:rStyle w:val="Siln"/>
          <w:b w:val="0"/>
          <w:i/>
          <w:sz w:val="18"/>
          <w:szCs w:val="18"/>
        </w:rPr>
        <w:t>k 30. 9. 2015</w:t>
      </w:r>
      <w:r w:rsidRPr="000F53E8">
        <w:rPr>
          <w:rStyle w:val="Siln"/>
          <w:b w:val="0"/>
          <w:i/>
          <w:sz w:val="18"/>
          <w:szCs w:val="18"/>
        </w:rPr>
        <w:t>, informace od ZS u podílových indikátorů</w:t>
      </w:r>
    </w:p>
    <w:p w:rsidR="002E4E77" w:rsidRDefault="002E4E77" w:rsidP="002E4E77"/>
    <w:p w:rsidR="00821BB2" w:rsidRDefault="00821BB2" w:rsidP="00821BB2">
      <w:pPr>
        <w:jc w:val="both"/>
        <w:rPr>
          <w:sz w:val="22"/>
          <w:szCs w:val="22"/>
        </w:rPr>
      </w:pPr>
    </w:p>
    <w:p w:rsidR="00DD6F98" w:rsidRDefault="00DD6F98" w:rsidP="00821BB2">
      <w:pPr>
        <w:jc w:val="both"/>
        <w:rPr>
          <w:sz w:val="22"/>
          <w:szCs w:val="22"/>
        </w:rPr>
      </w:pPr>
    </w:p>
    <w:p w:rsidR="00DD6F98" w:rsidRDefault="00DD6F98" w:rsidP="00821BB2">
      <w:pPr>
        <w:jc w:val="both"/>
        <w:rPr>
          <w:sz w:val="22"/>
          <w:szCs w:val="22"/>
        </w:rPr>
      </w:pPr>
    </w:p>
    <w:p w:rsidR="00821BB2" w:rsidRDefault="00821BB2" w:rsidP="00821BB2">
      <w:pPr>
        <w:jc w:val="both"/>
        <w:rPr>
          <w:sz w:val="22"/>
          <w:szCs w:val="22"/>
        </w:rPr>
      </w:pPr>
      <w:r w:rsidRPr="00C54E0E">
        <w:rPr>
          <w:sz w:val="22"/>
          <w:szCs w:val="22"/>
        </w:rPr>
        <w:lastRenderedPageBreak/>
        <w:t xml:space="preserve">V grafech Porovnání věcného a finančního pokroku vyjadřuje </w:t>
      </w:r>
      <w:r w:rsidRPr="00B844A3">
        <w:rPr>
          <w:sz w:val="22"/>
          <w:szCs w:val="22"/>
        </w:rPr>
        <w:t>fialový sloupec závazek ze schvále</w:t>
      </w:r>
      <w:r w:rsidRPr="00C54E0E">
        <w:rPr>
          <w:sz w:val="22"/>
          <w:szCs w:val="22"/>
        </w:rPr>
        <w:t>ných projektů, tj. celkovou plánovanou hodnotu indikátoru, kterou příjemci uvedli v žádostech o dotaci, vyjádřený v % z celkové hodnoty, stanovené v Programovém dokumentu IOP, stejný údaj je v tabulkách indikátorů. Modrý sloupec zahrnuje finanční prostředky projektů, na které je vydáno Rozhodnutí o poskytnutí dotace procentuálně vztažené k alokaci aktivit</w:t>
      </w:r>
      <w:r w:rsidR="00924A61">
        <w:rPr>
          <w:sz w:val="22"/>
          <w:szCs w:val="22"/>
        </w:rPr>
        <w:t>y</w:t>
      </w:r>
      <w:r w:rsidRPr="00C54E0E">
        <w:rPr>
          <w:sz w:val="22"/>
          <w:szCs w:val="22"/>
        </w:rPr>
        <w:t>, do které indikátor spadá.</w:t>
      </w:r>
    </w:p>
    <w:p w:rsidR="00DA57DF" w:rsidRDefault="00DA57DF" w:rsidP="002E4E77">
      <w:pPr>
        <w:rPr>
          <w:sz w:val="22"/>
          <w:szCs w:val="22"/>
        </w:rPr>
      </w:pPr>
    </w:p>
    <w:p w:rsidR="000A4AE0" w:rsidRDefault="000A4AE0" w:rsidP="002E4E77">
      <w:pPr>
        <w:rPr>
          <w:sz w:val="22"/>
          <w:szCs w:val="22"/>
        </w:rPr>
      </w:pPr>
    </w:p>
    <w:p w:rsidR="00DA57DF" w:rsidRPr="00DA57DF" w:rsidRDefault="00DA57DF" w:rsidP="002E4E77">
      <w:pPr>
        <w:pStyle w:val="Graf"/>
        <w:keepNext/>
        <w:rPr>
          <w:sz w:val="22"/>
        </w:rPr>
      </w:pPr>
      <w:bookmarkStart w:id="101" w:name="_Toc433873589"/>
      <w:r w:rsidRPr="00DA57DF">
        <w:rPr>
          <w:sz w:val="22"/>
        </w:rPr>
        <w:t>Porovnání věcného a finančního pokroku v oblasti intervence 3.1</w:t>
      </w:r>
      <w:bookmarkEnd w:id="101"/>
    </w:p>
    <w:p w:rsidR="00DD6F98" w:rsidRDefault="00DA57DF" w:rsidP="0063687B">
      <w:pPr>
        <w:rPr>
          <w:sz w:val="22"/>
          <w:szCs w:val="22"/>
        </w:rPr>
      </w:pPr>
      <w:r>
        <w:rPr>
          <w:noProof/>
        </w:rPr>
        <w:drawing>
          <wp:inline distT="0" distB="0" distL="0" distR="0" wp14:anchorId="3D2DA3A5" wp14:editId="1AEBBB7F">
            <wp:extent cx="5760085" cy="2617942"/>
            <wp:effectExtent l="0" t="0" r="12065" b="11430"/>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D1C24" w:rsidRPr="0063687B" w:rsidRDefault="002D1C24" w:rsidP="0063687B">
      <w:pPr>
        <w:rPr>
          <w:rStyle w:val="Siln"/>
          <w:b w:val="0"/>
          <w:i/>
          <w:sz w:val="18"/>
          <w:szCs w:val="18"/>
        </w:rPr>
      </w:pPr>
      <w:r w:rsidRPr="0063687B">
        <w:rPr>
          <w:rStyle w:val="Siln"/>
          <w:b w:val="0"/>
          <w:i/>
          <w:sz w:val="18"/>
          <w:szCs w:val="18"/>
        </w:rPr>
        <w:t xml:space="preserve">Zdroj: </w:t>
      </w:r>
      <w:r w:rsidR="00275DC0">
        <w:rPr>
          <w:rStyle w:val="Siln"/>
          <w:b w:val="0"/>
          <w:i/>
          <w:sz w:val="18"/>
          <w:szCs w:val="18"/>
        </w:rPr>
        <w:t xml:space="preserve">MSC2007 </w:t>
      </w:r>
      <w:r w:rsidR="00914BC7">
        <w:rPr>
          <w:rStyle w:val="Siln"/>
          <w:b w:val="0"/>
          <w:i/>
          <w:sz w:val="18"/>
          <w:szCs w:val="18"/>
        </w:rPr>
        <w:t>k 30. 9. 2015</w:t>
      </w:r>
      <w:r w:rsidRPr="0063687B">
        <w:rPr>
          <w:rStyle w:val="Siln"/>
          <w:b w:val="0"/>
          <w:i/>
          <w:sz w:val="18"/>
          <w:szCs w:val="18"/>
        </w:rPr>
        <w:t>, informace od ZS u podílových indikátorů</w:t>
      </w:r>
    </w:p>
    <w:p w:rsidR="002E4E77" w:rsidRDefault="002E4E77" w:rsidP="005502E3">
      <w:pPr>
        <w:jc w:val="both"/>
      </w:pPr>
    </w:p>
    <w:p w:rsidR="00821BB2" w:rsidRDefault="00821BB2" w:rsidP="005502E3">
      <w:pPr>
        <w:jc w:val="both"/>
      </w:pPr>
    </w:p>
    <w:p w:rsidR="00467687" w:rsidRPr="00467687" w:rsidRDefault="002E4E77" w:rsidP="00467687">
      <w:pPr>
        <w:pStyle w:val="Graf"/>
        <w:keepNext/>
      </w:pPr>
      <w:bookmarkStart w:id="102" w:name="_Toc433873590"/>
      <w:r w:rsidRPr="000A4AE0">
        <w:rPr>
          <w:sz w:val="22"/>
        </w:rPr>
        <w:t>Porovnání věcného a finančního pokroku v oblasti intervence 3.2</w:t>
      </w:r>
      <w:bookmarkEnd w:id="102"/>
    </w:p>
    <w:p w:rsidR="00B23A68" w:rsidRPr="00B23A68" w:rsidRDefault="00B23A68" w:rsidP="00B23A68">
      <w:r>
        <w:rPr>
          <w:noProof/>
        </w:rPr>
        <w:drawing>
          <wp:inline distT="0" distB="0" distL="0" distR="0" wp14:anchorId="6084C6B5" wp14:editId="60C80A35">
            <wp:extent cx="5760085" cy="2745930"/>
            <wp:effectExtent l="0" t="0" r="12065" b="16510"/>
            <wp:docPr id="18"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D1C24" w:rsidRPr="009B4EE8" w:rsidRDefault="002D1C24" w:rsidP="009B4EE8">
      <w:pPr>
        <w:rPr>
          <w:rStyle w:val="Siln"/>
          <w:b w:val="0"/>
          <w:i/>
          <w:sz w:val="18"/>
          <w:szCs w:val="18"/>
        </w:rPr>
      </w:pPr>
      <w:r w:rsidRPr="009B4EE8">
        <w:rPr>
          <w:rStyle w:val="Siln"/>
          <w:b w:val="0"/>
          <w:i/>
          <w:sz w:val="18"/>
          <w:szCs w:val="18"/>
        </w:rPr>
        <w:t xml:space="preserve">Zdroj: </w:t>
      </w:r>
      <w:r w:rsidR="00275DC0">
        <w:rPr>
          <w:rStyle w:val="Siln"/>
          <w:b w:val="0"/>
          <w:i/>
          <w:sz w:val="18"/>
          <w:szCs w:val="18"/>
        </w:rPr>
        <w:t xml:space="preserve">MSC2007 </w:t>
      </w:r>
      <w:r w:rsidR="00914BC7">
        <w:rPr>
          <w:rStyle w:val="Siln"/>
          <w:b w:val="0"/>
          <w:i/>
          <w:sz w:val="18"/>
          <w:szCs w:val="18"/>
        </w:rPr>
        <w:t>k 30. 9. 2015</w:t>
      </w:r>
      <w:r w:rsidRPr="009B4EE8">
        <w:rPr>
          <w:rStyle w:val="Siln"/>
          <w:b w:val="0"/>
          <w:i/>
          <w:sz w:val="18"/>
          <w:szCs w:val="18"/>
        </w:rPr>
        <w:t>, informace od ZS u podílových indikátorů</w:t>
      </w:r>
    </w:p>
    <w:p w:rsidR="005B3F0B" w:rsidRDefault="005B3F0B" w:rsidP="005502E3">
      <w:pPr>
        <w:jc w:val="both"/>
      </w:pPr>
    </w:p>
    <w:p w:rsidR="000A4AE0" w:rsidRDefault="000A4AE0" w:rsidP="000A4AE0"/>
    <w:p w:rsidR="000A4AE0" w:rsidRDefault="000A4AE0" w:rsidP="000A4AE0"/>
    <w:p w:rsidR="006F63CC" w:rsidRDefault="006F63CC" w:rsidP="000A4AE0"/>
    <w:p w:rsidR="000A4AE0" w:rsidRPr="000A4AE0" w:rsidRDefault="006F63CC" w:rsidP="000A4AE0">
      <w:pPr>
        <w:pStyle w:val="Graf"/>
        <w:keepNext/>
      </w:pPr>
      <w:bookmarkStart w:id="103" w:name="_Toc433873591"/>
      <w:r w:rsidRPr="000A4AE0">
        <w:rPr>
          <w:sz w:val="22"/>
        </w:rPr>
        <w:lastRenderedPageBreak/>
        <w:t>Porovnání věcného a finančního pokroku v oblasti intervence 3.3</w:t>
      </w:r>
      <w:bookmarkEnd w:id="103"/>
    </w:p>
    <w:p w:rsidR="00B23A68" w:rsidRPr="00B23A68" w:rsidRDefault="00B23A68" w:rsidP="00B23A68">
      <w:r>
        <w:rPr>
          <w:noProof/>
        </w:rPr>
        <w:drawing>
          <wp:inline distT="0" distB="0" distL="0" distR="0" wp14:anchorId="753C8824" wp14:editId="2E3FB4B5">
            <wp:extent cx="5760085" cy="2622229"/>
            <wp:effectExtent l="0" t="0" r="12065" b="26035"/>
            <wp:docPr id="19" name="Graf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D1C24" w:rsidRPr="00F563AB" w:rsidRDefault="002D1C24" w:rsidP="00F563AB">
      <w:pPr>
        <w:rPr>
          <w:rStyle w:val="Siln"/>
          <w:b w:val="0"/>
          <w:i/>
          <w:sz w:val="18"/>
          <w:szCs w:val="18"/>
        </w:rPr>
      </w:pPr>
      <w:r w:rsidRPr="00F563AB">
        <w:rPr>
          <w:rStyle w:val="Siln"/>
          <w:b w:val="0"/>
          <w:i/>
          <w:sz w:val="18"/>
          <w:szCs w:val="18"/>
        </w:rPr>
        <w:t xml:space="preserve">Zdroj: </w:t>
      </w:r>
      <w:r w:rsidR="00275DC0">
        <w:rPr>
          <w:rStyle w:val="Siln"/>
          <w:b w:val="0"/>
          <w:i/>
          <w:sz w:val="18"/>
          <w:szCs w:val="18"/>
        </w:rPr>
        <w:t xml:space="preserve">MSC2007 </w:t>
      </w:r>
      <w:r w:rsidR="00914BC7">
        <w:rPr>
          <w:rStyle w:val="Siln"/>
          <w:b w:val="0"/>
          <w:i/>
          <w:sz w:val="18"/>
          <w:szCs w:val="18"/>
        </w:rPr>
        <w:t>k 30. 9. 2015</w:t>
      </w:r>
      <w:r w:rsidRPr="00F563AB">
        <w:rPr>
          <w:rStyle w:val="Siln"/>
          <w:b w:val="0"/>
          <w:i/>
          <w:sz w:val="18"/>
          <w:szCs w:val="18"/>
        </w:rPr>
        <w:t>, informace od ZS u podílových indikátorů</w:t>
      </w:r>
    </w:p>
    <w:p w:rsidR="004364F7" w:rsidRDefault="004364F7" w:rsidP="005502E3">
      <w:pPr>
        <w:jc w:val="both"/>
      </w:pPr>
    </w:p>
    <w:p w:rsidR="000A4AE0" w:rsidRDefault="000A4AE0" w:rsidP="005502E3">
      <w:pPr>
        <w:jc w:val="both"/>
      </w:pPr>
    </w:p>
    <w:p w:rsidR="00821BB2" w:rsidRDefault="00821BB2" w:rsidP="004364F7">
      <w:pPr>
        <w:jc w:val="both"/>
        <w:rPr>
          <w:sz w:val="22"/>
          <w:szCs w:val="22"/>
        </w:rPr>
      </w:pPr>
    </w:p>
    <w:p w:rsidR="004364F7" w:rsidRDefault="004364F7" w:rsidP="004364F7">
      <w:pPr>
        <w:pStyle w:val="Graf"/>
        <w:keepNext/>
        <w:rPr>
          <w:b w:val="0"/>
          <w:sz w:val="22"/>
        </w:rPr>
      </w:pPr>
      <w:bookmarkStart w:id="104" w:name="_Toc433873592"/>
      <w:r w:rsidRPr="00B94532">
        <w:rPr>
          <w:b w:val="0"/>
          <w:sz w:val="22"/>
        </w:rPr>
        <w:t>Porovnání věcného a finančního pokroku v oblasti intervence 3.4</w:t>
      </w:r>
      <w:bookmarkEnd w:id="104"/>
    </w:p>
    <w:p w:rsidR="00E240AF" w:rsidRPr="00E240AF" w:rsidRDefault="00E240AF" w:rsidP="00E240AF">
      <w:r>
        <w:rPr>
          <w:noProof/>
        </w:rPr>
        <w:drawing>
          <wp:inline distT="0" distB="0" distL="0" distR="0" wp14:anchorId="5D043F52" wp14:editId="06FE1624">
            <wp:extent cx="5760085" cy="2763077"/>
            <wp:effectExtent l="0" t="0" r="12065" b="18415"/>
            <wp:docPr id="20" name="Graf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D1C24" w:rsidRPr="00737330" w:rsidRDefault="002D1C24" w:rsidP="00737330">
      <w:pPr>
        <w:rPr>
          <w:rStyle w:val="Siln"/>
          <w:b w:val="0"/>
          <w:i/>
          <w:sz w:val="18"/>
          <w:szCs w:val="18"/>
        </w:rPr>
      </w:pPr>
      <w:r w:rsidRPr="00737330">
        <w:rPr>
          <w:rStyle w:val="Siln"/>
          <w:b w:val="0"/>
          <w:i/>
          <w:sz w:val="18"/>
          <w:szCs w:val="18"/>
        </w:rPr>
        <w:t xml:space="preserve">Zdroj: </w:t>
      </w:r>
      <w:r w:rsidR="00275DC0">
        <w:rPr>
          <w:rStyle w:val="Siln"/>
          <w:b w:val="0"/>
          <w:i/>
          <w:sz w:val="18"/>
          <w:szCs w:val="18"/>
        </w:rPr>
        <w:t xml:space="preserve">MSC2007 </w:t>
      </w:r>
      <w:r w:rsidR="00914BC7">
        <w:rPr>
          <w:rStyle w:val="Siln"/>
          <w:b w:val="0"/>
          <w:i/>
          <w:sz w:val="18"/>
          <w:szCs w:val="18"/>
        </w:rPr>
        <w:t>k 30. 9. 2015</w:t>
      </w:r>
      <w:r w:rsidRPr="00737330">
        <w:rPr>
          <w:rStyle w:val="Siln"/>
          <w:b w:val="0"/>
          <w:i/>
          <w:sz w:val="18"/>
          <w:szCs w:val="18"/>
        </w:rPr>
        <w:t>, informace od ZS u podílových indikátorů</w:t>
      </w:r>
    </w:p>
    <w:p w:rsidR="00DD1A13" w:rsidRDefault="00DD1A13" w:rsidP="00A118BC"/>
    <w:p w:rsidR="00D644B0" w:rsidRPr="006266F5" w:rsidRDefault="00D644B0">
      <w:pPr>
        <w:pStyle w:val="Nadpis3"/>
        <w:rPr>
          <w:rFonts w:ascii="Times New Roman" w:hAnsi="Times New Roman"/>
          <w:sz w:val="24"/>
          <w:szCs w:val="24"/>
        </w:rPr>
      </w:pPr>
      <w:bookmarkStart w:id="105" w:name="_Toc433873503"/>
      <w:r w:rsidRPr="006266F5">
        <w:rPr>
          <w:rFonts w:ascii="Times New Roman" w:hAnsi="Times New Roman"/>
          <w:sz w:val="24"/>
          <w:szCs w:val="24"/>
        </w:rPr>
        <w:t>3.3.4 Problémy a přijatá opatření</w:t>
      </w:r>
      <w:bookmarkEnd w:id="105"/>
    </w:p>
    <w:p w:rsidR="005D4EEB" w:rsidRPr="006266F5" w:rsidRDefault="005D4EEB" w:rsidP="00F6140D">
      <w:pPr>
        <w:pStyle w:val="TextNOK"/>
        <w:spacing w:line="240" w:lineRule="auto"/>
        <w:rPr>
          <w:b/>
          <w:szCs w:val="22"/>
        </w:rPr>
      </w:pPr>
    </w:p>
    <w:p w:rsidR="00D644B0" w:rsidRDefault="00D644B0" w:rsidP="00F6140D">
      <w:pPr>
        <w:pStyle w:val="TextNOK"/>
        <w:spacing w:line="240" w:lineRule="auto"/>
        <w:rPr>
          <w:b/>
          <w:szCs w:val="22"/>
        </w:rPr>
      </w:pPr>
      <w:r w:rsidRPr="006266F5">
        <w:rPr>
          <w:b/>
          <w:szCs w:val="22"/>
        </w:rPr>
        <w:t>Oblast intervence 3.1</w:t>
      </w:r>
    </w:p>
    <w:p w:rsidR="00C6459C" w:rsidRPr="006A0010" w:rsidRDefault="00C6459C" w:rsidP="00B50C65">
      <w:pPr>
        <w:jc w:val="both"/>
        <w:rPr>
          <w:b/>
          <w:sz w:val="22"/>
          <w:szCs w:val="22"/>
        </w:rPr>
      </w:pPr>
      <w:r w:rsidRPr="006A0010">
        <w:rPr>
          <w:b/>
          <w:sz w:val="22"/>
          <w:szCs w:val="22"/>
        </w:rPr>
        <w:t>Prodlužování administrace v realizaci projektů, riziko odstupování příjemců od realizace projektů v OI 3.1</w:t>
      </w:r>
    </w:p>
    <w:p w:rsidR="00C6459C" w:rsidRPr="006A0010" w:rsidRDefault="00C6459C" w:rsidP="00B50C65">
      <w:pPr>
        <w:jc w:val="both"/>
        <w:rPr>
          <w:sz w:val="22"/>
          <w:szCs w:val="22"/>
        </w:rPr>
      </w:pPr>
      <w:r w:rsidRPr="006A0010">
        <w:rPr>
          <w:bCs/>
          <w:sz w:val="22"/>
          <w:szCs w:val="22"/>
        </w:rPr>
        <w:t>K důvodům prodlužování administrace projektů patří zejména problémy se stavebním a výběrovým řízením většinou vlivem zpoždění v realizaci výběrového řízení, nutností</w:t>
      </w:r>
      <w:r w:rsidRPr="006A0010">
        <w:rPr>
          <w:sz w:val="22"/>
          <w:szCs w:val="22"/>
        </w:rPr>
        <w:t xml:space="preserve"> zrušit VŘ a opakovaně vyhlásit nové VŘ. S tím souvisí riziko, že v případě jakýchkoliv komplikací při realizaci rozsáhlejších stavebních akcí nebude možné projekty dokončovat v termínu a v důsledku toho budou jejich výdaje z velké části nezpůsobilé. </w:t>
      </w:r>
    </w:p>
    <w:p w:rsidR="00C6459C" w:rsidRPr="006A0010" w:rsidRDefault="00C6459C" w:rsidP="00B50C65">
      <w:pPr>
        <w:pStyle w:val="Odstavecseseznamem"/>
        <w:spacing w:after="0" w:line="240" w:lineRule="auto"/>
        <w:ind w:left="0"/>
        <w:jc w:val="both"/>
      </w:pPr>
    </w:p>
    <w:p w:rsidR="00C6459C" w:rsidRPr="00C6459C" w:rsidRDefault="00C6459C" w:rsidP="00B50C65">
      <w:pPr>
        <w:pStyle w:val="Odstavecseseznamem"/>
        <w:spacing w:after="0" w:line="240" w:lineRule="auto"/>
        <w:ind w:left="0"/>
        <w:jc w:val="both"/>
        <w:rPr>
          <w:rFonts w:ascii="Times New Roman" w:hAnsi="Times New Roman"/>
          <w:b/>
        </w:rPr>
      </w:pPr>
      <w:r w:rsidRPr="00C6459C">
        <w:rPr>
          <w:rFonts w:ascii="Times New Roman" w:hAnsi="Times New Roman"/>
          <w:b/>
        </w:rPr>
        <w:t>Přijatá opatření</w:t>
      </w:r>
    </w:p>
    <w:p w:rsidR="00C6459C" w:rsidRPr="00C6459C" w:rsidRDefault="00C6459C" w:rsidP="00B50C65">
      <w:pPr>
        <w:pStyle w:val="Odstavecseseznamem"/>
        <w:spacing w:after="0" w:line="240" w:lineRule="auto"/>
        <w:ind w:left="0"/>
        <w:jc w:val="both"/>
        <w:rPr>
          <w:rFonts w:ascii="Times New Roman" w:hAnsi="Times New Roman"/>
          <w:b/>
        </w:rPr>
      </w:pPr>
      <w:r w:rsidRPr="00C6459C">
        <w:rPr>
          <w:rFonts w:ascii="Times New Roman" w:hAnsi="Times New Roman"/>
        </w:rPr>
        <w:lastRenderedPageBreak/>
        <w:t xml:space="preserve">MPSV ve sledovaném období intenzivně komunikovalo s jednotlivými příjemci dotací s cílem řešit problémy s předstihem tak, aby nedocházelo ke kritickým situacím, jež by vyžadovaly ukončení projektů. Dále probíhal průběžný monitoring průběhu implementace jednotlivých projektů a v případě prodlužování administrace projektů a přesunů byla realizována optimální řešení pro podporu čerpání alokace. </w:t>
      </w:r>
    </w:p>
    <w:p w:rsidR="00293829" w:rsidRDefault="00293829" w:rsidP="00B50C65">
      <w:pPr>
        <w:jc w:val="both"/>
        <w:rPr>
          <w:sz w:val="22"/>
          <w:szCs w:val="22"/>
        </w:rPr>
      </w:pPr>
    </w:p>
    <w:p w:rsidR="00C6459C" w:rsidRPr="006A0010" w:rsidRDefault="00C6459C" w:rsidP="00B50C65">
      <w:pPr>
        <w:jc w:val="both"/>
        <w:rPr>
          <w:sz w:val="22"/>
          <w:szCs w:val="22"/>
        </w:rPr>
      </w:pPr>
      <w:r w:rsidRPr="006A0010">
        <w:rPr>
          <w:sz w:val="22"/>
          <w:szCs w:val="22"/>
        </w:rPr>
        <w:t>ZS MPSV důkladně posuzovalo předkládaná oznámení o změně, která měla za důsledek přesun finančních prostředků. Podmínkou k možnosti schválení přesunu finančních prostředků byl pravidelný měsíční reporting o dodržování nastaveného harmonogramu, který umožňuje průběžné vyhodnocení stavu realizace projektu, a v případě potřeby umožní také včas přijmout adekvátní opatření k nápravě.</w:t>
      </w:r>
    </w:p>
    <w:p w:rsidR="00C6459C" w:rsidRDefault="00C6459C" w:rsidP="00B50C65">
      <w:pPr>
        <w:jc w:val="both"/>
        <w:rPr>
          <w:sz w:val="22"/>
          <w:szCs w:val="22"/>
        </w:rPr>
      </w:pPr>
      <w:r>
        <w:rPr>
          <w:sz w:val="22"/>
          <w:szCs w:val="22"/>
        </w:rPr>
        <w:t xml:space="preserve">Zároveň </w:t>
      </w:r>
      <w:r w:rsidRPr="006A0010">
        <w:rPr>
          <w:sz w:val="22"/>
          <w:szCs w:val="22"/>
        </w:rPr>
        <w:t>MPSV dlouhodobě příjemce upozorňuje na nutnost konzultovat proces výběru dodavatelů s Centrem pro regionální rozvoj ČR, aby nedocházelo k porušení zákona či pochybení v oblasti metodiky a s tím související nutnosti opakovaně vypisovat VŘ.</w:t>
      </w:r>
    </w:p>
    <w:p w:rsidR="00C6459C" w:rsidRPr="006A0010" w:rsidRDefault="00C6459C" w:rsidP="00B50C65">
      <w:pPr>
        <w:jc w:val="both"/>
        <w:rPr>
          <w:sz w:val="22"/>
          <w:szCs w:val="22"/>
        </w:rPr>
      </w:pPr>
      <w:r>
        <w:rPr>
          <w:sz w:val="22"/>
          <w:szCs w:val="22"/>
        </w:rPr>
        <w:t>ŘO IOP v pravidelných intervalech sleduje problémové a rizikové projekty a svými návrhy na řešení pomáhá odstraňování rizik.</w:t>
      </w:r>
    </w:p>
    <w:p w:rsidR="0057323D" w:rsidRDefault="0057323D" w:rsidP="00B50C65">
      <w:pPr>
        <w:jc w:val="both"/>
        <w:rPr>
          <w:color w:val="000080"/>
          <w:sz w:val="22"/>
          <w:szCs w:val="22"/>
        </w:rPr>
      </w:pPr>
    </w:p>
    <w:p w:rsidR="00C6459C" w:rsidRDefault="00C6459C" w:rsidP="00B50C65">
      <w:pPr>
        <w:jc w:val="both"/>
        <w:rPr>
          <w:b/>
          <w:sz w:val="22"/>
          <w:szCs w:val="22"/>
        </w:rPr>
      </w:pPr>
      <w:r>
        <w:rPr>
          <w:b/>
          <w:sz w:val="22"/>
          <w:szCs w:val="22"/>
        </w:rPr>
        <w:t>Nedostatečné finanční prostředky ZS MPSV na zajištění administrace jednotlivých projektů v OI 3.1 do konce programového období</w:t>
      </w:r>
    </w:p>
    <w:p w:rsidR="00C6459C" w:rsidRPr="008E1F4C" w:rsidRDefault="00C6459C" w:rsidP="00B50C65">
      <w:pPr>
        <w:pStyle w:val="Odstavecseseznamem"/>
        <w:spacing w:after="0" w:line="240" w:lineRule="auto"/>
        <w:ind w:left="0"/>
        <w:jc w:val="both"/>
        <w:rPr>
          <w:rFonts w:ascii="Times New Roman" w:hAnsi="Times New Roman"/>
          <w:bCs/>
        </w:rPr>
      </w:pPr>
      <w:r w:rsidRPr="0057323D">
        <w:rPr>
          <w:rFonts w:ascii="Times New Roman" w:hAnsi="Times New Roman"/>
          <w:bCs/>
        </w:rPr>
        <w:t xml:space="preserve">MPSV na základě dohody o delegování uzavřené dne 30. 6. 2008 s MMR (s dodatkem ze dne </w:t>
      </w:r>
      <w:r w:rsidR="008E1F4C">
        <w:rPr>
          <w:rFonts w:ascii="Times New Roman" w:hAnsi="Times New Roman"/>
          <w:bCs/>
        </w:rPr>
        <w:br/>
      </w:r>
      <w:r w:rsidRPr="0057323D">
        <w:rPr>
          <w:rFonts w:ascii="Times New Roman" w:hAnsi="Times New Roman"/>
          <w:bCs/>
        </w:rPr>
        <w:t xml:space="preserve">20. 1. 2009) předpokládá dokončení administrace všech projektů, s čímž souvisí i zajištění dostatečných personálních kapacit a finančních prostředků. </w:t>
      </w:r>
      <w:r w:rsidRPr="0057323D">
        <w:rPr>
          <w:rFonts w:ascii="Times New Roman" w:hAnsi="Times New Roman"/>
        </w:rPr>
        <w:t>MPSV má prostředky na personální náklady zajištěny ze zdrojů TP pouze do 30. 11. 2015, resp. do 31. 12. 2015.</w:t>
      </w:r>
    </w:p>
    <w:p w:rsidR="00293829" w:rsidRDefault="00293829" w:rsidP="00B50C65">
      <w:pPr>
        <w:pStyle w:val="Odstavecseseznamem"/>
        <w:spacing w:after="0" w:line="240" w:lineRule="auto"/>
        <w:ind w:left="0"/>
        <w:jc w:val="both"/>
        <w:rPr>
          <w:rFonts w:ascii="Times New Roman" w:hAnsi="Times New Roman"/>
          <w:b/>
        </w:rPr>
      </w:pPr>
    </w:p>
    <w:p w:rsidR="00097733" w:rsidRPr="00097733" w:rsidRDefault="00C6459C" w:rsidP="00B50C65">
      <w:pPr>
        <w:pStyle w:val="Odstavecseseznamem"/>
        <w:spacing w:after="0" w:line="240" w:lineRule="auto"/>
        <w:ind w:left="0"/>
        <w:jc w:val="both"/>
        <w:rPr>
          <w:rFonts w:ascii="Times New Roman" w:hAnsi="Times New Roman"/>
          <w:b/>
        </w:rPr>
      </w:pPr>
      <w:r w:rsidRPr="00097733">
        <w:rPr>
          <w:rFonts w:ascii="Times New Roman" w:hAnsi="Times New Roman"/>
          <w:b/>
        </w:rPr>
        <w:t>Přijatá opatření</w:t>
      </w:r>
    </w:p>
    <w:p w:rsidR="00D636EA" w:rsidRPr="008E1F4C" w:rsidRDefault="00C6459C" w:rsidP="008E1F4C">
      <w:pPr>
        <w:pStyle w:val="Odstavecseseznamem"/>
        <w:spacing w:after="0" w:line="240" w:lineRule="auto"/>
        <w:ind w:left="0"/>
        <w:jc w:val="both"/>
        <w:rPr>
          <w:rFonts w:ascii="Times New Roman" w:hAnsi="Times New Roman"/>
          <w:bCs/>
        </w:rPr>
      </w:pPr>
      <w:r w:rsidRPr="008E1F4C">
        <w:rPr>
          <w:rFonts w:ascii="Times New Roman" w:hAnsi="Times New Roman"/>
        </w:rPr>
        <w:t xml:space="preserve">Prioritou ZS MPSV je udržet kvalifikované zaměstnance, kteří mají přehled o programovém </w:t>
      </w:r>
      <w:r w:rsidR="00097733" w:rsidRPr="008E1F4C">
        <w:rPr>
          <w:rFonts w:ascii="Times New Roman" w:hAnsi="Times New Roman"/>
        </w:rPr>
        <w:br/>
      </w:r>
      <w:r w:rsidRPr="008E1F4C">
        <w:rPr>
          <w:rFonts w:ascii="Times New Roman" w:hAnsi="Times New Roman"/>
        </w:rPr>
        <w:t xml:space="preserve">i projektovém cyklu IOP. MPSV k výkonu implementačních činností a k ukončování programového období 2007-2013 disponuje administrativní kapacitou, nikoli však finančními prostředky v rozpočtu své kapitoly. Z toho důvodu </w:t>
      </w:r>
      <w:r w:rsidRPr="008E1F4C">
        <w:rPr>
          <w:rFonts w:ascii="Times New Roman" w:hAnsi="Times New Roman"/>
          <w:bCs/>
        </w:rPr>
        <w:t xml:space="preserve">zpracoval ŘO IOP v součinnosti se zprostředkujícími subjekty IOP k této problematice materiál </w:t>
      </w:r>
      <w:r w:rsidRPr="008E1F4C">
        <w:rPr>
          <w:rFonts w:ascii="Times New Roman" w:hAnsi="Times New Roman"/>
        </w:rPr>
        <w:t>„</w:t>
      </w:r>
      <w:r w:rsidRPr="008E1F4C">
        <w:rPr>
          <w:rFonts w:ascii="Times New Roman" w:hAnsi="Times New Roman"/>
          <w:bCs/>
          <w:i/>
          <w:iCs/>
        </w:rPr>
        <w:t>Informace o nezbytných podmínkách pro řádné dokončení Integrovaného operačního programu 2007-2013</w:t>
      </w:r>
      <w:r w:rsidRPr="008E1F4C">
        <w:rPr>
          <w:rFonts w:ascii="Times New Roman" w:hAnsi="Times New Roman"/>
          <w:bCs/>
        </w:rPr>
        <w:t xml:space="preserve">“, který byl schválen na zasedání vlády dne </w:t>
      </w:r>
      <w:r w:rsidR="008E1F4C" w:rsidRPr="008E1F4C">
        <w:rPr>
          <w:rFonts w:ascii="Times New Roman" w:hAnsi="Times New Roman"/>
          <w:bCs/>
        </w:rPr>
        <w:br/>
      </w:r>
      <w:r w:rsidRPr="008E1F4C">
        <w:rPr>
          <w:rFonts w:ascii="Times New Roman" w:hAnsi="Times New Roman"/>
          <w:bCs/>
        </w:rPr>
        <w:t xml:space="preserve">29. 7. 2015. </w:t>
      </w:r>
      <w:r w:rsidR="00D636EA" w:rsidRPr="008E1F4C">
        <w:rPr>
          <w:rFonts w:ascii="Times New Roman" w:hAnsi="Times New Roman"/>
        </w:rPr>
        <w:t xml:space="preserve">Rozpočet kapitoly MPSV </w:t>
      </w:r>
      <w:r w:rsidR="00352084">
        <w:rPr>
          <w:rFonts w:ascii="Times New Roman" w:hAnsi="Times New Roman"/>
        </w:rPr>
        <w:t>zvýšilo m</w:t>
      </w:r>
      <w:r w:rsidR="00D636EA" w:rsidRPr="008E1F4C">
        <w:rPr>
          <w:rFonts w:ascii="Times New Roman" w:hAnsi="Times New Roman"/>
        </w:rPr>
        <w:t>inisterstv</w:t>
      </w:r>
      <w:r w:rsidR="00352084">
        <w:rPr>
          <w:rFonts w:ascii="Times New Roman" w:hAnsi="Times New Roman"/>
        </w:rPr>
        <w:t>o</w:t>
      </w:r>
      <w:r w:rsidR="00D636EA" w:rsidRPr="008E1F4C">
        <w:rPr>
          <w:rFonts w:ascii="Times New Roman" w:hAnsi="Times New Roman"/>
        </w:rPr>
        <w:t xml:space="preserve"> financí ČR v souladu s Usnesením Vlády ČR </w:t>
      </w:r>
      <w:r w:rsidR="007326C2">
        <w:rPr>
          <w:rFonts w:ascii="Times New Roman" w:hAnsi="Times New Roman"/>
        </w:rPr>
        <w:t>z</w:t>
      </w:r>
      <w:r w:rsidR="00D636EA" w:rsidRPr="008E1F4C">
        <w:rPr>
          <w:rFonts w:ascii="Times New Roman" w:hAnsi="Times New Roman"/>
        </w:rPr>
        <w:t>výšen.</w:t>
      </w:r>
    </w:p>
    <w:p w:rsidR="00C6459C" w:rsidRPr="00D86CC7" w:rsidRDefault="00C6459C" w:rsidP="00B50C65">
      <w:pPr>
        <w:rPr>
          <w:sz w:val="22"/>
          <w:szCs w:val="22"/>
        </w:rPr>
      </w:pPr>
    </w:p>
    <w:p w:rsidR="00C6459C" w:rsidRPr="00D86CC7" w:rsidRDefault="00C6459C" w:rsidP="00B50C65">
      <w:pPr>
        <w:rPr>
          <w:b/>
          <w:bCs/>
          <w:sz w:val="22"/>
          <w:szCs w:val="22"/>
        </w:rPr>
      </w:pPr>
      <w:r w:rsidRPr="00D86CC7">
        <w:rPr>
          <w:b/>
          <w:bCs/>
          <w:sz w:val="22"/>
          <w:szCs w:val="22"/>
        </w:rPr>
        <w:t>Ztráta alokace IOP v gesci MPSV</w:t>
      </w:r>
    </w:p>
    <w:p w:rsidR="00C6459C" w:rsidRDefault="00C6459C" w:rsidP="00B50C65">
      <w:pPr>
        <w:jc w:val="both"/>
        <w:rPr>
          <w:sz w:val="22"/>
          <w:szCs w:val="22"/>
        </w:rPr>
      </w:pPr>
      <w:r>
        <w:rPr>
          <w:sz w:val="22"/>
          <w:szCs w:val="22"/>
        </w:rPr>
        <w:t xml:space="preserve">V OI – 3.1 a 3.3 hrozí </w:t>
      </w:r>
      <w:r w:rsidRPr="00D86CC7">
        <w:rPr>
          <w:sz w:val="22"/>
          <w:szCs w:val="22"/>
        </w:rPr>
        <w:t>ztrát</w:t>
      </w:r>
      <w:r w:rsidR="00352084">
        <w:rPr>
          <w:sz w:val="22"/>
          <w:szCs w:val="22"/>
        </w:rPr>
        <w:t>a</w:t>
      </w:r>
      <w:r w:rsidRPr="00D86CC7">
        <w:rPr>
          <w:sz w:val="22"/>
          <w:szCs w:val="22"/>
        </w:rPr>
        <w:t xml:space="preserve"> alokace v důsledku vzniklých úspor z veřejných zakázek </w:t>
      </w:r>
      <w:r w:rsidR="00097733">
        <w:rPr>
          <w:sz w:val="22"/>
          <w:szCs w:val="22"/>
        </w:rPr>
        <w:br/>
      </w:r>
      <w:r w:rsidRPr="00D86CC7">
        <w:rPr>
          <w:sz w:val="22"/>
          <w:szCs w:val="22"/>
        </w:rPr>
        <w:t xml:space="preserve">či předčasného ukončování realizace projektů, z důvodu změny kurzu EUR/CZK a </w:t>
      </w:r>
      <w:r>
        <w:rPr>
          <w:sz w:val="22"/>
          <w:szCs w:val="22"/>
        </w:rPr>
        <w:t>z titulu vrácených prostředků z </w:t>
      </w:r>
      <w:r w:rsidRPr="00D86CC7">
        <w:rPr>
          <w:sz w:val="22"/>
          <w:szCs w:val="22"/>
        </w:rPr>
        <w:t>korekcí a sankcí. Uvolněné finanční prostředky dosahují výše cca 585 832 664 Kč (EU podíl)</w:t>
      </w:r>
      <w:r>
        <w:rPr>
          <w:sz w:val="22"/>
          <w:szCs w:val="22"/>
        </w:rPr>
        <w:t>.</w:t>
      </w:r>
      <w:r w:rsidRPr="00D86CC7">
        <w:rPr>
          <w:sz w:val="22"/>
          <w:szCs w:val="22"/>
        </w:rPr>
        <w:t xml:space="preserve"> </w:t>
      </w:r>
    </w:p>
    <w:p w:rsidR="00C6459C" w:rsidRPr="00D86CC7" w:rsidRDefault="00C6459C" w:rsidP="00B50C65">
      <w:pPr>
        <w:jc w:val="both"/>
        <w:rPr>
          <w:sz w:val="22"/>
          <w:szCs w:val="22"/>
        </w:rPr>
      </w:pPr>
    </w:p>
    <w:p w:rsidR="00097733" w:rsidRPr="00097733" w:rsidRDefault="00C6459C" w:rsidP="00B50C65">
      <w:pPr>
        <w:pStyle w:val="Odstavecseseznamem"/>
        <w:spacing w:after="0" w:line="240" w:lineRule="auto"/>
        <w:ind w:left="0"/>
        <w:rPr>
          <w:rFonts w:ascii="Times New Roman" w:hAnsi="Times New Roman"/>
          <w:b/>
        </w:rPr>
      </w:pPr>
      <w:r w:rsidRPr="00097733">
        <w:rPr>
          <w:rFonts w:ascii="Times New Roman" w:hAnsi="Times New Roman"/>
          <w:b/>
        </w:rPr>
        <w:t>Přijatá opatření</w:t>
      </w:r>
    </w:p>
    <w:p w:rsidR="00F21B38" w:rsidRPr="006866A2" w:rsidRDefault="00C6459C" w:rsidP="00F21B38">
      <w:pPr>
        <w:jc w:val="both"/>
        <w:rPr>
          <w:color w:val="FF0000"/>
          <w:sz w:val="22"/>
          <w:szCs w:val="22"/>
        </w:rPr>
      </w:pPr>
      <w:r w:rsidRPr="006866A2">
        <w:rPr>
          <w:sz w:val="22"/>
          <w:szCs w:val="22"/>
        </w:rPr>
        <w:t>MPSV se snaží o postupnou maximalizaci čerpání finančních prostředků v souladu se Strategií dočerpání IOP.</w:t>
      </w:r>
      <w:r w:rsidR="00F21B38" w:rsidRPr="006866A2">
        <w:rPr>
          <w:color w:val="FF0000"/>
          <w:sz w:val="22"/>
          <w:szCs w:val="22"/>
        </w:rPr>
        <w:t xml:space="preserve"> </w:t>
      </w:r>
      <w:r w:rsidR="00F21B38" w:rsidRPr="00DD6F98">
        <w:rPr>
          <w:sz w:val="22"/>
          <w:szCs w:val="22"/>
        </w:rPr>
        <w:t>MPSV zajistilo dostatečnou personální kapacitu na ZS IOP nezbytnou ke zvládnutí dokončení administrace všech projektů, a zvládnutí očekávaného objemu Žádostí o platbu v roce 2015, resp. 2016, které povedou k úspěšnému dokončení administrace projektů.  Dále vede pravidelnou komunikaci s příjemci  a poskytuje jim součinnost (monitoring průběhu implementace jednotlivých projektů, realizace optimálního řešení pro podporu ukončení realizace projektů).</w:t>
      </w:r>
    </w:p>
    <w:p w:rsidR="00C6459C" w:rsidRPr="00097733" w:rsidRDefault="00C6459C" w:rsidP="008967E2">
      <w:pPr>
        <w:pStyle w:val="Odstavecseseznamem"/>
        <w:spacing w:after="0" w:line="240" w:lineRule="auto"/>
        <w:ind w:left="0"/>
        <w:jc w:val="both"/>
        <w:rPr>
          <w:rFonts w:ascii="Times New Roman" w:hAnsi="Times New Roman"/>
          <w:b/>
        </w:rPr>
      </w:pPr>
    </w:p>
    <w:p w:rsidR="008E1F4C" w:rsidRDefault="008E1F4C" w:rsidP="00B50C65">
      <w:pPr>
        <w:jc w:val="both"/>
        <w:rPr>
          <w:rStyle w:val="slovnik"/>
          <w:b/>
          <w:sz w:val="22"/>
          <w:szCs w:val="22"/>
        </w:rPr>
      </w:pPr>
    </w:p>
    <w:p w:rsidR="0007590A" w:rsidRPr="005E7759" w:rsidRDefault="001F252F" w:rsidP="00B50C65">
      <w:pPr>
        <w:jc w:val="both"/>
        <w:rPr>
          <w:rStyle w:val="slovnik"/>
          <w:b/>
          <w:sz w:val="22"/>
          <w:szCs w:val="22"/>
        </w:rPr>
      </w:pPr>
      <w:r w:rsidRPr="005E7759">
        <w:rPr>
          <w:rStyle w:val="slovnik"/>
          <w:b/>
          <w:sz w:val="22"/>
          <w:szCs w:val="22"/>
        </w:rPr>
        <w:t>Oblast intervence 3.3</w:t>
      </w:r>
    </w:p>
    <w:p w:rsidR="0007590A" w:rsidRPr="0007590A" w:rsidRDefault="0007590A" w:rsidP="00B50C65">
      <w:pPr>
        <w:jc w:val="both"/>
        <w:rPr>
          <w:b/>
          <w:sz w:val="22"/>
          <w:szCs w:val="22"/>
        </w:rPr>
      </w:pPr>
      <w:r w:rsidRPr="0007590A">
        <w:rPr>
          <w:b/>
          <w:sz w:val="22"/>
          <w:szCs w:val="22"/>
        </w:rPr>
        <w:t>Prodlužování administrace v realizaci projektů</w:t>
      </w:r>
    </w:p>
    <w:p w:rsidR="0007590A" w:rsidRPr="00B50C65" w:rsidRDefault="0007590A" w:rsidP="00B50C65">
      <w:pPr>
        <w:pStyle w:val="Odstavecseseznamem"/>
        <w:spacing w:after="0" w:line="240" w:lineRule="auto"/>
        <w:ind w:left="0"/>
        <w:jc w:val="both"/>
        <w:rPr>
          <w:rFonts w:ascii="Times New Roman" w:hAnsi="Times New Roman"/>
        </w:rPr>
      </w:pPr>
      <w:r w:rsidRPr="0007590A">
        <w:rPr>
          <w:rFonts w:ascii="Times New Roman" w:hAnsi="Times New Roman"/>
        </w:rPr>
        <w:t xml:space="preserve">K důvodům prodlužování administrace projektů patřily zejména problémy se stavebními </w:t>
      </w:r>
      <w:r w:rsidR="00DD6F98">
        <w:rPr>
          <w:rFonts w:ascii="Times New Roman" w:hAnsi="Times New Roman"/>
        </w:rPr>
        <w:br/>
      </w:r>
      <w:r w:rsidRPr="0007590A">
        <w:rPr>
          <w:rFonts w:ascii="Times New Roman" w:hAnsi="Times New Roman"/>
        </w:rPr>
        <w:t>a výběrovými řízeními (vlivem zpoždění v realizaci výběrových řízení, nutností rušit a opakovaně vyhlašovat nová VŘ).</w:t>
      </w:r>
    </w:p>
    <w:p w:rsidR="0007590A" w:rsidRDefault="0007590A" w:rsidP="00B50C65">
      <w:pPr>
        <w:pStyle w:val="Odstavecseseznamem"/>
        <w:spacing w:after="0" w:line="240" w:lineRule="auto"/>
        <w:ind w:left="0"/>
        <w:jc w:val="both"/>
        <w:rPr>
          <w:b/>
        </w:rPr>
      </w:pPr>
    </w:p>
    <w:p w:rsidR="00DD6F98" w:rsidRDefault="00DD6F98" w:rsidP="00B50C65">
      <w:pPr>
        <w:pStyle w:val="Odstavecseseznamem"/>
        <w:spacing w:after="0" w:line="240" w:lineRule="auto"/>
        <w:ind w:left="0"/>
        <w:jc w:val="both"/>
        <w:rPr>
          <w:rFonts w:ascii="Times New Roman" w:hAnsi="Times New Roman"/>
          <w:b/>
        </w:rPr>
      </w:pPr>
    </w:p>
    <w:p w:rsidR="0007590A" w:rsidRPr="0007590A" w:rsidRDefault="0007590A" w:rsidP="00B50C65">
      <w:pPr>
        <w:pStyle w:val="Odstavecseseznamem"/>
        <w:spacing w:after="0" w:line="240" w:lineRule="auto"/>
        <w:ind w:left="0"/>
        <w:jc w:val="both"/>
        <w:rPr>
          <w:rFonts w:ascii="Times New Roman" w:hAnsi="Times New Roman"/>
          <w:b/>
        </w:rPr>
      </w:pPr>
      <w:r w:rsidRPr="0007590A">
        <w:rPr>
          <w:rFonts w:ascii="Times New Roman" w:hAnsi="Times New Roman"/>
          <w:b/>
        </w:rPr>
        <w:lastRenderedPageBreak/>
        <w:t>Přijatá opatření</w:t>
      </w:r>
    </w:p>
    <w:p w:rsidR="0007590A" w:rsidRPr="0007590A" w:rsidRDefault="0007590A" w:rsidP="00B50C65">
      <w:pPr>
        <w:pStyle w:val="Odstavecseseznamem"/>
        <w:spacing w:after="0" w:line="240" w:lineRule="auto"/>
        <w:ind w:left="0"/>
        <w:jc w:val="both"/>
        <w:rPr>
          <w:rFonts w:ascii="Times New Roman" w:hAnsi="Times New Roman"/>
          <w:b/>
        </w:rPr>
      </w:pPr>
      <w:r w:rsidRPr="0007590A">
        <w:rPr>
          <w:rFonts w:ascii="Times New Roman" w:hAnsi="Times New Roman"/>
        </w:rPr>
        <w:t xml:space="preserve">MPSV ve sledovaném období komunikovalo s  příjemci dotací s cílem řešit problémy </w:t>
      </w:r>
      <w:r>
        <w:rPr>
          <w:rFonts w:ascii="Times New Roman" w:hAnsi="Times New Roman"/>
        </w:rPr>
        <w:br/>
      </w:r>
      <w:r w:rsidRPr="0007590A">
        <w:rPr>
          <w:rFonts w:ascii="Times New Roman" w:hAnsi="Times New Roman"/>
        </w:rPr>
        <w:t>s předstihem, aby nedocházelo ke kritickým situacím, které vyžadují ukončení projektu. MPSV dlouhodobě příjemce upozorňuje na nutnost konzultovat proces výběru dodavatelů s Centrem pro regionální rozvoj ČR, aby nedocházelo k porušení zákona či pochybení v oblasti metodiky a s tím související nutnosti opakovaně vypisovat VŘ.ŘO IOP sleduje problémové a rizikové projekty a svými návrhy na řešení pomáhá odstraňování rizik.</w:t>
      </w:r>
    </w:p>
    <w:p w:rsidR="00A33E4A" w:rsidRDefault="00A33E4A" w:rsidP="00B50C65">
      <w:pPr>
        <w:jc w:val="both"/>
        <w:rPr>
          <w:sz w:val="22"/>
          <w:szCs w:val="22"/>
        </w:rPr>
      </w:pPr>
    </w:p>
    <w:p w:rsidR="0007590A" w:rsidRPr="00555631" w:rsidRDefault="0007590A" w:rsidP="00B50C65">
      <w:pPr>
        <w:jc w:val="both"/>
        <w:rPr>
          <w:b/>
          <w:sz w:val="22"/>
          <w:szCs w:val="22"/>
        </w:rPr>
      </w:pPr>
      <w:r>
        <w:rPr>
          <w:b/>
          <w:sz w:val="22"/>
          <w:szCs w:val="22"/>
        </w:rPr>
        <w:t xml:space="preserve">Riziko neproplacení finančních prostředků v celkové výši </w:t>
      </w:r>
      <w:r w:rsidRPr="000E50F6">
        <w:rPr>
          <w:b/>
          <w:bCs/>
          <w:sz w:val="22"/>
        </w:rPr>
        <w:t>5 831 514,11 €</w:t>
      </w:r>
      <w:r>
        <w:rPr>
          <w:rFonts w:ascii="Arial" w:hAnsi="Arial" w:cs="Arial"/>
          <w:sz w:val="22"/>
        </w:rPr>
        <w:t xml:space="preserve"> </w:t>
      </w:r>
      <w:r>
        <w:rPr>
          <w:b/>
          <w:sz w:val="22"/>
          <w:szCs w:val="22"/>
        </w:rPr>
        <w:t xml:space="preserve">ze strany EK na projekt „ÚP ČR Praha – nákup administrativní budovy“ </w:t>
      </w:r>
      <w:r w:rsidRPr="004F7D10">
        <w:rPr>
          <w:b/>
          <w:bCs/>
          <w:sz w:val="22"/>
        </w:rPr>
        <w:t>(</w:t>
      </w:r>
      <w:proofErr w:type="spellStart"/>
      <w:r w:rsidRPr="004F7D10">
        <w:rPr>
          <w:b/>
          <w:bCs/>
          <w:sz w:val="22"/>
        </w:rPr>
        <w:t>reg</w:t>
      </w:r>
      <w:proofErr w:type="spellEnd"/>
      <w:r w:rsidRPr="004F7D10">
        <w:rPr>
          <w:b/>
          <w:bCs/>
          <w:sz w:val="22"/>
        </w:rPr>
        <w:t xml:space="preserve">. </w:t>
      </w:r>
      <w:proofErr w:type="gramStart"/>
      <w:r w:rsidRPr="004F7D10">
        <w:rPr>
          <w:b/>
          <w:bCs/>
          <w:sz w:val="22"/>
        </w:rPr>
        <w:t>č.</w:t>
      </w:r>
      <w:proofErr w:type="gramEnd"/>
      <w:r w:rsidRPr="004F7D10">
        <w:rPr>
          <w:b/>
          <w:bCs/>
          <w:sz w:val="22"/>
        </w:rPr>
        <w:t xml:space="preserve"> CZ.1.06/3.3.00/04.09157)</w:t>
      </w:r>
    </w:p>
    <w:p w:rsidR="008E1F4C" w:rsidRDefault="0007590A" w:rsidP="00B50C65">
      <w:pPr>
        <w:jc w:val="both"/>
        <w:rPr>
          <w:sz w:val="22"/>
        </w:rPr>
      </w:pPr>
      <w:r w:rsidRPr="00555631">
        <w:rPr>
          <w:bCs/>
          <w:sz w:val="22"/>
          <w:szCs w:val="22"/>
        </w:rPr>
        <w:t xml:space="preserve">Evropská komise (dále EK) </w:t>
      </w:r>
      <w:r>
        <w:rPr>
          <w:sz w:val="22"/>
          <w:szCs w:val="22"/>
        </w:rPr>
        <w:t xml:space="preserve">zpochybňuje účel nákupu budovy Generálního ředitelství ÚP ČR. </w:t>
      </w:r>
      <w:r w:rsidR="00352084">
        <w:rPr>
          <w:sz w:val="22"/>
          <w:szCs w:val="22"/>
          <w:lang w:eastAsia="en-US"/>
        </w:rPr>
        <w:t>Pod</w:t>
      </w:r>
      <w:r w:rsidRPr="00420182">
        <w:rPr>
          <w:sz w:val="22"/>
          <w:szCs w:val="22"/>
          <w:lang w:eastAsia="en-US"/>
        </w:rPr>
        <w:t>le posledního stanoviska ze dne 14. 4. 2014 EK neakceptuje proplacení celé dotace a navrhuje spolufinancovat 17,15</w:t>
      </w:r>
      <w:r>
        <w:rPr>
          <w:sz w:val="22"/>
          <w:szCs w:val="22"/>
          <w:lang w:eastAsia="en-US"/>
        </w:rPr>
        <w:t xml:space="preserve"> </w:t>
      </w:r>
      <w:r w:rsidRPr="00420182">
        <w:rPr>
          <w:sz w:val="22"/>
          <w:szCs w:val="22"/>
          <w:lang w:eastAsia="en-US"/>
        </w:rPr>
        <w:t>% způsobilých výdajů</w:t>
      </w:r>
      <w:r>
        <w:rPr>
          <w:sz w:val="22"/>
          <w:szCs w:val="22"/>
          <w:lang w:eastAsia="en-US"/>
        </w:rPr>
        <w:t xml:space="preserve">, </w:t>
      </w:r>
      <w:r w:rsidRPr="00420182">
        <w:rPr>
          <w:sz w:val="22"/>
          <w:szCs w:val="22"/>
          <w:lang w:eastAsia="en-US"/>
        </w:rPr>
        <w:t>které jsou spojeny s aktivitami školicího střediska.</w:t>
      </w:r>
      <w:r>
        <w:rPr>
          <w:rFonts w:ascii="Arial" w:hAnsi="Arial" w:cs="Arial"/>
          <w:sz w:val="22"/>
          <w:szCs w:val="22"/>
          <w:lang w:eastAsia="en-US"/>
        </w:rPr>
        <w:t xml:space="preserve"> </w:t>
      </w:r>
      <w:r w:rsidRPr="002A2322">
        <w:rPr>
          <w:sz w:val="22"/>
        </w:rPr>
        <w:t>Na základě auditu Ministerstva financí č. IOP/2014/O/064 byly stanoveny nezpůsobilé výdaje projektu ve výši 86</w:t>
      </w:r>
      <w:r>
        <w:rPr>
          <w:sz w:val="22"/>
        </w:rPr>
        <w:t> 502 573,01</w:t>
      </w:r>
      <w:r w:rsidRPr="002A2322">
        <w:rPr>
          <w:sz w:val="22"/>
        </w:rPr>
        <w:t xml:space="preserve"> Kč, </w:t>
      </w:r>
      <w:r w:rsidRPr="003A7368">
        <w:rPr>
          <w:sz w:val="22"/>
          <w:szCs w:val="22"/>
        </w:rPr>
        <w:t xml:space="preserve">které </w:t>
      </w:r>
      <w:r>
        <w:rPr>
          <w:sz w:val="22"/>
          <w:szCs w:val="22"/>
        </w:rPr>
        <w:t xml:space="preserve">souvisí se </w:t>
      </w:r>
      <w:r w:rsidRPr="003A7368">
        <w:rPr>
          <w:sz w:val="22"/>
          <w:szCs w:val="22"/>
        </w:rPr>
        <w:t>zaji</w:t>
      </w:r>
      <w:r>
        <w:rPr>
          <w:sz w:val="22"/>
          <w:szCs w:val="22"/>
        </w:rPr>
        <w:t>štěním</w:t>
      </w:r>
      <w:r w:rsidRPr="003A7368">
        <w:rPr>
          <w:sz w:val="22"/>
          <w:szCs w:val="22"/>
        </w:rPr>
        <w:t xml:space="preserve"> zázemí pro potřeby a provoz Generálního ředitelství ÚP ČR</w:t>
      </w:r>
      <w:r w:rsidRPr="002A2322">
        <w:rPr>
          <w:sz w:val="22"/>
        </w:rPr>
        <w:t>.</w:t>
      </w:r>
      <w:r>
        <w:rPr>
          <w:sz w:val="22"/>
        </w:rPr>
        <w:t xml:space="preserve"> </w:t>
      </w:r>
      <w:r w:rsidRPr="005657D6">
        <w:rPr>
          <w:sz w:val="22"/>
          <w:szCs w:val="22"/>
          <w:lang w:eastAsia="en-US"/>
        </w:rPr>
        <w:t>ZS MPSV neshledává argumenty EK</w:t>
      </w:r>
      <w:r w:rsidR="00352084">
        <w:rPr>
          <w:sz w:val="22"/>
          <w:szCs w:val="22"/>
          <w:lang w:eastAsia="en-US"/>
        </w:rPr>
        <w:t>,</w:t>
      </w:r>
      <w:r w:rsidRPr="005657D6">
        <w:rPr>
          <w:sz w:val="22"/>
          <w:szCs w:val="22"/>
          <w:lang w:eastAsia="en-US"/>
        </w:rPr>
        <w:t xml:space="preserve"> opírající se pouze o umístění sídla GŘ </w:t>
      </w:r>
      <w:r>
        <w:rPr>
          <w:sz w:val="22"/>
          <w:szCs w:val="22"/>
          <w:lang w:eastAsia="en-US"/>
        </w:rPr>
        <w:t>ÚP ČR v</w:t>
      </w:r>
      <w:r w:rsidR="00352084">
        <w:rPr>
          <w:sz w:val="22"/>
          <w:szCs w:val="22"/>
          <w:lang w:eastAsia="en-US"/>
        </w:rPr>
        <w:t> </w:t>
      </w:r>
      <w:r>
        <w:rPr>
          <w:sz w:val="22"/>
          <w:szCs w:val="22"/>
          <w:lang w:eastAsia="en-US"/>
        </w:rPr>
        <w:t>Praze</w:t>
      </w:r>
      <w:r w:rsidR="00352084">
        <w:rPr>
          <w:sz w:val="22"/>
          <w:szCs w:val="22"/>
          <w:lang w:eastAsia="en-US"/>
        </w:rPr>
        <w:t>,</w:t>
      </w:r>
      <w:r>
        <w:rPr>
          <w:sz w:val="22"/>
          <w:szCs w:val="22"/>
          <w:lang w:eastAsia="en-US"/>
        </w:rPr>
        <w:t xml:space="preserve"> jako postačující, na základě výsledků auditu trvá na způsobilosti centrálního školicího střediska, kontaktních pracovišť Praha-Východ a Praha-Západ</w:t>
      </w:r>
      <w:r w:rsidRPr="005657D6">
        <w:rPr>
          <w:sz w:val="22"/>
          <w:szCs w:val="22"/>
          <w:lang w:eastAsia="en-US"/>
        </w:rPr>
        <w:t xml:space="preserve"> a má ve věci tohoto stanoviska podporu ŘO IOP. </w:t>
      </w:r>
    </w:p>
    <w:p w:rsidR="008E1F4C" w:rsidRDefault="008E1F4C" w:rsidP="00B50C65">
      <w:pPr>
        <w:jc w:val="both"/>
        <w:rPr>
          <w:sz w:val="22"/>
        </w:rPr>
      </w:pPr>
    </w:p>
    <w:p w:rsidR="0007590A" w:rsidRDefault="0007590A" w:rsidP="00B50C65">
      <w:pPr>
        <w:jc w:val="both"/>
        <w:rPr>
          <w:sz w:val="22"/>
        </w:rPr>
      </w:pPr>
      <w:r>
        <w:rPr>
          <w:sz w:val="22"/>
        </w:rPr>
        <w:t xml:space="preserve">MPSV informovalo ŘO IOP dopisem ze dne 13. 5. 2015 o usnesení 13. porady vedení MPSV, která rozhodla o pokračování jednání s EK za účelem </w:t>
      </w:r>
      <w:r w:rsidRPr="00041F66">
        <w:rPr>
          <w:sz w:val="22"/>
        </w:rPr>
        <w:t xml:space="preserve">obhajoby </w:t>
      </w:r>
      <w:r w:rsidR="00352084">
        <w:rPr>
          <w:sz w:val="22"/>
        </w:rPr>
        <w:t>způsobil</w:t>
      </w:r>
      <w:r w:rsidRPr="00041F66">
        <w:rPr>
          <w:sz w:val="22"/>
        </w:rPr>
        <w:t xml:space="preserve">osti výdajů souvisejících </w:t>
      </w:r>
      <w:r w:rsidR="0025324D">
        <w:rPr>
          <w:sz w:val="22"/>
        </w:rPr>
        <w:br/>
      </w:r>
      <w:r w:rsidRPr="00041F66">
        <w:rPr>
          <w:sz w:val="22"/>
        </w:rPr>
        <w:t>s Kontaktními pracovišti Praha-východ, Praha-západ a centrálním školicím střediskem. Zároveň porad</w:t>
      </w:r>
      <w:r w:rsidR="00352084">
        <w:rPr>
          <w:sz w:val="22"/>
        </w:rPr>
        <w:t>a</w:t>
      </w:r>
      <w:r w:rsidRPr="00041F66">
        <w:rPr>
          <w:sz w:val="22"/>
        </w:rPr>
        <w:t xml:space="preserve"> vedení MPSV potvr</w:t>
      </w:r>
      <w:r w:rsidR="00352084">
        <w:rPr>
          <w:sz w:val="22"/>
        </w:rPr>
        <w:t>dila</w:t>
      </w:r>
      <w:r w:rsidRPr="00041F66">
        <w:rPr>
          <w:sz w:val="22"/>
        </w:rPr>
        <w:t xml:space="preserve"> požadavek na schůzk</w:t>
      </w:r>
      <w:r w:rsidR="00352084">
        <w:rPr>
          <w:sz w:val="22"/>
        </w:rPr>
        <w:t>u</w:t>
      </w:r>
      <w:r w:rsidRPr="00041F66">
        <w:rPr>
          <w:sz w:val="22"/>
        </w:rPr>
        <w:t xml:space="preserve"> zástupců MMR, MPSV a GŘ ÚP ČR se zástupci EK za účelem projednání jednotlivých podrobností projektu</w:t>
      </w:r>
      <w:r>
        <w:rPr>
          <w:sz w:val="22"/>
        </w:rPr>
        <w:t>. MPSV bude pokračovat v komunikaci s EK na základě dalších informací v souvislosti s probíhající kontrolou OLAF.</w:t>
      </w:r>
    </w:p>
    <w:p w:rsidR="0025324D" w:rsidRPr="0025324D" w:rsidRDefault="0025324D" w:rsidP="00B50C65">
      <w:pPr>
        <w:jc w:val="both"/>
        <w:rPr>
          <w:sz w:val="22"/>
        </w:rPr>
      </w:pPr>
    </w:p>
    <w:p w:rsidR="0007590A" w:rsidRPr="0007590A" w:rsidRDefault="0007590A" w:rsidP="00B50C65">
      <w:pPr>
        <w:pStyle w:val="Odstavecseseznamem"/>
        <w:spacing w:after="0" w:line="240" w:lineRule="auto"/>
        <w:ind w:left="0"/>
        <w:jc w:val="both"/>
        <w:rPr>
          <w:rFonts w:ascii="Times New Roman" w:hAnsi="Times New Roman"/>
          <w:b/>
        </w:rPr>
      </w:pPr>
      <w:r w:rsidRPr="0007590A">
        <w:rPr>
          <w:rFonts w:ascii="Times New Roman" w:hAnsi="Times New Roman"/>
          <w:b/>
        </w:rPr>
        <w:t>Přijatá opatření</w:t>
      </w:r>
    </w:p>
    <w:p w:rsidR="0007590A" w:rsidRPr="003E795A" w:rsidRDefault="0007590A" w:rsidP="00B50C65">
      <w:pPr>
        <w:pStyle w:val="Odstavecseseznamem"/>
        <w:spacing w:after="0" w:line="240" w:lineRule="auto"/>
        <w:ind w:left="0"/>
        <w:jc w:val="both"/>
        <w:rPr>
          <w:rFonts w:ascii="Times New Roman" w:hAnsi="Times New Roman"/>
          <w:b/>
        </w:rPr>
      </w:pPr>
      <w:r w:rsidRPr="003E795A">
        <w:rPr>
          <w:rFonts w:ascii="Times New Roman" w:hAnsi="Times New Roman"/>
        </w:rPr>
        <w:t>MPSV poskytlo ŘO IOP podklady</w:t>
      </w:r>
      <w:r w:rsidR="007326C2">
        <w:rPr>
          <w:rFonts w:ascii="Times New Roman" w:hAnsi="Times New Roman"/>
        </w:rPr>
        <w:t>, které</w:t>
      </w:r>
      <w:r w:rsidRPr="003E795A">
        <w:rPr>
          <w:rFonts w:ascii="Times New Roman" w:hAnsi="Times New Roman"/>
        </w:rPr>
        <w:t xml:space="preserve"> požadova</w:t>
      </w:r>
      <w:r w:rsidR="007326C2">
        <w:rPr>
          <w:rFonts w:ascii="Times New Roman" w:hAnsi="Times New Roman"/>
        </w:rPr>
        <w:t>la</w:t>
      </w:r>
      <w:r w:rsidRPr="003E795A">
        <w:rPr>
          <w:rFonts w:ascii="Times New Roman" w:hAnsi="Times New Roman"/>
        </w:rPr>
        <w:t> kontrol</w:t>
      </w:r>
      <w:r w:rsidR="007326C2">
        <w:rPr>
          <w:rFonts w:ascii="Times New Roman" w:hAnsi="Times New Roman"/>
        </w:rPr>
        <w:t>a</w:t>
      </w:r>
      <w:r w:rsidRPr="003E795A">
        <w:rPr>
          <w:rFonts w:ascii="Times New Roman" w:hAnsi="Times New Roman"/>
        </w:rPr>
        <w:t xml:space="preserve"> OLAF, v níž je ŘO IOP kontrolovaným subjektem. Na základě závěrů kontroly OLAF je MPSV připraveno komunikovat se zástupci GŘ ÚP ČR, příp. ŘO IOP, za účelem pokračování jednání s EK.</w:t>
      </w:r>
    </w:p>
    <w:p w:rsidR="0025324D" w:rsidRPr="0025324D" w:rsidRDefault="0025324D" w:rsidP="00B50C65">
      <w:pPr>
        <w:pStyle w:val="Odstavecseseznamem"/>
        <w:spacing w:after="0" w:line="240" w:lineRule="auto"/>
        <w:ind w:left="0"/>
        <w:jc w:val="both"/>
        <w:rPr>
          <w:rFonts w:ascii="Times New Roman" w:hAnsi="Times New Roman"/>
        </w:rPr>
      </w:pPr>
    </w:p>
    <w:p w:rsidR="0007590A" w:rsidRDefault="0007590A" w:rsidP="00B50C65">
      <w:pPr>
        <w:jc w:val="both"/>
        <w:rPr>
          <w:b/>
          <w:sz w:val="22"/>
          <w:szCs w:val="22"/>
        </w:rPr>
      </w:pPr>
      <w:r>
        <w:rPr>
          <w:b/>
          <w:sz w:val="22"/>
          <w:szCs w:val="22"/>
        </w:rPr>
        <w:t>Nedostatečné finanční prostředky ZS MPSV na zajištění administrace OI 3.3 do konce programového období</w:t>
      </w:r>
    </w:p>
    <w:p w:rsidR="0007590A" w:rsidRPr="0007590A" w:rsidRDefault="0007590A" w:rsidP="00B50C65">
      <w:pPr>
        <w:pStyle w:val="Odstavecseseznamem"/>
        <w:spacing w:after="0" w:line="240" w:lineRule="auto"/>
        <w:ind w:left="0"/>
        <w:jc w:val="both"/>
        <w:rPr>
          <w:rFonts w:ascii="Times New Roman" w:hAnsi="Times New Roman"/>
          <w:bCs/>
        </w:rPr>
      </w:pPr>
      <w:r w:rsidRPr="0007590A">
        <w:rPr>
          <w:rFonts w:ascii="Times New Roman" w:hAnsi="Times New Roman"/>
          <w:bCs/>
        </w:rPr>
        <w:t>MPSV na základě dohody o delegování předpokládá dokončení administrace všech projektů</w:t>
      </w:r>
      <w:r w:rsidR="007326C2">
        <w:rPr>
          <w:rFonts w:ascii="Times New Roman" w:hAnsi="Times New Roman"/>
          <w:bCs/>
        </w:rPr>
        <w:t xml:space="preserve"> a</w:t>
      </w:r>
      <w:r w:rsidRPr="0007590A">
        <w:rPr>
          <w:rFonts w:ascii="Times New Roman" w:hAnsi="Times New Roman"/>
          <w:bCs/>
        </w:rPr>
        <w:t xml:space="preserve"> </w:t>
      </w:r>
      <w:r w:rsidR="007326C2">
        <w:rPr>
          <w:rFonts w:ascii="Times New Roman" w:hAnsi="Times New Roman"/>
          <w:bCs/>
        </w:rPr>
        <w:t>t</w:t>
      </w:r>
      <w:r w:rsidRPr="0007590A">
        <w:rPr>
          <w:rFonts w:ascii="Times New Roman" w:hAnsi="Times New Roman"/>
          <w:bCs/>
        </w:rPr>
        <w:t xml:space="preserve">ím souvisí zajištění dostatečných personálních kapacit a finančních prostředků. </w:t>
      </w:r>
      <w:r w:rsidRPr="0007590A">
        <w:rPr>
          <w:rFonts w:ascii="Times New Roman" w:hAnsi="Times New Roman"/>
        </w:rPr>
        <w:t>MPSV má prostředky na personální náklady zajištěny ze zdrojů TP pouze do 30. 11. 2015, resp. do 31. 12. 2015.</w:t>
      </w:r>
    </w:p>
    <w:p w:rsidR="006A7E98" w:rsidRDefault="006A7E98" w:rsidP="00B50C65">
      <w:pPr>
        <w:pStyle w:val="Odstavecseseznamem"/>
        <w:spacing w:after="0" w:line="240" w:lineRule="auto"/>
        <w:ind w:left="0"/>
        <w:rPr>
          <w:rFonts w:ascii="Times New Roman" w:hAnsi="Times New Roman"/>
          <w:b/>
        </w:rPr>
      </w:pPr>
    </w:p>
    <w:p w:rsidR="0007590A" w:rsidRPr="0007590A" w:rsidRDefault="0007590A" w:rsidP="00B50C65">
      <w:pPr>
        <w:pStyle w:val="Odstavecseseznamem"/>
        <w:spacing w:after="0" w:line="240" w:lineRule="auto"/>
        <w:ind w:left="0"/>
        <w:rPr>
          <w:rFonts w:ascii="Times New Roman" w:hAnsi="Times New Roman"/>
          <w:b/>
        </w:rPr>
      </w:pPr>
      <w:r w:rsidRPr="0007590A">
        <w:rPr>
          <w:rFonts w:ascii="Times New Roman" w:hAnsi="Times New Roman"/>
          <w:b/>
        </w:rPr>
        <w:t>Přijatá opatření</w:t>
      </w:r>
    </w:p>
    <w:p w:rsidR="0007590A" w:rsidRPr="0007590A" w:rsidRDefault="0007590A" w:rsidP="00B50C65">
      <w:pPr>
        <w:pStyle w:val="Odstavecseseznamem"/>
        <w:spacing w:after="0" w:line="240" w:lineRule="auto"/>
        <w:ind w:left="0"/>
        <w:jc w:val="both"/>
        <w:rPr>
          <w:rFonts w:ascii="Times New Roman" w:hAnsi="Times New Roman"/>
          <w:b/>
        </w:rPr>
      </w:pPr>
      <w:r w:rsidRPr="0007590A">
        <w:rPr>
          <w:rFonts w:ascii="Times New Roman" w:hAnsi="Times New Roman"/>
        </w:rPr>
        <w:t xml:space="preserve">Prioritou ZS MPSV je udržet kvalifikované zaměstnance, kteří mají přehled o programovém </w:t>
      </w:r>
      <w:r>
        <w:rPr>
          <w:rFonts w:ascii="Times New Roman" w:hAnsi="Times New Roman"/>
        </w:rPr>
        <w:br/>
      </w:r>
      <w:r w:rsidRPr="0007590A">
        <w:rPr>
          <w:rFonts w:ascii="Times New Roman" w:hAnsi="Times New Roman"/>
        </w:rPr>
        <w:t xml:space="preserve">i projektovém cyklu IOP. MPSV k výkonu implementačních činností a k ukončování programového období 2007-2013 disponuje administrativní kapacitou, nikoli však potřebnými finančními prostředky v rozpočtu své kapitoly. Z toho důvodu </w:t>
      </w:r>
      <w:r w:rsidRPr="0007590A">
        <w:rPr>
          <w:rFonts w:ascii="Times New Roman" w:hAnsi="Times New Roman"/>
          <w:bCs/>
        </w:rPr>
        <w:t xml:space="preserve">zpracoval ŘO IOP v součinnosti se zprostředkujícími subjekty IOP k této problematice materiál </w:t>
      </w:r>
      <w:r w:rsidRPr="0007590A">
        <w:rPr>
          <w:rFonts w:ascii="Times New Roman" w:hAnsi="Times New Roman"/>
        </w:rPr>
        <w:t>„</w:t>
      </w:r>
      <w:r w:rsidRPr="0007590A">
        <w:rPr>
          <w:rFonts w:ascii="Times New Roman" w:hAnsi="Times New Roman"/>
          <w:bCs/>
          <w:i/>
          <w:iCs/>
        </w:rPr>
        <w:t>Informace o nezbytných podmínkách pro řádné dokončení Integrovaného operačního programu 2007-2013</w:t>
      </w:r>
      <w:r w:rsidRPr="0007590A">
        <w:rPr>
          <w:rFonts w:ascii="Times New Roman" w:hAnsi="Times New Roman"/>
          <w:bCs/>
        </w:rPr>
        <w:t xml:space="preserve">“, který byl schválen na zasedání vlády </w:t>
      </w:r>
      <w:r w:rsidR="006A7E98">
        <w:rPr>
          <w:rFonts w:ascii="Times New Roman" w:hAnsi="Times New Roman"/>
          <w:bCs/>
        </w:rPr>
        <w:br/>
      </w:r>
      <w:r w:rsidRPr="0007590A">
        <w:rPr>
          <w:rFonts w:ascii="Times New Roman" w:hAnsi="Times New Roman"/>
          <w:bCs/>
        </w:rPr>
        <w:t xml:space="preserve">dne 29. 7. 2015. </w:t>
      </w:r>
      <w:r w:rsidR="007326C2" w:rsidRPr="008E1F4C">
        <w:rPr>
          <w:rFonts w:ascii="Times New Roman" w:hAnsi="Times New Roman"/>
        </w:rPr>
        <w:t xml:space="preserve">Rozpočet kapitoly MPSV </w:t>
      </w:r>
      <w:r w:rsidR="007326C2">
        <w:rPr>
          <w:rFonts w:ascii="Times New Roman" w:hAnsi="Times New Roman"/>
        </w:rPr>
        <w:t>zvýšilo m</w:t>
      </w:r>
      <w:r w:rsidR="007326C2" w:rsidRPr="008E1F4C">
        <w:rPr>
          <w:rFonts w:ascii="Times New Roman" w:hAnsi="Times New Roman"/>
        </w:rPr>
        <w:t>inisterstv</w:t>
      </w:r>
      <w:r w:rsidR="007326C2">
        <w:rPr>
          <w:rFonts w:ascii="Times New Roman" w:hAnsi="Times New Roman"/>
        </w:rPr>
        <w:t>o</w:t>
      </w:r>
      <w:r w:rsidR="007326C2" w:rsidRPr="008E1F4C">
        <w:rPr>
          <w:rFonts w:ascii="Times New Roman" w:hAnsi="Times New Roman"/>
        </w:rPr>
        <w:t xml:space="preserve"> financí ČR v souladu s Usnesením Vlády ČR </w:t>
      </w:r>
      <w:r w:rsidR="007326C2">
        <w:rPr>
          <w:rFonts w:ascii="Times New Roman" w:hAnsi="Times New Roman"/>
        </w:rPr>
        <w:t>z</w:t>
      </w:r>
      <w:r w:rsidR="007326C2" w:rsidRPr="008E1F4C">
        <w:rPr>
          <w:rFonts w:ascii="Times New Roman" w:hAnsi="Times New Roman"/>
        </w:rPr>
        <w:t>výšen.</w:t>
      </w:r>
      <w:r w:rsidR="007326C2">
        <w:rPr>
          <w:rFonts w:ascii="Times New Roman" w:hAnsi="Times New Roman"/>
        </w:rPr>
        <w:t xml:space="preserve"> </w:t>
      </w:r>
    </w:p>
    <w:p w:rsidR="0007590A" w:rsidRPr="00D86CC7" w:rsidRDefault="0007590A" w:rsidP="00B50C65">
      <w:pPr>
        <w:rPr>
          <w:sz w:val="22"/>
          <w:szCs w:val="22"/>
        </w:rPr>
      </w:pPr>
    </w:p>
    <w:p w:rsidR="0007590A" w:rsidRPr="00D86CC7" w:rsidRDefault="0007590A" w:rsidP="00B50C65">
      <w:pPr>
        <w:rPr>
          <w:b/>
          <w:bCs/>
          <w:sz w:val="22"/>
          <w:szCs w:val="22"/>
        </w:rPr>
      </w:pPr>
      <w:r w:rsidRPr="00D86CC7">
        <w:rPr>
          <w:b/>
          <w:bCs/>
          <w:sz w:val="22"/>
          <w:szCs w:val="22"/>
        </w:rPr>
        <w:t>Ztráta alokace IOP v gesci MPSV</w:t>
      </w:r>
    </w:p>
    <w:p w:rsidR="0007590A" w:rsidRDefault="0007590A" w:rsidP="00B50C65">
      <w:pPr>
        <w:jc w:val="both"/>
        <w:rPr>
          <w:sz w:val="22"/>
          <w:szCs w:val="22"/>
        </w:rPr>
      </w:pPr>
      <w:r>
        <w:rPr>
          <w:sz w:val="22"/>
          <w:szCs w:val="22"/>
        </w:rPr>
        <w:t>V obou OI h</w:t>
      </w:r>
      <w:r w:rsidRPr="00D86CC7">
        <w:rPr>
          <w:sz w:val="22"/>
          <w:szCs w:val="22"/>
        </w:rPr>
        <w:t>rozí ztrát</w:t>
      </w:r>
      <w:r w:rsidR="007326C2">
        <w:rPr>
          <w:sz w:val="22"/>
          <w:szCs w:val="22"/>
        </w:rPr>
        <w:t>a</w:t>
      </w:r>
      <w:r w:rsidRPr="00D86CC7">
        <w:rPr>
          <w:sz w:val="22"/>
          <w:szCs w:val="22"/>
        </w:rPr>
        <w:t xml:space="preserve"> alokace v důsledku vzniklých úspor z veřejných zakázek či předčasného ukončování realizace projektů, z důvodu změny kurzu EUR/CZK a </w:t>
      </w:r>
      <w:r>
        <w:rPr>
          <w:sz w:val="22"/>
          <w:szCs w:val="22"/>
        </w:rPr>
        <w:t>z titulu vrácených prostředků z </w:t>
      </w:r>
      <w:r w:rsidRPr="00D86CC7">
        <w:rPr>
          <w:sz w:val="22"/>
          <w:szCs w:val="22"/>
        </w:rPr>
        <w:t>korekcí a sankcí. Uvolněné finanční prostředky dosahují výše cca 585 832 664 Kč (EU podíl).</w:t>
      </w:r>
    </w:p>
    <w:p w:rsidR="0007590A" w:rsidRPr="00D86CC7" w:rsidRDefault="0007590A" w:rsidP="00B50C65">
      <w:pPr>
        <w:jc w:val="both"/>
        <w:rPr>
          <w:sz w:val="22"/>
          <w:szCs w:val="22"/>
        </w:rPr>
      </w:pPr>
    </w:p>
    <w:p w:rsidR="00DD6F98" w:rsidRDefault="00DD6F98" w:rsidP="00B50C65">
      <w:pPr>
        <w:pStyle w:val="Odstavecseseznamem"/>
        <w:spacing w:after="0" w:line="240" w:lineRule="auto"/>
        <w:ind w:left="0"/>
        <w:rPr>
          <w:rFonts w:ascii="Times New Roman" w:hAnsi="Times New Roman"/>
          <w:b/>
        </w:rPr>
      </w:pPr>
    </w:p>
    <w:p w:rsidR="00DD6F98" w:rsidRDefault="00DD6F98" w:rsidP="00B50C65">
      <w:pPr>
        <w:pStyle w:val="Odstavecseseznamem"/>
        <w:spacing w:after="0" w:line="240" w:lineRule="auto"/>
        <w:ind w:left="0"/>
        <w:rPr>
          <w:rFonts w:ascii="Times New Roman" w:hAnsi="Times New Roman"/>
          <w:b/>
        </w:rPr>
      </w:pPr>
    </w:p>
    <w:p w:rsidR="0007590A" w:rsidRPr="0007590A" w:rsidRDefault="0007590A" w:rsidP="00B50C65">
      <w:pPr>
        <w:pStyle w:val="Odstavecseseznamem"/>
        <w:spacing w:after="0" w:line="240" w:lineRule="auto"/>
        <w:ind w:left="0"/>
        <w:rPr>
          <w:rFonts w:ascii="Times New Roman" w:hAnsi="Times New Roman"/>
          <w:b/>
        </w:rPr>
      </w:pPr>
      <w:r w:rsidRPr="0007590A">
        <w:rPr>
          <w:rFonts w:ascii="Times New Roman" w:hAnsi="Times New Roman"/>
          <w:b/>
        </w:rPr>
        <w:lastRenderedPageBreak/>
        <w:t>Přijatá opatření</w:t>
      </w:r>
    </w:p>
    <w:p w:rsidR="00B50C65" w:rsidRPr="00474C80" w:rsidRDefault="0007590A" w:rsidP="008967E2">
      <w:pPr>
        <w:pStyle w:val="Odstavecseseznamem"/>
        <w:spacing w:after="0" w:line="240" w:lineRule="auto"/>
        <w:ind w:left="0"/>
        <w:jc w:val="both"/>
        <w:rPr>
          <w:rFonts w:ascii="Times New Roman" w:hAnsi="Times New Roman"/>
          <w:b/>
        </w:rPr>
      </w:pPr>
      <w:r w:rsidRPr="0007590A">
        <w:rPr>
          <w:rFonts w:ascii="Times New Roman" w:hAnsi="Times New Roman"/>
        </w:rPr>
        <w:t>MPSV se snaží o postupnou maximalizaci čerpání finančních prostředků v souladu se Strategií dočerpání IOP.</w:t>
      </w:r>
    </w:p>
    <w:p w:rsidR="00B50C65" w:rsidRDefault="00B50C65" w:rsidP="005B408F">
      <w:pPr>
        <w:pStyle w:val="TextNOK"/>
        <w:spacing w:line="240" w:lineRule="auto"/>
        <w:rPr>
          <w:b/>
          <w:szCs w:val="22"/>
        </w:rPr>
      </w:pPr>
    </w:p>
    <w:p w:rsidR="001145A9" w:rsidRDefault="00702F4F" w:rsidP="00B50C65">
      <w:pPr>
        <w:pStyle w:val="TextNOK"/>
        <w:spacing w:line="240" w:lineRule="auto"/>
        <w:rPr>
          <w:b/>
          <w:szCs w:val="22"/>
        </w:rPr>
      </w:pPr>
      <w:r w:rsidRPr="006266F5">
        <w:rPr>
          <w:b/>
          <w:szCs w:val="22"/>
        </w:rPr>
        <w:t>Oblast intervence 3.4</w:t>
      </w:r>
    </w:p>
    <w:p w:rsidR="00CD1176" w:rsidRDefault="00CD1176" w:rsidP="00B50C65">
      <w:pPr>
        <w:pStyle w:val="TextNOK"/>
        <w:spacing w:line="240" w:lineRule="auto"/>
        <w:rPr>
          <w:b/>
          <w:szCs w:val="22"/>
        </w:rPr>
      </w:pPr>
    </w:p>
    <w:p w:rsidR="004B7B2F" w:rsidRPr="004B7B2F" w:rsidRDefault="004B7B2F" w:rsidP="004B7B2F">
      <w:pPr>
        <w:jc w:val="both"/>
        <w:rPr>
          <w:b/>
          <w:sz w:val="22"/>
          <w:szCs w:val="22"/>
        </w:rPr>
      </w:pPr>
      <w:r w:rsidRPr="004B7B2F">
        <w:rPr>
          <w:b/>
          <w:sz w:val="22"/>
          <w:szCs w:val="22"/>
        </w:rPr>
        <w:t>Prodlužování termínů ukončení realizace projektu do maximálního možného termínu dle Výzvy. Opakování realizace VŘ a posun termí</w:t>
      </w:r>
      <w:r>
        <w:rPr>
          <w:b/>
          <w:sz w:val="22"/>
          <w:szCs w:val="22"/>
        </w:rPr>
        <w:t>nů jejich realizace, vč. plnění</w:t>
      </w:r>
    </w:p>
    <w:p w:rsidR="004B7B2F" w:rsidRDefault="004B7B2F" w:rsidP="004B7B2F">
      <w:pPr>
        <w:rPr>
          <w:i/>
          <w:iCs/>
        </w:rPr>
      </w:pPr>
    </w:p>
    <w:p w:rsidR="004B7B2F" w:rsidRPr="004B7B2F" w:rsidRDefault="004B7B2F" w:rsidP="004B7B2F">
      <w:pPr>
        <w:rPr>
          <w:b/>
          <w:iCs/>
          <w:color w:val="000000" w:themeColor="text1"/>
          <w:sz w:val="22"/>
          <w:szCs w:val="22"/>
        </w:rPr>
      </w:pPr>
      <w:r w:rsidRPr="004B7B2F">
        <w:rPr>
          <w:b/>
          <w:iCs/>
          <w:color w:val="000000" w:themeColor="text1"/>
          <w:sz w:val="22"/>
          <w:szCs w:val="22"/>
        </w:rPr>
        <w:t>Přehled přijatých opatření zprostředkujícím subjektem:</w:t>
      </w:r>
    </w:p>
    <w:p w:rsidR="004B7B2F" w:rsidRPr="004B7B2F" w:rsidRDefault="004B7B2F" w:rsidP="004B7B2F">
      <w:pPr>
        <w:pStyle w:val="Odstavecseseznamem"/>
        <w:numPr>
          <w:ilvl w:val="0"/>
          <w:numId w:val="59"/>
        </w:numPr>
        <w:spacing w:after="0" w:line="240" w:lineRule="auto"/>
        <w:ind w:left="714" w:hanging="357"/>
        <w:jc w:val="both"/>
        <w:rPr>
          <w:rFonts w:ascii="Times New Roman" w:hAnsi="Times New Roman"/>
        </w:rPr>
      </w:pPr>
      <w:r w:rsidRPr="004B7B2F">
        <w:rPr>
          <w:rFonts w:ascii="Times New Roman" w:hAnsi="Times New Roman"/>
        </w:rPr>
        <w:t xml:space="preserve">Na HQ CRR probíhají konzultace k přípravě a realizaci VŘ, pro posouzení veřejných zakázek jsou využíváni experti. </w:t>
      </w:r>
    </w:p>
    <w:p w:rsidR="004B7B2F" w:rsidRPr="004B7B2F" w:rsidRDefault="004B7B2F" w:rsidP="004B7B2F">
      <w:pPr>
        <w:pStyle w:val="Odstavecseseznamem"/>
        <w:numPr>
          <w:ilvl w:val="0"/>
          <w:numId w:val="59"/>
        </w:numPr>
        <w:spacing w:after="0" w:line="240" w:lineRule="auto"/>
        <w:ind w:left="714" w:hanging="357"/>
        <w:jc w:val="both"/>
        <w:rPr>
          <w:rFonts w:ascii="Times New Roman" w:hAnsi="Times New Roman"/>
        </w:rPr>
      </w:pPr>
      <w:r w:rsidRPr="004B7B2F">
        <w:rPr>
          <w:rFonts w:ascii="Times New Roman" w:hAnsi="Times New Roman"/>
        </w:rPr>
        <w:t xml:space="preserve">Pravidelně probíhají jednání Řídícího výboru Programu IZS. </w:t>
      </w:r>
    </w:p>
    <w:p w:rsidR="004B7B2F" w:rsidRPr="004B7B2F" w:rsidRDefault="004B7B2F" w:rsidP="004B7B2F">
      <w:pPr>
        <w:pStyle w:val="Odstavecseseznamem"/>
        <w:numPr>
          <w:ilvl w:val="0"/>
          <w:numId w:val="59"/>
        </w:numPr>
        <w:spacing w:after="0" w:line="240" w:lineRule="auto"/>
        <w:ind w:left="714" w:hanging="357"/>
        <w:jc w:val="both"/>
        <w:rPr>
          <w:rFonts w:ascii="Times New Roman" w:hAnsi="Times New Roman"/>
        </w:rPr>
      </w:pPr>
      <w:r w:rsidRPr="004B7B2F">
        <w:rPr>
          <w:rFonts w:ascii="Times New Roman" w:hAnsi="Times New Roman"/>
        </w:rPr>
        <w:t xml:space="preserve">Koordinace administrace projektů na HQ CRR. </w:t>
      </w:r>
    </w:p>
    <w:p w:rsidR="004B7B2F" w:rsidRDefault="004B7B2F" w:rsidP="004B7B2F">
      <w:pPr>
        <w:pStyle w:val="Odstavecseseznamem"/>
        <w:numPr>
          <w:ilvl w:val="0"/>
          <w:numId w:val="59"/>
        </w:numPr>
        <w:spacing w:after="0" w:line="240" w:lineRule="auto"/>
        <w:ind w:left="714" w:hanging="357"/>
        <w:jc w:val="both"/>
        <w:rPr>
          <w:rFonts w:ascii="Times New Roman" w:hAnsi="Times New Roman"/>
        </w:rPr>
      </w:pPr>
      <w:r w:rsidRPr="004B7B2F">
        <w:rPr>
          <w:rFonts w:ascii="Times New Roman" w:hAnsi="Times New Roman"/>
        </w:rPr>
        <w:t xml:space="preserve">Nastavení interních postupů pro urychlení administrace </w:t>
      </w:r>
      <w:proofErr w:type="spellStart"/>
      <w:r w:rsidRPr="004B7B2F">
        <w:rPr>
          <w:rFonts w:ascii="Times New Roman" w:hAnsi="Times New Roman"/>
        </w:rPr>
        <w:t>ŽoP</w:t>
      </w:r>
      <w:proofErr w:type="spellEnd"/>
      <w:r w:rsidRPr="004B7B2F">
        <w:rPr>
          <w:rFonts w:ascii="Times New Roman" w:hAnsi="Times New Roman"/>
        </w:rPr>
        <w:t xml:space="preserve"> na CRR podle opatření </w:t>
      </w:r>
      <w:r>
        <w:rPr>
          <w:rFonts w:ascii="Times New Roman" w:hAnsi="Times New Roman"/>
        </w:rPr>
        <w:br/>
      </w:r>
      <w:r w:rsidRPr="004B7B2F">
        <w:rPr>
          <w:rFonts w:ascii="Times New Roman" w:hAnsi="Times New Roman"/>
        </w:rPr>
        <w:t xml:space="preserve">k maximalizaci čerpání v roce 2015. </w:t>
      </w:r>
    </w:p>
    <w:p w:rsidR="004B7B2F" w:rsidRPr="004B7B2F" w:rsidRDefault="004B7B2F" w:rsidP="004B7B2F">
      <w:pPr>
        <w:pStyle w:val="Odstavecseseznamem"/>
        <w:spacing w:after="0" w:line="240" w:lineRule="auto"/>
        <w:ind w:left="714"/>
        <w:jc w:val="both"/>
        <w:rPr>
          <w:rFonts w:ascii="Times New Roman" w:hAnsi="Times New Roman"/>
        </w:rPr>
      </w:pPr>
    </w:p>
    <w:p w:rsidR="004B7B2F" w:rsidRPr="004B7B2F" w:rsidRDefault="004B7B2F" w:rsidP="004B7B2F">
      <w:pPr>
        <w:jc w:val="both"/>
        <w:rPr>
          <w:color w:val="000000" w:themeColor="text1"/>
          <w:sz w:val="22"/>
          <w:szCs w:val="22"/>
        </w:rPr>
      </w:pPr>
      <w:r w:rsidRPr="004B7B2F">
        <w:rPr>
          <w:iCs/>
          <w:color w:val="000000" w:themeColor="text1"/>
          <w:sz w:val="22"/>
          <w:szCs w:val="22"/>
        </w:rPr>
        <w:t xml:space="preserve">Přesun administrace monitorovacích zpráv, žádostí o platbu a kontrol VŘ na HQ CRR Kontrola </w:t>
      </w:r>
      <w:r>
        <w:rPr>
          <w:iCs/>
          <w:color w:val="000000" w:themeColor="text1"/>
          <w:sz w:val="22"/>
          <w:szCs w:val="22"/>
        </w:rPr>
        <w:br/>
      </w:r>
      <w:r w:rsidRPr="004B7B2F">
        <w:rPr>
          <w:iCs/>
          <w:color w:val="000000" w:themeColor="text1"/>
          <w:sz w:val="22"/>
          <w:szCs w:val="22"/>
        </w:rPr>
        <w:t>a stanoviska k věcné náplni probíhá ze strany odborného gestora. Současně probíhají fyzické kontroly na místě realizace</w:t>
      </w:r>
      <w:r w:rsidR="00D81565">
        <w:rPr>
          <w:iCs/>
          <w:color w:val="000000" w:themeColor="text1"/>
          <w:sz w:val="22"/>
          <w:szCs w:val="22"/>
        </w:rPr>
        <w:t>.</w:t>
      </w:r>
      <w:r w:rsidRPr="004B7B2F">
        <w:rPr>
          <w:rStyle w:val="Odkaznakoment"/>
          <w:color w:val="000000" w:themeColor="text1"/>
          <w:sz w:val="22"/>
          <w:szCs w:val="22"/>
        </w:rPr>
        <w:t> </w:t>
      </w:r>
      <w:r w:rsidRPr="004B7B2F">
        <w:rPr>
          <w:rStyle w:val="Odkaznakoment"/>
          <w:iCs/>
          <w:color w:val="000000" w:themeColor="text1"/>
          <w:sz w:val="22"/>
          <w:szCs w:val="22"/>
        </w:rPr>
        <w:t> </w:t>
      </w:r>
      <w:r w:rsidRPr="004B7B2F">
        <w:rPr>
          <w:color w:val="000000" w:themeColor="text1"/>
          <w:sz w:val="22"/>
          <w:szCs w:val="22"/>
        </w:rPr>
        <w:t xml:space="preserve"> </w:t>
      </w:r>
    </w:p>
    <w:p w:rsidR="008E1F4C" w:rsidRDefault="008E1F4C" w:rsidP="00B50C65">
      <w:pPr>
        <w:jc w:val="both"/>
        <w:rPr>
          <w:b/>
          <w:sz w:val="22"/>
          <w:szCs w:val="22"/>
        </w:rPr>
      </w:pPr>
    </w:p>
    <w:p w:rsidR="004B7B2F" w:rsidRPr="004B7B2F" w:rsidRDefault="004B7B2F" w:rsidP="004B7B2F">
      <w:pPr>
        <w:jc w:val="both"/>
        <w:rPr>
          <w:b/>
          <w:bCs/>
          <w:iCs/>
          <w:color w:val="000000" w:themeColor="text1"/>
          <w:sz w:val="22"/>
          <w:szCs w:val="22"/>
        </w:rPr>
      </w:pPr>
      <w:r w:rsidRPr="004B7B2F">
        <w:rPr>
          <w:b/>
          <w:bCs/>
          <w:iCs/>
          <w:color w:val="000000" w:themeColor="text1"/>
          <w:sz w:val="22"/>
          <w:szCs w:val="22"/>
        </w:rPr>
        <w:t>Posuny v realizaci projektu Národní informační systém integrovaného záchranného systému</w:t>
      </w:r>
    </w:p>
    <w:p w:rsidR="004B7B2F" w:rsidRPr="004B7B2F" w:rsidRDefault="004B7B2F" w:rsidP="004B7B2F">
      <w:pPr>
        <w:jc w:val="both"/>
        <w:rPr>
          <w:iCs/>
          <w:color w:val="000000" w:themeColor="text1"/>
          <w:sz w:val="22"/>
          <w:szCs w:val="22"/>
        </w:rPr>
      </w:pPr>
      <w:r w:rsidRPr="004B7B2F">
        <w:rPr>
          <w:iCs/>
          <w:color w:val="000000" w:themeColor="text1"/>
          <w:sz w:val="22"/>
          <w:szCs w:val="22"/>
        </w:rPr>
        <w:t>Zpoždění realizace střešního projektu Národní informační systém integrovaného záchranného systému (NIS IZS) a na něj navázaných projektů. Opakované zpožďování a slučování dodávek dílčích plnění generálního dodavatele systému (ČP OZ ICT).</w:t>
      </w:r>
    </w:p>
    <w:p w:rsidR="004B7B2F" w:rsidRPr="004B7B2F" w:rsidRDefault="004B7B2F" w:rsidP="004B7B2F">
      <w:pPr>
        <w:jc w:val="both"/>
        <w:rPr>
          <w:iCs/>
          <w:color w:val="000000" w:themeColor="text1"/>
          <w:sz w:val="22"/>
          <w:szCs w:val="22"/>
        </w:rPr>
      </w:pPr>
      <w:r w:rsidRPr="004B7B2F">
        <w:rPr>
          <w:iCs/>
          <w:color w:val="000000" w:themeColor="text1"/>
          <w:sz w:val="22"/>
          <w:szCs w:val="22"/>
        </w:rPr>
        <w:t>Projekt je realizován ve formě hybridní varianty. Sužby, které má zajišťovat NSPTV, budou zajištěny mimo projekt NIS IZS, aby byly splněny všechny cíle projektu, definované v projektové žádosti.</w:t>
      </w:r>
    </w:p>
    <w:p w:rsidR="004B7B2F" w:rsidRPr="004B7B2F" w:rsidRDefault="004B7B2F" w:rsidP="004B7B2F">
      <w:pPr>
        <w:jc w:val="both"/>
        <w:rPr>
          <w:b/>
          <w:bCs/>
          <w:iCs/>
          <w:color w:val="000000" w:themeColor="text1"/>
          <w:sz w:val="22"/>
          <w:szCs w:val="22"/>
        </w:rPr>
      </w:pPr>
    </w:p>
    <w:p w:rsidR="004B7B2F" w:rsidRPr="004B7B2F" w:rsidRDefault="004B7B2F" w:rsidP="004B7B2F">
      <w:pPr>
        <w:jc w:val="both"/>
        <w:rPr>
          <w:b/>
          <w:bCs/>
          <w:iCs/>
          <w:color w:val="000000" w:themeColor="text1"/>
          <w:sz w:val="22"/>
          <w:szCs w:val="22"/>
        </w:rPr>
      </w:pPr>
      <w:r w:rsidRPr="004B7B2F">
        <w:rPr>
          <w:b/>
          <w:bCs/>
          <w:iCs/>
          <w:color w:val="000000" w:themeColor="text1"/>
          <w:sz w:val="22"/>
          <w:szCs w:val="22"/>
        </w:rPr>
        <w:t>Přijatá opatření</w:t>
      </w:r>
    </w:p>
    <w:p w:rsidR="004B7B2F" w:rsidRPr="004B7B2F" w:rsidRDefault="004B7B2F" w:rsidP="004B7B2F">
      <w:pPr>
        <w:jc w:val="both"/>
        <w:rPr>
          <w:iCs/>
          <w:color w:val="000000" w:themeColor="text1"/>
          <w:sz w:val="22"/>
          <w:szCs w:val="22"/>
        </w:rPr>
      </w:pPr>
      <w:r w:rsidRPr="004B7B2F">
        <w:rPr>
          <w:iCs/>
          <w:color w:val="000000" w:themeColor="text1"/>
          <w:sz w:val="22"/>
          <w:szCs w:val="22"/>
        </w:rPr>
        <w:t xml:space="preserve">Zástupci ŘO IOP se účastní jednání koordinačních rad a aktivně se podílí na mediaci a řešení nastalých problémů. Probíhají pravidelné schůzky na úrovni náměstků, ze kterých vznikly pro Ministerstvo vnitra ČR konkrétní, vymahatelné, závazné úkoly, </w:t>
      </w:r>
      <w:proofErr w:type="spellStart"/>
      <w:r w:rsidRPr="004B7B2F">
        <w:rPr>
          <w:iCs/>
          <w:color w:val="000000" w:themeColor="text1"/>
          <w:sz w:val="22"/>
          <w:szCs w:val="22"/>
        </w:rPr>
        <w:t>nap</w:t>
      </w:r>
      <w:r>
        <w:rPr>
          <w:iCs/>
          <w:color w:val="000000" w:themeColor="text1"/>
          <w:sz w:val="22"/>
          <w:szCs w:val="22"/>
        </w:rPr>
        <w:t>ř</w:t>
      </w:r>
      <w:proofErr w:type="spellEnd"/>
      <w:r w:rsidRPr="004B7B2F">
        <w:rPr>
          <w:iCs/>
          <w:color w:val="000000" w:themeColor="text1"/>
          <w:sz w:val="22"/>
          <w:szCs w:val="22"/>
        </w:rPr>
        <w:t>:</w:t>
      </w:r>
    </w:p>
    <w:p w:rsidR="004B7B2F" w:rsidRPr="00BD0892" w:rsidRDefault="004B7B2F" w:rsidP="00BD0892">
      <w:pPr>
        <w:pStyle w:val="Odstavecseseznamem"/>
        <w:numPr>
          <w:ilvl w:val="0"/>
          <w:numId w:val="60"/>
        </w:numPr>
        <w:spacing w:after="0" w:line="240" w:lineRule="auto"/>
        <w:ind w:left="714" w:hanging="357"/>
        <w:jc w:val="both"/>
        <w:rPr>
          <w:rFonts w:ascii="Times New Roman" w:hAnsi="Times New Roman"/>
          <w:color w:val="000000" w:themeColor="text1"/>
        </w:rPr>
      </w:pPr>
      <w:r w:rsidRPr="00BD0892">
        <w:rPr>
          <w:rFonts w:ascii="Times New Roman" w:hAnsi="Times New Roman"/>
          <w:color w:val="000000" w:themeColor="text1"/>
        </w:rPr>
        <w:t>zjednodušení a zrychlení procesů v organizaci MV ČR tak, aby nedocházelo k prodlužování termínů realizace projektu. Jedná se především o tyto procesy:</w:t>
      </w:r>
    </w:p>
    <w:p w:rsidR="004B7B2F" w:rsidRPr="004B7B2F" w:rsidRDefault="004B7B2F" w:rsidP="00BD0892">
      <w:pPr>
        <w:pStyle w:val="Odstavecseseznamem"/>
        <w:numPr>
          <w:ilvl w:val="2"/>
          <w:numId w:val="60"/>
        </w:numPr>
        <w:spacing w:after="0" w:line="240" w:lineRule="auto"/>
        <w:ind w:left="2154" w:hanging="357"/>
        <w:jc w:val="both"/>
        <w:rPr>
          <w:rFonts w:ascii="Times New Roman" w:hAnsi="Times New Roman"/>
          <w:color w:val="000000" w:themeColor="text1"/>
        </w:rPr>
      </w:pPr>
      <w:r w:rsidRPr="004B7B2F">
        <w:rPr>
          <w:rFonts w:ascii="Times New Roman" w:hAnsi="Times New Roman"/>
          <w:color w:val="000000" w:themeColor="text1"/>
        </w:rPr>
        <w:t>komunikace a mechanismy dodávek, fakturace a akceptace mezi MV ČR a ČP OZ,</w:t>
      </w:r>
    </w:p>
    <w:p w:rsidR="004B7B2F" w:rsidRPr="004B7B2F" w:rsidRDefault="004B7B2F" w:rsidP="00BD0892">
      <w:pPr>
        <w:pStyle w:val="Odstavecseseznamem"/>
        <w:numPr>
          <w:ilvl w:val="2"/>
          <w:numId w:val="60"/>
        </w:numPr>
        <w:spacing w:after="0" w:line="240" w:lineRule="auto"/>
        <w:ind w:left="2154" w:hanging="357"/>
        <w:jc w:val="both"/>
        <w:rPr>
          <w:rFonts w:ascii="Times New Roman" w:hAnsi="Times New Roman"/>
          <w:color w:val="000000" w:themeColor="text1"/>
        </w:rPr>
      </w:pPr>
      <w:r w:rsidRPr="004B7B2F">
        <w:rPr>
          <w:rFonts w:ascii="Times New Roman" w:hAnsi="Times New Roman"/>
          <w:color w:val="000000" w:themeColor="text1"/>
        </w:rPr>
        <w:t>komunikace mezi příjemci projektů (Policie ČR, MV -</w:t>
      </w:r>
      <w:r w:rsidR="00841B50">
        <w:rPr>
          <w:rFonts w:ascii="Times New Roman" w:hAnsi="Times New Roman"/>
          <w:color w:val="000000" w:themeColor="text1"/>
        </w:rPr>
        <w:t xml:space="preserve"> </w:t>
      </w:r>
      <w:r w:rsidRPr="004B7B2F">
        <w:rPr>
          <w:rFonts w:ascii="Times New Roman" w:hAnsi="Times New Roman"/>
          <w:color w:val="000000" w:themeColor="text1"/>
        </w:rPr>
        <w:t xml:space="preserve">generální ředitelství Hasičského záchranného sboru ČR, zdravotnických záchranných služeb) </w:t>
      </w:r>
      <w:r w:rsidR="00BD0892">
        <w:rPr>
          <w:rFonts w:ascii="Times New Roman" w:hAnsi="Times New Roman"/>
          <w:color w:val="000000" w:themeColor="text1"/>
        </w:rPr>
        <w:br/>
      </w:r>
      <w:r w:rsidRPr="004B7B2F">
        <w:rPr>
          <w:rFonts w:ascii="Times New Roman" w:hAnsi="Times New Roman"/>
          <w:color w:val="000000" w:themeColor="text1"/>
        </w:rPr>
        <w:t>a hlavním dodavatelem, např. testování,</w:t>
      </w:r>
    </w:p>
    <w:p w:rsidR="004B7B2F" w:rsidRPr="004B7B2F" w:rsidRDefault="004B7B2F" w:rsidP="00BD0892">
      <w:pPr>
        <w:pStyle w:val="Odstavecseseznamem"/>
        <w:numPr>
          <w:ilvl w:val="2"/>
          <w:numId w:val="60"/>
        </w:numPr>
        <w:spacing w:after="0" w:line="240" w:lineRule="auto"/>
        <w:ind w:left="2154" w:hanging="357"/>
        <w:jc w:val="both"/>
        <w:rPr>
          <w:rFonts w:ascii="Times New Roman" w:hAnsi="Times New Roman"/>
          <w:color w:val="000000" w:themeColor="text1"/>
        </w:rPr>
      </w:pPr>
      <w:r w:rsidRPr="004B7B2F">
        <w:rPr>
          <w:rFonts w:ascii="Times New Roman" w:hAnsi="Times New Roman"/>
          <w:color w:val="000000" w:themeColor="text1"/>
        </w:rPr>
        <w:t>nedostatečná koordinace jednotlivých činností projektového cyklu,</w:t>
      </w:r>
    </w:p>
    <w:p w:rsidR="00BD0892" w:rsidRPr="00BD0892" w:rsidRDefault="004B7B2F" w:rsidP="00BD0892">
      <w:pPr>
        <w:pStyle w:val="Odstavecseseznamem"/>
        <w:numPr>
          <w:ilvl w:val="0"/>
          <w:numId w:val="60"/>
        </w:numPr>
        <w:jc w:val="both"/>
        <w:rPr>
          <w:rFonts w:ascii="Times New Roman" w:hAnsi="Times New Roman"/>
          <w:color w:val="000000" w:themeColor="text1"/>
        </w:rPr>
      </w:pPr>
      <w:r w:rsidRPr="00BD0892">
        <w:rPr>
          <w:rFonts w:ascii="Times New Roman" w:hAnsi="Times New Roman"/>
          <w:color w:val="000000" w:themeColor="text1"/>
        </w:rPr>
        <w:t>striktně se řídit harmonogramem projektů a podřídit mu podružné procesy</w:t>
      </w:r>
      <w:r w:rsidR="00BD0892" w:rsidRPr="00BD0892">
        <w:rPr>
          <w:rFonts w:ascii="Times New Roman" w:hAnsi="Times New Roman"/>
          <w:color w:val="000000" w:themeColor="text1"/>
        </w:rPr>
        <w:t>.</w:t>
      </w:r>
    </w:p>
    <w:p w:rsidR="00D644B0" w:rsidRPr="006266F5" w:rsidRDefault="00D644B0">
      <w:pPr>
        <w:pStyle w:val="Nadpis3"/>
        <w:rPr>
          <w:rFonts w:ascii="Times New Roman" w:hAnsi="Times New Roman"/>
          <w:sz w:val="24"/>
          <w:szCs w:val="24"/>
        </w:rPr>
      </w:pPr>
      <w:bookmarkStart w:id="106" w:name="_Toc433873504"/>
      <w:r w:rsidRPr="006266F5">
        <w:rPr>
          <w:rFonts w:ascii="Times New Roman" w:hAnsi="Times New Roman"/>
          <w:sz w:val="24"/>
          <w:szCs w:val="24"/>
        </w:rPr>
        <w:t>3.3.5 Příklad projektu</w:t>
      </w:r>
      <w:bookmarkEnd w:id="106"/>
    </w:p>
    <w:p w:rsidR="004052C6" w:rsidRDefault="00D458F2" w:rsidP="00C32DB7">
      <w:pPr>
        <w:jc w:val="both"/>
        <w:rPr>
          <w:sz w:val="22"/>
          <w:szCs w:val="22"/>
        </w:rPr>
      </w:pPr>
      <w:r w:rsidRPr="00BD72B7">
        <w:rPr>
          <w:b/>
          <w:sz w:val="22"/>
          <w:szCs w:val="22"/>
        </w:rPr>
        <w:t xml:space="preserve">Oblast intervence: </w:t>
      </w:r>
      <w:r w:rsidRPr="003118C4">
        <w:rPr>
          <w:sz w:val="22"/>
          <w:szCs w:val="22"/>
        </w:rPr>
        <w:t>3.1 Služby v oblasti sociální integrace,</w:t>
      </w:r>
      <w:r w:rsidR="00442063" w:rsidRPr="00442063">
        <w:rPr>
          <w:sz w:val="22"/>
          <w:szCs w:val="22"/>
        </w:rPr>
        <w:t xml:space="preserve"> aktivita </w:t>
      </w:r>
      <w:r w:rsidR="004052C6" w:rsidRPr="004052C6">
        <w:rPr>
          <w:sz w:val="22"/>
          <w:szCs w:val="22"/>
        </w:rPr>
        <w:t>b) investiční podpora k zajištění dostupnosti služeb, které umožní návrat příslušníků nejvíce ohrožených sociálně vyloučených romských lokalit zpět na trh práce a do společnosti</w:t>
      </w:r>
    </w:p>
    <w:p w:rsidR="00455FFF" w:rsidRPr="004052C6" w:rsidRDefault="00D458F2" w:rsidP="00C32DB7">
      <w:pPr>
        <w:jc w:val="both"/>
        <w:rPr>
          <w:sz w:val="22"/>
          <w:szCs w:val="22"/>
        </w:rPr>
      </w:pPr>
      <w:r w:rsidRPr="00BD72B7">
        <w:rPr>
          <w:b/>
          <w:sz w:val="22"/>
          <w:szCs w:val="22"/>
        </w:rPr>
        <w:t>Název projektu, registrační číslo</w:t>
      </w:r>
      <w:r w:rsidRPr="00A73B58">
        <w:rPr>
          <w:b/>
          <w:sz w:val="22"/>
          <w:szCs w:val="22"/>
        </w:rPr>
        <w:t xml:space="preserve">: </w:t>
      </w:r>
      <w:r w:rsidR="00FB2466" w:rsidRPr="00454472">
        <w:rPr>
          <w:bCs/>
          <w:sz w:val="22"/>
          <w:szCs w:val="22"/>
        </w:rPr>
        <w:t>Šance pro komunitní život v Obrnicích II. - rovné příležitosti pro mladé lidi</w:t>
      </w:r>
      <w:r w:rsidR="00FB2466">
        <w:rPr>
          <w:bCs/>
          <w:sz w:val="22"/>
          <w:szCs w:val="22"/>
        </w:rPr>
        <w:t xml:space="preserve">, </w:t>
      </w:r>
      <w:r w:rsidR="00FB2466" w:rsidRPr="00454472">
        <w:rPr>
          <w:bCs/>
          <w:sz w:val="22"/>
          <w:szCs w:val="22"/>
        </w:rPr>
        <w:t>CZ.1.06/3.1.00/06.08285</w:t>
      </w:r>
    </w:p>
    <w:p w:rsidR="00345FE6" w:rsidRDefault="00345FE6" w:rsidP="00D458F2">
      <w:pPr>
        <w:jc w:val="both"/>
        <w:rPr>
          <w:b/>
          <w:sz w:val="22"/>
          <w:szCs w:val="22"/>
        </w:rPr>
      </w:pPr>
      <w:r w:rsidRPr="00345FE6">
        <w:rPr>
          <w:b/>
          <w:sz w:val="22"/>
          <w:szCs w:val="22"/>
        </w:rPr>
        <w:t xml:space="preserve">Příjemce: </w:t>
      </w:r>
      <w:r w:rsidR="00FB2466" w:rsidRPr="00FB2466">
        <w:rPr>
          <w:sz w:val="22"/>
          <w:szCs w:val="22"/>
        </w:rPr>
        <w:t>Obec Obrnice</w:t>
      </w:r>
    </w:p>
    <w:p w:rsidR="009867A3" w:rsidRDefault="00D458F2" w:rsidP="00442063">
      <w:pPr>
        <w:jc w:val="both"/>
        <w:rPr>
          <w:sz w:val="22"/>
          <w:szCs w:val="22"/>
        </w:rPr>
      </w:pPr>
      <w:r w:rsidRPr="003B1292">
        <w:rPr>
          <w:b/>
          <w:sz w:val="22"/>
          <w:szCs w:val="22"/>
        </w:rPr>
        <w:t xml:space="preserve">Financování projektu: </w:t>
      </w:r>
      <w:r w:rsidR="00FB2466" w:rsidRPr="00947D7B">
        <w:rPr>
          <w:bCs/>
          <w:sz w:val="22"/>
          <w:szCs w:val="22"/>
        </w:rPr>
        <w:t xml:space="preserve">celková částka dotace </w:t>
      </w:r>
      <w:r w:rsidR="00FB2466" w:rsidRPr="00454472">
        <w:rPr>
          <w:bCs/>
          <w:sz w:val="22"/>
          <w:szCs w:val="22"/>
        </w:rPr>
        <w:t>19</w:t>
      </w:r>
      <w:r w:rsidR="00FB2466">
        <w:rPr>
          <w:bCs/>
          <w:sz w:val="22"/>
          <w:szCs w:val="22"/>
        </w:rPr>
        <w:t xml:space="preserve"> </w:t>
      </w:r>
      <w:r w:rsidR="00FB2466" w:rsidRPr="00454472">
        <w:rPr>
          <w:bCs/>
          <w:sz w:val="22"/>
          <w:szCs w:val="22"/>
        </w:rPr>
        <w:t>662</w:t>
      </w:r>
      <w:r w:rsidR="00FB2466">
        <w:rPr>
          <w:bCs/>
          <w:sz w:val="22"/>
          <w:szCs w:val="22"/>
        </w:rPr>
        <w:t xml:space="preserve"> </w:t>
      </w:r>
      <w:r w:rsidR="00FB2466" w:rsidRPr="00454472">
        <w:rPr>
          <w:bCs/>
          <w:sz w:val="22"/>
          <w:szCs w:val="22"/>
        </w:rPr>
        <w:t>011,38</w:t>
      </w:r>
      <w:r w:rsidR="00FB2466">
        <w:rPr>
          <w:bCs/>
          <w:sz w:val="22"/>
          <w:szCs w:val="22"/>
        </w:rPr>
        <w:t xml:space="preserve"> </w:t>
      </w:r>
      <w:r w:rsidR="00FB2466" w:rsidRPr="00947D7B">
        <w:rPr>
          <w:bCs/>
          <w:sz w:val="22"/>
          <w:szCs w:val="22"/>
        </w:rPr>
        <w:t>Kč</w:t>
      </w:r>
      <w:r w:rsidR="00FB2466" w:rsidRPr="00406AAA">
        <w:rPr>
          <w:sz w:val="22"/>
          <w:szCs w:val="22"/>
        </w:rPr>
        <w:t xml:space="preserve"> (příspěvek EU </w:t>
      </w:r>
      <w:r w:rsidR="00FB2466" w:rsidRPr="00454472">
        <w:rPr>
          <w:sz w:val="22"/>
          <w:szCs w:val="22"/>
        </w:rPr>
        <w:t>16</w:t>
      </w:r>
      <w:r w:rsidR="00FB2466">
        <w:rPr>
          <w:sz w:val="22"/>
          <w:szCs w:val="22"/>
        </w:rPr>
        <w:t xml:space="preserve"> </w:t>
      </w:r>
      <w:r w:rsidR="00FB2466" w:rsidRPr="00454472">
        <w:rPr>
          <w:sz w:val="22"/>
          <w:szCs w:val="22"/>
        </w:rPr>
        <w:t>712</w:t>
      </w:r>
      <w:r w:rsidR="00FB2466">
        <w:rPr>
          <w:sz w:val="22"/>
          <w:szCs w:val="22"/>
        </w:rPr>
        <w:t xml:space="preserve"> </w:t>
      </w:r>
      <w:r w:rsidR="00FB2466" w:rsidRPr="00454472">
        <w:rPr>
          <w:sz w:val="22"/>
          <w:szCs w:val="22"/>
        </w:rPr>
        <w:t>709,67</w:t>
      </w:r>
      <w:r w:rsidR="00FB2466">
        <w:rPr>
          <w:sz w:val="22"/>
          <w:szCs w:val="22"/>
        </w:rPr>
        <w:t xml:space="preserve"> Kč; příspěvek SR </w:t>
      </w:r>
      <w:r w:rsidR="00FB2466" w:rsidRPr="00454472">
        <w:rPr>
          <w:sz w:val="22"/>
          <w:szCs w:val="22"/>
        </w:rPr>
        <w:t>2</w:t>
      </w:r>
      <w:r w:rsidR="00FB2466">
        <w:rPr>
          <w:sz w:val="22"/>
          <w:szCs w:val="22"/>
        </w:rPr>
        <w:t xml:space="preserve"> </w:t>
      </w:r>
      <w:r w:rsidR="00FB2466" w:rsidRPr="00454472">
        <w:rPr>
          <w:sz w:val="22"/>
          <w:szCs w:val="22"/>
        </w:rPr>
        <w:t>949</w:t>
      </w:r>
      <w:r w:rsidR="00FB2466">
        <w:rPr>
          <w:sz w:val="22"/>
          <w:szCs w:val="22"/>
        </w:rPr>
        <w:t xml:space="preserve"> </w:t>
      </w:r>
      <w:r w:rsidR="00FB2466" w:rsidRPr="00454472">
        <w:rPr>
          <w:sz w:val="22"/>
          <w:szCs w:val="22"/>
        </w:rPr>
        <w:t>301,71</w:t>
      </w:r>
      <w:r w:rsidR="00FB2466">
        <w:rPr>
          <w:sz w:val="22"/>
          <w:szCs w:val="22"/>
        </w:rPr>
        <w:t xml:space="preserve"> Kč)</w:t>
      </w:r>
    </w:p>
    <w:p w:rsidR="00FB2466" w:rsidRDefault="00FB2466" w:rsidP="00442063">
      <w:pPr>
        <w:jc w:val="both"/>
        <w:rPr>
          <w:sz w:val="22"/>
          <w:szCs w:val="22"/>
        </w:rPr>
      </w:pPr>
    </w:p>
    <w:p w:rsidR="00FB2466" w:rsidRPr="00FB2466" w:rsidRDefault="00FB2466" w:rsidP="007326C2">
      <w:pPr>
        <w:jc w:val="both"/>
        <w:rPr>
          <w:sz w:val="22"/>
          <w:szCs w:val="22"/>
        </w:rPr>
      </w:pPr>
      <w:r w:rsidRPr="00FB2466">
        <w:rPr>
          <w:sz w:val="22"/>
          <w:szCs w:val="22"/>
        </w:rPr>
        <w:t xml:space="preserve">Projekt je součástí projektového konceptu „Šance pro komunitní život v Obrnicích“, jehož účelem je komplexní zavedení sociálních služeb zaměřených na obyvatele sociálně vyloučených lokalit Velké a </w:t>
      </w:r>
      <w:r w:rsidRPr="00FB2466">
        <w:rPr>
          <w:sz w:val="22"/>
          <w:szCs w:val="22"/>
        </w:rPr>
        <w:lastRenderedPageBreak/>
        <w:t>Malé sídliště. Dlouhodobým cílem je bezproblémové občanské soužití a aktivní komunitní život v</w:t>
      </w:r>
      <w:r w:rsidR="007326C2">
        <w:rPr>
          <w:sz w:val="22"/>
          <w:szCs w:val="22"/>
        </w:rPr>
        <w:t> </w:t>
      </w:r>
      <w:r w:rsidRPr="00FB2466">
        <w:rPr>
          <w:sz w:val="22"/>
          <w:szCs w:val="22"/>
        </w:rPr>
        <w:t>obci</w:t>
      </w:r>
      <w:r w:rsidR="007326C2">
        <w:rPr>
          <w:sz w:val="22"/>
          <w:szCs w:val="22"/>
        </w:rPr>
        <w:t xml:space="preserve"> při</w:t>
      </w:r>
      <w:r w:rsidRPr="00FB2466">
        <w:rPr>
          <w:sz w:val="22"/>
          <w:szCs w:val="22"/>
        </w:rPr>
        <w:t xml:space="preserve"> respekt</w:t>
      </w:r>
      <w:r w:rsidR="007326C2">
        <w:rPr>
          <w:sz w:val="22"/>
          <w:szCs w:val="22"/>
        </w:rPr>
        <w:t>ování</w:t>
      </w:r>
      <w:r w:rsidRPr="00FB2466">
        <w:rPr>
          <w:sz w:val="22"/>
          <w:szCs w:val="22"/>
        </w:rPr>
        <w:t xml:space="preserve"> rovn</w:t>
      </w:r>
      <w:r w:rsidR="007326C2">
        <w:rPr>
          <w:sz w:val="22"/>
          <w:szCs w:val="22"/>
        </w:rPr>
        <w:t>ých</w:t>
      </w:r>
      <w:r w:rsidRPr="00FB2466">
        <w:rPr>
          <w:sz w:val="22"/>
          <w:szCs w:val="22"/>
        </w:rPr>
        <w:t xml:space="preserve"> příležitost</w:t>
      </w:r>
      <w:r w:rsidR="007326C2">
        <w:rPr>
          <w:sz w:val="22"/>
          <w:szCs w:val="22"/>
        </w:rPr>
        <w:t>í</w:t>
      </w:r>
      <w:r w:rsidRPr="00FB2466">
        <w:rPr>
          <w:sz w:val="22"/>
          <w:szCs w:val="22"/>
        </w:rPr>
        <w:t>.</w:t>
      </w:r>
    </w:p>
    <w:p w:rsidR="00FB2466" w:rsidRPr="00FB2466" w:rsidRDefault="007326C2" w:rsidP="00FB2466">
      <w:pPr>
        <w:jc w:val="both"/>
        <w:rPr>
          <w:sz w:val="22"/>
          <w:szCs w:val="22"/>
        </w:rPr>
      </w:pPr>
      <w:r>
        <w:rPr>
          <w:sz w:val="22"/>
          <w:szCs w:val="22"/>
        </w:rPr>
        <w:t>Př</w:t>
      </w:r>
      <w:r w:rsidR="00FB2466" w:rsidRPr="00FB2466">
        <w:rPr>
          <w:sz w:val="22"/>
          <w:szCs w:val="22"/>
        </w:rPr>
        <w:t xml:space="preserve">i projektu „Šance pro komunitní život II.“ </w:t>
      </w:r>
      <w:r>
        <w:rPr>
          <w:sz w:val="22"/>
          <w:szCs w:val="22"/>
        </w:rPr>
        <w:t>byl</w:t>
      </w:r>
      <w:r w:rsidR="00FB2466" w:rsidRPr="00FB2466">
        <w:rPr>
          <w:sz w:val="22"/>
          <w:szCs w:val="22"/>
        </w:rPr>
        <w:t xml:space="preserve"> vybudován a vybaven klub „Vulkán“ a přilehlé hřiště a </w:t>
      </w:r>
      <w:r>
        <w:rPr>
          <w:sz w:val="22"/>
          <w:szCs w:val="22"/>
        </w:rPr>
        <w:t>byly</w:t>
      </w:r>
      <w:r w:rsidR="00FB2466" w:rsidRPr="00FB2466">
        <w:rPr>
          <w:sz w:val="22"/>
          <w:szCs w:val="22"/>
        </w:rPr>
        <w:t xml:space="preserve"> zavedeny tyto formy podpory sociálního začleňování:</w:t>
      </w:r>
    </w:p>
    <w:p w:rsidR="00FB2466" w:rsidRPr="00FB2466" w:rsidRDefault="00FB2466" w:rsidP="00FB2466">
      <w:pPr>
        <w:pStyle w:val="Odstavecseseznamem"/>
        <w:numPr>
          <w:ilvl w:val="0"/>
          <w:numId w:val="31"/>
        </w:numPr>
        <w:jc w:val="both"/>
        <w:rPr>
          <w:rFonts w:ascii="Times New Roman" w:hAnsi="Times New Roman"/>
        </w:rPr>
      </w:pPr>
      <w:r w:rsidRPr="00FB2466">
        <w:rPr>
          <w:rFonts w:ascii="Times New Roman" w:hAnsi="Times New Roman"/>
        </w:rPr>
        <w:t>sociální služba nízkoprahové zařízení pro děti a mládež (15 - 26 let);</w:t>
      </w:r>
    </w:p>
    <w:p w:rsidR="00C843BE" w:rsidRPr="00C843BE" w:rsidRDefault="00FB2466" w:rsidP="00FB2466">
      <w:pPr>
        <w:pStyle w:val="Odstavecseseznamem"/>
        <w:numPr>
          <w:ilvl w:val="0"/>
          <w:numId w:val="31"/>
        </w:numPr>
        <w:jc w:val="both"/>
      </w:pPr>
      <w:r w:rsidRPr="00C843BE">
        <w:rPr>
          <w:rFonts w:ascii="Times New Roman" w:hAnsi="Times New Roman"/>
        </w:rPr>
        <w:t>motivačně a integračně zaměřený sportovní program „Sportem k integraci“ (posilovna, venkovní sporty).</w:t>
      </w:r>
    </w:p>
    <w:p w:rsidR="00FB2466" w:rsidRPr="00C843BE" w:rsidRDefault="00FB2466" w:rsidP="008967E2">
      <w:pPr>
        <w:rPr>
          <w:sz w:val="22"/>
          <w:szCs w:val="22"/>
        </w:rPr>
      </w:pPr>
      <w:r w:rsidRPr="00C843BE">
        <w:rPr>
          <w:sz w:val="22"/>
          <w:szCs w:val="22"/>
        </w:rPr>
        <w:t xml:space="preserve">Obrnice mají dostatek zkušeností s realizací velkých investičních akcí </w:t>
      </w:r>
      <w:r w:rsidR="007326C2">
        <w:rPr>
          <w:sz w:val="22"/>
          <w:szCs w:val="22"/>
        </w:rPr>
        <w:t>a</w:t>
      </w:r>
      <w:r w:rsidRPr="00C843BE">
        <w:rPr>
          <w:sz w:val="22"/>
          <w:szCs w:val="22"/>
        </w:rPr>
        <w:t xml:space="preserve"> s integračními aktivitami a mají tedy předpoklady projekt výstavby zvládnout a zajistit jeho udržitelnost.</w:t>
      </w:r>
    </w:p>
    <w:p w:rsidR="00FB2466" w:rsidRDefault="00FB2466" w:rsidP="00FB2466">
      <w:pPr>
        <w:jc w:val="both"/>
        <w:rPr>
          <w:sz w:val="22"/>
          <w:szCs w:val="22"/>
        </w:rPr>
      </w:pPr>
    </w:p>
    <w:p w:rsidR="00FB2466" w:rsidRDefault="00FB2466" w:rsidP="00FB2466">
      <w:pPr>
        <w:jc w:val="both"/>
        <w:rPr>
          <w:sz w:val="22"/>
          <w:szCs w:val="22"/>
        </w:rPr>
      </w:pPr>
      <w:r>
        <w:rPr>
          <w:noProof/>
          <w:color w:val="000080"/>
          <w:sz w:val="22"/>
          <w:szCs w:val="22"/>
        </w:rPr>
        <w:drawing>
          <wp:inline distT="0" distB="0" distL="0" distR="0" wp14:anchorId="5CA42563" wp14:editId="203B3DA7">
            <wp:extent cx="4752975" cy="3238500"/>
            <wp:effectExtent l="0" t="0" r="9525" b="0"/>
            <wp:docPr id="2" name="Obrázek 2" descr="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5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52975" cy="3238500"/>
                    </a:xfrm>
                    <a:prstGeom prst="rect">
                      <a:avLst/>
                    </a:prstGeom>
                    <a:noFill/>
                    <a:ln>
                      <a:noFill/>
                    </a:ln>
                  </pic:spPr>
                </pic:pic>
              </a:graphicData>
            </a:graphic>
          </wp:inline>
        </w:drawing>
      </w:r>
    </w:p>
    <w:p w:rsidR="00442063" w:rsidRPr="00442063" w:rsidRDefault="00442063" w:rsidP="00442063">
      <w:pPr>
        <w:jc w:val="both"/>
        <w:rPr>
          <w:b/>
          <w:sz w:val="22"/>
          <w:szCs w:val="22"/>
        </w:rPr>
      </w:pPr>
    </w:p>
    <w:p w:rsidR="0072269B" w:rsidRDefault="00452209" w:rsidP="00282F85">
      <w:pPr>
        <w:jc w:val="both"/>
        <w:rPr>
          <w:b/>
          <w:sz w:val="22"/>
          <w:szCs w:val="22"/>
        </w:rPr>
      </w:pPr>
      <w:r w:rsidRPr="00452209">
        <w:rPr>
          <w:b/>
          <w:sz w:val="22"/>
          <w:szCs w:val="22"/>
        </w:rPr>
        <w:t xml:space="preserve">Oblast intervence: </w:t>
      </w:r>
      <w:r w:rsidRPr="005A6291">
        <w:rPr>
          <w:sz w:val="22"/>
          <w:szCs w:val="22"/>
        </w:rPr>
        <w:t>3.2. Služby v oblasti veřejného zdraví</w:t>
      </w:r>
      <w:r w:rsidRPr="00452209">
        <w:rPr>
          <w:b/>
          <w:sz w:val="22"/>
          <w:szCs w:val="22"/>
        </w:rPr>
        <w:t xml:space="preserve">  </w:t>
      </w:r>
    </w:p>
    <w:p w:rsidR="00002E2E" w:rsidRPr="00002E2E" w:rsidRDefault="00452209" w:rsidP="00002E2E">
      <w:pPr>
        <w:rPr>
          <w:b/>
          <w:sz w:val="22"/>
          <w:szCs w:val="22"/>
        </w:rPr>
      </w:pPr>
      <w:r w:rsidRPr="00452209">
        <w:rPr>
          <w:b/>
          <w:sz w:val="22"/>
          <w:szCs w:val="22"/>
        </w:rPr>
        <w:t xml:space="preserve">Název projektu, registrační číslo:  </w:t>
      </w:r>
      <w:r w:rsidR="00595617" w:rsidRPr="00595617">
        <w:rPr>
          <w:sz w:val="22"/>
          <w:szCs w:val="22"/>
        </w:rPr>
        <w:t>Modernizace a obnova přístrojového vybavení komplexní onkologické péče KNTB Zlín II., CZ.1.06/3.2.01/14.08955</w:t>
      </w:r>
    </w:p>
    <w:p w:rsidR="00BE7993" w:rsidRDefault="00452209" w:rsidP="00BE7993">
      <w:pPr>
        <w:rPr>
          <w:b/>
          <w:sz w:val="22"/>
          <w:szCs w:val="22"/>
        </w:rPr>
      </w:pPr>
      <w:r w:rsidRPr="00452209">
        <w:rPr>
          <w:b/>
          <w:sz w:val="22"/>
          <w:szCs w:val="22"/>
        </w:rPr>
        <w:t xml:space="preserve">Příjemce: </w:t>
      </w:r>
      <w:r w:rsidR="00595617" w:rsidRPr="00595617">
        <w:rPr>
          <w:sz w:val="22"/>
          <w:szCs w:val="22"/>
        </w:rPr>
        <w:t>Krajská nemocnice T. Bati, a. s.</w:t>
      </w:r>
    </w:p>
    <w:p w:rsidR="00002E2E" w:rsidRPr="00002E2E" w:rsidRDefault="00452209" w:rsidP="00002E2E">
      <w:pPr>
        <w:rPr>
          <w:i/>
        </w:rPr>
      </w:pPr>
      <w:r w:rsidRPr="00452209">
        <w:rPr>
          <w:b/>
          <w:sz w:val="22"/>
          <w:szCs w:val="22"/>
        </w:rPr>
        <w:t>Financování projektu:</w:t>
      </w:r>
      <w:r w:rsidRPr="00452209">
        <w:rPr>
          <w:sz w:val="22"/>
          <w:szCs w:val="22"/>
        </w:rPr>
        <w:t xml:space="preserve"> </w:t>
      </w:r>
      <w:r w:rsidR="00595617" w:rsidRPr="00595617">
        <w:rPr>
          <w:sz w:val="22"/>
          <w:szCs w:val="22"/>
        </w:rPr>
        <w:t>celkové výdaje 96 mil. Kč (příspěvek SF:  81,6 mil. Kč, příspěvek kraje 14,4 mil. Kč)</w:t>
      </w:r>
    </w:p>
    <w:p w:rsidR="00762F8A" w:rsidRDefault="00762F8A" w:rsidP="00002E2E">
      <w:pPr>
        <w:jc w:val="both"/>
        <w:rPr>
          <w:b/>
          <w:noProof/>
          <w:sz w:val="22"/>
          <w:szCs w:val="22"/>
          <w:lang w:eastAsia="en-GB"/>
        </w:rPr>
      </w:pPr>
    </w:p>
    <w:p w:rsidR="00595617" w:rsidRPr="00595617" w:rsidRDefault="00595617" w:rsidP="00595617">
      <w:pPr>
        <w:jc w:val="both"/>
        <w:rPr>
          <w:sz w:val="22"/>
          <w:szCs w:val="22"/>
        </w:rPr>
      </w:pPr>
      <w:r w:rsidRPr="00595617">
        <w:rPr>
          <w:sz w:val="22"/>
          <w:szCs w:val="22"/>
        </w:rPr>
        <w:t xml:space="preserve">Projekt byl zaměřen na nákup 20 přístrojů pro vysoce specializované onkologické centrum v krajské nemocnici T. Bati Zlín, které zajišťuje péči pro 600 tis. obyvatel spádové oblasti tohoto centra. </w:t>
      </w:r>
    </w:p>
    <w:p w:rsidR="00595617" w:rsidRPr="00595617" w:rsidRDefault="00595617" w:rsidP="00595617">
      <w:pPr>
        <w:jc w:val="both"/>
        <w:rPr>
          <w:sz w:val="22"/>
          <w:szCs w:val="22"/>
        </w:rPr>
      </w:pPr>
    </w:p>
    <w:p w:rsidR="00595617" w:rsidRPr="00595617" w:rsidRDefault="00595617" w:rsidP="00595617">
      <w:pPr>
        <w:jc w:val="both"/>
        <w:rPr>
          <w:sz w:val="22"/>
          <w:szCs w:val="22"/>
        </w:rPr>
      </w:pPr>
      <w:r w:rsidRPr="00595617">
        <w:rPr>
          <w:sz w:val="22"/>
          <w:szCs w:val="22"/>
        </w:rPr>
        <w:t xml:space="preserve">Díky projektu mohlo dojít k obnově zastaralých přístrojů např. lineárního urychlovače, plánovacího systému, ultrazvuku, pojízdného RTG, C-ramena, multifunkčních systémů operačních sálů pro endoskopické operování (viz obrázek), ale i pořízení nových přístrojů: automatického </w:t>
      </w:r>
      <w:proofErr w:type="spellStart"/>
      <w:r w:rsidRPr="00595617">
        <w:rPr>
          <w:sz w:val="22"/>
          <w:szCs w:val="22"/>
        </w:rPr>
        <w:t>koagulometru</w:t>
      </w:r>
      <w:proofErr w:type="spellEnd"/>
      <w:r w:rsidRPr="00595617">
        <w:rPr>
          <w:sz w:val="22"/>
          <w:szCs w:val="22"/>
        </w:rPr>
        <w:t>, ultrazvukového přístroje s možností p</w:t>
      </w:r>
      <w:r>
        <w:rPr>
          <w:sz w:val="22"/>
          <w:szCs w:val="22"/>
        </w:rPr>
        <w:t>o</w:t>
      </w:r>
      <w:r w:rsidRPr="00595617">
        <w:rPr>
          <w:sz w:val="22"/>
          <w:szCs w:val="22"/>
        </w:rPr>
        <w:t>operačního zobrazení, automatického biochemického analyzátoru.</w:t>
      </w:r>
    </w:p>
    <w:p w:rsidR="00595617" w:rsidRPr="00595617" w:rsidRDefault="00595617" w:rsidP="00595617">
      <w:pPr>
        <w:jc w:val="both"/>
        <w:rPr>
          <w:sz w:val="22"/>
          <w:szCs w:val="22"/>
        </w:rPr>
      </w:pPr>
    </w:p>
    <w:p w:rsidR="00595617" w:rsidRDefault="00595617" w:rsidP="00595617">
      <w:pPr>
        <w:jc w:val="both"/>
        <w:rPr>
          <w:sz w:val="22"/>
          <w:szCs w:val="22"/>
        </w:rPr>
      </w:pPr>
      <w:r w:rsidRPr="00595617">
        <w:rPr>
          <w:sz w:val="22"/>
          <w:szCs w:val="22"/>
        </w:rPr>
        <w:t>Pořízené přístroje zlepší diagnostik</w:t>
      </w:r>
      <w:r w:rsidR="008742C1">
        <w:rPr>
          <w:sz w:val="22"/>
          <w:szCs w:val="22"/>
        </w:rPr>
        <w:t>u</w:t>
      </w:r>
      <w:r w:rsidRPr="00595617">
        <w:rPr>
          <w:sz w:val="22"/>
          <w:szCs w:val="22"/>
        </w:rPr>
        <w:t xml:space="preserve"> onkologických onemocnění, sníží radiační zátěž pro pacienty a obsluhující personál, zkrá</w:t>
      </w:r>
      <w:r w:rsidR="008742C1">
        <w:rPr>
          <w:sz w:val="22"/>
          <w:szCs w:val="22"/>
        </w:rPr>
        <w:t>t</w:t>
      </w:r>
      <w:r w:rsidRPr="00595617">
        <w:rPr>
          <w:sz w:val="22"/>
          <w:szCs w:val="22"/>
        </w:rPr>
        <w:t xml:space="preserve">í objednací doby pacientů na minimum, což povede </w:t>
      </w:r>
      <w:r>
        <w:rPr>
          <w:sz w:val="22"/>
          <w:szCs w:val="22"/>
        </w:rPr>
        <w:br/>
      </w:r>
      <w:r w:rsidRPr="00595617">
        <w:rPr>
          <w:sz w:val="22"/>
          <w:szCs w:val="22"/>
        </w:rPr>
        <w:t>k urychlení léčby, snížení úmrtnosti a zvýšení kvality života po prodělaném onemocnění.</w:t>
      </w:r>
    </w:p>
    <w:p w:rsidR="00B56392" w:rsidRPr="00595617" w:rsidRDefault="00B56392" w:rsidP="00595617">
      <w:pPr>
        <w:jc w:val="both"/>
        <w:rPr>
          <w:sz w:val="22"/>
          <w:szCs w:val="22"/>
        </w:rPr>
      </w:pPr>
    </w:p>
    <w:p w:rsidR="0031082D" w:rsidRPr="00595617" w:rsidRDefault="00B56392" w:rsidP="001D774A">
      <w:pPr>
        <w:jc w:val="both"/>
        <w:rPr>
          <w:sz w:val="22"/>
          <w:szCs w:val="22"/>
        </w:rPr>
      </w:pPr>
      <w:r>
        <w:rPr>
          <w:noProof/>
        </w:rPr>
        <w:lastRenderedPageBreak/>
        <w:drawing>
          <wp:inline distT="0" distB="0" distL="0" distR="0" wp14:anchorId="1BB8FEB8" wp14:editId="2310A486">
            <wp:extent cx="5762313" cy="3667125"/>
            <wp:effectExtent l="0" t="0" r="0" b="0"/>
            <wp:docPr id="1" name="Obrázek 1" descr="C:\Users\krczuz\AppData\Local\Microsoft\Windows\Temporary Internet Files\Content.Word\Multifunkční systém pro endoskopické operování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czuz\AppData\Local\Microsoft\Windows\Temporary Internet Files\Content.Word\Multifunkční systém pro endoskopické operování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085" cy="3665707"/>
                    </a:xfrm>
                    <a:prstGeom prst="rect">
                      <a:avLst/>
                    </a:prstGeom>
                    <a:noFill/>
                    <a:ln>
                      <a:noFill/>
                    </a:ln>
                  </pic:spPr>
                </pic:pic>
              </a:graphicData>
            </a:graphic>
          </wp:inline>
        </w:drawing>
      </w:r>
    </w:p>
    <w:p w:rsidR="00B21C87" w:rsidRPr="00595617" w:rsidRDefault="00B21C87" w:rsidP="001D774A">
      <w:pPr>
        <w:jc w:val="both"/>
        <w:rPr>
          <w:sz w:val="22"/>
          <w:szCs w:val="22"/>
        </w:rPr>
      </w:pPr>
    </w:p>
    <w:p w:rsidR="00D0486A" w:rsidRDefault="00D0486A" w:rsidP="001D774A">
      <w:pPr>
        <w:jc w:val="both"/>
        <w:rPr>
          <w:b/>
          <w:sz w:val="22"/>
          <w:szCs w:val="22"/>
        </w:rPr>
      </w:pPr>
    </w:p>
    <w:p w:rsidR="00D0486A" w:rsidRDefault="00D0486A" w:rsidP="001D774A">
      <w:pPr>
        <w:jc w:val="both"/>
        <w:rPr>
          <w:b/>
          <w:sz w:val="22"/>
          <w:szCs w:val="22"/>
        </w:rPr>
      </w:pPr>
    </w:p>
    <w:p w:rsidR="001D774A" w:rsidRPr="005A6291" w:rsidRDefault="001D774A" w:rsidP="001D774A">
      <w:pPr>
        <w:jc w:val="both"/>
        <w:rPr>
          <w:sz w:val="22"/>
          <w:szCs w:val="22"/>
        </w:rPr>
      </w:pPr>
      <w:r w:rsidRPr="001D774A">
        <w:rPr>
          <w:b/>
          <w:sz w:val="22"/>
          <w:szCs w:val="22"/>
        </w:rPr>
        <w:t xml:space="preserve">Oblast intervence:  </w:t>
      </w:r>
      <w:r w:rsidRPr="005A6291">
        <w:rPr>
          <w:sz w:val="22"/>
          <w:szCs w:val="22"/>
        </w:rPr>
        <w:t>3.3 Služby v oblasti zaměstnanosti, aktivita a) podpora (investiční) transformace a posilování služeb zaměstnanosti</w:t>
      </w:r>
    </w:p>
    <w:p w:rsidR="000B37AB" w:rsidRPr="000B37AB" w:rsidRDefault="001D774A" w:rsidP="001D774A">
      <w:pPr>
        <w:jc w:val="both"/>
        <w:rPr>
          <w:sz w:val="22"/>
          <w:szCs w:val="22"/>
        </w:rPr>
      </w:pPr>
      <w:r w:rsidRPr="001D774A">
        <w:rPr>
          <w:b/>
          <w:sz w:val="22"/>
          <w:szCs w:val="22"/>
        </w:rPr>
        <w:t>Název projektu, registrační číslo</w:t>
      </w:r>
      <w:r w:rsidRPr="000B37AB">
        <w:rPr>
          <w:sz w:val="22"/>
          <w:szCs w:val="22"/>
        </w:rPr>
        <w:t xml:space="preserve">: </w:t>
      </w:r>
      <w:r w:rsidR="00D0486A" w:rsidRPr="00D0486A">
        <w:rPr>
          <w:sz w:val="22"/>
          <w:szCs w:val="22"/>
        </w:rPr>
        <w:t>ÚP ČR - Šumperk - rekonstrukce budovy, CZ.1.06/3.3.00/04.08194</w:t>
      </w:r>
    </w:p>
    <w:p w:rsidR="001D774A" w:rsidRPr="001D774A" w:rsidRDefault="001D774A" w:rsidP="001D774A">
      <w:pPr>
        <w:jc w:val="both"/>
        <w:rPr>
          <w:b/>
          <w:sz w:val="22"/>
          <w:szCs w:val="22"/>
        </w:rPr>
      </w:pPr>
      <w:r w:rsidRPr="001D774A">
        <w:rPr>
          <w:b/>
          <w:sz w:val="22"/>
          <w:szCs w:val="22"/>
        </w:rPr>
        <w:t xml:space="preserve">Příjemce:  </w:t>
      </w:r>
      <w:r w:rsidR="00D0486A" w:rsidRPr="00D0486A">
        <w:rPr>
          <w:b/>
          <w:sz w:val="22"/>
          <w:szCs w:val="22"/>
        </w:rPr>
        <w:t>Úřad práce České republiky</w:t>
      </w:r>
    </w:p>
    <w:p w:rsidR="001D774A" w:rsidRDefault="001D774A" w:rsidP="00666388">
      <w:pPr>
        <w:jc w:val="both"/>
        <w:rPr>
          <w:sz w:val="22"/>
          <w:szCs w:val="22"/>
        </w:rPr>
      </w:pPr>
      <w:r w:rsidRPr="001D774A">
        <w:rPr>
          <w:b/>
          <w:sz w:val="22"/>
          <w:szCs w:val="22"/>
        </w:rPr>
        <w:t xml:space="preserve">Financování projektu: </w:t>
      </w:r>
      <w:r w:rsidR="00D0486A" w:rsidRPr="00D0486A">
        <w:rPr>
          <w:sz w:val="22"/>
          <w:szCs w:val="22"/>
        </w:rPr>
        <w:t>celková částka dotace 34 014 461,00 Kč (příspěvek SF 28 759 292,00 Kč; příspěvek SR 5 255 169,00 Kč)</w:t>
      </w:r>
    </w:p>
    <w:p w:rsidR="00D0486A" w:rsidRDefault="00D0486A" w:rsidP="00666388">
      <w:pPr>
        <w:jc w:val="both"/>
        <w:rPr>
          <w:sz w:val="22"/>
          <w:szCs w:val="22"/>
        </w:rPr>
      </w:pPr>
    </w:p>
    <w:p w:rsidR="00D0486A" w:rsidRPr="000B37AB" w:rsidRDefault="00D0486A" w:rsidP="00666388">
      <w:pPr>
        <w:jc w:val="both"/>
        <w:rPr>
          <w:sz w:val="22"/>
          <w:szCs w:val="22"/>
        </w:rPr>
      </w:pPr>
      <w:r w:rsidRPr="00D0486A">
        <w:rPr>
          <w:sz w:val="22"/>
          <w:szCs w:val="22"/>
        </w:rPr>
        <w:t>Rekonstrukce budovy</w:t>
      </w:r>
      <w:r w:rsidR="008742C1">
        <w:rPr>
          <w:sz w:val="22"/>
          <w:szCs w:val="22"/>
        </w:rPr>
        <w:t>,</w:t>
      </w:r>
      <w:r w:rsidRPr="00D0486A">
        <w:rPr>
          <w:sz w:val="22"/>
          <w:szCs w:val="22"/>
        </w:rPr>
        <w:t xml:space="preserve"> určené pro přemístění pracovišť kontaktního pracoviště v</w:t>
      </w:r>
      <w:r w:rsidR="008742C1">
        <w:rPr>
          <w:sz w:val="22"/>
          <w:szCs w:val="22"/>
        </w:rPr>
        <w:t> </w:t>
      </w:r>
      <w:r w:rsidRPr="00D0486A">
        <w:rPr>
          <w:sz w:val="22"/>
          <w:szCs w:val="22"/>
        </w:rPr>
        <w:t>Šumperku</w:t>
      </w:r>
      <w:r w:rsidR="008742C1">
        <w:rPr>
          <w:sz w:val="22"/>
          <w:szCs w:val="22"/>
        </w:rPr>
        <w:t>,</w:t>
      </w:r>
      <w:r w:rsidRPr="00D0486A">
        <w:rPr>
          <w:sz w:val="22"/>
          <w:szCs w:val="22"/>
        </w:rPr>
        <w:t xml:space="preserve"> zahrnuje úpravu vnitřních dispozic a přestavbu přednáškového sálu pro účely služeb zaměstnanosti. Na základě výsledků energetického auditu bude provedena výměna oken a zateplení vnějšího pláště budovy.</w:t>
      </w:r>
    </w:p>
    <w:p w:rsidR="000B37AB" w:rsidRDefault="000B37AB" w:rsidP="00134F2D">
      <w:pPr>
        <w:jc w:val="both"/>
        <w:rPr>
          <w:noProof/>
        </w:rPr>
      </w:pPr>
    </w:p>
    <w:p w:rsidR="00AA7B9D" w:rsidRDefault="00D0486A" w:rsidP="001D774A">
      <w:pPr>
        <w:autoSpaceDE w:val="0"/>
        <w:autoSpaceDN w:val="0"/>
        <w:adjustRightInd w:val="0"/>
        <w:jc w:val="both"/>
        <w:rPr>
          <w:sz w:val="22"/>
          <w:szCs w:val="22"/>
        </w:rPr>
      </w:pPr>
      <w:r>
        <w:rPr>
          <w:iCs/>
          <w:noProof/>
          <w:sz w:val="22"/>
          <w:szCs w:val="22"/>
        </w:rPr>
        <w:lastRenderedPageBreak/>
        <w:drawing>
          <wp:inline distT="0" distB="0" distL="0" distR="0" wp14:anchorId="50846DB0" wp14:editId="0370DDF2">
            <wp:extent cx="3276600" cy="4019550"/>
            <wp:effectExtent l="0" t="0" r="0" b="0"/>
            <wp:docPr id="5" name="Obrázek 5" descr="IMG_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153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74695" cy="4017213"/>
                    </a:xfrm>
                    <a:prstGeom prst="rect">
                      <a:avLst/>
                    </a:prstGeom>
                    <a:noFill/>
                    <a:ln>
                      <a:noFill/>
                    </a:ln>
                  </pic:spPr>
                </pic:pic>
              </a:graphicData>
            </a:graphic>
          </wp:inline>
        </w:drawing>
      </w:r>
    </w:p>
    <w:p w:rsidR="00345FE6" w:rsidRDefault="00345FE6" w:rsidP="003E4A31">
      <w:pPr>
        <w:spacing w:before="60"/>
        <w:jc w:val="both"/>
        <w:rPr>
          <w:b/>
          <w:sz w:val="22"/>
          <w:szCs w:val="22"/>
        </w:rPr>
      </w:pPr>
    </w:p>
    <w:p w:rsidR="003E4A31" w:rsidRPr="003E4A31" w:rsidRDefault="003E4A31" w:rsidP="00784698">
      <w:pPr>
        <w:spacing w:before="60"/>
        <w:jc w:val="both"/>
        <w:rPr>
          <w:b/>
          <w:sz w:val="22"/>
          <w:szCs w:val="22"/>
        </w:rPr>
      </w:pPr>
      <w:r w:rsidRPr="006266F5">
        <w:rPr>
          <w:b/>
          <w:sz w:val="22"/>
          <w:szCs w:val="22"/>
        </w:rPr>
        <w:t>Oblast intervence: 3.4 Služby</w:t>
      </w:r>
      <w:r w:rsidRPr="003218E6">
        <w:rPr>
          <w:b/>
          <w:sz w:val="22"/>
          <w:szCs w:val="22"/>
        </w:rPr>
        <w:t xml:space="preserve"> v oblasti bezpečnosti, prevence a řešení rizik</w:t>
      </w:r>
    </w:p>
    <w:p w:rsidR="007334A5" w:rsidRPr="0062230E" w:rsidRDefault="00F67D7C" w:rsidP="00BE195C">
      <w:pPr>
        <w:jc w:val="both"/>
        <w:rPr>
          <w:sz w:val="22"/>
          <w:szCs w:val="22"/>
        </w:rPr>
      </w:pPr>
      <w:r w:rsidRPr="00A73B58">
        <w:rPr>
          <w:b/>
          <w:sz w:val="22"/>
          <w:szCs w:val="22"/>
        </w:rPr>
        <w:t xml:space="preserve">Název projektu, registrační číslo: </w:t>
      </w:r>
      <w:r w:rsidR="0062230E" w:rsidRPr="0062230E">
        <w:rPr>
          <w:sz w:val="22"/>
          <w:szCs w:val="22"/>
        </w:rPr>
        <w:t>Krajská nemocnice Liberec, a.s. – Heliport, CZ.1.06/3.4.00/15.08485</w:t>
      </w:r>
    </w:p>
    <w:p w:rsidR="006C4BBE" w:rsidRDefault="00F67D7C" w:rsidP="00BE195C">
      <w:pPr>
        <w:jc w:val="both"/>
        <w:rPr>
          <w:b/>
          <w:sz w:val="22"/>
          <w:szCs w:val="22"/>
        </w:rPr>
      </w:pPr>
      <w:r w:rsidRPr="00A73B58">
        <w:rPr>
          <w:b/>
          <w:sz w:val="22"/>
          <w:szCs w:val="22"/>
        </w:rPr>
        <w:t xml:space="preserve">Příjemce: </w:t>
      </w:r>
      <w:r w:rsidR="0062230E" w:rsidRPr="0062230E">
        <w:rPr>
          <w:sz w:val="22"/>
          <w:szCs w:val="22"/>
        </w:rPr>
        <w:t>Krajská nemocnice Liberec, a.s.</w:t>
      </w:r>
    </w:p>
    <w:p w:rsidR="00810330" w:rsidRDefault="00F67D7C" w:rsidP="00E50867">
      <w:pPr>
        <w:jc w:val="both"/>
        <w:rPr>
          <w:sz w:val="22"/>
          <w:szCs w:val="22"/>
        </w:rPr>
      </w:pPr>
      <w:r w:rsidRPr="00A73B58">
        <w:rPr>
          <w:b/>
          <w:sz w:val="22"/>
          <w:szCs w:val="22"/>
        </w:rPr>
        <w:t>Financování projektu:</w:t>
      </w:r>
      <w:r w:rsidRPr="00A73B58">
        <w:rPr>
          <w:sz w:val="22"/>
          <w:szCs w:val="22"/>
        </w:rPr>
        <w:t xml:space="preserve"> </w:t>
      </w:r>
      <w:r w:rsidR="0062230E" w:rsidRPr="0062230E">
        <w:rPr>
          <w:sz w:val="22"/>
          <w:szCs w:val="22"/>
        </w:rPr>
        <w:t xml:space="preserve">celkový rozpočet 35 000 000 Kč (příspěvek SF: 29 750 000, příspěvek SR: </w:t>
      </w:r>
      <w:r w:rsidR="007C514C">
        <w:rPr>
          <w:sz w:val="22"/>
          <w:szCs w:val="22"/>
        </w:rPr>
        <w:br/>
      </w:r>
      <w:r w:rsidR="0062230E" w:rsidRPr="0062230E">
        <w:rPr>
          <w:sz w:val="22"/>
          <w:szCs w:val="22"/>
        </w:rPr>
        <w:t>5 250 000)</w:t>
      </w:r>
    </w:p>
    <w:p w:rsidR="00500835" w:rsidRDefault="00500835" w:rsidP="00E50867">
      <w:pPr>
        <w:jc w:val="both"/>
        <w:rPr>
          <w:sz w:val="22"/>
          <w:szCs w:val="22"/>
        </w:rPr>
      </w:pPr>
    </w:p>
    <w:p w:rsidR="00500835" w:rsidRDefault="008742C1" w:rsidP="00E50867">
      <w:pPr>
        <w:jc w:val="both"/>
        <w:rPr>
          <w:rFonts w:cs="Arial"/>
          <w:color w:val="000000"/>
          <w:sz w:val="22"/>
          <w:szCs w:val="22"/>
        </w:rPr>
      </w:pPr>
      <w:r>
        <w:rPr>
          <w:rFonts w:cs="Arial"/>
          <w:color w:val="000000"/>
          <w:sz w:val="22"/>
          <w:szCs w:val="22"/>
        </w:rPr>
        <w:t>V</w:t>
      </w:r>
      <w:r w:rsidR="00886520" w:rsidRPr="00DB17B0">
        <w:rPr>
          <w:rFonts w:cs="Arial"/>
          <w:color w:val="000000"/>
          <w:sz w:val="22"/>
          <w:szCs w:val="22"/>
        </w:rPr>
        <w:t xml:space="preserve"> areálu Krajské nemocnice Liberec, a.s. </w:t>
      </w:r>
      <w:r>
        <w:rPr>
          <w:rFonts w:cs="Arial"/>
          <w:color w:val="000000"/>
          <w:sz w:val="22"/>
          <w:szCs w:val="22"/>
        </w:rPr>
        <w:t xml:space="preserve">je </w:t>
      </w:r>
      <w:r w:rsidR="00886520" w:rsidRPr="00DB17B0">
        <w:rPr>
          <w:rFonts w:cs="Arial"/>
          <w:color w:val="000000"/>
          <w:sz w:val="22"/>
          <w:szCs w:val="22"/>
        </w:rPr>
        <w:t xml:space="preserve">vybudovaný nový heliport pro leteckou záchrannou službu Liberec, která již nemusí pro přistávání a vzlety vrtulníku letecké záchranné služby </w:t>
      </w:r>
      <w:r w:rsidRPr="00DB17B0">
        <w:rPr>
          <w:rFonts w:cs="Arial"/>
          <w:color w:val="000000"/>
          <w:sz w:val="22"/>
          <w:szCs w:val="22"/>
        </w:rPr>
        <w:t xml:space="preserve">využívat </w:t>
      </w:r>
      <w:r w:rsidR="00886520" w:rsidRPr="00DB17B0">
        <w:rPr>
          <w:rFonts w:cs="Arial"/>
          <w:color w:val="000000"/>
          <w:sz w:val="22"/>
          <w:szCs w:val="22"/>
        </w:rPr>
        <w:t>letiště v Ostašově a nemusí pacienty přev</w:t>
      </w:r>
      <w:r w:rsidR="00886520" w:rsidRPr="00FE1344">
        <w:rPr>
          <w:rFonts w:cs="Arial"/>
          <w:color w:val="000000"/>
          <w:sz w:val="22"/>
          <w:szCs w:val="22"/>
        </w:rPr>
        <w:t>ážet vozidly záchranné služby z</w:t>
      </w:r>
      <w:r w:rsidR="00886520">
        <w:rPr>
          <w:rFonts w:cs="Arial"/>
          <w:color w:val="000000"/>
          <w:sz w:val="22"/>
          <w:szCs w:val="22"/>
        </w:rPr>
        <w:t> </w:t>
      </w:r>
      <w:r w:rsidR="00886520" w:rsidRPr="00DB17B0">
        <w:rPr>
          <w:rFonts w:cs="Arial"/>
          <w:color w:val="000000"/>
          <w:sz w:val="22"/>
          <w:szCs w:val="22"/>
        </w:rPr>
        <w:t>letiště do nemocnice. Po realizaci projektu letiště v Ostašově slouží</w:t>
      </w:r>
      <w:r w:rsidR="00886520" w:rsidRPr="00FE1344">
        <w:rPr>
          <w:rFonts w:cs="Arial"/>
          <w:color w:val="000000"/>
          <w:sz w:val="22"/>
          <w:szCs w:val="22"/>
        </w:rPr>
        <w:t xml:space="preserve"> jako záložní heliport</w:t>
      </w:r>
      <w:r w:rsidR="00886520" w:rsidRPr="00DB17B0">
        <w:rPr>
          <w:rFonts w:cs="Arial"/>
          <w:color w:val="000000"/>
          <w:sz w:val="22"/>
          <w:szCs w:val="22"/>
        </w:rPr>
        <w:t>. Nový heliport je</w:t>
      </w:r>
      <w:r>
        <w:rPr>
          <w:rFonts w:cs="Arial"/>
          <w:color w:val="000000"/>
          <w:sz w:val="22"/>
          <w:szCs w:val="22"/>
        </w:rPr>
        <w:t xml:space="preserve"> </w:t>
      </w:r>
      <w:r w:rsidR="00886520" w:rsidRPr="00DB17B0">
        <w:rPr>
          <w:rFonts w:cs="Arial"/>
          <w:color w:val="000000"/>
          <w:sz w:val="22"/>
          <w:szCs w:val="22"/>
        </w:rPr>
        <w:t>zkolaudován také pro noční provoz</w:t>
      </w:r>
      <w:r w:rsidR="00886520">
        <w:rPr>
          <w:rFonts w:cs="Arial"/>
          <w:color w:val="000000"/>
          <w:sz w:val="22"/>
          <w:szCs w:val="22"/>
        </w:rPr>
        <w:t>.</w:t>
      </w:r>
    </w:p>
    <w:p w:rsidR="00886520" w:rsidRDefault="00886520" w:rsidP="00E50867">
      <w:pPr>
        <w:jc w:val="both"/>
        <w:rPr>
          <w:rFonts w:cs="Arial"/>
          <w:color w:val="000000"/>
          <w:sz w:val="22"/>
          <w:szCs w:val="22"/>
        </w:rPr>
      </w:pPr>
    </w:p>
    <w:p w:rsidR="00886520" w:rsidRDefault="00886520" w:rsidP="00E50867">
      <w:pPr>
        <w:jc w:val="both"/>
        <w:rPr>
          <w:sz w:val="22"/>
          <w:szCs w:val="22"/>
        </w:rPr>
      </w:pPr>
      <w:r>
        <w:rPr>
          <w:noProof/>
          <w:sz w:val="22"/>
          <w:szCs w:val="22"/>
        </w:rPr>
        <w:lastRenderedPageBreak/>
        <w:drawing>
          <wp:inline distT="0" distB="0" distL="0" distR="0" wp14:anchorId="1BFF3AB3" wp14:editId="297B97D5">
            <wp:extent cx="4885690" cy="2790190"/>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85690" cy="2790190"/>
                    </a:xfrm>
                    <a:prstGeom prst="rect">
                      <a:avLst/>
                    </a:prstGeom>
                    <a:noFill/>
                  </pic:spPr>
                </pic:pic>
              </a:graphicData>
            </a:graphic>
          </wp:inline>
        </w:drawing>
      </w:r>
    </w:p>
    <w:p w:rsidR="00886520" w:rsidRDefault="00886520" w:rsidP="00E50867">
      <w:pPr>
        <w:jc w:val="both"/>
        <w:rPr>
          <w:sz w:val="22"/>
          <w:szCs w:val="22"/>
        </w:rPr>
      </w:pPr>
    </w:p>
    <w:p w:rsidR="00D644B0" w:rsidRPr="00E202FC" w:rsidRDefault="00D644B0" w:rsidP="00E202FC">
      <w:pPr>
        <w:pStyle w:val="Nadpis2"/>
        <w:rPr>
          <w:rFonts w:ascii="Times New Roman" w:hAnsi="Times New Roman"/>
          <w:i w:val="0"/>
        </w:rPr>
      </w:pPr>
      <w:bookmarkStart w:id="107" w:name="_Toc433873505"/>
      <w:r w:rsidRPr="00A73B58">
        <w:rPr>
          <w:rFonts w:ascii="Times New Roman" w:hAnsi="Times New Roman"/>
          <w:i w:val="0"/>
        </w:rPr>
        <w:t>3.4 Prioritní osa 4a, 4b – Národní podpora cestovního ruchu</w:t>
      </w:r>
      <w:bookmarkEnd w:id="107"/>
    </w:p>
    <w:p w:rsidR="00D644B0" w:rsidRPr="00413E5F" w:rsidRDefault="00D644B0">
      <w:pPr>
        <w:pStyle w:val="Nadpis3"/>
        <w:rPr>
          <w:rFonts w:ascii="Times New Roman" w:hAnsi="Times New Roman"/>
          <w:sz w:val="24"/>
          <w:szCs w:val="24"/>
        </w:rPr>
      </w:pPr>
      <w:bookmarkStart w:id="108" w:name="_Toc433873506"/>
      <w:r w:rsidRPr="006266F5">
        <w:rPr>
          <w:rFonts w:ascii="Times New Roman" w:hAnsi="Times New Roman"/>
          <w:sz w:val="24"/>
          <w:szCs w:val="24"/>
        </w:rPr>
        <w:t>3.4.1 Zaměření prioritních os/oblastí intervence</w:t>
      </w:r>
      <w:bookmarkEnd w:id="108"/>
    </w:p>
    <w:p w:rsidR="00D644B0" w:rsidRDefault="00D644B0">
      <w:pPr>
        <w:rPr>
          <w:sz w:val="22"/>
          <w:szCs w:val="22"/>
        </w:rPr>
      </w:pPr>
    </w:p>
    <w:p w:rsidR="00D644B0" w:rsidRDefault="00D644B0">
      <w:pPr>
        <w:jc w:val="both"/>
        <w:rPr>
          <w:sz w:val="22"/>
          <w:szCs w:val="22"/>
        </w:rPr>
      </w:pPr>
      <w:r>
        <w:rPr>
          <w:sz w:val="22"/>
          <w:szCs w:val="22"/>
        </w:rPr>
        <w:t xml:space="preserve">Cílem prioritních os 4a a 4b je podpora vytvoření základního prostředí a nezbytných podmínek pro rozvoj CR na národní úrovni. Ve prospěch jeho efektivního rozvoje je nezbytné řídit a koordinovat některé aktivity CR z národní úrovně, což přispívá k vytváření vhodných podmínek pro rozvoj podnikání, růstu konkurenceschopnosti a zaměstnanosti v této oblasti. </w:t>
      </w:r>
    </w:p>
    <w:p w:rsidR="00D644B0" w:rsidRDefault="00D644B0">
      <w:pPr>
        <w:jc w:val="both"/>
        <w:rPr>
          <w:sz w:val="22"/>
          <w:szCs w:val="22"/>
        </w:rPr>
      </w:pPr>
      <w:r>
        <w:rPr>
          <w:sz w:val="22"/>
          <w:szCs w:val="22"/>
        </w:rPr>
        <w:t>Prioritní osa zahrnuje a Cíl Konvergence (4a) a Cíl Regionální konkurenceschopnost a zaměstnanost (4b).</w:t>
      </w:r>
    </w:p>
    <w:p w:rsidR="002E2109" w:rsidRDefault="002E2109">
      <w:pPr>
        <w:jc w:val="both"/>
        <w:rPr>
          <w:sz w:val="22"/>
          <w:szCs w:val="22"/>
        </w:rPr>
      </w:pPr>
      <w:r>
        <w:rPr>
          <w:sz w:val="22"/>
          <w:szCs w:val="22"/>
        </w:rPr>
        <w:t xml:space="preserve">V této oblasti podpory jsou </w:t>
      </w:r>
      <w:r w:rsidR="00470A9F">
        <w:rPr>
          <w:sz w:val="22"/>
          <w:szCs w:val="22"/>
        </w:rPr>
        <w:t>administrovány</w:t>
      </w:r>
      <w:r>
        <w:rPr>
          <w:sz w:val="22"/>
          <w:szCs w:val="22"/>
        </w:rPr>
        <w:t xml:space="preserve"> </w:t>
      </w:r>
      <w:r w:rsidR="00470A9F">
        <w:rPr>
          <w:sz w:val="22"/>
          <w:szCs w:val="22"/>
        </w:rPr>
        <w:t>vždy 2 projekty, jeden v cíli Konvergence a druhý v cíli Regionální konkurenceschopnost a zaměstnanost.</w:t>
      </w:r>
    </w:p>
    <w:p w:rsidR="00D644B0" w:rsidRDefault="00D644B0">
      <w:pPr>
        <w:jc w:val="both"/>
        <w:rPr>
          <w:sz w:val="22"/>
          <w:szCs w:val="22"/>
        </w:rPr>
      </w:pPr>
    </w:p>
    <w:p w:rsidR="00D644B0" w:rsidRDefault="00D644B0">
      <w:pPr>
        <w:jc w:val="both"/>
        <w:rPr>
          <w:sz w:val="22"/>
          <w:szCs w:val="22"/>
        </w:rPr>
      </w:pPr>
      <w:r>
        <w:rPr>
          <w:sz w:val="22"/>
          <w:szCs w:val="22"/>
        </w:rPr>
        <w:t>Specifické cíle:</w:t>
      </w:r>
    </w:p>
    <w:p w:rsidR="00D644B0" w:rsidRDefault="00D644B0" w:rsidP="002B6462">
      <w:pPr>
        <w:numPr>
          <w:ilvl w:val="0"/>
          <w:numId w:val="12"/>
        </w:numPr>
        <w:jc w:val="both"/>
        <w:rPr>
          <w:sz w:val="22"/>
          <w:szCs w:val="22"/>
        </w:rPr>
      </w:pPr>
      <w:r>
        <w:rPr>
          <w:sz w:val="22"/>
          <w:szCs w:val="22"/>
        </w:rPr>
        <w:t>zvýšení počtu subjektů napojených na rezervační systém CR,</w:t>
      </w:r>
    </w:p>
    <w:p w:rsidR="00D644B0" w:rsidRDefault="00D644B0" w:rsidP="002B6462">
      <w:pPr>
        <w:numPr>
          <w:ilvl w:val="0"/>
          <w:numId w:val="12"/>
        </w:numPr>
        <w:jc w:val="both"/>
        <w:rPr>
          <w:sz w:val="22"/>
          <w:szCs w:val="22"/>
        </w:rPr>
      </w:pPr>
      <w:r>
        <w:rPr>
          <w:sz w:val="22"/>
          <w:szCs w:val="22"/>
        </w:rPr>
        <w:t xml:space="preserve">zajištění zvýšení kvality poskytovaných služeb CR, jejich jednotnou certifikací </w:t>
      </w:r>
      <w:r w:rsidR="005654A1">
        <w:rPr>
          <w:sz w:val="22"/>
          <w:szCs w:val="22"/>
        </w:rPr>
        <w:br/>
      </w:r>
      <w:r>
        <w:rPr>
          <w:sz w:val="22"/>
          <w:szCs w:val="22"/>
        </w:rPr>
        <w:t>a standardizací,</w:t>
      </w:r>
    </w:p>
    <w:p w:rsidR="00D644B0" w:rsidRDefault="00D644B0" w:rsidP="002B6462">
      <w:pPr>
        <w:numPr>
          <w:ilvl w:val="0"/>
          <w:numId w:val="12"/>
        </w:numPr>
        <w:jc w:val="both"/>
        <w:rPr>
          <w:sz w:val="22"/>
          <w:szCs w:val="22"/>
        </w:rPr>
      </w:pPr>
      <w:r>
        <w:rPr>
          <w:sz w:val="22"/>
          <w:szCs w:val="22"/>
        </w:rPr>
        <w:t>zkvalitnění statistik a informací o cestovním ruchu,</w:t>
      </w:r>
    </w:p>
    <w:p w:rsidR="00D644B0" w:rsidRDefault="00D644B0" w:rsidP="002B6462">
      <w:pPr>
        <w:numPr>
          <w:ilvl w:val="0"/>
          <w:numId w:val="12"/>
        </w:numPr>
        <w:jc w:val="both"/>
        <w:rPr>
          <w:sz w:val="22"/>
          <w:szCs w:val="22"/>
        </w:rPr>
      </w:pPr>
      <w:r>
        <w:rPr>
          <w:sz w:val="22"/>
          <w:szCs w:val="22"/>
        </w:rPr>
        <w:t>zvýšení počtu propagačních nebo marketingových produktů cestovního ruchu.</w:t>
      </w:r>
    </w:p>
    <w:p w:rsidR="00D644B0" w:rsidRDefault="00D644B0">
      <w:pPr>
        <w:jc w:val="both"/>
        <w:rPr>
          <w:sz w:val="22"/>
          <w:szCs w:val="22"/>
        </w:rPr>
      </w:pPr>
    </w:p>
    <w:p w:rsidR="00D644B0" w:rsidRDefault="00D644B0">
      <w:pPr>
        <w:jc w:val="both"/>
        <w:rPr>
          <w:sz w:val="22"/>
          <w:szCs w:val="22"/>
        </w:rPr>
      </w:pPr>
      <w:r>
        <w:rPr>
          <w:sz w:val="22"/>
          <w:szCs w:val="22"/>
        </w:rPr>
        <w:t xml:space="preserve">Podporované aktivity: </w:t>
      </w:r>
    </w:p>
    <w:p w:rsidR="00D644B0" w:rsidRDefault="00D644B0" w:rsidP="002B6462">
      <w:pPr>
        <w:numPr>
          <w:ilvl w:val="0"/>
          <w:numId w:val="16"/>
        </w:numPr>
        <w:jc w:val="both"/>
        <w:rPr>
          <w:sz w:val="22"/>
          <w:szCs w:val="22"/>
        </w:rPr>
      </w:pPr>
      <w:r>
        <w:rPr>
          <w:sz w:val="22"/>
          <w:szCs w:val="22"/>
        </w:rPr>
        <w:t>zavedení národního informačního a rezervačního systému,</w:t>
      </w:r>
    </w:p>
    <w:p w:rsidR="00D644B0" w:rsidRDefault="00D644B0" w:rsidP="002B6462">
      <w:pPr>
        <w:numPr>
          <w:ilvl w:val="0"/>
          <w:numId w:val="16"/>
        </w:numPr>
        <w:jc w:val="both"/>
        <w:rPr>
          <w:sz w:val="22"/>
          <w:szCs w:val="22"/>
        </w:rPr>
      </w:pPr>
      <w:r>
        <w:rPr>
          <w:sz w:val="22"/>
          <w:szCs w:val="22"/>
        </w:rPr>
        <w:t>zavádění a informační podpora národních a mezinárodních standardů ve službách CR,</w:t>
      </w:r>
    </w:p>
    <w:p w:rsidR="00D644B0" w:rsidRDefault="00D644B0" w:rsidP="002B6462">
      <w:pPr>
        <w:numPr>
          <w:ilvl w:val="0"/>
          <w:numId w:val="16"/>
        </w:numPr>
        <w:jc w:val="both"/>
        <w:rPr>
          <w:sz w:val="22"/>
          <w:szCs w:val="22"/>
        </w:rPr>
      </w:pPr>
      <w:r>
        <w:rPr>
          <w:sz w:val="22"/>
          <w:szCs w:val="22"/>
        </w:rPr>
        <w:t>podpora marketingu na národní úrovni a tvorby zdrojových databází,</w:t>
      </w:r>
    </w:p>
    <w:p w:rsidR="00D644B0" w:rsidRDefault="00D644B0" w:rsidP="002B6462">
      <w:pPr>
        <w:numPr>
          <w:ilvl w:val="0"/>
          <w:numId w:val="16"/>
        </w:numPr>
        <w:jc w:val="both"/>
        <w:rPr>
          <w:sz w:val="22"/>
          <w:szCs w:val="22"/>
        </w:rPr>
      </w:pPr>
      <w:r>
        <w:rPr>
          <w:sz w:val="22"/>
          <w:szCs w:val="22"/>
        </w:rPr>
        <w:t>prezentace a propagace kulturního a přírodního bohatství, kulturního průmyslu a služeb s využitím pro cestovní ruch na národní úrovni,</w:t>
      </w:r>
    </w:p>
    <w:p w:rsidR="00D644B0" w:rsidRPr="007937C5" w:rsidRDefault="00D644B0" w:rsidP="002B6462">
      <w:pPr>
        <w:numPr>
          <w:ilvl w:val="0"/>
          <w:numId w:val="16"/>
        </w:numPr>
        <w:jc w:val="both"/>
        <w:rPr>
          <w:sz w:val="22"/>
          <w:szCs w:val="22"/>
        </w:rPr>
      </w:pPr>
      <w:r>
        <w:rPr>
          <w:sz w:val="22"/>
          <w:szCs w:val="22"/>
        </w:rPr>
        <w:t>podpora prezentace ČR jako destinace CR.</w:t>
      </w:r>
    </w:p>
    <w:p w:rsidR="00D644B0" w:rsidRDefault="00D644B0">
      <w:pPr>
        <w:jc w:val="both"/>
        <w:rPr>
          <w:sz w:val="22"/>
          <w:szCs w:val="22"/>
        </w:rPr>
      </w:pPr>
    </w:p>
    <w:p w:rsidR="00D644B0" w:rsidRDefault="00D644B0">
      <w:pPr>
        <w:jc w:val="both"/>
        <w:rPr>
          <w:sz w:val="22"/>
          <w:szCs w:val="22"/>
        </w:rPr>
      </w:pPr>
      <w:r>
        <w:rPr>
          <w:sz w:val="22"/>
          <w:szCs w:val="22"/>
        </w:rPr>
        <w:t>Příjemci:</w:t>
      </w:r>
    </w:p>
    <w:p w:rsidR="00D644B0" w:rsidRDefault="00D644B0" w:rsidP="002B6462">
      <w:pPr>
        <w:numPr>
          <w:ilvl w:val="0"/>
          <w:numId w:val="17"/>
        </w:numPr>
        <w:jc w:val="both"/>
        <w:rPr>
          <w:sz w:val="22"/>
          <w:szCs w:val="22"/>
        </w:rPr>
      </w:pPr>
      <w:r>
        <w:rPr>
          <w:sz w:val="22"/>
          <w:szCs w:val="22"/>
        </w:rPr>
        <w:t>organizační složky státu a jimi zřizované příspěvkové organizace (aktivity a, b, c, e),</w:t>
      </w:r>
    </w:p>
    <w:p w:rsidR="00FB7318" w:rsidRDefault="00D644B0" w:rsidP="00346298">
      <w:pPr>
        <w:numPr>
          <w:ilvl w:val="0"/>
          <w:numId w:val="17"/>
        </w:numPr>
        <w:jc w:val="both"/>
        <w:rPr>
          <w:sz w:val="22"/>
          <w:szCs w:val="22"/>
        </w:rPr>
      </w:pPr>
      <w:r>
        <w:rPr>
          <w:sz w:val="22"/>
          <w:szCs w:val="22"/>
        </w:rPr>
        <w:t xml:space="preserve">nestátní neziskové organizace a zájmová sdružení právnických osob s celorepublikovou působností v cestovním ruchu (aktivita d). </w:t>
      </w:r>
    </w:p>
    <w:p w:rsidR="00346298" w:rsidRDefault="00346298" w:rsidP="001303E0">
      <w:pPr>
        <w:jc w:val="both"/>
        <w:rPr>
          <w:sz w:val="22"/>
          <w:szCs w:val="22"/>
        </w:rPr>
      </w:pPr>
    </w:p>
    <w:p w:rsidR="001303E0" w:rsidRDefault="001303E0" w:rsidP="001303E0">
      <w:pPr>
        <w:jc w:val="both"/>
        <w:rPr>
          <w:sz w:val="22"/>
          <w:szCs w:val="22"/>
        </w:rPr>
        <w:sectPr w:rsidR="001303E0" w:rsidSect="001A377B">
          <w:pgSz w:w="11907" w:h="16840" w:code="9"/>
          <w:pgMar w:top="1418" w:right="1418" w:bottom="1418" w:left="1418" w:header="709" w:footer="709" w:gutter="0"/>
          <w:cols w:space="708"/>
          <w:docGrid w:linePitch="360"/>
        </w:sectPr>
      </w:pPr>
    </w:p>
    <w:p w:rsidR="001303E0" w:rsidRPr="007D4D79" w:rsidRDefault="001303E0" w:rsidP="001303E0">
      <w:pPr>
        <w:pStyle w:val="Nadpis3"/>
        <w:rPr>
          <w:b w:val="0"/>
          <w:sz w:val="28"/>
          <w:szCs w:val="28"/>
        </w:rPr>
      </w:pPr>
      <w:bookmarkStart w:id="109" w:name="_Toc433873507"/>
      <w:r w:rsidRPr="006266F5">
        <w:rPr>
          <w:rFonts w:ascii="Times New Roman" w:hAnsi="Times New Roman"/>
          <w:sz w:val="24"/>
          <w:szCs w:val="24"/>
        </w:rPr>
        <w:lastRenderedPageBreak/>
        <w:t>3.4.2 Pokrok v realizaci prioritních os/oblastí intervence</w:t>
      </w:r>
      <w:bookmarkEnd w:id="109"/>
      <w:r w:rsidRPr="007D4D79">
        <w:rPr>
          <w:b w:val="0"/>
          <w:sz w:val="28"/>
          <w:szCs w:val="28"/>
        </w:rPr>
        <w:t xml:space="preserve"> </w:t>
      </w:r>
    </w:p>
    <w:p w:rsidR="00FF172A" w:rsidRDefault="001303E0" w:rsidP="00FF172A">
      <w:pPr>
        <w:spacing w:after="120"/>
        <w:rPr>
          <w:sz w:val="22"/>
          <w:szCs w:val="22"/>
        </w:rPr>
      </w:pPr>
      <w:r>
        <w:rPr>
          <w:b/>
          <w:sz w:val="22"/>
          <w:szCs w:val="22"/>
        </w:rPr>
        <w:t>V oblastech podpory 4.1a a 4.1b</w:t>
      </w:r>
      <w:r>
        <w:rPr>
          <w:sz w:val="22"/>
          <w:szCs w:val="22"/>
        </w:rPr>
        <w:t xml:space="preserve"> </w:t>
      </w:r>
      <w:r w:rsidR="00FF172A">
        <w:rPr>
          <w:sz w:val="22"/>
          <w:szCs w:val="22"/>
        </w:rPr>
        <w:t xml:space="preserve"> byly proplaceny příjemcům prostředky v objemu 44,13 mil. EUR a 3,39 mil. EUR. Certifikované výdaje jsou v objemu 40,22 mil. EUR pro oblast intervence 4.1a a 3,11 EUR pro oblast intervence 4.1b. Ve sledovaném období 17. 4. 2015 – 30. 9. 2015 nebyla předložena žádná projektová žádost.</w:t>
      </w:r>
    </w:p>
    <w:p w:rsidR="00683756" w:rsidRDefault="00683756" w:rsidP="00683756">
      <w:pPr>
        <w:spacing w:after="120"/>
        <w:jc w:val="both"/>
        <w:rPr>
          <w:sz w:val="22"/>
          <w:szCs w:val="22"/>
        </w:rPr>
      </w:pPr>
    </w:p>
    <w:p w:rsidR="0075692B" w:rsidRDefault="00FB7318" w:rsidP="0075692B">
      <w:pPr>
        <w:pStyle w:val="Tabulkanzev"/>
        <w:rPr>
          <w:rStyle w:val="Siln"/>
        </w:rPr>
      </w:pPr>
      <w:bookmarkStart w:id="110" w:name="_Toc433873560"/>
      <w:r w:rsidRPr="00AB7E6D">
        <w:rPr>
          <w:rStyle w:val="Siln"/>
        </w:rPr>
        <w:t>Kumulativní pokrok na úrovni oblastí intervence 4.1a a 4.1b (v mil. CZK/EUR)</w:t>
      </w:r>
      <w:bookmarkEnd w:id="110"/>
    </w:p>
    <w:tbl>
      <w:tblPr>
        <w:tblW w:w="5000" w:type="pct"/>
        <w:tblCellMar>
          <w:left w:w="70" w:type="dxa"/>
          <w:right w:w="70" w:type="dxa"/>
        </w:tblCellMar>
        <w:tblLook w:val="04A0" w:firstRow="1" w:lastRow="0" w:firstColumn="1" w:lastColumn="0" w:noHBand="0" w:noVBand="1"/>
      </w:tblPr>
      <w:tblGrid>
        <w:gridCol w:w="718"/>
        <w:gridCol w:w="943"/>
        <w:gridCol w:w="700"/>
        <w:gridCol w:w="677"/>
        <w:gridCol w:w="514"/>
        <w:gridCol w:w="753"/>
        <w:gridCol w:w="581"/>
        <w:gridCol w:w="657"/>
        <w:gridCol w:w="514"/>
        <w:gridCol w:w="733"/>
        <w:gridCol w:w="600"/>
        <w:gridCol w:w="600"/>
        <w:gridCol w:w="734"/>
        <w:gridCol w:w="641"/>
        <w:gridCol w:w="715"/>
        <w:gridCol w:w="811"/>
        <w:gridCol w:w="601"/>
        <w:gridCol w:w="715"/>
        <w:gridCol w:w="771"/>
        <w:gridCol w:w="582"/>
        <w:gridCol w:w="584"/>
      </w:tblGrid>
      <w:tr w:rsidR="00074BF1" w:rsidRPr="00074BF1" w:rsidTr="00074BF1">
        <w:trPr>
          <w:trHeight w:val="720"/>
        </w:trPr>
        <w:tc>
          <w:tcPr>
            <w:tcW w:w="241" w:type="pct"/>
            <w:vMerge w:val="restart"/>
            <w:tcBorders>
              <w:top w:val="single" w:sz="4" w:space="0" w:color="1F497D"/>
              <w:left w:val="single" w:sz="4" w:space="0" w:color="1F497D"/>
              <w:bottom w:val="single" w:sz="4" w:space="0" w:color="1F497D"/>
              <w:right w:val="single" w:sz="4" w:space="0" w:color="1F497D"/>
            </w:tcBorders>
            <w:shd w:val="clear" w:color="000000" w:fill="DCE6F1"/>
            <w:vAlign w:val="center"/>
            <w:hideMark/>
          </w:tcPr>
          <w:p w:rsidR="00074BF1" w:rsidRPr="00074BF1" w:rsidRDefault="00074BF1" w:rsidP="00074BF1">
            <w:pPr>
              <w:jc w:val="center"/>
              <w:rPr>
                <w:b/>
                <w:bCs/>
                <w:color w:val="000000"/>
                <w:sz w:val="16"/>
                <w:szCs w:val="16"/>
              </w:rPr>
            </w:pPr>
            <w:r w:rsidRPr="00074BF1">
              <w:rPr>
                <w:b/>
                <w:bCs/>
                <w:color w:val="000000"/>
                <w:sz w:val="16"/>
                <w:szCs w:val="16"/>
              </w:rPr>
              <w:t>Oblast podpory</w:t>
            </w:r>
          </w:p>
        </w:tc>
        <w:tc>
          <w:tcPr>
            <w:tcW w:w="335" w:type="pct"/>
            <w:tcBorders>
              <w:top w:val="single" w:sz="4" w:space="0" w:color="1F497D"/>
              <w:left w:val="nil"/>
              <w:bottom w:val="single" w:sz="4" w:space="0" w:color="1F497D"/>
              <w:right w:val="single" w:sz="4" w:space="0" w:color="1F497D"/>
            </w:tcBorders>
            <w:shd w:val="clear" w:color="000000" w:fill="DCE6F1"/>
            <w:vAlign w:val="center"/>
            <w:hideMark/>
          </w:tcPr>
          <w:p w:rsidR="00074BF1" w:rsidRPr="00074BF1" w:rsidRDefault="00074BF1" w:rsidP="00074BF1">
            <w:pPr>
              <w:jc w:val="center"/>
              <w:rPr>
                <w:b/>
                <w:bCs/>
                <w:color w:val="000000"/>
                <w:sz w:val="16"/>
                <w:szCs w:val="16"/>
              </w:rPr>
            </w:pPr>
            <w:r w:rsidRPr="00074BF1">
              <w:rPr>
                <w:b/>
                <w:bCs/>
                <w:color w:val="000000"/>
                <w:sz w:val="16"/>
                <w:szCs w:val="16"/>
              </w:rPr>
              <w:t>Datum snímku</w:t>
            </w:r>
          </w:p>
        </w:tc>
        <w:tc>
          <w:tcPr>
            <w:tcW w:w="482" w:type="pct"/>
            <w:gridSpan w:val="2"/>
            <w:tcBorders>
              <w:top w:val="single" w:sz="4" w:space="0" w:color="1F497D"/>
              <w:left w:val="nil"/>
              <w:bottom w:val="single" w:sz="4" w:space="0" w:color="1F497D"/>
              <w:right w:val="single" w:sz="4" w:space="0" w:color="1F497D"/>
            </w:tcBorders>
            <w:shd w:val="clear" w:color="000000" w:fill="DCE6F1"/>
            <w:vAlign w:val="center"/>
            <w:hideMark/>
          </w:tcPr>
          <w:p w:rsidR="00074BF1" w:rsidRPr="00074BF1" w:rsidRDefault="00074BF1" w:rsidP="00074BF1">
            <w:pPr>
              <w:jc w:val="center"/>
              <w:rPr>
                <w:b/>
                <w:bCs/>
                <w:color w:val="000000"/>
                <w:sz w:val="16"/>
                <w:szCs w:val="16"/>
              </w:rPr>
            </w:pPr>
            <w:r w:rsidRPr="00074BF1">
              <w:rPr>
                <w:b/>
                <w:bCs/>
                <w:color w:val="000000"/>
                <w:sz w:val="16"/>
                <w:szCs w:val="16"/>
              </w:rPr>
              <w:t>Celková alokace podpory 2007-2013</w:t>
            </w:r>
          </w:p>
        </w:tc>
        <w:tc>
          <w:tcPr>
            <w:tcW w:w="890" w:type="pct"/>
            <w:gridSpan w:val="4"/>
            <w:tcBorders>
              <w:top w:val="single" w:sz="4" w:space="0" w:color="1F497D"/>
              <w:left w:val="nil"/>
              <w:bottom w:val="single" w:sz="4" w:space="0" w:color="1F497D"/>
              <w:right w:val="single" w:sz="4" w:space="0" w:color="1F497D"/>
            </w:tcBorders>
            <w:shd w:val="clear" w:color="000000" w:fill="DCE6F1"/>
            <w:vAlign w:val="center"/>
            <w:hideMark/>
          </w:tcPr>
          <w:p w:rsidR="00074BF1" w:rsidRPr="00074BF1" w:rsidRDefault="00074BF1" w:rsidP="00074BF1">
            <w:pPr>
              <w:jc w:val="center"/>
              <w:rPr>
                <w:b/>
                <w:bCs/>
                <w:color w:val="000000"/>
                <w:sz w:val="16"/>
                <w:szCs w:val="16"/>
              </w:rPr>
            </w:pPr>
            <w:r w:rsidRPr="00074BF1">
              <w:rPr>
                <w:b/>
                <w:bCs/>
                <w:color w:val="000000"/>
                <w:sz w:val="16"/>
                <w:szCs w:val="16"/>
              </w:rPr>
              <w:t>Podané žádosti</w:t>
            </w:r>
          </w:p>
        </w:tc>
        <w:tc>
          <w:tcPr>
            <w:tcW w:w="863" w:type="pct"/>
            <w:gridSpan w:val="4"/>
            <w:tcBorders>
              <w:top w:val="single" w:sz="4" w:space="0" w:color="1F497D"/>
              <w:left w:val="nil"/>
              <w:bottom w:val="single" w:sz="4" w:space="0" w:color="1F497D"/>
              <w:right w:val="single" w:sz="4" w:space="0" w:color="1F497D"/>
            </w:tcBorders>
            <w:shd w:val="clear" w:color="000000" w:fill="DCE6F1"/>
            <w:vAlign w:val="center"/>
            <w:hideMark/>
          </w:tcPr>
          <w:p w:rsidR="00074BF1" w:rsidRPr="00074BF1" w:rsidRDefault="00074BF1" w:rsidP="00074BF1">
            <w:pPr>
              <w:jc w:val="center"/>
              <w:rPr>
                <w:b/>
                <w:bCs/>
                <w:color w:val="000000"/>
                <w:sz w:val="16"/>
                <w:szCs w:val="16"/>
              </w:rPr>
            </w:pPr>
            <w:r w:rsidRPr="00074BF1">
              <w:rPr>
                <w:b/>
                <w:bCs/>
                <w:color w:val="000000"/>
                <w:sz w:val="16"/>
                <w:szCs w:val="16"/>
              </w:rPr>
              <w:t>Prostředky kryté Rozhodnutím / Smlouvou (dodatkem)</w:t>
            </w:r>
          </w:p>
        </w:tc>
        <w:tc>
          <w:tcPr>
            <w:tcW w:w="743" w:type="pct"/>
            <w:gridSpan w:val="3"/>
            <w:tcBorders>
              <w:top w:val="single" w:sz="4" w:space="0" w:color="1F497D"/>
              <w:left w:val="nil"/>
              <w:bottom w:val="single" w:sz="4" w:space="0" w:color="1F497D"/>
              <w:right w:val="single" w:sz="4" w:space="0" w:color="1F497D"/>
            </w:tcBorders>
            <w:shd w:val="clear" w:color="000000" w:fill="DCE6F1"/>
            <w:vAlign w:val="center"/>
            <w:hideMark/>
          </w:tcPr>
          <w:p w:rsidR="00074BF1" w:rsidRPr="00074BF1" w:rsidRDefault="00074BF1" w:rsidP="00074BF1">
            <w:pPr>
              <w:jc w:val="center"/>
              <w:rPr>
                <w:b/>
                <w:bCs/>
                <w:color w:val="000000"/>
                <w:sz w:val="16"/>
                <w:szCs w:val="16"/>
              </w:rPr>
            </w:pPr>
            <w:r w:rsidRPr="00074BF1">
              <w:rPr>
                <w:b/>
                <w:bCs/>
                <w:color w:val="000000"/>
                <w:sz w:val="16"/>
                <w:szCs w:val="16"/>
              </w:rPr>
              <w:t>Proplacené prostředky příjemcům (vyúčtované prostředky)</w:t>
            </w:r>
          </w:p>
        </w:tc>
        <w:tc>
          <w:tcPr>
            <w:tcW w:w="756" w:type="pct"/>
            <w:gridSpan w:val="3"/>
            <w:tcBorders>
              <w:top w:val="single" w:sz="4" w:space="0" w:color="1F497D"/>
              <w:left w:val="nil"/>
              <w:bottom w:val="single" w:sz="4" w:space="0" w:color="1F497D"/>
              <w:right w:val="single" w:sz="4" w:space="0" w:color="1F497D"/>
            </w:tcBorders>
            <w:shd w:val="clear" w:color="000000" w:fill="DCE6F1"/>
            <w:vAlign w:val="center"/>
            <w:hideMark/>
          </w:tcPr>
          <w:p w:rsidR="00074BF1" w:rsidRPr="00074BF1" w:rsidRDefault="00074BF1" w:rsidP="00074BF1">
            <w:pPr>
              <w:jc w:val="center"/>
              <w:rPr>
                <w:b/>
                <w:bCs/>
                <w:color w:val="000000"/>
                <w:sz w:val="16"/>
                <w:szCs w:val="16"/>
              </w:rPr>
            </w:pPr>
            <w:r w:rsidRPr="00074BF1">
              <w:rPr>
                <w:b/>
                <w:bCs/>
                <w:color w:val="000000"/>
                <w:sz w:val="16"/>
                <w:szCs w:val="16"/>
              </w:rPr>
              <w:t>Souhrnné žádosti zaúčtované PCO</w:t>
            </w:r>
          </w:p>
        </w:tc>
        <w:tc>
          <w:tcPr>
            <w:tcW w:w="689" w:type="pct"/>
            <w:gridSpan w:val="3"/>
            <w:tcBorders>
              <w:top w:val="single" w:sz="4" w:space="0" w:color="1F497D"/>
              <w:left w:val="nil"/>
              <w:bottom w:val="single" w:sz="4" w:space="0" w:color="1F497D"/>
              <w:right w:val="single" w:sz="4" w:space="0" w:color="1F497D"/>
            </w:tcBorders>
            <w:shd w:val="clear" w:color="000000" w:fill="DCE6F1"/>
            <w:vAlign w:val="center"/>
            <w:hideMark/>
          </w:tcPr>
          <w:p w:rsidR="00074BF1" w:rsidRPr="00074BF1" w:rsidRDefault="00074BF1" w:rsidP="00074BF1">
            <w:pPr>
              <w:jc w:val="center"/>
              <w:rPr>
                <w:b/>
                <w:bCs/>
                <w:color w:val="000000"/>
                <w:sz w:val="16"/>
                <w:szCs w:val="16"/>
              </w:rPr>
            </w:pPr>
            <w:r w:rsidRPr="00074BF1">
              <w:rPr>
                <w:b/>
                <w:bCs/>
                <w:color w:val="000000"/>
                <w:sz w:val="16"/>
                <w:szCs w:val="16"/>
              </w:rPr>
              <w:t>Certifikované prostředky (včetně vratek)</w:t>
            </w:r>
          </w:p>
        </w:tc>
      </w:tr>
      <w:tr w:rsidR="00074BF1" w:rsidRPr="00074BF1" w:rsidTr="00074BF1">
        <w:trPr>
          <w:trHeight w:val="390"/>
        </w:trPr>
        <w:tc>
          <w:tcPr>
            <w:tcW w:w="241" w:type="pct"/>
            <w:vMerge/>
            <w:tcBorders>
              <w:top w:val="single" w:sz="4" w:space="0" w:color="1F497D"/>
              <w:left w:val="single" w:sz="4" w:space="0" w:color="1F497D"/>
              <w:bottom w:val="single" w:sz="4" w:space="0" w:color="1F497D"/>
              <w:right w:val="single" w:sz="4" w:space="0" w:color="1F497D"/>
            </w:tcBorders>
            <w:vAlign w:val="center"/>
            <w:hideMark/>
          </w:tcPr>
          <w:p w:rsidR="00074BF1" w:rsidRPr="00074BF1" w:rsidRDefault="00074BF1" w:rsidP="00074BF1">
            <w:pPr>
              <w:rPr>
                <w:b/>
                <w:bCs/>
                <w:color w:val="000000"/>
                <w:sz w:val="16"/>
                <w:szCs w:val="16"/>
              </w:rPr>
            </w:pPr>
          </w:p>
        </w:tc>
        <w:tc>
          <w:tcPr>
            <w:tcW w:w="335" w:type="pct"/>
            <w:vMerge w:val="restart"/>
            <w:tcBorders>
              <w:top w:val="nil"/>
              <w:left w:val="single" w:sz="4" w:space="0" w:color="1F497D"/>
              <w:bottom w:val="single" w:sz="4" w:space="0" w:color="1F497D"/>
              <w:right w:val="single" w:sz="4" w:space="0" w:color="1F497D"/>
            </w:tcBorders>
            <w:shd w:val="clear" w:color="000000" w:fill="DCE6F1"/>
            <w:vAlign w:val="center"/>
            <w:hideMark/>
          </w:tcPr>
          <w:p w:rsidR="00074BF1" w:rsidRPr="00074BF1" w:rsidRDefault="00074BF1" w:rsidP="00074BF1">
            <w:pPr>
              <w:jc w:val="center"/>
              <w:rPr>
                <w:b/>
                <w:bCs/>
                <w:color w:val="000000"/>
                <w:sz w:val="16"/>
                <w:szCs w:val="16"/>
              </w:rPr>
            </w:pPr>
            <w:r w:rsidRPr="00074BF1">
              <w:rPr>
                <w:b/>
                <w:bCs/>
                <w:color w:val="000000"/>
                <w:sz w:val="16"/>
                <w:szCs w:val="16"/>
              </w:rPr>
              <w:t>Den</w:t>
            </w:r>
          </w:p>
        </w:tc>
        <w:tc>
          <w:tcPr>
            <w:tcW w:w="241" w:type="pct"/>
            <w:tcBorders>
              <w:top w:val="nil"/>
              <w:left w:val="nil"/>
              <w:bottom w:val="single" w:sz="4" w:space="0" w:color="1F497D"/>
              <w:right w:val="single" w:sz="4" w:space="0" w:color="1F497D"/>
            </w:tcBorders>
            <w:shd w:val="clear" w:color="000000" w:fill="DCE6F1"/>
            <w:vAlign w:val="center"/>
            <w:hideMark/>
          </w:tcPr>
          <w:p w:rsidR="00074BF1" w:rsidRPr="00074BF1" w:rsidRDefault="00074BF1" w:rsidP="00074BF1">
            <w:pPr>
              <w:jc w:val="center"/>
              <w:rPr>
                <w:b/>
                <w:bCs/>
                <w:color w:val="000000"/>
                <w:sz w:val="16"/>
                <w:szCs w:val="16"/>
              </w:rPr>
            </w:pPr>
            <w:r w:rsidRPr="00074BF1">
              <w:rPr>
                <w:b/>
                <w:bCs/>
                <w:color w:val="000000"/>
                <w:sz w:val="16"/>
                <w:szCs w:val="16"/>
              </w:rPr>
              <w:t>mil. CZK</w:t>
            </w:r>
          </w:p>
        </w:tc>
        <w:tc>
          <w:tcPr>
            <w:tcW w:w="241" w:type="pct"/>
            <w:vMerge w:val="restart"/>
            <w:tcBorders>
              <w:top w:val="nil"/>
              <w:left w:val="single" w:sz="4" w:space="0" w:color="1F497D"/>
              <w:bottom w:val="single" w:sz="4" w:space="0" w:color="1F497D"/>
              <w:right w:val="single" w:sz="4" w:space="0" w:color="1F497D"/>
            </w:tcBorders>
            <w:shd w:val="clear" w:color="000000" w:fill="DCE6F1"/>
            <w:vAlign w:val="center"/>
            <w:hideMark/>
          </w:tcPr>
          <w:p w:rsidR="00074BF1" w:rsidRPr="00074BF1" w:rsidRDefault="00074BF1" w:rsidP="00074BF1">
            <w:pPr>
              <w:jc w:val="center"/>
              <w:rPr>
                <w:b/>
                <w:bCs/>
                <w:color w:val="000000"/>
                <w:sz w:val="16"/>
                <w:szCs w:val="16"/>
              </w:rPr>
            </w:pPr>
            <w:r w:rsidRPr="00074BF1">
              <w:rPr>
                <w:b/>
                <w:bCs/>
                <w:color w:val="000000"/>
                <w:sz w:val="16"/>
                <w:szCs w:val="16"/>
              </w:rPr>
              <w:t>mil. EUR</w:t>
            </w:r>
          </w:p>
        </w:tc>
        <w:tc>
          <w:tcPr>
            <w:tcW w:w="181" w:type="pct"/>
            <w:tcBorders>
              <w:top w:val="nil"/>
              <w:left w:val="nil"/>
              <w:bottom w:val="single" w:sz="4" w:space="0" w:color="1F497D"/>
              <w:right w:val="single" w:sz="4" w:space="0" w:color="1F497D"/>
            </w:tcBorders>
            <w:shd w:val="clear" w:color="000000" w:fill="DCE6F1"/>
            <w:vAlign w:val="center"/>
            <w:hideMark/>
          </w:tcPr>
          <w:p w:rsidR="00074BF1" w:rsidRPr="00074BF1" w:rsidRDefault="00074BF1" w:rsidP="00074BF1">
            <w:pPr>
              <w:jc w:val="center"/>
              <w:rPr>
                <w:b/>
                <w:bCs/>
                <w:color w:val="000000"/>
                <w:sz w:val="16"/>
                <w:szCs w:val="16"/>
              </w:rPr>
            </w:pPr>
            <w:r w:rsidRPr="00074BF1">
              <w:rPr>
                <w:b/>
                <w:bCs/>
                <w:color w:val="000000"/>
                <w:sz w:val="16"/>
                <w:szCs w:val="16"/>
              </w:rPr>
              <w:t>Počet</w:t>
            </w:r>
          </w:p>
        </w:tc>
        <w:tc>
          <w:tcPr>
            <w:tcW w:w="268" w:type="pct"/>
            <w:tcBorders>
              <w:top w:val="nil"/>
              <w:left w:val="nil"/>
              <w:bottom w:val="single" w:sz="4" w:space="0" w:color="1F497D"/>
              <w:right w:val="single" w:sz="4" w:space="0" w:color="1F497D"/>
            </w:tcBorders>
            <w:shd w:val="clear" w:color="000000" w:fill="DCE6F1"/>
            <w:vAlign w:val="center"/>
            <w:hideMark/>
          </w:tcPr>
          <w:p w:rsidR="00074BF1" w:rsidRPr="00074BF1" w:rsidRDefault="00074BF1" w:rsidP="00074BF1">
            <w:pPr>
              <w:jc w:val="center"/>
              <w:rPr>
                <w:b/>
                <w:bCs/>
                <w:color w:val="000000"/>
                <w:sz w:val="16"/>
                <w:szCs w:val="16"/>
              </w:rPr>
            </w:pPr>
            <w:r w:rsidRPr="00074BF1">
              <w:rPr>
                <w:b/>
                <w:bCs/>
                <w:color w:val="000000"/>
                <w:sz w:val="16"/>
                <w:szCs w:val="16"/>
              </w:rPr>
              <w:t>mil. CZK</w:t>
            </w:r>
          </w:p>
        </w:tc>
        <w:tc>
          <w:tcPr>
            <w:tcW w:w="207" w:type="pct"/>
            <w:tcBorders>
              <w:top w:val="nil"/>
              <w:left w:val="nil"/>
              <w:bottom w:val="single" w:sz="4" w:space="0" w:color="1F497D"/>
              <w:right w:val="single" w:sz="4" w:space="0" w:color="1F497D"/>
            </w:tcBorders>
            <w:shd w:val="clear" w:color="000000" w:fill="DCE6F1"/>
            <w:vAlign w:val="center"/>
            <w:hideMark/>
          </w:tcPr>
          <w:p w:rsidR="00074BF1" w:rsidRPr="00074BF1" w:rsidRDefault="00074BF1" w:rsidP="00074BF1">
            <w:pPr>
              <w:jc w:val="center"/>
              <w:rPr>
                <w:b/>
                <w:bCs/>
                <w:color w:val="000000"/>
                <w:sz w:val="16"/>
                <w:szCs w:val="16"/>
              </w:rPr>
            </w:pPr>
            <w:r w:rsidRPr="00074BF1">
              <w:rPr>
                <w:b/>
                <w:bCs/>
                <w:color w:val="000000"/>
                <w:sz w:val="16"/>
                <w:szCs w:val="16"/>
              </w:rPr>
              <w:t>%</w:t>
            </w:r>
          </w:p>
        </w:tc>
        <w:tc>
          <w:tcPr>
            <w:tcW w:w="234" w:type="pct"/>
            <w:vMerge w:val="restart"/>
            <w:tcBorders>
              <w:top w:val="nil"/>
              <w:left w:val="single" w:sz="4" w:space="0" w:color="1F497D"/>
              <w:bottom w:val="single" w:sz="4" w:space="0" w:color="1F497D"/>
              <w:right w:val="single" w:sz="4" w:space="0" w:color="1F497D"/>
            </w:tcBorders>
            <w:shd w:val="clear" w:color="000000" w:fill="DCE6F1"/>
            <w:vAlign w:val="center"/>
            <w:hideMark/>
          </w:tcPr>
          <w:p w:rsidR="00074BF1" w:rsidRPr="00074BF1" w:rsidRDefault="00074BF1" w:rsidP="00074BF1">
            <w:pPr>
              <w:jc w:val="center"/>
              <w:rPr>
                <w:b/>
                <w:bCs/>
                <w:color w:val="000000"/>
                <w:sz w:val="16"/>
                <w:szCs w:val="16"/>
              </w:rPr>
            </w:pPr>
            <w:r w:rsidRPr="00074BF1">
              <w:rPr>
                <w:b/>
                <w:bCs/>
                <w:color w:val="000000"/>
                <w:sz w:val="16"/>
                <w:szCs w:val="16"/>
              </w:rPr>
              <w:t>mil. EUR</w:t>
            </w:r>
          </w:p>
        </w:tc>
        <w:tc>
          <w:tcPr>
            <w:tcW w:w="174" w:type="pct"/>
            <w:tcBorders>
              <w:top w:val="nil"/>
              <w:left w:val="nil"/>
              <w:bottom w:val="single" w:sz="4" w:space="0" w:color="1F497D"/>
              <w:right w:val="single" w:sz="4" w:space="0" w:color="1F497D"/>
            </w:tcBorders>
            <w:shd w:val="clear" w:color="000000" w:fill="DCE6F1"/>
            <w:vAlign w:val="center"/>
            <w:hideMark/>
          </w:tcPr>
          <w:p w:rsidR="00074BF1" w:rsidRPr="00074BF1" w:rsidRDefault="00074BF1" w:rsidP="00074BF1">
            <w:pPr>
              <w:jc w:val="center"/>
              <w:rPr>
                <w:b/>
                <w:bCs/>
                <w:color w:val="000000"/>
                <w:sz w:val="16"/>
                <w:szCs w:val="16"/>
              </w:rPr>
            </w:pPr>
            <w:r w:rsidRPr="00074BF1">
              <w:rPr>
                <w:b/>
                <w:bCs/>
                <w:color w:val="000000"/>
                <w:sz w:val="16"/>
                <w:szCs w:val="16"/>
              </w:rPr>
              <w:t>Počet</w:t>
            </w:r>
          </w:p>
        </w:tc>
        <w:tc>
          <w:tcPr>
            <w:tcW w:w="261" w:type="pct"/>
            <w:tcBorders>
              <w:top w:val="nil"/>
              <w:left w:val="nil"/>
              <w:bottom w:val="single" w:sz="4" w:space="0" w:color="1F497D"/>
              <w:right w:val="single" w:sz="4" w:space="0" w:color="1F497D"/>
            </w:tcBorders>
            <w:shd w:val="clear" w:color="000000" w:fill="DCE6F1"/>
            <w:vAlign w:val="center"/>
            <w:hideMark/>
          </w:tcPr>
          <w:p w:rsidR="00074BF1" w:rsidRPr="00074BF1" w:rsidRDefault="00074BF1" w:rsidP="00074BF1">
            <w:pPr>
              <w:jc w:val="center"/>
              <w:rPr>
                <w:b/>
                <w:bCs/>
                <w:color w:val="000000"/>
                <w:sz w:val="16"/>
                <w:szCs w:val="16"/>
              </w:rPr>
            </w:pPr>
            <w:r w:rsidRPr="00074BF1">
              <w:rPr>
                <w:b/>
                <w:bCs/>
                <w:color w:val="000000"/>
                <w:sz w:val="16"/>
                <w:szCs w:val="16"/>
              </w:rPr>
              <w:t>mil. CZK</w:t>
            </w:r>
          </w:p>
        </w:tc>
        <w:tc>
          <w:tcPr>
            <w:tcW w:w="214" w:type="pct"/>
            <w:tcBorders>
              <w:top w:val="nil"/>
              <w:left w:val="nil"/>
              <w:bottom w:val="single" w:sz="4" w:space="0" w:color="1F497D"/>
              <w:right w:val="single" w:sz="4" w:space="0" w:color="1F497D"/>
            </w:tcBorders>
            <w:shd w:val="clear" w:color="000000" w:fill="DCE6F1"/>
            <w:vAlign w:val="center"/>
            <w:hideMark/>
          </w:tcPr>
          <w:p w:rsidR="00074BF1" w:rsidRPr="00074BF1" w:rsidRDefault="00074BF1" w:rsidP="00074BF1">
            <w:pPr>
              <w:jc w:val="center"/>
              <w:rPr>
                <w:b/>
                <w:bCs/>
                <w:color w:val="000000"/>
                <w:sz w:val="16"/>
                <w:szCs w:val="16"/>
              </w:rPr>
            </w:pPr>
            <w:r w:rsidRPr="00074BF1">
              <w:rPr>
                <w:b/>
                <w:bCs/>
                <w:color w:val="000000"/>
                <w:sz w:val="16"/>
                <w:szCs w:val="16"/>
              </w:rPr>
              <w:t>%</w:t>
            </w:r>
          </w:p>
        </w:tc>
        <w:tc>
          <w:tcPr>
            <w:tcW w:w="214" w:type="pct"/>
            <w:vMerge w:val="restart"/>
            <w:tcBorders>
              <w:top w:val="nil"/>
              <w:left w:val="single" w:sz="4" w:space="0" w:color="1F497D"/>
              <w:bottom w:val="single" w:sz="4" w:space="0" w:color="1F497D"/>
              <w:right w:val="single" w:sz="4" w:space="0" w:color="1F497D"/>
            </w:tcBorders>
            <w:shd w:val="clear" w:color="000000" w:fill="DCE6F1"/>
            <w:vAlign w:val="center"/>
            <w:hideMark/>
          </w:tcPr>
          <w:p w:rsidR="00074BF1" w:rsidRPr="00074BF1" w:rsidRDefault="00074BF1" w:rsidP="00074BF1">
            <w:pPr>
              <w:jc w:val="center"/>
              <w:rPr>
                <w:b/>
                <w:bCs/>
                <w:color w:val="000000"/>
                <w:sz w:val="16"/>
                <w:szCs w:val="16"/>
              </w:rPr>
            </w:pPr>
            <w:r w:rsidRPr="00074BF1">
              <w:rPr>
                <w:b/>
                <w:bCs/>
                <w:color w:val="000000"/>
                <w:sz w:val="16"/>
                <w:szCs w:val="16"/>
              </w:rPr>
              <w:t>mil. EUR</w:t>
            </w:r>
          </w:p>
        </w:tc>
        <w:tc>
          <w:tcPr>
            <w:tcW w:w="261" w:type="pct"/>
            <w:tcBorders>
              <w:top w:val="nil"/>
              <w:left w:val="nil"/>
              <w:bottom w:val="single" w:sz="4" w:space="0" w:color="1F497D"/>
              <w:right w:val="single" w:sz="4" w:space="0" w:color="1F497D"/>
            </w:tcBorders>
            <w:shd w:val="clear" w:color="000000" w:fill="DCE6F1"/>
            <w:vAlign w:val="center"/>
            <w:hideMark/>
          </w:tcPr>
          <w:p w:rsidR="00074BF1" w:rsidRPr="00074BF1" w:rsidRDefault="00074BF1" w:rsidP="00074BF1">
            <w:pPr>
              <w:jc w:val="center"/>
              <w:rPr>
                <w:b/>
                <w:bCs/>
                <w:color w:val="000000"/>
                <w:sz w:val="16"/>
                <w:szCs w:val="16"/>
              </w:rPr>
            </w:pPr>
            <w:r w:rsidRPr="00074BF1">
              <w:rPr>
                <w:b/>
                <w:bCs/>
                <w:color w:val="000000"/>
                <w:sz w:val="16"/>
                <w:szCs w:val="16"/>
              </w:rPr>
              <w:t>mil. CZK</w:t>
            </w:r>
          </w:p>
        </w:tc>
        <w:tc>
          <w:tcPr>
            <w:tcW w:w="228" w:type="pct"/>
            <w:tcBorders>
              <w:top w:val="nil"/>
              <w:left w:val="nil"/>
              <w:bottom w:val="single" w:sz="4" w:space="0" w:color="1F497D"/>
              <w:right w:val="single" w:sz="4" w:space="0" w:color="1F497D"/>
            </w:tcBorders>
            <w:shd w:val="clear" w:color="000000" w:fill="DCE6F1"/>
            <w:vAlign w:val="center"/>
            <w:hideMark/>
          </w:tcPr>
          <w:p w:rsidR="00074BF1" w:rsidRPr="00074BF1" w:rsidRDefault="00074BF1" w:rsidP="00074BF1">
            <w:pPr>
              <w:jc w:val="center"/>
              <w:rPr>
                <w:b/>
                <w:bCs/>
                <w:color w:val="000000"/>
                <w:sz w:val="16"/>
                <w:szCs w:val="16"/>
              </w:rPr>
            </w:pPr>
            <w:r w:rsidRPr="00074BF1">
              <w:rPr>
                <w:b/>
                <w:bCs/>
                <w:color w:val="000000"/>
                <w:sz w:val="16"/>
                <w:szCs w:val="16"/>
              </w:rPr>
              <w:t>%</w:t>
            </w:r>
          </w:p>
        </w:tc>
        <w:tc>
          <w:tcPr>
            <w:tcW w:w="254" w:type="pct"/>
            <w:vMerge w:val="restart"/>
            <w:tcBorders>
              <w:top w:val="nil"/>
              <w:left w:val="single" w:sz="4" w:space="0" w:color="1F497D"/>
              <w:bottom w:val="single" w:sz="4" w:space="0" w:color="1F497D"/>
              <w:right w:val="single" w:sz="4" w:space="0" w:color="1F497D"/>
            </w:tcBorders>
            <w:shd w:val="clear" w:color="000000" w:fill="DCE6F1"/>
            <w:vAlign w:val="center"/>
            <w:hideMark/>
          </w:tcPr>
          <w:p w:rsidR="00074BF1" w:rsidRPr="00074BF1" w:rsidRDefault="00074BF1" w:rsidP="00074BF1">
            <w:pPr>
              <w:jc w:val="center"/>
              <w:rPr>
                <w:b/>
                <w:bCs/>
                <w:color w:val="000000"/>
                <w:sz w:val="16"/>
                <w:szCs w:val="16"/>
              </w:rPr>
            </w:pPr>
            <w:r w:rsidRPr="00074BF1">
              <w:rPr>
                <w:b/>
                <w:bCs/>
                <w:color w:val="000000"/>
                <w:sz w:val="16"/>
                <w:szCs w:val="16"/>
              </w:rPr>
              <w:t>mil. EUR</w:t>
            </w:r>
          </w:p>
        </w:tc>
        <w:tc>
          <w:tcPr>
            <w:tcW w:w="288" w:type="pct"/>
            <w:tcBorders>
              <w:top w:val="nil"/>
              <w:left w:val="nil"/>
              <w:bottom w:val="single" w:sz="4" w:space="0" w:color="1F497D"/>
              <w:right w:val="single" w:sz="4" w:space="0" w:color="1F497D"/>
            </w:tcBorders>
            <w:shd w:val="clear" w:color="000000" w:fill="DCE6F1"/>
            <w:vAlign w:val="center"/>
            <w:hideMark/>
          </w:tcPr>
          <w:p w:rsidR="00074BF1" w:rsidRPr="00074BF1" w:rsidRDefault="00074BF1" w:rsidP="00074BF1">
            <w:pPr>
              <w:jc w:val="center"/>
              <w:rPr>
                <w:b/>
                <w:bCs/>
                <w:color w:val="000000"/>
                <w:sz w:val="16"/>
                <w:szCs w:val="16"/>
              </w:rPr>
            </w:pPr>
            <w:r w:rsidRPr="00074BF1">
              <w:rPr>
                <w:b/>
                <w:bCs/>
                <w:color w:val="000000"/>
                <w:sz w:val="16"/>
                <w:szCs w:val="16"/>
              </w:rPr>
              <w:t>mil. CZK</w:t>
            </w:r>
          </w:p>
        </w:tc>
        <w:tc>
          <w:tcPr>
            <w:tcW w:w="214" w:type="pct"/>
            <w:tcBorders>
              <w:top w:val="nil"/>
              <w:left w:val="nil"/>
              <w:bottom w:val="single" w:sz="4" w:space="0" w:color="1F497D"/>
              <w:right w:val="single" w:sz="4" w:space="0" w:color="1F497D"/>
            </w:tcBorders>
            <w:shd w:val="clear" w:color="000000" w:fill="DCE6F1"/>
            <w:vAlign w:val="center"/>
            <w:hideMark/>
          </w:tcPr>
          <w:p w:rsidR="00074BF1" w:rsidRPr="00074BF1" w:rsidRDefault="00074BF1" w:rsidP="00074BF1">
            <w:pPr>
              <w:jc w:val="center"/>
              <w:rPr>
                <w:b/>
                <w:bCs/>
                <w:color w:val="000000"/>
                <w:sz w:val="16"/>
                <w:szCs w:val="16"/>
              </w:rPr>
            </w:pPr>
            <w:r w:rsidRPr="00074BF1">
              <w:rPr>
                <w:b/>
                <w:bCs/>
                <w:color w:val="000000"/>
                <w:sz w:val="16"/>
                <w:szCs w:val="16"/>
              </w:rPr>
              <w:t>%</w:t>
            </w:r>
          </w:p>
        </w:tc>
        <w:tc>
          <w:tcPr>
            <w:tcW w:w="254" w:type="pct"/>
            <w:vMerge w:val="restart"/>
            <w:tcBorders>
              <w:top w:val="nil"/>
              <w:left w:val="single" w:sz="4" w:space="0" w:color="1F497D"/>
              <w:bottom w:val="single" w:sz="4" w:space="0" w:color="1F497D"/>
              <w:right w:val="single" w:sz="4" w:space="0" w:color="1F497D"/>
            </w:tcBorders>
            <w:shd w:val="clear" w:color="000000" w:fill="DCE6F1"/>
            <w:vAlign w:val="center"/>
            <w:hideMark/>
          </w:tcPr>
          <w:p w:rsidR="00074BF1" w:rsidRPr="00074BF1" w:rsidRDefault="00074BF1" w:rsidP="00074BF1">
            <w:pPr>
              <w:jc w:val="center"/>
              <w:rPr>
                <w:b/>
                <w:bCs/>
                <w:color w:val="000000"/>
                <w:sz w:val="16"/>
                <w:szCs w:val="16"/>
              </w:rPr>
            </w:pPr>
            <w:r w:rsidRPr="00074BF1">
              <w:rPr>
                <w:b/>
                <w:bCs/>
                <w:color w:val="000000"/>
                <w:sz w:val="16"/>
                <w:szCs w:val="16"/>
              </w:rPr>
              <w:t>mil. EUR</w:t>
            </w:r>
          </w:p>
        </w:tc>
        <w:tc>
          <w:tcPr>
            <w:tcW w:w="274" w:type="pct"/>
            <w:tcBorders>
              <w:top w:val="nil"/>
              <w:left w:val="nil"/>
              <w:bottom w:val="single" w:sz="4" w:space="0" w:color="1F497D"/>
              <w:right w:val="single" w:sz="4" w:space="0" w:color="1F497D"/>
            </w:tcBorders>
            <w:shd w:val="clear" w:color="000000" w:fill="DCE6F1"/>
            <w:vAlign w:val="center"/>
            <w:hideMark/>
          </w:tcPr>
          <w:p w:rsidR="00074BF1" w:rsidRPr="00074BF1" w:rsidRDefault="00074BF1" w:rsidP="00074BF1">
            <w:pPr>
              <w:jc w:val="center"/>
              <w:rPr>
                <w:b/>
                <w:bCs/>
                <w:color w:val="000000"/>
                <w:sz w:val="16"/>
                <w:szCs w:val="16"/>
              </w:rPr>
            </w:pPr>
            <w:r w:rsidRPr="00074BF1">
              <w:rPr>
                <w:b/>
                <w:bCs/>
                <w:color w:val="000000"/>
                <w:sz w:val="16"/>
                <w:szCs w:val="16"/>
              </w:rPr>
              <w:t>mil. CZK</w:t>
            </w:r>
          </w:p>
        </w:tc>
        <w:tc>
          <w:tcPr>
            <w:tcW w:w="207" w:type="pct"/>
            <w:tcBorders>
              <w:top w:val="nil"/>
              <w:left w:val="nil"/>
              <w:bottom w:val="single" w:sz="4" w:space="0" w:color="1F497D"/>
              <w:right w:val="single" w:sz="4" w:space="0" w:color="1F497D"/>
            </w:tcBorders>
            <w:shd w:val="clear" w:color="000000" w:fill="DCE6F1"/>
            <w:vAlign w:val="center"/>
            <w:hideMark/>
          </w:tcPr>
          <w:p w:rsidR="00074BF1" w:rsidRPr="00074BF1" w:rsidRDefault="00074BF1" w:rsidP="00074BF1">
            <w:pPr>
              <w:jc w:val="center"/>
              <w:rPr>
                <w:b/>
                <w:bCs/>
                <w:color w:val="000000"/>
                <w:sz w:val="16"/>
                <w:szCs w:val="16"/>
              </w:rPr>
            </w:pPr>
            <w:r w:rsidRPr="00074BF1">
              <w:rPr>
                <w:b/>
                <w:bCs/>
                <w:color w:val="000000"/>
                <w:sz w:val="16"/>
                <w:szCs w:val="16"/>
              </w:rPr>
              <w:t>%</w:t>
            </w:r>
          </w:p>
        </w:tc>
        <w:tc>
          <w:tcPr>
            <w:tcW w:w="207" w:type="pct"/>
            <w:vMerge w:val="restart"/>
            <w:tcBorders>
              <w:top w:val="nil"/>
              <w:left w:val="single" w:sz="4" w:space="0" w:color="1F497D"/>
              <w:bottom w:val="single" w:sz="4" w:space="0" w:color="1F497D"/>
              <w:right w:val="single" w:sz="4" w:space="0" w:color="1F497D"/>
            </w:tcBorders>
            <w:shd w:val="clear" w:color="000000" w:fill="DCE6F1"/>
            <w:vAlign w:val="center"/>
            <w:hideMark/>
          </w:tcPr>
          <w:p w:rsidR="00074BF1" w:rsidRPr="00074BF1" w:rsidRDefault="00074BF1" w:rsidP="00074BF1">
            <w:pPr>
              <w:jc w:val="center"/>
              <w:rPr>
                <w:b/>
                <w:bCs/>
                <w:color w:val="000000"/>
                <w:sz w:val="16"/>
                <w:szCs w:val="16"/>
              </w:rPr>
            </w:pPr>
            <w:r w:rsidRPr="00074BF1">
              <w:rPr>
                <w:b/>
                <w:bCs/>
                <w:color w:val="000000"/>
                <w:sz w:val="16"/>
                <w:szCs w:val="16"/>
              </w:rPr>
              <w:t>mil. EUR</w:t>
            </w:r>
          </w:p>
        </w:tc>
      </w:tr>
      <w:tr w:rsidR="00074BF1" w:rsidRPr="00074BF1" w:rsidTr="00074BF1">
        <w:trPr>
          <w:trHeight w:val="225"/>
        </w:trPr>
        <w:tc>
          <w:tcPr>
            <w:tcW w:w="241" w:type="pct"/>
            <w:vMerge/>
            <w:tcBorders>
              <w:top w:val="single" w:sz="4" w:space="0" w:color="1F497D"/>
              <w:left w:val="single" w:sz="4" w:space="0" w:color="1F497D"/>
              <w:bottom w:val="single" w:sz="4" w:space="0" w:color="1F497D"/>
              <w:right w:val="single" w:sz="4" w:space="0" w:color="1F497D"/>
            </w:tcBorders>
            <w:vAlign w:val="center"/>
            <w:hideMark/>
          </w:tcPr>
          <w:p w:rsidR="00074BF1" w:rsidRPr="00074BF1" w:rsidRDefault="00074BF1" w:rsidP="00074BF1">
            <w:pPr>
              <w:rPr>
                <w:b/>
                <w:bCs/>
                <w:color w:val="000000"/>
                <w:sz w:val="16"/>
                <w:szCs w:val="16"/>
              </w:rPr>
            </w:pPr>
          </w:p>
        </w:tc>
        <w:tc>
          <w:tcPr>
            <w:tcW w:w="335" w:type="pct"/>
            <w:vMerge/>
            <w:tcBorders>
              <w:top w:val="nil"/>
              <w:left w:val="single" w:sz="4" w:space="0" w:color="1F497D"/>
              <w:bottom w:val="single" w:sz="4" w:space="0" w:color="1F497D"/>
              <w:right w:val="single" w:sz="4" w:space="0" w:color="1F497D"/>
            </w:tcBorders>
            <w:vAlign w:val="center"/>
            <w:hideMark/>
          </w:tcPr>
          <w:p w:rsidR="00074BF1" w:rsidRPr="00074BF1" w:rsidRDefault="00074BF1" w:rsidP="00074BF1">
            <w:pPr>
              <w:rPr>
                <w:b/>
                <w:bCs/>
                <w:color w:val="000000"/>
                <w:sz w:val="16"/>
                <w:szCs w:val="16"/>
              </w:rPr>
            </w:pPr>
          </w:p>
        </w:tc>
        <w:tc>
          <w:tcPr>
            <w:tcW w:w="241" w:type="pct"/>
            <w:tcBorders>
              <w:top w:val="nil"/>
              <w:left w:val="nil"/>
              <w:bottom w:val="single" w:sz="4" w:space="0" w:color="1F497D"/>
              <w:right w:val="single" w:sz="4" w:space="0" w:color="1F497D"/>
            </w:tcBorders>
            <w:shd w:val="clear" w:color="000000" w:fill="DCE6F1"/>
            <w:vAlign w:val="center"/>
            <w:hideMark/>
          </w:tcPr>
          <w:p w:rsidR="00074BF1" w:rsidRPr="00074BF1" w:rsidRDefault="00074BF1" w:rsidP="00074BF1">
            <w:pPr>
              <w:jc w:val="center"/>
              <w:rPr>
                <w:b/>
                <w:bCs/>
                <w:color w:val="000000"/>
                <w:sz w:val="16"/>
                <w:szCs w:val="16"/>
              </w:rPr>
            </w:pPr>
            <w:r w:rsidRPr="00074BF1">
              <w:rPr>
                <w:b/>
                <w:bCs/>
                <w:color w:val="000000"/>
                <w:sz w:val="16"/>
                <w:szCs w:val="16"/>
              </w:rPr>
              <w:t xml:space="preserve">a </w:t>
            </w:r>
          </w:p>
        </w:tc>
        <w:tc>
          <w:tcPr>
            <w:tcW w:w="241" w:type="pct"/>
            <w:vMerge/>
            <w:tcBorders>
              <w:top w:val="nil"/>
              <w:left w:val="single" w:sz="4" w:space="0" w:color="1F497D"/>
              <w:bottom w:val="single" w:sz="4" w:space="0" w:color="1F497D"/>
              <w:right w:val="single" w:sz="4" w:space="0" w:color="1F497D"/>
            </w:tcBorders>
            <w:vAlign w:val="center"/>
            <w:hideMark/>
          </w:tcPr>
          <w:p w:rsidR="00074BF1" w:rsidRPr="00074BF1" w:rsidRDefault="00074BF1" w:rsidP="00074BF1">
            <w:pPr>
              <w:rPr>
                <w:b/>
                <w:bCs/>
                <w:color w:val="000000"/>
                <w:sz w:val="16"/>
                <w:szCs w:val="16"/>
              </w:rPr>
            </w:pPr>
          </w:p>
        </w:tc>
        <w:tc>
          <w:tcPr>
            <w:tcW w:w="181" w:type="pct"/>
            <w:tcBorders>
              <w:top w:val="nil"/>
              <w:left w:val="nil"/>
              <w:bottom w:val="single" w:sz="4" w:space="0" w:color="1F497D"/>
              <w:right w:val="single" w:sz="4" w:space="0" w:color="1F497D"/>
            </w:tcBorders>
            <w:shd w:val="clear" w:color="000000" w:fill="DCE6F1"/>
            <w:vAlign w:val="center"/>
            <w:hideMark/>
          </w:tcPr>
          <w:p w:rsidR="00074BF1" w:rsidRPr="00074BF1" w:rsidRDefault="00074BF1" w:rsidP="00074BF1">
            <w:pPr>
              <w:jc w:val="center"/>
              <w:rPr>
                <w:b/>
                <w:bCs/>
                <w:color w:val="000000"/>
                <w:sz w:val="16"/>
                <w:szCs w:val="16"/>
              </w:rPr>
            </w:pPr>
            <w:r w:rsidRPr="00074BF1">
              <w:rPr>
                <w:b/>
                <w:bCs/>
                <w:color w:val="000000"/>
                <w:sz w:val="16"/>
                <w:szCs w:val="16"/>
              </w:rPr>
              <w:t>b</w:t>
            </w:r>
          </w:p>
        </w:tc>
        <w:tc>
          <w:tcPr>
            <w:tcW w:w="268" w:type="pct"/>
            <w:tcBorders>
              <w:top w:val="nil"/>
              <w:left w:val="nil"/>
              <w:bottom w:val="single" w:sz="4" w:space="0" w:color="1F497D"/>
              <w:right w:val="single" w:sz="4" w:space="0" w:color="1F497D"/>
            </w:tcBorders>
            <w:shd w:val="clear" w:color="000000" w:fill="DCE6F1"/>
            <w:vAlign w:val="center"/>
            <w:hideMark/>
          </w:tcPr>
          <w:p w:rsidR="00074BF1" w:rsidRPr="00074BF1" w:rsidRDefault="00074BF1" w:rsidP="00074BF1">
            <w:pPr>
              <w:jc w:val="center"/>
              <w:rPr>
                <w:b/>
                <w:bCs/>
                <w:color w:val="000000"/>
                <w:sz w:val="16"/>
                <w:szCs w:val="16"/>
              </w:rPr>
            </w:pPr>
            <w:r w:rsidRPr="00074BF1">
              <w:rPr>
                <w:b/>
                <w:bCs/>
                <w:color w:val="000000"/>
                <w:sz w:val="16"/>
                <w:szCs w:val="16"/>
              </w:rPr>
              <w:t>c</w:t>
            </w:r>
          </w:p>
        </w:tc>
        <w:tc>
          <w:tcPr>
            <w:tcW w:w="207" w:type="pct"/>
            <w:tcBorders>
              <w:top w:val="nil"/>
              <w:left w:val="nil"/>
              <w:bottom w:val="single" w:sz="4" w:space="0" w:color="1F497D"/>
              <w:right w:val="single" w:sz="4" w:space="0" w:color="1F497D"/>
            </w:tcBorders>
            <w:shd w:val="clear" w:color="000000" w:fill="DCE6F1"/>
            <w:vAlign w:val="center"/>
            <w:hideMark/>
          </w:tcPr>
          <w:p w:rsidR="00074BF1" w:rsidRPr="00074BF1" w:rsidRDefault="00074BF1" w:rsidP="00074BF1">
            <w:pPr>
              <w:jc w:val="center"/>
              <w:rPr>
                <w:b/>
                <w:bCs/>
                <w:color w:val="000000"/>
                <w:sz w:val="16"/>
                <w:szCs w:val="16"/>
              </w:rPr>
            </w:pPr>
            <w:r w:rsidRPr="00074BF1">
              <w:rPr>
                <w:b/>
                <w:bCs/>
                <w:color w:val="000000"/>
                <w:sz w:val="16"/>
                <w:szCs w:val="16"/>
              </w:rPr>
              <w:t>c/a</w:t>
            </w:r>
          </w:p>
        </w:tc>
        <w:tc>
          <w:tcPr>
            <w:tcW w:w="234" w:type="pct"/>
            <w:vMerge/>
            <w:tcBorders>
              <w:top w:val="nil"/>
              <w:left w:val="single" w:sz="4" w:space="0" w:color="1F497D"/>
              <w:bottom w:val="single" w:sz="4" w:space="0" w:color="1F497D"/>
              <w:right w:val="single" w:sz="4" w:space="0" w:color="1F497D"/>
            </w:tcBorders>
            <w:vAlign w:val="center"/>
            <w:hideMark/>
          </w:tcPr>
          <w:p w:rsidR="00074BF1" w:rsidRPr="00074BF1" w:rsidRDefault="00074BF1" w:rsidP="00074BF1">
            <w:pPr>
              <w:rPr>
                <w:b/>
                <w:bCs/>
                <w:color w:val="000000"/>
                <w:sz w:val="16"/>
                <w:szCs w:val="16"/>
              </w:rPr>
            </w:pPr>
          </w:p>
        </w:tc>
        <w:tc>
          <w:tcPr>
            <w:tcW w:w="174" w:type="pct"/>
            <w:tcBorders>
              <w:top w:val="nil"/>
              <w:left w:val="nil"/>
              <w:bottom w:val="single" w:sz="4" w:space="0" w:color="1F497D"/>
              <w:right w:val="single" w:sz="4" w:space="0" w:color="1F497D"/>
            </w:tcBorders>
            <w:shd w:val="clear" w:color="000000" w:fill="DCE6F1"/>
            <w:vAlign w:val="center"/>
            <w:hideMark/>
          </w:tcPr>
          <w:p w:rsidR="00074BF1" w:rsidRPr="00074BF1" w:rsidRDefault="00074BF1" w:rsidP="00074BF1">
            <w:pPr>
              <w:jc w:val="center"/>
              <w:rPr>
                <w:b/>
                <w:bCs/>
                <w:color w:val="000000"/>
                <w:sz w:val="16"/>
                <w:szCs w:val="16"/>
              </w:rPr>
            </w:pPr>
            <w:r w:rsidRPr="00074BF1">
              <w:rPr>
                <w:b/>
                <w:bCs/>
                <w:color w:val="000000"/>
                <w:sz w:val="16"/>
                <w:szCs w:val="16"/>
              </w:rPr>
              <w:t>d</w:t>
            </w:r>
          </w:p>
        </w:tc>
        <w:tc>
          <w:tcPr>
            <w:tcW w:w="261" w:type="pct"/>
            <w:tcBorders>
              <w:top w:val="nil"/>
              <w:left w:val="nil"/>
              <w:bottom w:val="single" w:sz="4" w:space="0" w:color="1F497D"/>
              <w:right w:val="single" w:sz="4" w:space="0" w:color="1F497D"/>
            </w:tcBorders>
            <w:shd w:val="clear" w:color="000000" w:fill="DCE6F1"/>
            <w:vAlign w:val="center"/>
            <w:hideMark/>
          </w:tcPr>
          <w:p w:rsidR="00074BF1" w:rsidRPr="00074BF1" w:rsidRDefault="00074BF1" w:rsidP="00074BF1">
            <w:pPr>
              <w:jc w:val="center"/>
              <w:rPr>
                <w:b/>
                <w:bCs/>
                <w:color w:val="000000"/>
                <w:sz w:val="16"/>
                <w:szCs w:val="16"/>
              </w:rPr>
            </w:pPr>
            <w:r w:rsidRPr="00074BF1">
              <w:rPr>
                <w:b/>
                <w:bCs/>
                <w:color w:val="000000"/>
                <w:sz w:val="16"/>
                <w:szCs w:val="16"/>
              </w:rPr>
              <w:t>e</w:t>
            </w:r>
          </w:p>
        </w:tc>
        <w:tc>
          <w:tcPr>
            <w:tcW w:w="214" w:type="pct"/>
            <w:tcBorders>
              <w:top w:val="nil"/>
              <w:left w:val="nil"/>
              <w:bottom w:val="single" w:sz="4" w:space="0" w:color="1F497D"/>
              <w:right w:val="single" w:sz="4" w:space="0" w:color="1F497D"/>
            </w:tcBorders>
            <w:shd w:val="clear" w:color="000000" w:fill="DCE6F1"/>
            <w:vAlign w:val="center"/>
            <w:hideMark/>
          </w:tcPr>
          <w:p w:rsidR="00074BF1" w:rsidRPr="00074BF1" w:rsidRDefault="00074BF1" w:rsidP="00074BF1">
            <w:pPr>
              <w:jc w:val="center"/>
              <w:rPr>
                <w:b/>
                <w:bCs/>
                <w:color w:val="000000"/>
                <w:sz w:val="16"/>
                <w:szCs w:val="16"/>
              </w:rPr>
            </w:pPr>
            <w:r w:rsidRPr="00074BF1">
              <w:rPr>
                <w:b/>
                <w:bCs/>
                <w:color w:val="000000"/>
                <w:sz w:val="16"/>
                <w:szCs w:val="16"/>
              </w:rPr>
              <w:t xml:space="preserve">e/a </w:t>
            </w:r>
          </w:p>
        </w:tc>
        <w:tc>
          <w:tcPr>
            <w:tcW w:w="214" w:type="pct"/>
            <w:vMerge/>
            <w:tcBorders>
              <w:top w:val="nil"/>
              <w:left w:val="single" w:sz="4" w:space="0" w:color="1F497D"/>
              <w:bottom w:val="single" w:sz="4" w:space="0" w:color="1F497D"/>
              <w:right w:val="single" w:sz="4" w:space="0" w:color="1F497D"/>
            </w:tcBorders>
            <w:vAlign w:val="center"/>
            <w:hideMark/>
          </w:tcPr>
          <w:p w:rsidR="00074BF1" w:rsidRPr="00074BF1" w:rsidRDefault="00074BF1" w:rsidP="00074BF1">
            <w:pPr>
              <w:rPr>
                <w:b/>
                <w:bCs/>
                <w:color w:val="000000"/>
                <w:sz w:val="16"/>
                <w:szCs w:val="16"/>
              </w:rPr>
            </w:pPr>
          </w:p>
        </w:tc>
        <w:tc>
          <w:tcPr>
            <w:tcW w:w="261" w:type="pct"/>
            <w:tcBorders>
              <w:top w:val="nil"/>
              <w:left w:val="nil"/>
              <w:bottom w:val="single" w:sz="4" w:space="0" w:color="1F497D"/>
              <w:right w:val="single" w:sz="4" w:space="0" w:color="1F497D"/>
            </w:tcBorders>
            <w:shd w:val="clear" w:color="000000" w:fill="DCE6F1"/>
            <w:vAlign w:val="center"/>
            <w:hideMark/>
          </w:tcPr>
          <w:p w:rsidR="00074BF1" w:rsidRPr="00074BF1" w:rsidRDefault="00074BF1" w:rsidP="00074BF1">
            <w:pPr>
              <w:jc w:val="center"/>
              <w:rPr>
                <w:b/>
                <w:bCs/>
                <w:color w:val="000000"/>
                <w:sz w:val="16"/>
                <w:szCs w:val="16"/>
              </w:rPr>
            </w:pPr>
            <w:r w:rsidRPr="00074BF1">
              <w:rPr>
                <w:b/>
                <w:bCs/>
                <w:color w:val="000000"/>
                <w:sz w:val="16"/>
                <w:szCs w:val="16"/>
              </w:rPr>
              <w:t>f</w:t>
            </w:r>
          </w:p>
        </w:tc>
        <w:tc>
          <w:tcPr>
            <w:tcW w:w="228" w:type="pct"/>
            <w:tcBorders>
              <w:top w:val="nil"/>
              <w:left w:val="nil"/>
              <w:bottom w:val="single" w:sz="4" w:space="0" w:color="1F497D"/>
              <w:right w:val="single" w:sz="4" w:space="0" w:color="1F497D"/>
            </w:tcBorders>
            <w:shd w:val="clear" w:color="000000" w:fill="DCE6F1"/>
            <w:vAlign w:val="center"/>
            <w:hideMark/>
          </w:tcPr>
          <w:p w:rsidR="00074BF1" w:rsidRPr="00074BF1" w:rsidRDefault="00074BF1" w:rsidP="00074BF1">
            <w:pPr>
              <w:jc w:val="center"/>
              <w:rPr>
                <w:b/>
                <w:bCs/>
                <w:color w:val="000000"/>
                <w:sz w:val="16"/>
                <w:szCs w:val="16"/>
              </w:rPr>
            </w:pPr>
            <w:r w:rsidRPr="00074BF1">
              <w:rPr>
                <w:b/>
                <w:bCs/>
                <w:color w:val="000000"/>
                <w:sz w:val="16"/>
                <w:szCs w:val="16"/>
              </w:rPr>
              <w:t xml:space="preserve">f/a </w:t>
            </w:r>
          </w:p>
        </w:tc>
        <w:tc>
          <w:tcPr>
            <w:tcW w:w="254" w:type="pct"/>
            <w:vMerge/>
            <w:tcBorders>
              <w:top w:val="nil"/>
              <w:left w:val="single" w:sz="4" w:space="0" w:color="1F497D"/>
              <w:bottom w:val="single" w:sz="4" w:space="0" w:color="1F497D"/>
              <w:right w:val="single" w:sz="4" w:space="0" w:color="1F497D"/>
            </w:tcBorders>
            <w:vAlign w:val="center"/>
            <w:hideMark/>
          </w:tcPr>
          <w:p w:rsidR="00074BF1" w:rsidRPr="00074BF1" w:rsidRDefault="00074BF1" w:rsidP="00074BF1">
            <w:pPr>
              <w:rPr>
                <w:b/>
                <w:bCs/>
                <w:color w:val="000000"/>
                <w:sz w:val="16"/>
                <w:szCs w:val="16"/>
              </w:rPr>
            </w:pPr>
          </w:p>
        </w:tc>
        <w:tc>
          <w:tcPr>
            <w:tcW w:w="288" w:type="pct"/>
            <w:tcBorders>
              <w:top w:val="nil"/>
              <w:left w:val="nil"/>
              <w:bottom w:val="single" w:sz="4" w:space="0" w:color="1F497D"/>
              <w:right w:val="single" w:sz="4" w:space="0" w:color="1F497D"/>
            </w:tcBorders>
            <w:shd w:val="clear" w:color="000000" w:fill="DCE6F1"/>
            <w:vAlign w:val="center"/>
            <w:hideMark/>
          </w:tcPr>
          <w:p w:rsidR="00074BF1" w:rsidRPr="00074BF1" w:rsidRDefault="00074BF1" w:rsidP="00074BF1">
            <w:pPr>
              <w:jc w:val="center"/>
              <w:rPr>
                <w:b/>
                <w:bCs/>
                <w:color w:val="000000"/>
                <w:sz w:val="16"/>
                <w:szCs w:val="16"/>
              </w:rPr>
            </w:pPr>
            <w:r w:rsidRPr="00074BF1">
              <w:rPr>
                <w:b/>
                <w:bCs/>
                <w:color w:val="000000"/>
                <w:sz w:val="16"/>
                <w:szCs w:val="16"/>
              </w:rPr>
              <w:t>g</w:t>
            </w:r>
          </w:p>
        </w:tc>
        <w:tc>
          <w:tcPr>
            <w:tcW w:w="214" w:type="pct"/>
            <w:tcBorders>
              <w:top w:val="nil"/>
              <w:left w:val="nil"/>
              <w:bottom w:val="single" w:sz="4" w:space="0" w:color="1F497D"/>
              <w:right w:val="single" w:sz="4" w:space="0" w:color="1F497D"/>
            </w:tcBorders>
            <w:shd w:val="clear" w:color="000000" w:fill="DCE6F1"/>
            <w:vAlign w:val="center"/>
            <w:hideMark/>
          </w:tcPr>
          <w:p w:rsidR="00074BF1" w:rsidRPr="00074BF1" w:rsidRDefault="00074BF1" w:rsidP="00074BF1">
            <w:pPr>
              <w:jc w:val="center"/>
              <w:rPr>
                <w:b/>
                <w:bCs/>
                <w:color w:val="000000"/>
                <w:sz w:val="16"/>
                <w:szCs w:val="16"/>
              </w:rPr>
            </w:pPr>
            <w:r w:rsidRPr="00074BF1">
              <w:rPr>
                <w:b/>
                <w:bCs/>
                <w:color w:val="000000"/>
                <w:sz w:val="16"/>
                <w:szCs w:val="16"/>
              </w:rPr>
              <w:t xml:space="preserve">g/a </w:t>
            </w:r>
          </w:p>
        </w:tc>
        <w:tc>
          <w:tcPr>
            <w:tcW w:w="254" w:type="pct"/>
            <w:vMerge/>
            <w:tcBorders>
              <w:top w:val="nil"/>
              <w:left w:val="single" w:sz="4" w:space="0" w:color="1F497D"/>
              <w:bottom w:val="single" w:sz="4" w:space="0" w:color="1F497D"/>
              <w:right w:val="single" w:sz="4" w:space="0" w:color="1F497D"/>
            </w:tcBorders>
            <w:vAlign w:val="center"/>
            <w:hideMark/>
          </w:tcPr>
          <w:p w:rsidR="00074BF1" w:rsidRPr="00074BF1" w:rsidRDefault="00074BF1" w:rsidP="00074BF1">
            <w:pPr>
              <w:rPr>
                <w:b/>
                <w:bCs/>
                <w:color w:val="000000"/>
                <w:sz w:val="16"/>
                <w:szCs w:val="16"/>
              </w:rPr>
            </w:pPr>
          </w:p>
        </w:tc>
        <w:tc>
          <w:tcPr>
            <w:tcW w:w="274" w:type="pct"/>
            <w:tcBorders>
              <w:top w:val="nil"/>
              <w:left w:val="nil"/>
              <w:bottom w:val="single" w:sz="4" w:space="0" w:color="1F497D"/>
              <w:right w:val="single" w:sz="4" w:space="0" w:color="1F497D"/>
            </w:tcBorders>
            <w:shd w:val="clear" w:color="000000" w:fill="DCE6F1"/>
            <w:vAlign w:val="center"/>
            <w:hideMark/>
          </w:tcPr>
          <w:p w:rsidR="00074BF1" w:rsidRPr="00074BF1" w:rsidRDefault="00074BF1" w:rsidP="00074BF1">
            <w:pPr>
              <w:jc w:val="center"/>
              <w:rPr>
                <w:b/>
                <w:bCs/>
                <w:color w:val="000000"/>
                <w:sz w:val="16"/>
                <w:szCs w:val="16"/>
              </w:rPr>
            </w:pPr>
            <w:r w:rsidRPr="00074BF1">
              <w:rPr>
                <w:b/>
                <w:bCs/>
                <w:color w:val="000000"/>
                <w:sz w:val="16"/>
                <w:szCs w:val="16"/>
              </w:rPr>
              <w:t>h</w:t>
            </w:r>
          </w:p>
        </w:tc>
        <w:tc>
          <w:tcPr>
            <w:tcW w:w="207" w:type="pct"/>
            <w:tcBorders>
              <w:top w:val="nil"/>
              <w:left w:val="nil"/>
              <w:bottom w:val="single" w:sz="4" w:space="0" w:color="1F497D"/>
              <w:right w:val="single" w:sz="4" w:space="0" w:color="1F497D"/>
            </w:tcBorders>
            <w:shd w:val="clear" w:color="000000" w:fill="DCE6F1"/>
            <w:vAlign w:val="center"/>
            <w:hideMark/>
          </w:tcPr>
          <w:p w:rsidR="00074BF1" w:rsidRPr="00074BF1" w:rsidRDefault="00074BF1" w:rsidP="00074BF1">
            <w:pPr>
              <w:jc w:val="center"/>
              <w:rPr>
                <w:b/>
                <w:bCs/>
                <w:color w:val="000000"/>
                <w:sz w:val="16"/>
                <w:szCs w:val="16"/>
              </w:rPr>
            </w:pPr>
            <w:r w:rsidRPr="00074BF1">
              <w:rPr>
                <w:b/>
                <w:bCs/>
                <w:color w:val="000000"/>
                <w:sz w:val="16"/>
                <w:szCs w:val="16"/>
              </w:rPr>
              <w:t xml:space="preserve">h/a </w:t>
            </w:r>
          </w:p>
        </w:tc>
        <w:tc>
          <w:tcPr>
            <w:tcW w:w="207" w:type="pct"/>
            <w:vMerge/>
            <w:tcBorders>
              <w:top w:val="nil"/>
              <w:left w:val="single" w:sz="4" w:space="0" w:color="1F497D"/>
              <w:bottom w:val="single" w:sz="4" w:space="0" w:color="1F497D"/>
              <w:right w:val="single" w:sz="4" w:space="0" w:color="1F497D"/>
            </w:tcBorders>
            <w:vAlign w:val="center"/>
            <w:hideMark/>
          </w:tcPr>
          <w:p w:rsidR="00074BF1" w:rsidRPr="00074BF1" w:rsidRDefault="00074BF1" w:rsidP="00074BF1">
            <w:pPr>
              <w:rPr>
                <w:b/>
                <w:bCs/>
                <w:color w:val="000000"/>
                <w:sz w:val="16"/>
                <w:szCs w:val="16"/>
              </w:rPr>
            </w:pPr>
          </w:p>
        </w:tc>
      </w:tr>
      <w:tr w:rsidR="00074BF1" w:rsidRPr="00074BF1" w:rsidTr="00074BF1">
        <w:trPr>
          <w:trHeight w:val="225"/>
        </w:trPr>
        <w:tc>
          <w:tcPr>
            <w:tcW w:w="241" w:type="pct"/>
            <w:vMerge w:val="restart"/>
            <w:tcBorders>
              <w:top w:val="nil"/>
              <w:left w:val="single" w:sz="4" w:space="0" w:color="1F497D"/>
              <w:bottom w:val="single" w:sz="4" w:space="0" w:color="1F497D"/>
              <w:right w:val="single" w:sz="4" w:space="0" w:color="1F497D"/>
            </w:tcBorders>
            <w:shd w:val="clear" w:color="000000" w:fill="FFFFFF"/>
            <w:vAlign w:val="center"/>
            <w:hideMark/>
          </w:tcPr>
          <w:p w:rsidR="00074BF1" w:rsidRPr="00074BF1" w:rsidRDefault="00074BF1" w:rsidP="00074BF1">
            <w:pPr>
              <w:jc w:val="center"/>
              <w:rPr>
                <w:color w:val="000000"/>
                <w:sz w:val="16"/>
                <w:szCs w:val="16"/>
              </w:rPr>
            </w:pPr>
            <w:r w:rsidRPr="00074BF1">
              <w:rPr>
                <w:color w:val="000000"/>
                <w:sz w:val="16"/>
                <w:szCs w:val="16"/>
              </w:rPr>
              <w:t xml:space="preserve">4.1a </w:t>
            </w:r>
          </w:p>
        </w:tc>
        <w:tc>
          <w:tcPr>
            <w:tcW w:w="335" w:type="pct"/>
            <w:tcBorders>
              <w:top w:val="nil"/>
              <w:left w:val="nil"/>
              <w:bottom w:val="single" w:sz="4" w:space="0" w:color="1F497D"/>
              <w:right w:val="single" w:sz="4" w:space="0" w:color="1F497D"/>
            </w:tcBorders>
            <w:shd w:val="clear" w:color="000000" w:fill="FFFFFF"/>
            <w:vAlign w:val="center"/>
            <w:hideMark/>
          </w:tcPr>
          <w:p w:rsidR="00074BF1" w:rsidRPr="00074BF1" w:rsidRDefault="00074BF1" w:rsidP="00074BF1">
            <w:pPr>
              <w:jc w:val="center"/>
              <w:rPr>
                <w:color w:val="000000"/>
                <w:sz w:val="16"/>
                <w:szCs w:val="16"/>
              </w:rPr>
            </w:pPr>
            <w:r w:rsidRPr="00074BF1">
              <w:rPr>
                <w:color w:val="000000"/>
                <w:sz w:val="16"/>
                <w:szCs w:val="16"/>
              </w:rPr>
              <w:t>2015/04/17</w:t>
            </w:r>
          </w:p>
        </w:tc>
        <w:tc>
          <w:tcPr>
            <w:tcW w:w="241" w:type="pct"/>
            <w:tcBorders>
              <w:top w:val="nil"/>
              <w:left w:val="nil"/>
              <w:bottom w:val="single" w:sz="4" w:space="0" w:color="1F497D"/>
              <w:right w:val="single" w:sz="4" w:space="0" w:color="1F497D"/>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1 609,36</w:t>
            </w:r>
          </w:p>
        </w:tc>
        <w:tc>
          <w:tcPr>
            <w:tcW w:w="241" w:type="pct"/>
            <w:tcBorders>
              <w:top w:val="nil"/>
              <w:left w:val="nil"/>
              <w:bottom w:val="single" w:sz="4" w:space="0" w:color="1F497D"/>
              <w:right w:val="single" w:sz="4" w:space="0" w:color="1F497D"/>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60,57</w:t>
            </w:r>
          </w:p>
        </w:tc>
        <w:tc>
          <w:tcPr>
            <w:tcW w:w="181" w:type="pct"/>
            <w:tcBorders>
              <w:top w:val="nil"/>
              <w:left w:val="nil"/>
              <w:bottom w:val="single" w:sz="4" w:space="0" w:color="1F497D"/>
              <w:right w:val="single" w:sz="4" w:space="0" w:color="1F497D"/>
            </w:tcBorders>
            <w:shd w:val="clear" w:color="000000" w:fill="FFFFFF"/>
            <w:vAlign w:val="center"/>
            <w:hideMark/>
          </w:tcPr>
          <w:p w:rsidR="00074BF1" w:rsidRPr="00074BF1" w:rsidRDefault="00074BF1" w:rsidP="00074BF1">
            <w:pPr>
              <w:jc w:val="center"/>
              <w:rPr>
                <w:color w:val="000000"/>
                <w:sz w:val="16"/>
                <w:szCs w:val="16"/>
              </w:rPr>
            </w:pPr>
            <w:r w:rsidRPr="00074BF1">
              <w:rPr>
                <w:color w:val="000000"/>
                <w:sz w:val="16"/>
                <w:szCs w:val="16"/>
              </w:rPr>
              <w:t>113</w:t>
            </w:r>
          </w:p>
        </w:tc>
        <w:tc>
          <w:tcPr>
            <w:tcW w:w="268" w:type="pct"/>
            <w:tcBorders>
              <w:top w:val="nil"/>
              <w:left w:val="nil"/>
              <w:bottom w:val="single" w:sz="4" w:space="0" w:color="1F497D"/>
              <w:right w:val="single" w:sz="4" w:space="0" w:color="1F497D"/>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3 970,60</w:t>
            </w:r>
          </w:p>
        </w:tc>
        <w:tc>
          <w:tcPr>
            <w:tcW w:w="207" w:type="pct"/>
            <w:tcBorders>
              <w:top w:val="nil"/>
              <w:left w:val="nil"/>
              <w:bottom w:val="single" w:sz="4" w:space="0" w:color="1F497D"/>
              <w:right w:val="single" w:sz="4" w:space="0" w:color="1F497D"/>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246,72</w:t>
            </w:r>
          </w:p>
        </w:tc>
        <w:tc>
          <w:tcPr>
            <w:tcW w:w="234" w:type="pct"/>
            <w:tcBorders>
              <w:top w:val="nil"/>
              <w:left w:val="nil"/>
              <w:bottom w:val="single" w:sz="4" w:space="0" w:color="1F497D"/>
              <w:right w:val="single" w:sz="4" w:space="0" w:color="1F497D"/>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146,52</w:t>
            </w:r>
          </w:p>
        </w:tc>
        <w:tc>
          <w:tcPr>
            <w:tcW w:w="174" w:type="pct"/>
            <w:tcBorders>
              <w:top w:val="nil"/>
              <w:left w:val="nil"/>
              <w:bottom w:val="single" w:sz="4" w:space="0" w:color="1F497D"/>
              <w:right w:val="single" w:sz="4" w:space="0" w:color="1F497D"/>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42</w:t>
            </w:r>
          </w:p>
        </w:tc>
        <w:tc>
          <w:tcPr>
            <w:tcW w:w="261" w:type="pct"/>
            <w:tcBorders>
              <w:top w:val="nil"/>
              <w:left w:val="nil"/>
              <w:bottom w:val="single" w:sz="4" w:space="0" w:color="1F497D"/>
              <w:right w:val="single" w:sz="4" w:space="0" w:color="1F497D"/>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1 504,38</w:t>
            </w:r>
          </w:p>
        </w:tc>
        <w:tc>
          <w:tcPr>
            <w:tcW w:w="214" w:type="pct"/>
            <w:tcBorders>
              <w:top w:val="nil"/>
              <w:left w:val="nil"/>
              <w:bottom w:val="single" w:sz="4" w:space="0" w:color="1F497D"/>
              <w:right w:val="single" w:sz="4" w:space="0" w:color="1F497D"/>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93,48</w:t>
            </w:r>
          </w:p>
        </w:tc>
        <w:tc>
          <w:tcPr>
            <w:tcW w:w="214" w:type="pct"/>
            <w:tcBorders>
              <w:top w:val="nil"/>
              <w:left w:val="nil"/>
              <w:bottom w:val="single" w:sz="4" w:space="0" w:color="1F497D"/>
              <w:right w:val="single" w:sz="4" w:space="0" w:color="1F497D"/>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56,71</w:t>
            </w:r>
          </w:p>
        </w:tc>
        <w:tc>
          <w:tcPr>
            <w:tcW w:w="261" w:type="pct"/>
            <w:tcBorders>
              <w:top w:val="nil"/>
              <w:left w:val="nil"/>
              <w:bottom w:val="single" w:sz="4" w:space="0" w:color="1F497D"/>
              <w:right w:val="single" w:sz="4" w:space="0" w:color="1F497D"/>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1 111,67</w:t>
            </w:r>
          </w:p>
        </w:tc>
        <w:tc>
          <w:tcPr>
            <w:tcW w:w="228" w:type="pct"/>
            <w:tcBorders>
              <w:top w:val="nil"/>
              <w:left w:val="nil"/>
              <w:bottom w:val="single" w:sz="4" w:space="0" w:color="1F497D"/>
              <w:right w:val="single" w:sz="4" w:space="0" w:color="1F497D"/>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69,08</w:t>
            </w:r>
          </w:p>
        </w:tc>
        <w:tc>
          <w:tcPr>
            <w:tcW w:w="254" w:type="pct"/>
            <w:tcBorders>
              <w:top w:val="nil"/>
              <w:left w:val="nil"/>
              <w:bottom w:val="single" w:sz="4" w:space="0" w:color="1F497D"/>
              <w:right w:val="single" w:sz="4" w:space="0" w:color="1F497D"/>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42,45</w:t>
            </w:r>
          </w:p>
        </w:tc>
        <w:tc>
          <w:tcPr>
            <w:tcW w:w="288" w:type="pct"/>
            <w:tcBorders>
              <w:top w:val="nil"/>
              <w:left w:val="nil"/>
              <w:bottom w:val="single" w:sz="4" w:space="0" w:color="1F497D"/>
              <w:right w:val="single" w:sz="4" w:space="0" w:color="1F497D"/>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1 033,42</w:t>
            </w:r>
          </w:p>
        </w:tc>
        <w:tc>
          <w:tcPr>
            <w:tcW w:w="214" w:type="pct"/>
            <w:tcBorders>
              <w:top w:val="nil"/>
              <w:left w:val="nil"/>
              <w:bottom w:val="single" w:sz="4" w:space="0" w:color="1F497D"/>
              <w:right w:val="single" w:sz="4" w:space="0" w:color="1F497D"/>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64,21</w:t>
            </w:r>
          </w:p>
        </w:tc>
        <w:tc>
          <w:tcPr>
            <w:tcW w:w="254" w:type="pct"/>
            <w:tcBorders>
              <w:top w:val="nil"/>
              <w:left w:val="nil"/>
              <w:bottom w:val="single" w:sz="4" w:space="0" w:color="1F497D"/>
              <w:right w:val="single" w:sz="4" w:space="0" w:color="1F497D"/>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39,60</w:t>
            </w:r>
          </w:p>
        </w:tc>
        <w:tc>
          <w:tcPr>
            <w:tcW w:w="27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1 019,80</w:t>
            </w:r>
          </w:p>
        </w:tc>
        <w:tc>
          <w:tcPr>
            <w:tcW w:w="207" w:type="pct"/>
            <w:tcBorders>
              <w:top w:val="single" w:sz="4" w:space="0" w:color="auto"/>
              <w:left w:val="nil"/>
              <w:bottom w:val="single" w:sz="4" w:space="0" w:color="auto"/>
              <w:right w:val="single" w:sz="4" w:space="0" w:color="auto"/>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63,37</w:t>
            </w:r>
          </w:p>
        </w:tc>
        <w:tc>
          <w:tcPr>
            <w:tcW w:w="207" w:type="pct"/>
            <w:tcBorders>
              <w:top w:val="single" w:sz="4" w:space="0" w:color="auto"/>
              <w:left w:val="nil"/>
              <w:bottom w:val="single" w:sz="4" w:space="0" w:color="auto"/>
              <w:right w:val="single" w:sz="4" w:space="0" w:color="auto"/>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39,08</w:t>
            </w:r>
          </w:p>
        </w:tc>
      </w:tr>
      <w:tr w:rsidR="00074BF1" w:rsidRPr="00074BF1" w:rsidTr="00074BF1">
        <w:trPr>
          <w:trHeight w:val="225"/>
        </w:trPr>
        <w:tc>
          <w:tcPr>
            <w:tcW w:w="241" w:type="pct"/>
            <w:vMerge/>
            <w:tcBorders>
              <w:top w:val="nil"/>
              <w:left w:val="single" w:sz="4" w:space="0" w:color="1F497D"/>
              <w:bottom w:val="single" w:sz="4" w:space="0" w:color="1F497D"/>
              <w:right w:val="single" w:sz="4" w:space="0" w:color="1F497D"/>
            </w:tcBorders>
            <w:vAlign w:val="center"/>
            <w:hideMark/>
          </w:tcPr>
          <w:p w:rsidR="00074BF1" w:rsidRPr="00074BF1" w:rsidRDefault="00074BF1" w:rsidP="00074BF1">
            <w:pPr>
              <w:rPr>
                <w:color w:val="000000"/>
                <w:sz w:val="16"/>
                <w:szCs w:val="16"/>
              </w:rPr>
            </w:pPr>
          </w:p>
        </w:tc>
        <w:tc>
          <w:tcPr>
            <w:tcW w:w="335" w:type="pct"/>
            <w:tcBorders>
              <w:top w:val="nil"/>
              <w:left w:val="nil"/>
              <w:bottom w:val="single" w:sz="4" w:space="0" w:color="1F497D"/>
              <w:right w:val="single" w:sz="4" w:space="0" w:color="1F497D"/>
            </w:tcBorders>
            <w:shd w:val="clear" w:color="000000" w:fill="FFFFFF"/>
            <w:vAlign w:val="center"/>
            <w:hideMark/>
          </w:tcPr>
          <w:p w:rsidR="00074BF1" w:rsidRPr="00074BF1" w:rsidRDefault="00074BF1" w:rsidP="00074BF1">
            <w:pPr>
              <w:jc w:val="center"/>
              <w:rPr>
                <w:color w:val="000000"/>
                <w:sz w:val="16"/>
                <w:szCs w:val="16"/>
              </w:rPr>
            </w:pPr>
            <w:r w:rsidRPr="00074BF1">
              <w:rPr>
                <w:color w:val="000000"/>
                <w:sz w:val="16"/>
                <w:szCs w:val="16"/>
              </w:rPr>
              <w:t>2015/10/02</w:t>
            </w:r>
          </w:p>
        </w:tc>
        <w:tc>
          <w:tcPr>
            <w:tcW w:w="241" w:type="pct"/>
            <w:tcBorders>
              <w:top w:val="nil"/>
              <w:left w:val="nil"/>
              <w:bottom w:val="single" w:sz="4" w:space="0" w:color="1F497D"/>
              <w:right w:val="single" w:sz="4" w:space="0" w:color="1F497D"/>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1 604,28</w:t>
            </w:r>
          </w:p>
        </w:tc>
        <w:tc>
          <w:tcPr>
            <w:tcW w:w="241" w:type="pct"/>
            <w:tcBorders>
              <w:top w:val="nil"/>
              <w:left w:val="nil"/>
              <w:bottom w:val="single" w:sz="4" w:space="0" w:color="1F497D"/>
              <w:right w:val="single" w:sz="4" w:space="0" w:color="1F497D"/>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60,57</w:t>
            </w:r>
          </w:p>
        </w:tc>
        <w:tc>
          <w:tcPr>
            <w:tcW w:w="181" w:type="pct"/>
            <w:tcBorders>
              <w:top w:val="nil"/>
              <w:left w:val="nil"/>
              <w:bottom w:val="single" w:sz="4" w:space="0" w:color="1F497D"/>
              <w:right w:val="single" w:sz="4" w:space="0" w:color="1F497D"/>
            </w:tcBorders>
            <w:shd w:val="clear" w:color="000000" w:fill="FFFFFF"/>
            <w:vAlign w:val="center"/>
            <w:hideMark/>
          </w:tcPr>
          <w:p w:rsidR="00074BF1" w:rsidRPr="00074BF1" w:rsidRDefault="00074BF1" w:rsidP="00074BF1">
            <w:pPr>
              <w:jc w:val="center"/>
              <w:rPr>
                <w:color w:val="000000"/>
                <w:sz w:val="16"/>
                <w:szCs w:val="16"/>
              </w:rPr>
            </w:pPr>
            <w:r w:rsidRPr="00074BF1">
              <w:rPr>
                <w:color w:val="000000"/>
                <w:sz w:val="16"/>
                <w:szCs w:val="16"/>
              </w:rPr>
              <w:t>113</w:t>
            </w:r>
          </w:p>
        </w:tc>
        <w:tc>
          <w:tcPr>
            <w:tcW w:w="268" w:type="pct"/>
            <w:tcBorders>
              <w:top w:val="nil"/>
              <w:left w:val="nil"/>
              <w:bottom w:val="single" w:sz="4" w:space="0" w:color="1F497D"/>
              <w:right w:val="single" w:sz="4" w:space="0" w:color="1F497D"/>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3 970,60</w:t>
            </w:r>
          </w:p>
        </w:tc>
        <w:tc>
          <w:tcPr>
            <w:tcW w:w="207" w:type="pct"/>
            <w:tcBorders>
              <w:top w:val="nil"/>
              <w:left w:val="nil"/>
              <w:bottom w:val="single" w:sz="4" w:space="0" w:color="1F497D"/>
              <w:right w:val="single" w:sz="4" w:space="0" w:color="1F497D"/>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247,50</w:t>
            </w:r>
          </w:p>
        </w:tc>
        <w:tc>
          <w:tcPr>
            <w:tcW w:w="234" w:type="pct"/>
            <w:tcBorders>
              <w:top w:val="nil"/>
              <w:left w:val="nil"/>
              <w:bottom w:val="single" w:sz="4" w:space="0" w:color="1F497D"/>
              <w:right w:val="single" w:sz="4" w:space="0" w:color="1F497D"/>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147,54</w:t>
            </w:r>
          </w:p>
        </w:tc>
        <w:tc>
          <w:tcPr>
            <w:tcW w:w="174" w:type="pct"/>
            <w:tcBorders>
              <w:top w:val="nil"/>
              <w:left w:val="nil"/>
              <w:bottom w:val="single" w:sz="4" w:space="0" w:color="1F497D"/>
              <w:right w:val="single" w:sz="4" w:space="0" w:color="1F497D"/>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42</w:t>
            </w:r>
          </w:p>
        </w:tc>
        <w:tc>
          <w:tcPr>
            <w:tcW w:w="261" w:type="pct"/>
            <w:tcBorders>
              <w:top w:val="nil"/>
              <w:left w:val="nil"/>
              <w:bottom w:val="single" w:sz="4" w:space="0" w:color="1F497D"/>
              <w:right w:val="single" w:sz="4" w:space="0" w:color="1F497D"/>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1 467,44</w:t>
            </w:r>
          </w:p>
        </w:tc>
        <w:tc>
          <w:tcPr>
            <w:tcW w:w="214" w:type="pct"/>
            <w:tcBorders>
              <w:top w:val="nil"/>
              <w:left w:val="nil"/>
              <w:bottom w:val="single" w:sz="4" w:space="0" w:color="1F497D"/>
              <w:right w:val="single" w:sz="4" w:space="0" w:color="1F497D"/>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91,47</w:t>
            </w:r>
          </w:p>
        </w:tc>
        <w:tc>
          <w:tcPr>
            <w:tcW w:w="214" w:type="pct"/>
            <w:tcBorders>
              <w:top w:val="nil"/>
              <w:left w:val="nil"/>
              <w:bottom w:val="single" w:sz="4" w:space="0" w:color="1F497D"/>
              <w:right w:val="single" w:sz="4" w:space="0" w:color="1F497D"/>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55,51</w:t>
            </w:r>
          </w:p>
        </w:tc>
        <w:tc>
          <w:tcPr>
            <w:tcW w:w="261" w:type="pct"/>
            <w:tcBorders>
              <w:top w:val="nil"/>
              <w:left w:val="nil"/>
              <w:bottom w:val="single" w:sz="4" w:space="0" w:color="1F497D"/>
              <w:right w:val="single" w:sz="4" w:space="0" w:color="1F497D"/>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1 194,19</w:t>
            </w:r>
          </w:p>
        </w:tc>
        <w:tc>
          <w:tcPr>
            <w:tcW w:w="228" w:type="pct"/>
            <w:tcBorders>
              <w:top w:val="nil"/>
              <w:left w:val="nil"/>
              <w:bottom w:val="single" w:sz="4" w:space="0" w:color="1F497D"/>
              <w:right w:val="single" w:sz="4" w:space="0" w:color="1F497D"/>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74,44</w:t>
            </w:r>
          </w:p>
        </w:tc>
        <w:tc>
          <w:tcPr>
            <w:tcW w:w="254" w:type="pct"/>
            <w:tcBorders>
              <w:top w:val="nil"/>
              <w:left w:val="nil"/>
              <w:bottom w:val="single" w:sz="4" w:space="0" w:color="1F497D"/>
              <w:right w:val="single" w:sz="4" w:space="0" w:color="1F497D"/>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45,49</w:t>
            </w:r>
          </w:p>
        </w:tc>
        <w:tc>
          <w:tcPr>
            <w:tcW w:w="288" w:type="pct"/>
            <w:tcBorders>
              <w:top w:val="nil"/>
              <w:left w:val="nil"/>
              <w:bottom w:val="single" w:sz="4" w:space="0" w:color="1F497D"/>
              <w:right w:val="single" w:sz="4" w:space="0" w:color="1F497D"/>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1 157,12</w:t>
            </w:r>
          </w:p>
        </w:tc>
        <w:tc>
          <w:tcPr>
            <w:tcW w:w="214" w:type="pct"/>
            <w:tcBorders>
              <w:top w:val="nil"/>
              <w:left w:val="nil"/>
              <w:bottom w:val="single" w:sz="4" w:space="0" w:color="1F497D"/>
              <w:right w:val="single" w:sz="4" w:space="0" w:color="1F497D"/>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72,13</w:t>
            </w:r>
          </w:p>
        </w:tc>
        <w:tc>
          <w:tcPr>
            <w:tcW w:w="254" w:type="pct"/>
            <w:tcBorders>
              <w:top w:val="nil"/>
              <w:left w:val="nil"/>
              <w:bottom w:val="single" w:sz="4" w:space="0" w:color="1F497D"/>
              <w:right w:val="single" w:sz="4" w:space="0" w:color="1F497D"/>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44,13</w:t>
            </w:r>
          </w:p>
        </w:tc>
        <w:tc>
          <w:tcPr>
            <w:tcW w:w="274" w:type="pct"/>
            <w:tcBorders>
              <w:top w:val="nil"/>
              <w:left w:val="single" w:sz="4" w:space="0" w:color="auto"/>
              <w:bottom w:val="single" w:sz="4" w:space="0" w:color="auto"/>
              <w:right w:val="single" w:sz="4" w:space="0" w:color="auto"/>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1 054,14</w:t>
            </w:r>
          </w:p>
        </w:tc>
        <w:tc>
          <w:tcPr>
            <w:tcW w:w="207" w:type="pct"/>
            <w:tcBorders>
              <w:top w:val="nil"/>
              <w:left w:val="nil"/>
              <w:bottom w:val="single" w:sz="4" w:space="0" w:color="auto"/>
              <w:right w:val="single" w:sz="4" w:space="0" w:color="auto"/>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65,71</w:t>
            </w:r>
          </w:p>
        </w:tc>
        <w:tc>
          <w:tcPr>
            <w:tcW w:w="207" w:type="pct"/>
            <w:tcBorders>
              <w:top w:val="nil"/>
              <w:left w:val="nil"/>
              <w:bottom w:val="single" w:sz="4" w:space="0" w:color="auto"/>
              <w:right w:val="single" w:sz="4" w:space="0" w:color="auto"/>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40,22</w:t>
            </w:r>
          </w:p>
        </w:tc>
      </w:tr>
      <w:tr w:rsidR="00074BF1" w:rsidRPr="00074BF1" w:rsidTr="00074BF1">
        <w:trPr>
          <w:trHeight w:val="225"/>
        </w:trPr>
        <w:tc>
          <w:tcPr>
            <w:tcW w:w="241" w:type="pct"/>
            <w:vMerge/>
            <w:tcBorders>
              <w:top w:val="nil"/>
              <w:left w:val="single" w:sz="4" w:space="0" w:color="1F497D"/>
              <w:bottom w:val="single" w:sz="4" w:space="0" w:color="1F497D"/>
              <w:right w:val="single" w:sz="4" w:space="0" w:color="1F497D"/>
            </w:tcBorders>
            <w:vAlign w:val="center"/>
            <w:hideMark/>
          </w:tcPr>
          <w:p w:rsidR="00074BF1" w:rsidRPr="00074BF1" w:rsidRDefault="00074BF1" w:rsidP="00074BF1">
            <w:pPr>
              <w:rPr>
                <w:color w:val="000000"/>
                <w:sz w:val="16"/>
                <w:szCs w:val="16"/>
              </w:rPr>
            </w:pPr>
          </w:p>
        </w:tc>
        <w:tc>
          <w:tcPr>
            <w:tcW w:w="335" w:type="pct"/>
            <w:tcBorders>
              <w:top w:val="nil"/>
              <w:left w:val="nil"/>
              <w:bottom w:val="single" w:sz="4" w:space="0" w:color="1F497D"/>
              <w:right w:val="single" w:sz="4" w:space="0" w:color="1F497D"/>
            </w:tcBorders>
            <w:shd w:val="clear" w:color="000000" w:fill="FFFFFF"/>
            <w:vAlign w:val="center"/>
            <w:hideMark/>
          </w:tcPr>
          <w:p w:rsidR="00074BF1" w:rsidRPr="00074BF1" w:rsidRDefault="00074BF1" w:rsidP="00074BF1">
            <w:pPr>
              <w:jc w:val="center"/>
              <w:rPr>
                <w:color w:val="000000"/>
                <w:sz w:val="16"/>
                <w:szCs w:val="16"/>
              </w:rPr>
            </w:pPr>
            <w:r w:rsidRPr="00074BF1">
              <w:rPr>
                <w:color w:val="000000"/>
                <w:sz w:val="16"/>
                <w:szCs w:val="16"/>
              </w:rPr>
              <w:t>Rozdíl</w:t>
            </w:r>
          </w:p>
        </w:tc>
        <w:tc>
          <w:tcPr>
            <w:tcW w:w="241" w:type="pct"/>
            <w:tcBorders>
              <w:top w:val="nil"/>
              <w:left w:val="nil"/>
              <w:bottom w:val="single" w:sz="4" w:space="0" w:color="1F497D"/>
              <w:right w:val="single" w:sz="4" w:space="0" w:color="1F497D"/>
            </w:tcBorders>
            <w:shd w:val="clear" w:color="000000" w:fill="FFFFFF"/>
            <w:noWrap/>
            <w:vAlign w:val="center"/>
            <w:hideMark/>
          </w:tcPr>
          <w:p w:rsidR="00074BF1" w:rsidRPr="00074BF1" w:rsidRDefault="00074BF1" w:rsidP="00074BF1">
            <w:pPr>
              <w:jc w:val="center"/>
              <w:rPr>
                <w:color w:val="000000"/>
                <w:sz w:val="16"/>
                <w:szCs w:val="16"/>
              </w:rPr>
            </w:pPr>
          </w:p>
        </w:tc>
        <w:tc>
          <w:tcPr>
            <w:tcW w:w="241" w:type="pct"/>
            <w:tcBorders>
              <w:top w:val="nil"/>
              <w:left w:val="nil"/>
              <w:bottom w:val="single" w:sz="4" w:space="0" w:color="1F497D"/>
              <w:right w:val="single" w:sz="4" w:space="0" w:color="1F497D"/>
            </w:tcBorders>
            <w:shd w:val="clear" w:color="000000" w:fill="FFFFFF"/>
            <w:noWrap/>
            <w:vAlign w:val="center"/>
            <w:hideMark/>
          </w:tcPr>
          <w:p w:rsidR="00074BF1" w:rsidRPr="00074BF1" w:rsidRDefault="00074BF1" w:rsidP="00074BF1">
            <w:pPr>
              <w:jc w:val="center"/>
              <w:rPr>
                <w:color w:val="000000"/>
                <w:sz w:val="16"/>
                <w:szCs w:val="16"/>
              </w:rPr>
            </w:pPr>
          </w:p>
        </w:tc>
        <w:tc>
          <w:tcPr>
            <w:tcW w:w="181" w:type="pct"/>
            <w:tcBorders>
              <w:top w:val="nil"/>
              <w:left w:val="nil"/>
              <w:bottom w:val="single" w:sz="4" w:space="0" w:color="1F497D"/>
              <w:right w:val="single" w:sz="4" w:space="0" w:color="1F497D"/>
            </w:tcBorders>
            <w:shd w:val="clear" w:color="000000" w:fill="FFFFFF"/>
            <w:vAlign w:val="center"/>
            <w:hideMark/>
          </w:tcPr>
          <w:p w:rsidR="00074BF1" w:rsidRPr="00074BF1" w:rsidRDefault="00074BF1" w:rsidP="00074BF1">
            <w:pPr>
              <w:jc w:val="center"/>
              <w:rPr>
                <w:color w:val="000000"/>
                <w:sz w:val="16"/>
                <w:szCs w:val="16"/>
              </w:rPr>
            </w:pPr>
            <w:r w:rsidRPr="00074BF1">
              <w:rPr>
                <w:color w:val="000000"/>
                <w:sz w:val="16"/>
                <w:szCs w:val="16"/>
              </w:rPr>
              <w:t>0</w:t>
            </w:r>
          </w:p>
        </w:tc>
        <w:tc>
          <w:tcPr>
            <w:tcW w:w="268" w:type="pct"/>
            <w:tcBorders>
              <w:top w:val="nil"/>
              <w:left w:val="nil"/>
              <w:bottom w:val="single" w:sz="4" w:space="0" w:color="1F497D"/>
              <w:right w:val="single" w:sz="4" w:space="0" w:color="1F497D"/>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0,00</w:t>
            </w:r>
          </w:p>
        </w:tc>
        <w:tc>
          <w:tcPr>
            <w:tcW w:w="207" w:type="pct"/>
            <w:tcBorders>
              <w:top w:val="nil"/>
              <w:left w:val="nil"/>
              <w:bottom w:val="single" w:sz="4" w:space="0" w:color="1F497D"/>
              <w:right w:val="single" w:sz="4" w:space="0" w:color="1F497D"/>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0,00</w:t>
            </w:r>
          </w:p>
        </w:tc>
        <w:tc>
          <w:tcPr>
            <w:tcW w:w="234" w:type="pct"/>
            <w:tcBorders>
              <w:top w:val="nil"/>
              <w:left w:val="nil"/>
              <w:bottom w:val="single" w:sz="4" w:space="0" w:color="1F497D"/>
              <w:right w:val="single" w:sz="4" w:space="0" w:color="1F497D"/>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1,02</w:t>
            </w:r>
          </w:p>
        </w:tc>
        <w:tc>
          <w:tcPr>
            <w:tcW w:w="174" w:type="pct"/>
            <w:tcBorders>
              <w:top w:val="nil"/>
              <w:left w:val="nil"/>
              <w:bottom w:val="single" w:sz="4" w:space="0" w:color="1F497D"/>
              <w:right w:val="single" w:sz="4" w:space="0" w:color="1F497D"/>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0</w:t>
            </w:r>
          </w:p>
        </w:tc>
        <w:tc>
          <w:tcPr>
            <w:tcW w:w="261" w:type="pct"/>
            <w:tcBorders>
              <w:top w:val="nil"/>
              <w:left w:val="nil"/>
              <w:bottom w:val="single" w:sz="4" w:space="0" w:color="1F497D"/>
              <w:right w:val="single" w:sz="4" w:space="0" w:color="1F497D"/>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-36,95</w:t>
            </w:r>
          </w:p>
        </w:tc>
        <w:tc>
          <w:tcPr>
            <w:tcW w:w="214" w:type="pct"/>
            <w:tcBorders>
              <w:top w:val="nil"/>
              <w:left w:val="nil"/>
              <w:bottom w:val="single" w:sz="4" w:space="0" w:color="1F497D"/>
              <w:right w:val="single" w:sz="4" w:space="0" w:color="1F497D"/>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-2,30</w:t>
            </w:r>
          </w:p>
        </w:tc>
        <w:tc>
          <w:tcPr>
            <w:tcW w:w="214" w:type="pct"/>
            <w:tcBorders>
              <w:top w:val="nil"/>
              <w:left w:val="nil"/>
              <w:bottom w:val="single" w:sz="4" w:space="0" w:color="1F497D"/>
              <w:right w:val="single" w:sz="4" w:space="0" w:color="1F497D"/>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-1,20</w:t>
            </w:r>
          </w:p>
        </w:tc>
        <w:tc>
          <w:tcPr>
            <w:tcW w:w="261" w:type="pct"/>
            <w:tcBorders>
              <w:top w:val="nil"/>
              <w:left w:val="nil"/>
              <w:bottom w:val="single" w:sz="4" w:space="0" w:color="1F497D"/>
              <w:right w:val="single" w:sz="4" w:space="0" w:color="1F497D"/>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82,52</w:t>
            </w:r>
          </w:p>
        </w:tc>
        <w:tc>
          <w:tcPr>
            <w:tcW w:w="228" w:type="pct"/>
            <w:tcBorders>
              <w:top w:val="nil"/>
              <w:left w:val="nil"/>
              <w:bottom w:val="single" w:sz="4" w:space="0" w:color="1F497D"/>
              <w:right w:val="single" w:sz="4" w:space="0" w:color="1F497D"/>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5,14</w:t>
            </w:r>
          </w:p>
        </w:tc>
        <w:tc>
          <w:tcPr>
            <w:tcW w:w="254" w:type="pct"/>
            <w:tcBorders>
              <w:top w:val="nil"/>
              <w:left w:val="nil"/>
              <w:bottom w:val="single" w:sz="4" w:space="0" w:color="1F497D"/>
              <w:right w:val="single" w:sz="4" w:space="0" w:color="1F497D"/>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3,04</w:t>
            </w:r>
          </w:p>
        </w:tc>
        <w:tc>
          <w:tcPr>
            <w:tcW w:w="288" w:type="pct"/>
            <w:tcBorders>
              <w:top w:val="nil"/>
              <w:left w:val="nil"/>
              <w:bottom w:val="single" w:sz="4" w:space="0" w:color="1F497D"/>
              <w:right w:val="single" w:sz="4" w:space="0" w:color="1F497D"/>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123,70</w:t>
            </w:r>
          </w:p>
        </w:tc>
        <w:tc>
          <w:tcPr>
            <w:tcW w:w="214" w:type="pct"/>
            <w:tcBorders>
              <w:top w:val="nil"/>
              <w:left w:val="nil"/>
              <w:bottom w:val="single" w:sz="4" w:space="0" w:color="1F497D"/>
              <w:right w:val="single" w:sz="4" w:space="0" w:color="1F497D"/>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7,71</w:t>
            </w:r>
          </w:p>
        </w:tc>
        <w:tc>
          <w:tcPr>
            <w:tcW w:w="254" w:type="pct"/>
            <w:tcBorders>
              <w:top w:val="nil"/>
              <w:left w:val="nil"/>
              <w:bottom w:val="single" w:sz="4" w:space="0" w:color="1F497D"/>
              <w:right w:val="single" w:sz="4" w:space="0" w:color="1F497D"/>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4,53</w:t>
            </w:r>
          </w:p>
        </w:tc>
        <w:tc>
          <w:tcPr>
            <w:tcW w:w="274" w:type="pct"/>
            <w:tcBorders>
              <w:top w:val="nil"/>
              <w:left w:val="single" w:sz="4" w:space="0" w:color="auto"/>
              <w:bottom w:val="single" w:sz="4" w:space="0" w:color="auto"/>
              <w:right w:val="single" w:sz="4" w:space="0" w:color="auto"/>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34,34</w:t>
            </w:r>
          </w:p>
        </w:tc>
        <w:tc>
          <w:tcPr>
            <w:tcW w:w="207" w:type="pct"/>
            <w:tcBorders>
              <w:top w:val="nil"/>
              <w:left w:val="nil"/>
              <w:bottom w:val="single" w:sz="4" w:space="0" w:color="auto"/>
              <w:right w:val="single" w:sz="4" w:space="0" w:color="auto"/>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2,14</w:t>
            </w:r>
          </w:p>
        </w:tc>
        <w:tc>
          <w:tcPr>
            <w:tcW w:w="207" w:type="pct"/>
            <w:tcBorders>
              <w:top w:val="nil"/>
              <w:left w:val="nil"/>
              <w:bottom w:val="single" w:sz="4" w:space="0" w:color="auto"/>
              <w:right w:val="single" w:sz="4" w:space="0" w:color="auto"/>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1,14</w:t>
            </w:r>
          </w:p>
        </w:tc>
      </w:tr>
      <w:tr w:rsidR="00074BF1" w:rsidRPr="00074BF1" w:rsidTr="00074BF1">
        <w:trPr>
          <w:trHeight w:val="225"/>
        </w:trPr>
        <w:tc>
          <w:tcPr>
            <w:tcW w:w="241" w:type="pct"/>
            <w:vMerge w:val="restart"/>
            <w:tcBorders>
              <w:top w:val="nil"/>
              <w:left w:val="single" w:sz="4" w:space="0" w:color="1F497D"/>
              <w:bottom w:val="single" w:sz="4" w:space="0" w:color="1F497D"/>
              <w:right w:val="single" w:sz="4" w:space="0" w:color="1F497D"/>
            </w:tcBorders>
            <w:shd w:val="clear" w:color="000000" w:fill="FFFFFF"/>
            <w:vAlign w:val="center"/>
            <w:hideMark/>
          </w:tcPr>
          <w:p w:rsidR="00074BF1" w:rsidRPr="00074BF1" w:rsidRDefault="00074BF1" w:rsidP="00074BF1">
            <w:pPr>
              <w:jc w:val="center"/>
              <w:rPr>
                <w:color w:val="000000"/>
                <w:sz w:val="16"/>
                <w:szCs w:val="16"/>
              </w:rPr>
            </w:pPr>
            <w:r w:rsidRPr="00074BF1">
              <w:rPr>
                <w:color w:val="000000"/>
                <w:sz w:val="16"/>
                <w:szCs w:val="16"/>
              </w:rPr>
              <w:t xml:space="preserve">4.1b </w:t>
            </w:r>
          </w:p>
        </w:tc>
        <w:tc>
          <w:tcPr>
            <w:tcW w:w="335" w:type="pct"/>
            <w:tcBorders>
              <w:top w:val="nil"/>
              <w:left w:val="nil"/>
              <w:bottom w:val="single" w:sz="4" w:space="0" w:color="1F497D"/>
              <w:right w:val="single" w:sz="4" w:space="0" w:color="1F497D"/>
            </w:tcBorders>
            <w:shd w:val="clear" w:color="000000" w:fill="FFFFFF"/>
            <w:vAlign w:val="center"/>
            <w:hideMark/>
          </w:tcPr>
          <w:p w:rsidR="00074BF1" w:rsidRPr="00074BF1" w:rsidRDefault="00074BF1" w:rsidP="00074BF1">
            <w:pPr>
              <w:jc w:val="center"/>
              <w:rPr>
                <w:color w:val="000000"/>
                <w:sz w:val="16"/>
                <w:szCs w:val="16"/>
              </w:rPr>
            </w:pPr>
            <w:r w:rsidRPr="00074BF1">
              <w:rPr>
                <w:color w:val="000000"/>
                <w:sz w:val="16"/>
                <w:szCs w:val="16"/>
              </w:rPr>
              <w:t>2015/04/17</w:t>
            </w:r>
          </w:p>
        </w:tc>
        <w:tc>
          <w:tcPr>
            <w:tcW w:w="241" w:type="pct"/>
            <w:tcBorders>
              <w:top w:val="nil"/>
              <w:left w:val="nil"/>
              <w:bottom w:val="single" w:sz="4" w:space="0" w:color="1F497D"/>
              <w:right w:val="single" w:sz="4" w:space="0" w:color="1F497D"/>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80,99</w:t>
            </w:r>
          </w:p>
        </w:tc>
        <w:tc>
          <w:tcPr>
            <w:tcW w:w="241" w:type="pct"/>
            <w:tcBorders>
              <w:top w:val="nil"/>
              <w:left w:val="nil"/>
              <w:bottom w:val="single" w:sz="4" w:space="0" w:color="1F497D"/>
              <w:right w:val="single" w:sz="4" w:space="0" w:color="1F497D"/>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3,10</w:t>
            </w:r>
          </w:p>
        </w:tc>
        <w:tc>
          <w:tcPr>
            <w:tcW w:w="181" w:type="pct"/>
            <w:tcBorders>
              <w:top w:val="nil"/>
              <w:left w:val="nil"/>
              <w:bottom w:val="single" w:sz="4" w:space="0" w:color="1F497D"/>
              <w:right w:val="single" w:sz="4" w:space="0" w:color="1F497D"/>
            </w:tcBorders>
            <w:shd w:val="clear" w:color="000000" w:fill="FFFFFF"/>
            <w:vAlign w:val="center"/>
            <w:hideMark/>
          </w:tcPr>
          <w:p w:rsidR="00074BF1" w:rsidRPr="00074BF1" w:rsidRDefault="00074BF1" w:rsidP="00074BF1">
            <w:pPr>
              <w:jc w:val="center"/>
              <w:rPr>
                <w:color w:val="000000"/>
                <w:sz w:val="16"/>
                <w:szCs w:val="16"/>
              </w:rPr>
            </w:pPr>
            <w:r w:rsidRPr="00074BF1">
              <w:rPr>
                <w:color w:val="000000"/>
                <w:sz w:val="16"/>
                <w:szCs w:val="16"/>
              </w:rPr>
              <w:t>0</w:t>
            </w:r>
          </w:p>
        </w:tc>
        <w:tc>
          <w:tcPr>
            <w:tcW w:w="268" w:type="pct"/>
            <w:tcBorders>
              <w:top w:val="nil"/>
              <w:left w:val="nil"/>
              <w:bottom w:val="single" w:sz="4" w:space="0" w:color="1F497D"/>
              <w:right w:val="single" w:sz="4" w:space="0" w:color="1F497D"/>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395,05</w:t>
            </w:r>
          </w:p>
        </w:tc>
        <w:tc>
          <w:tcPr>
            <w:tcW w:w="207" w:type="pct"/>
            <w:tcBorders>
              <w:top w:val="nil"/>
              <w:left w:val="nil"/>
              <w:bottom w:val="single" w:sz="4" w:space="0" w:color="1F497D"/>
              <w:right w:val="single" w:sz="4" w:space="0" w:color="1F497D"/>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487,78</w:t>
            </w:r>
          </w:p>
        </w:tc>
        <w:tc>
          <w:tcPr>
            <w:tcW w:w="234" w:type="pct"/>
            <w:tcBorders>
              <w:top w:val="nil"/>
              <w:left w:val="nil"/>
              <w:bottom w:val="single" w:sz="4" w:space="0" w:color="1F497D"/>
              <w:right w:val="single" w:sz="4" w:space="0" w:color="1F497D"/>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14,53</w:t>
            </w:r>
          </w:p>
        </w:tc>
        <w:tc>
          <w:tcPr>
            <w:tcW w:w="174" w:type="pct"/>
            <w:tcBorders>
              <w:top w:val="nil"/>
              <w:left w:val="nil"/>
              <w:bottom w:val="single" w:sz="4" w:space="0" w:color="1F497D"/>
              <w:right w:val="single" w:sz="4" w:space="0" w:color="1F497D"/>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0</w:t>
            </w:r>
          </w:p>
        </w:tc>
        <w:tc>
          <w:tcPr>
            <w:tcW w:w="261" w:type="pct"/>
            <w:tcBorders>
              <w:top w:val="nil"/>
              <w:left w:val="nil"/>
              <w:bottom w:val="single" w:sz="4" w:space="0" w:color="1F497D"/>
              <w:right w:val="single" w:sz="4" w:space="0" w:color="1F497D"/>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119,93</w:t>
            </w:r>
          </w:p>
        </w:tc>
        <w:tc>
          <w:tcPr>
            <w:tcW w:w="214" w:type="pct"/>
            <w:tcBorders>
              <w:top w:val="nil"/>
              <w:left w:val="nil"/>
              <w:bottom w:val="single" w:sz="4" w:space="0" w:color="1F497D"/>
              <w:right w:val="single" w:sz="4" w:space="0" w:color="1F497D"/>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148,08</w:t>
            </w:r>
          </w:p>
        </w:tc>
        <w:tc>
          <w:tcPr>
            <w:tcW w:w="214" w:type="pct"/>
            <w:tcBorders>
              <w:top w:val="nil"/>
              <w:left w:val="nil"/>
              <w:bottom w:val="single" w:sz="4" w:space="0" w:color="1F497D"/>
              <w:right w:val="single" w:sz="4" w:space="0" w:color="1F497D"/>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4,52</w:t>
            </w:r>
          </w:p>
        </w:tc>
        <w:tc>
          <w:tcPr>
            <w:tcW w:w="261" w:type="pct"/>
            <w:tcBorders>
              <w:top w:val="nil"/>
              <w:left w:val="nil"/>
              <w:bottom w:val="single" w:sz="4" w:space="0" w:color="1F497D"/>
              <w:right w:val="single" w:sz="4" w:space="0" w:color="1F497D"/>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85,51</w:t>
            </w:r>
          </w:p>
        </w:tc>
        <w:tc>
          <w:tcPr>
            <w:tcW w:w="228" w:type="pct"/>
            <w:tcBorders>
              <w:top w:val="nil"/>
              <w:left w:val="nil"/>
              <w:bottom w:val="single" w:sz="4" w:space="0" w:color="1F497D"/>
              <w:right w:val="single" w:sz="4" w:space="0" w:color="1F497D"/>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105,59</w:t>
            </w:r>
          </w:p>
        </w:tc>
        <w:tc>
          <w:tcPr>
            <w:tcW w:w="254" w:type="pct"/>
            <w:tcBorders>
              <w:top w:val="nil"/>
              <w:left w:val="nil"/>
              <w:bottom w:val="single" w:sz="4" w:space="0" w:color="1F497D"/>
              <w:right w:val="single" w:sz="4" w:space="0" w:color="1F497D"/>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3,27</w:t>
            </w:r>
          </w:p>
        </w:tc>
        <w:tc>
          <w:tcPr>
            <w:tcW w:w="288" w:type="pct"/>
            <w:tcBorders>
              <w:top w:val="nil"/>
              <w:left w:val="nil"/>
              <w:bottom w:val="single" w:sz="4" w:space="0" w:color="1F497D"/>
              <w:right w:val="single" w:sz="4" w:space="0" w:color="1F497D"/>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79,49</w:t>
            </w:r>
          </w:p>
        </w:tc>
        <w:tc>
          <w:tcPr>
            <w:tcW w:w="214" w:type="pct"/>
            <w:tcBorders>
              <w:top w:val="nil"/>
              <w:left w:val="nil"/>
              <w:bottom w:val="single" w:sz="4" w:space="0" w:color="1F497D"/>
              <w:right w:val="single" w:sz="4" w:space="0" w:color="1F497D"/>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98,15</w:t>
            </w:r>
          </w:p>
        </w:tc>
        <w:tc>
          <w:tcPr>
            <w:tcW w:w="254" w:type="pct"/>
            <w:tcBorders>
              <w:top w:val="nil"/>
              <w:left w:val="nil"/>
              <w:bottom w:val="single" w:sz="4" w:space="0" w:color="1F497D"/>
              <w:right w:val="single" w:sz="4" w:space="0" w:color="1F497D"/>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3,05</w:t>
            </w:r>
          </w:p>
        </w:tc>
        <w:tc>
          <w:tcPr>
            <w:tcW w:w="274" w:type="pct"/>
            <w:tcBorders>
              <w:top w:val="nil"/>
              <w:left w:val="single" w:sz="4" w:space="0" w:color="auto"/>
              <w:bottom w:val="single" w:sz="4" w:space="0" w:color="auto"/>
              <w:right w:val="single" w:sz="4" w:space="0" w:color="auto"/>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78,45</w:t>
            </w:r>
          </w:p>
        </w:tc>
        <w:tc>
          <w:tcPr>
            <w:tcW w:w="207" w:type="pct"/>
            <w:tcBorders>
              <w:top w:val="nil"/>
              <w:left w:val="nil"/>
              <w:bottom w:val="single" w:sz="4" w:space="0" w:color="auto"/>
              <w:right w:val="single" w:sz="4" w:space="0" w:color="auto"/>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96,86</w:t>
            </w:r>
          </w:p>
        </w:tc>
        <w:tc>
          <w:tcPr>
            <w:tcW w:w="207" w:type="pct"/>
            <w:tcBorders>
              <w:top w:val="nil"/>
              <w:left w:val="nil"/>
              <w:bottom w:val="single" w:sz="4" w:space="0" w:color="auto"/>
              <w:right w:val="single" w:sz="4" w:space="0" w:color="auto"/>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3,01</w:t>
            </w:r>
          </w:p>
        </w:tc>
      </w:tr>
      <w:tr w:rsidR="00074BF1" w:rsidRPr="00074BF1" w:rsidTr="00074BF1">
        <w:trPr>
          <w:trHeight w:val="225"/>
        </w:trPr>
        <w:tc>
          <w:tcPr>
            <w:tcW w:w="241" w:type="pct"/>
            <w:vMerge/>
            <w:tcBorders>
              <w:top w:val="nil"/>
              <w:left w:val="single" w:sz="4" w:space="0" w:color="1F497D"/>
              <w:bottom w:val="single" w:sz="4" w:space="0" w:color="1F497D"/>
              <w:right w:val="single" w:sz="4" w:space="0" w:color="1F497D"/>
            </w:tcBorders>
            <w:vAlign w:val="center"/>
            <w:hideMark/>
          </w:tcPr>
          <w:p w:rsidR="00074BF1" w:rsidRPr="00074BF1" w:rsidRDefault="00074BF1" w:rsidP="00074BF1">
            <w:pPr>
              <w:rPr>
                <w:color w:val="000000"/>
                <w:sz w:val="16"/>
                <w:szCs w:val="16"/>
              </w:rPr>
            </w:pPr>
          </w:p>
        </w:tc>
        <w:tc>
          <w:tcPr>
            <w:tcW w:w="335" w:type="pct"/>
            <w:tcBorders>
              <w:top w:val="nil"/>
              <w:left w:val="nil"/>
              <w:bottom w:val="single" w:sz="4" w:space="0" w:color="1F497D"/>
              <w:right w:val="single" w:sz="4" w:space="0" w:color="1F497D"/>
            </w:tcBorders>
            <w:shd w:val="clear" w:color="000000" w:fill="FFFFFF"/>
            <w:vAlign w:val="center"/>
            <w:hideMark/>
          </w:tcPr>
          <w:p w:rsidR="00074BF1" w:rsidRPr="00074BF1" w:rsidRDefault="00074BF1" w:rsidP="00074BF1">
            <w:pPr>
              <w:jc w:val="center"/>
              <w:rPr>
                <w:color w:val="000000"/>
                <w:sz w:val="16"/>
                <w:szCs w:val="16"/>
              </w:rPr>
            </w:pPr>
            <w:r w:rsidRPr="00074BF1">
              <w:rPr>
                <w:color w:val="000000"/>
                <w:sz w:val="16"/>
                <w:szCs w:val="16"/>
              </w:rPr>
              <w:t>2015/10/02</w:t>
            </w:r>
          </w:p>
        </w:tc>
        <w:tc>
          <w:tcPr>
            <w:tcW w:w="241" w:type="pct"/>
            <w:tcBorders>
              <w:top w:val="nil"/>
              <w:left w:val="nil"/>
              <w:bottom w:val="single" w:sz="4" w:space="0" w:color="1F497D"/>
              <w:right w:val="single" w:sz="4" w:space="0" w:color="1F497D"/>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81,01</w:t>
            </w:r>
          </w:p>
        </w:tc>
        <w:tc>
          <w:tcPr>
            <w:tcW w:w="241" w:type="pct"/>
            <w:tcBorders>
              <w:top w:val="nil"/>
              <w:left w:val="nil"/>
              <w:bottom w:val="single" w:sz="4" w:space="0" w:color="1F497D"/>
              <w:right w:val="single" w:sz="4" w:space="0" w:color="1F497D"/>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3,10</w:t>
            </w:r>
          </w:p>
        </w:tc>
        <w:tc>
          <w:tcPr>
            <w:tcW w:w="181" w:type="pct"/>
            <w:tcBorders>
              <w:top w:val="nil"/>
              <w:left w:val="nil"/>
              <w:bottom w:val="single" w:sz="4" w:space="0" w:color="1F497D"/>
              <w:right w:val="single" w:sz="4" w:space="0" w:color="1F497D"/>
            </w:tcBorders>
            <w:shd w:val="clear" w:color="000000" w:fill="FFFFFF"/>
            <w:vAlign w:val="center"/>
            <w:hideMark/>
          </w:tcPr>
          <w:p w:rsidR="00074BF1" w:rsidRPr="00074BF1" w:rsidRDefault="00074BF1" w:rsidP="00074BF1">
            <w:pPr>
              <w:jc w:val="center"/>
              <w:rPr>
                <w:color w:val="000000"/>
                <w:sz w:val="16"/>
                <w:szCs w:val="16"/>
              </w:rPr>
            </w:pPr>
            <w:r w:rsidRPr="00074BF1">
              <w:rPr>
                <w:color w:val="000000"/>
                <w:sz w:val="16"/>
                <w:szCs w:val="16"/>
              </w:rPr>
              <w:t>0</w:t>
            </w:r>
          </w:p>
        </w:tc>
        <w:tc>
          <w:tcPr>
            <w:tcW w:w="268" w:type="pct"/>
            <w:tcBorders>
              <w:top w:val="nil"/>
              <w:left w:val="nil"/>
              <w:bottom w:val="single" w:sz="4" w:space="0" w:color="1F497D"/>
              <w:right w:val="single" w:sz="4" w:space="0" w:color="1F497D"/>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396,61</w:t>
            </w:r>
          </w:p>
        </w:tc>
        <w:tc>
          <w:tcPr>
            <w:tcW w:w="207" w:type="pct"/>
            <w:tcBorders>
              <w:top w:val="nil"/>
              <w:left w:val="nil"/>
              <w:bottom w:val="single" w:sz="4" w:space="0" w:color="1F497D"/>
              <w:right w:val="single" w:sz="4" w:space="0" w:color="1F497D"/>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489,57</w:t>
            </w:r>
          </w:p>
        </w:tc>
        <w:tc>
          <w:tcPr>
            <w:tcW w:w="234" w:type="pct"/>
            <w:tcBorders>
              <w:top w:val="nil"/>
              <w:left w:val="nil"/>
              <w:bottom w:val="single" w:sz="4" w:space="0" w:color="1F497D"/>
              <w:right w:val="single" w:sz="4" w:space="0" w:color="1F497D"/>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14,70</w:t>
            </w:r>
          </w:p>
        </w:tc>
        <w:tc>
          <w:tcPr>
            <w:tcW w:w="174" w:type="pct"/>
            <w:tcBorders>
              <w:top w:val="nil"/>
              <w:left w:val="nil"/>
              <w:bottom w:val="single" w:sz="4" w:space="0" w:color="1F497D"/>
              <w:right w:val="single" w:sz="4" w:space="0" w:color="1F497D"/>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0</w:t>
            </w:r>
          </w:p>
        </w:tc>
        <w:tc>
          <w:tcPr>
            <w:tcW w:w="261" w:type="pct"/>
            <w:tcBorders>
              <w:top w:val="nil"/>
              <w:left w:val="nil"/>
              <w:bottom w:val="single" w:sz="4" w:space="0" w:color="1F497D"/>
              <w:right w:val="single" w:sz="4" w:space="0" w:color="1F497D"/>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112,87</w:t>
            </w:r>
          </w:p>
        </w:tc>
        <w:tc>
          <w:tcPr>
            <w:tcW w:w="214" w:type="pct"/>
            <w:tcBorders>
              <w:top w:val="nil"/>
              <w:left w:val="nil"/>
              <w:bottom w:val="single" w:sz="4" w:space="0" w:color="1F497D"/>
              <w:right w:val="single" w:sz="4" w:space="0" w:color="1F497D"/>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139,32</w:t>
            </w:r>
          </w:p>
        </w:tc>
        <w:tc>
          <w:tcPr>
            <w:tcW w:w="214" w:type="pct"/>
            <w:tcBorders>
              <w:top w:val="nil"/>
              <w:left w:val="nil"/>
              <w:bottom w:val="single" w:sz="4" w:space="0" w:color="1F497D"/>
              <w:right w:val="single" w:sz="4" w:space="0" w:color="1F497D"/>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4,27</w:t>
            </w:r>
          </w:p>
        </w:tc>
        <w:tc>
          <w:tcPr>
            <w:tcW w:w="261" w:type="pct"/>
            <w:tcBorders>
              <w:top w:val="nil"/>
              <w:left w:val="nil"/>
              <w:bottom w:val="single" w:sz="4" w:space="0" w:color="1F497D"/>
              <w:right w:val="single" w:sz="4" w:space="0" w:color="1F497D"/>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91,86</w:t>
            </w:r>
          </w:p>
        </w:tc>
        <w:tc>
          <w:tcPr>
            <w:tcW w:w="228" w:type="pct"/>
            <w:tcBorders>
              <w:top w:val="nil"/>
              <w:left w:val="nil"/>
              <w:bottom w:val="single" w:sz="4" w:space="0" w:color="1F497D"/>
              <w:right w:val="single" w:sz="4" w:space="0" w:color="1F497D"/>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113,39</w:t>
            </w:r>
          </w:p>
        </w:tc>
        <w:tc>
          <w:tcPr>
            <w:tcW w:w="254" w:type="pct"/>
            <w:tcBorders>
              <w:top w:val="nil"/>
              <w:left w:val="nil"/>
              <w:bottom w:val="single" w:sz="4" w:space="0" w:color="1F497D"/>
              <w:right w:val="single" w:sz="4" w:space="0" w:color="1F497D"/>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3,50</w:t>
            </w:r>
          </w:p>
        </w:tc>
        <w:tc>
          <w:tcPr>
            <w:tcW w:w="288" w:type="pct"/>
            <w:tcBorders>
              <w:top w:val="nil"/>
              <w:left w:val="nil"/>
              <w:bottom w:val="single" w:sz="4" w:space="0" w:color="1F497D"/>
              <w:right w:val="single" w:sz="4" w:space="0" w:color="1F497D"/>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89,01</w:t>
            </w:r>
          </w:p>
        </w:tc>
        <w:tc>
          <w:tcPr>
            <w:tcW w:w="214" w:type="pct"/>
            <w:tcBorders>
              <w:top w:val="nil"/>
              <w:left w:val="nil"/>
              <w:bottom w:val="single" w:sz="4" w:space="0" w:color="1F497D"/>
              <w:right w:val="single" w:sz="4" w:space="0" w:color="1F497D"/>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109,87</w:t>
            </w:r>
          </w:p>
        </w:tc>
        <w:tc>
          <w:tcPr>
            <w:tcW w:w="254" w:type="pct"/>
            <w:tcBorders>
              <w:top w:val="nil"/>
              <w:left w:val="nil"/>
              <w:bottom w:val="single" w:sz="4" w:space="0" w:color="1F497D"/>
              <w:right w:val="single" w:sz="4" w:space="0" w:color="1F497D"/>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3,39</w:t>
            </w:r>
          </w:p>
        </w:tc>
        <w:tc>
          <w:tcPr>
            <w:tcW w:w="274" w:type="pct"/>
            <w:tcBorders>
              <w:top w:val="nil"/>
              <w:left w:val="single" w:sz="4" w:space="0" w:color="auto"/>
              <w:bottom w:val="single" w:sz="4" w:space="0" w:color="auto"/>
              <w:right w:val="single" w:sz="4" w:space="0" w:color="auto"/>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81,50</w:t>
            </w:r>
          </w:p>
        </w:tc>
        <w:tc>
          <w:tcPr>
            <w:tcW w:w="207" w:type="pct"/>
            <w:tcBorders>
              <w:top w:val="nil"/>
              <w:left w:val="nil"/>
              <w:bottom w:val="single" w:sz="4" w:space="0" w:color="auto"/>
              <w:right w:val="single" w:sz="4" w:space="0" w:color="auto"/>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100,60</w:t>
            </w:r>
          </w:p>
        </w:tc>
        <w:tc>
          <w:tcPr>
            <w:tcW w:w="207" w:type="pct"/>
            <w:tcBorders>
              <w:top w:val="nil"/>
              <w:left w:val="nil"/>
              <w:bottom w:val="single" w:sz="4" w:space="0" w:color="auto"/>
              <w:right w:val="single" w:sz="4" w:space="0" w:color="auto"/>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3,11</w:t>
            </w:r>
          </w:p>
        </w:tc>
      </w:tr>
      <w:tr w:rsidR="00074BF1" w:rsidRPr="00074BF1" w:rsidTr="00074BF1">
        <w:trPr>
          <w:trHeight w:val="225"/>
        </w:trPr>
        <w:tc>
          <w:tcPr>
            <w:tcW w:w="241" w:type="pct"/>
            <w:vMerge/>
            <w:tcBorders>
              <w:top w:val="nil"/>
              <w:left w:val="single" w:sz="4" w:space="0" w:color="1F497D"/>
              <w:bottom w:val="single" w:sz="4" w:space="0" w:color="1F497D"/>
              <w:right w:val="single" w:sz="4" w:space="0" w:color="1F497D"/>
            </w:tcBorders>
            <w:vAlign w:val="center"/>
            <w:hideMark/>
          </w:tcPr>
          <w:p w:rsidR="00074BF1" w:rsidRPr="00074BF1" w:rsidRDefault="00074BF1" w:rsidP="00074BF1">
            <w:pPr>
              <w:rPr>
                <w:color w:val="000000"/>
                <w:sz w:val="16"/>
                <w:szCs w:val="16"/>
              </w:rPr>
            </w:pPr>
          </w:p>
        </w:tc>
        <w:tc>
          <w:tcPr>
            <w:tcW w:w="335" w:type="pct"/>
            <w:tcBorders>
              <w:top w:val="nil"/>
              <w:left w:val="nil"/>
              <w:bottom w:val="single" w:sz="4" w:space="0" w:color="1F497D"/>
              <w:right w:val="single" w:sz="4" w:space="0" w:color="1F497D"/>
            </w:tcBorders>
            <w:shd w:val="clear" w:color="000000" w:fill="FFFFFF"/>
            <w:vAlign w:val="center"/>
            <w:hideMark/>
          </w:tcPr>
          <w:p w:rsidR="00074BF1" w:rsidRPr="00074BF1" w:rsidRDefault="00074BF1" w:rsidP="00074BF1">
            <w:pPr>
              <w:jc w:val="center"/>
              <w:rPr>
                <w:color w:val="000000"/>
                <w:sz w:val="16"/>
                <w:szCs w:val="16"/>
              </w:rPr>
            </w:pPr>
            <w:r w:rsidRPr="00074BF1">
              <w:rPr>
                <w:color w:val="000000"/>
                <w:sz w:val="16"/>
                <w:szCs w:val="16"/>
              </w:rPr>
              <w:t>Rozdíl</w:t>
            </w:r>
          </w:p>
        </w:tc>
        <w:tc>
          <w:tcPr>
            <w:tcW w:w="241" w:type="pct"/>
            <w:tcBorders>
              <w:top w:val="nil"/>
              <w:left w:val="nil"/>
              <w:bottom w:val="single" w:sz="4" w:space="0" w:color="1F497D"/>
              <w:right w:val="single" w:sz="4" w:space="0" w:color="1F497D"/>
            </w:tcBorders>
            <w:shd w:val="clear" w:color="000000" w:fill="FFFFFF"/>
            <w:noWrap/>
            <w:vAlign w:val="center"/>
            <w:hideMark/>
          </w:tcPr>
          <w:p w:rsidR="00074BF1" w:rsidRPr="00074BF1" w:rsidRDefault="00074BF1" w:rsidP="00074BF1">
            <w:pPr>
              <w:jc w:val="center"/>
              <w:rPr>
                <w:color w:val="000000"/>
                <w:sz w:val="16"/>
                <w:szCs w:val="16"/>
              </w:rPr>
            </w:pPr>
          </w:p>
        </w:tc>
        <w:tc>
          <w:tcPr>
            <w:tcW w:w="241" w:type="pct"/>
            <w:tcBorders>
              <w:top w:val="nil"/>
              <w:left w:val="nil"/>
              <w:bottom w:val="single" w:sz="4" w:space="0" w:color="1F497D"/>
              <w:right w:val="single" w:sz="4" w:space="0" w:color="1F497D"/>
            </w:tcBorders>
            <w:shd w:val="clear" w:color="000000" w:fill="FFFFFF"/>
            <w:noWrap/>
            <w:vAlign w:val="center"/>
            <w:hideMark/>
          </w:tcPr>
          <w:p w:rsidR="00074BF1" w:rsidRPr="00074BF1" w:rsidRDefault="00074BF1" w:rsidP="00074BF1">
            <w:pPr>
              <w:jc w:val="center"/>
              <w:rPr>
                <w:color w:val="000000"/>
                <w:sz w:val="16"/>
                <w:szCs w:val="16"/>
              </w:rPr>
            </w:pPr>
          </w:p>
        </w:tc>
        <w:tc>
          <w:tcPr>
            <w:tcW w:w="181" w:type="pct"/>
            <w:tcBorders>
              <w:top w:val="nil"/>
              <w:left w:val="nil"/>
              <w:bottom w:val="single" w:sz="4" w:space="0" w:color="1F497D"/>
              <w:right w:val="single" w:sz="4" w:space="0" w:color="1F497D"/>
            </w:tcBorders>
            <w:shd w:val="clear" w:color="000000" w:fill="FFFFFF"/>
            <w:vAlign w:val="center"/>
            <w:hideMark/>
          </w:tcPr>
          <w:p w:rsidR="00074BF1" w:rsidRPr="00074BF1" w:rsidRDefault="00074BF1" w:rsidP="00074BF1">
            <w:pPr>
              <w:jc w:val="center"/>
              <w:rPr>
                <w:color w:val="000000"/>
                <w:sz w:val="16"/>
                <w:szCs w:val="16"/>
              </w:rPr>
            </w:pPr>
            <w:r w:rsidRPr="00074BF1">
              <w:rPr>
                <w:color w:val="000000"/>
                <w:sz w:val="16"/>
                <w:szCs w:val="16"/>
              </w:rPr>
              <w:t>0</w:t>
            </w:r>
          </w:p>
        </w:tc>
        <w:tc>
          <w:tcPr>
            <w:tcW w:w="268" w:type="pct"/>
            <w:tcBorders>
              <w:top w:val="nil"/>
              <w:left w:val="nil"/>
              <w:bottom w:val="single" w:sz="4" w:space="0" w:color="1F497D"/>
              <w:right w:val="single" w:sz="4" w:space="0" w:color="1F497D"/>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1,56</w:t>
            </w:r>
          </w:p>
        </w:tc>
        <w:tc>
          <w:tcPr>
            <w:tcW w:w="207" w:type="pct"/>
            <w:tcBorders>
              <w:top w:val="nil"/>
              <w:left w:val="nil"/>
              <w:bottom w:val="single" w:sz="4" w:space="0" w:color="1F497D"/>
              <w:right w:val="single" w:sz="4" w:space="0" w:color="1F497D"/>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1,92</w:t>
            </w:r>
          </w:p>
        </w:tc>
        <w:tc>
          <w:tcPr>
            <w:tcW w:w="234" w:type="pct"/>
            <w:tcBorders>
              <w:top w:val="nil"/>
              <w:left w:val="nil"/>
              <w:bottom w:val="single" w:sz="4" w:space="0" w:color="1F497D"/>
              <w:right w:val="single" w:sz="4" w:space="0" w:color="1F497D"/>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0,17</w:t>
            </w:r>
          </w:p>
        </w:tc>
        <w:tc>
          <w:tcPr>
            <w:tcW w:w="174" w:type="pct"/>
            <w:tcBorders>
              <w:top w:val="nil"/>
              <w:left w:val="nil"/>
              <w:bottom w:val="single" w:sz="4" w:space="0" w:color="1F497D"/>
              <w:right w:val="single" w:sz="4" w:space="0" w:color="1F497D"/>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0</w:t>
            </w:r>
          </w:p>
        </w:tc>
        <w:tc>
          <w:tcPr>
            <w:tcW w:w="261" w:type="pct"/>
            <w:tcBorders>
              <w:top w:val="nil"/>
              <w:left w:val="nil"/>
              <w:bottom w:val="single" w:sz="4" w:space="0" w:color="1F497D"/>
              <w:right w:val="single" w:sz="4" w:space="0" w:color="1F497D"/>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-7,06</w:t>
            </w:r>
          </w:p>
        </w:tc>
        <w:tc>
          <w:tcPr>
            <w:tcW w:w="214" w:type="pct"/>
            <w:tcBorders>
              <w:top w:val="nil"/>
              <w:left w:val="nil"/>
              <w:bottom w:val="single" w:sz="4" w:space="0" w:color="1F497D"/>
              <w:right w:val="single" w:sz="4" w:space="0" w:color="1F497D"/>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-8,72</w:t>
            </w:r>
          </w:p>
        </w:tc>
        <w:tc>
          <w:tcPr>
            <w:tcW w:w="214" w:type="pct"/>
            <w:tcBorders>
              <w:top w:val="nil"/>
              <w:left w:val="nil"/>
              <w:bottom w:val="single" w:sz="4" w:space="0" w:color="1F497D"/>
              <w:right w:val="single" w:sz="4" w:space="0" w:color="1F497D"/>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-0,25</w:t>
            </w:r>
          </w:p>
        </w:tc>
        <w:tc>
          <w:tcPr>
            <w:tcW w:w="261" w:type="pct"/>
            <w:tcBorders>
              <w:top w:val="nil"/>
              <w:left w:val="nil"/>
              <w:bottom w:val="single" w:sz="4" w:space="0" w:color="1F497D"/>
              <w:right w:val="single" w:sz="4" w:space="0" w:color="1F497D"/>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6,35</w:t>
            </w:r>
          </w:p>
        </w:tc>
        <w:tc>
          <w:tcPr>
            <w:tcW w:w="228" w:type="pct"/>
            <w:tcBorders>
              <w:top w:val="nil"/>
              <w:left w:val="nil"/>
              <w:bottom w:val="single" w:sz="4" w:space="0" w:color="1F497D"/>
              <w:right w:val="single" w:sz="4" w:space="0" w:color="1F497D"/>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7,84</w:t>
            </w:r>
          </w:p>
        </w:tc>
        <w:tc>
          <w:tcPr>
            <w:tcW w:w="254" w:type="pct"/>
            <w:tcBorders>
              <w:top w:val="nil"/>
              <w:left w:val="nil"/>
              <w:bottom w:val="single" w:sz="4" w:space="0" w:color="1F497D"/>
              <w:right w:val="single" w:sz="4" w:space="0" w:color="1F497D"/>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0,23</w:t>
            </w:r>
          </w:p>
        </w:tc>
        <w:tc>
          <w:tcPr>
            <w:tcW w:w="288" w:type="pct"/>
            <w:tcBorders>
              <w:top w:val="nil"/>
              <w:left w:val="nil"/>
              <w:bottom w:val="single" w:sz="4" w:space="0" w:color="1F497D"/>
              <w:right w:val="single" w:sz="4" w:space="0" w:color="1F497D"/>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9,52</w:t>
            </w:r>
          </w:p>
        </w:tc>
        <w:tc>
          <w:tcPr>
            <w:tcW w:w="214" w:type="pct"/>
            <w:tcBorders>
              <w:top w:val="nil"/>
              <w:left w:val="nil"/>
              <w:bottom w:val="single" w:sz="4" w:space="0" w:color="1F497D"/>
              <w:right w:val="single" w:sz="4" w:space="0" w:color="1F497D"/>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11,75</w:t>
            </w:r>
          </w:p>
        </w:tc>
        <w:tc>
          <w:tcPr>
            <w:tcW w:w="254" w:type="pct"/>
            <w:tcBorders>
              <w:top w:val="nil"/>
              <w:left w:val="nil"/>
              <w:bottom w:val="single" w:sz="4" w:space="0" w:color="1F497D"/>
              <w:right w:val="single" w:sz="4" w:space="0" w:color="1F497D"/>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0,35</w:t>
            </w:r>
          </w:p>
        </w:tc>
        <w:tc>
          <w:tcPr>
            <w:tcW w:w="274" w:type="pct"/>
            <w:tcBorders>
              <w:top w:val="nil"/>
              <w:left w:val="single" w:sz="4" w:space="0" w:color="auto"/>
              <w:bottom w:val="single" w:sz="4" w:space="0" w:color="auto"/>
              <w:right w:val="single" w:sz="4" w:space="0" w:color="auto"/>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3,05</w:t>
            </w:r>
          </w:p>
        </w:tc>
        <w:tc>
          <w:tcPr>
            <w:tcW w:w="207" w:type="pct"/>
            <w:tcBorders>
              <w:top w:val="nil"/>
              <w:left w:val="nil"/>
              <w:bottom w:val="single" w:sz="4" w:space="0" w:color="auto"/>
              <w:right w:val="single" w:sz="4" w:space="0" w:color="auto"/>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3,77</w:t>
            </w:r>
          </w:p>
        </w:tc>
        <w:tc>
          <w:tcPr>
            <w:tcW w:w="207" w:type="pct"/>
            <w:tcBorders>
              <w:top w:val="nil"/>
              <w:left w:val="nil"/>
              <w:bottom w:val="single" w:sz="4" w:space="0" w:color="auto"/>
              <w:right w:val="single" w:sz="4" w:space="0" w:color="auto"/>
            </w:tcBorders>
            <w:shd w:val="clear" w:color="000000" w:fill="FFFFFF"/>
            <w:noWrap/>
            <w:vAlign w:val="center"/>
            <w:hideMark/>
          </w:tcPr>
          <w:p w:rsidR="00074BF1" w:rsidRPr="00074BF1" w:rsidRDefault="00074BF1" w:rsidP="00074BF1">
            <w:pPr>
              <w:jc w:val="center"/>
              <w:rPr>
                <w:color w:val="000000"/>
                <w:sz w:val="16"/>
                <w:szCs w:val="16"/>
              </w:rPr>
            </w:pPr>
            <w:r w:rsidRPr="00074BF1">
              <w:rPr>
                <w:color w:val="000000"/>
                <w:sz w:val="16"/>
                <w:szCs w:val="16"/>
              </w:rPr>
              <w:t>0,10</w:t>
            </w:r>
          </w:p>
        </w:tc>
      </w:tr>
    </w:tbl>
    <w:p w:rsidR="000A32B6" w:rsidRDefault="00656358" w:rsidP="00D15C73">
      <w:pPr>
        <w:rPr>
          <w:i/>
          <w:sz w:val="18"/>
          <w:szCs w:val="18"/>
        </w:rPr>
      </w:pPr>
      <w:r w:rsidRPr="00656358">
        <w:rPr>
          <w:i/>
          <w:sz w:val="18"/>
          <w:szCs w:val="18"/>
        </w:rPr>
        <w:t xml:space="preserve">Zdroj dat: </w:t>
      </w:r>
      <w:r w:rsidR="00802760" w:rsidRPr="00277C9A">
        <w:rPr>
          <w:i/>
          <w:sz w:val="18"/>
          <w:szCs w:val="18"/>
        </w:rPr>
        <w:t xml:space="preserve">Aktuální </w:t>
      </w:r>
      <w:proofErr w:type="spellStart"/>
      <w:r w:rsidR="00802760" w:rsidRPr="00277C9A">
        <w:rPr>
          <w:i/>
          <w:sz w:val="18"/>
          <w:szCs w:val="18"/>
        </w:rPr>
        <w:t>MoV</w:t>
      </w:r>
      <w:proofErr w:type="spellEnd"/>
      <w:r w:rsidR="00802760" w:rsidRPr="00277C9A">
        <w:rPr>
          <w:i/>
          <w:sz w:val="18"/>
          <w:szCs w:val="18"/>
        </w:rPr>
        <w:t xml:space="preserve"> </w:t>
      </w:r>
      <w:r w:rsidR="00802760">
        <w:rPr>
          <w:i/>
          <w:sz w:val="18"/>
          <w:szCs w:val="18"/>
        </w:rPr>
        <w:t xml:space="preserve"> - </w:t>
      </w:r>
      <w:r w:rsidRPr="00656358">
        <w:rPr>
          <w:i/>
          <w:sz w:val="18"/>
          <w:szCs w:val="18"/>
        </w:rPr>
        <w:t xml:space="preserve">MSC 2007 </w:t>
      </w:r>
      <w:r w:rsidR="00914BC7">
        <w:rPr>
          <w:i/>
          <w:sz w:val="18"/>
          <w:szCs w:val="18"/>
        </w:rPr>
        <w:t>k 30. 9. 2015</w:t>
      </w:r>
      <w:r w:rsidR="00D15C73">
        <w:rPr>
          <w:i/>
          <w:sz w:val="18"/>
          <w:szCs w:val="18"/>
        </w:rPr>
        <w:t xml:space="preserve">; Data za certifikované prostředky byla v celé zprávě generována k datu 8. 10. 2015, důvodem je technická chyba způsobena chybným přenosem dat </w:t>
      </w:r>
      <w:proofErr w:type="gramStart"/>
      <w:r w:rsidR="00D15C73">
        <w:rPr>
          <w:i/>
          <w:sz w:val="18"/>
          <w:szCs w:val="18"/>
        </w:rPr>
        <w:t>mezi</w:t>
      </w:r>
      <w:proofErr w:type="gramEnd"/>
      <w:r w:rsidR="00D15C73">
        <w:rPr>
          <w:i/>
          <w:sz w:val="18"/>
          <w:szCs w:val="18"/>
        </w:rPr>
        <w:t xml:space="preserve"> IS Viola a MSC2007</w:t>
      </w:r>
    </w:p>
    <w:p w:rsidR="00802760" w:rsidRPr="00277C9A" w:rsidRDefault="00802760" w:rsidP="00802760">
      <w:pPr>
        <w:ind w:firstLine="708"/>
        <w:jc w:val="both"/>
        <w:rPr>
          <w:i/>
          <w:sz w:val="18"/>
          <w:szCs w:val="18"/>
        </w:rPr>
      </w:pPr>
      <w:r w:rsidRPr="00277C9A">
        <w:rPr>
          <w:i/>
          <w:sz w:val="18"/>
          <w:szCs w:val="18"/>
        </w:rPr>
        <w:t xml:space="preserve">Předchozí </w:t>
      </w:r>
      <w:proofErr w:type="spellStart"/>
      <w:r w:rsidRPr="00277C9A">
        <w:rPr>
          <w:i/>
          <w:sz w:val="18"/>
          <w:szCs w:val="18"/>
        </w:rPr>
        <w:t>MoV</w:t>
      </w:r>
      <w:proofErr w:type="spellEnd"/>
      <w:r w:rsidRPr="00277C9A">
        <w:rPr>
          <w:i/>
          <w:sz w:val="18"/>
          <w:szCs w:val="18"/>
        </w:rPr>
        <w:t xml:space="preserve"> – MSC2007 ke dni</w:t>
      </w:r>
      <w:r>
        <w:rPr>
          <w:i/>
          <w:sz w:val="18"/>
          <w:szCs w:val="18"/>
        </w:rPr>
        <w:t xml:space="preserve"> </w:t>
      </w:r>
      <w:r w:rsidR="00005CF5">
        <w:rPr>
          <w:i/>
          <w:sz w:val="18"/>
          <w:szCs w:val="18"/>
        </w:rPr>
        <w:t>16. 4. 2015</w:t>
      </w:r>
    </w:p>
    <w:p w:rsidR="00802760" w:rsidRPr="00277C9A" w:rsidRDefault="00802760" w:rsidP="00802760">
      <w:pPr>
        <w:jc w:val="both"/>
        <w:rPr>
          <w:i/>
          <w:sz w:val="18"/>
          <w:szCs w:val="18"/>
        </w:rPr>
      </w:pPr>
      <w:r w:rsidRPr="00277C9A">
        <w:rPr>
          <w:i/>
          <w:sz w:val="18"/>
          <w:szCs w:val="18"/>
        </w:rPr>
        <w:t xml:space="preserve"> Kurz CZK/EUR: Aktuální </w:t>
      </w:r>
      <w:proofErr w:type="spellStart"/>
      <w:r w:rsidRPr="00277C9A">
        <w:rPr>
          <w:i/>
          <w:sz w:val="18"/>
          <w:szCs w:val="18"/>
        </w:rPr>
        <w:t>MoV</w:t>
      </w:r>
      <w:proofErr w:type="spellEnd"/>
      <w:r w:rsidRPr="00277C9A">
        <w:rPr>
          <w:i/>
          <w:sz w:val="18"/>
          <w:szCs w:val="18"/>
        </w:rPr>
        <w:t xml:space="preserve"> </w:t>
      </w:r>
      <w:r w:rsidRPr="00737479">
        <w:rPr>
          <w:i/>
          <w:sz w:val="18"/>
          <w:szCs w:val="18"/>
        </w:rPr>
        <w:t xml:space="preserve">– </w:t>
      </w:r>
      <w:r w:rsidR="00005CF5">
        <w:rPr>
          <w:i/>
          <w:sz w:val="18"/>
          <w:szCs w:val="18"/>
        </w:rPr>
        <w:t>27,208</w:t>
      </w:r>
    </w:p>
    <w:p w:rsidR="00802760" w:rsidRDefault="00802760" w:rsidP="00802760">
      <w:pPr>
        <w:jc w:val="both"/>
        <w:rPr>
          <w:i/>
          <w:sz w:val="18"/>
          <w:szCs w:val="18"/>
        </w:rPr>
      </w:pPr>
      <w:r w:rsidRPr="00277C9A">
        <w:rPr>
          <w:i/>
          <w:sz w:val="18"/>
          <w:szCs w:val="18"/>
        </w:rPr>
        <w:t xml:space="preserve">                            Předchozí </w:t>
      </w:r>
      <w:proofErr w:type="spellStart"/>
      <w:r w:rsidRPr="00277C9A">
        <w:rPr>
          <w:i/>
          <w:sz w:val="18"/>
          <w:szCs w:val="18"/>
        </w:rPr>
        <w:t>MoV</w:t>
      </w:r>
      <w:proofErr w:type="spellEnd"/>
      <w:r>
        <w:rPr>
          <w:i/>
          <w:sz w:val="18"/>
          <w:szCs w:val="18"/>
        </w:rPr>
        <w:t xml:space="preserve"> </w:t>
      </w:r>
      <w:r w:rsidRPr="00277C9A">
        <w:rPr>
          <w:i/>
          <w:sz w:val="18"/>
          <w:szCs w:val="18"/>
        </w:rPr>
        <w:t xml:space="preserve">– </w:t>
      </w:r>
      <w:r w:rsidR="00005CF5">
        <w:rPr>
          <w:i/>
          <w:sz w:val="18"/>
          <w:szCs w:val="18"/>
        </w:rPr>
        <w:t>27,473</w:t>
      </w:r>
    </w:p>
    <w:p w:rsidR="00802760" w:rsidRPr="00277C9A" w:rsidRDefault="00802760" w:rsidP="00802760">
      <w:pPr>
        <w:jc w:val="both"/>
        <w:rPr>
          <w:i/>
          <w:sz w:val="18"/>
          <w:szCs w:val="18"/>
        </w:rPr>
      </w:pPr>
      <w:r>
        <w:rPr>
          <w:i/>
          <w:sz w:val="18"/>
          <w:szCs w:val="18"/>
        </w:rPr>
        <w:t xml:space="preserve">Zdroj financování: podíl EU </w:t>
      </w:r>
    </w:p>
    <w:p w:rsidR="00802760" w:rsidRDefault="00802760" w:rsidP="000A32B6">
      <w:pPr>
        <w:jc w:val="both"/>
        <w:rPr>
          <w:sz w:val="22"/>
          <w:szCs w:val="22"/>
        </w:rPr>
        <w:sectPr w:rsidR="00802760" w:rsidSect="00FB7318">
          <w:pgSz w:w="16840" w:h="11907" w:orient="landscape" w:code="9"/>
          <w:pgMar w:top="1418" w:right="1418" w:bottom="1418" w:left="1418" w:header="709" w:footer="709" w:gutter="0"/>
          <w:cols w:space="708"/>
          <w:docGrid w:linePitch="360"/>
        </w:sectPr>
      </w:pPr>
    </w:p>
    <w:p w:rsidR="002F2C3F" w:rsidRDefault="002F2C3F" w:rsidP="002F2C3F">
      <w:pPr>
        <w:rPr>
          <w:b/>
          <w:sz w:val="24"/>
          <w:szCs w:val="24"/>
        </w:rPr>
      </w:pPr>
      <w:r w:rsidRPr="006266F5">
        <w:rPr>
          <w:b/>
          <w:sz w:val="24"/>
          <w:szCs w:val="24"/>
        </w:rPr>
        <w:lastRenderedPageBreak/>
        <w:t>Přehled probíhajících výzev</w:t>
      </w:r>
      <w:r w:rsidRPr="0042676F">
        <w:rPr>
          <w:b/>
          <w:sz w:val="24"/>
          <w:szCs w:val="24"/>
        </w:rPr>
        <w:t xml:space="preserve"> </w:t>
      </w:r>
    </w:p>
    <w:p w:rsidR="00346298" w:rsidRDefault="00346298" w:rsidP="00B06B99">
      <w:pPr>
        <w:jc w:val="both"/>
        <w:rPr>
          <w:b/>
          <w:sz w:val="22"/>
          <w:szCs w:val="22"/>
        </w:rPr>
      </w:pPr>
    </w:p>
    <w:p w:rsidR="000D1AB7" w:rsidRPr="00EC3BD8" w:rsidRDefault="000D1AB7" w:rsidP="00B06B99">
      <w:pPr>
        <w:jc w:val="both"/>
        <w:rPr>
          <w:sz w:val="22"/>
          <w:szCs w:val="22"/>
        </w:rPr>
      </w:pPr>
      <w:r w:rsidRPr="00153AE7">
        <w:rPr>
          <w:b/>
          <w:sz w:val="22"/>
          <w:szCs w:val="22"/>
        </w:rPr>
        <w:t>V oblasti intervence 4.1</w:t>
      </w:r>
      <w:r w:rsidRPr="00153AE7">
        <w:rPr>
          <w:sz w:val="22"/>
          <w:szCs w:val="22"/>
        </w:rPr>
        <w:t xml:space="preserve"> probíh</w:t>
      </w:r>
      <w:r w:rsidR="00AA4B54">
        <w:rPr>
          <w:sz w:val="22"/>
          <w:szCs w:val="22"/>
        </w:rPr>
        <w:t>ala</w:t>
      </w:r>
      <w:r w:rsidR="00153AE7" w:rsidRPr="00153AE7">
        <w:rPr>
          <w:sz w:val="22"/>
          <w:szCs w:val="22"/>
        </w:rPr>
        <w:t xml:space="preserve"> ve sledovaném </w:t>
      </w:r>
      <w:r w:rsidR="00501A6E" w:rsidRPr="00AA4B54">
        <w:rPr>
          <w:sz w:val="22"/>
          <w:szCs w:val="22"/>
        </w:rPr>
        <w:t>období výzva</w:t>
      </w:r>
      <w:r w:rsidR="008272DD">
        <w:rPr>
          <w:sz w:val="22"/>
          <w:szCs w:val="22"/>
        </w:rPr>
        <w:t xml:space="preserve"> č</w:t>
      </w:r>
      <w:r w:rsidRPr="00AA4B54">
        <w:rPr>
          <w:sz w:val="22"/>
          <w:szCs w:val="22"/>
        </w:rPr>
        <w:t>íslo 12 s alokací 59,7 mil. EUR</w:t>
      </w:r>
      <w:r w:rsidR="00153AE7" w:rsidRPr="00AA4B54">
        <w:rPr>
          <w:sz w:val="22"/>
          <w:szCs w:val="22"/>
        </w:rPr>
        <w:t xml:space="preserve">. </w:t>
      </w:r>
      <w:r w:rsidRPr="00AA4B54">
        <w:rPr>
          <w:sz w:val="22"/>
          <w:szCs w:val="22"/>
        </w:rPr>
        <w:t xml:space="preserve">Předloženo bylo </w:t>
      </w:r>
      <w:r w:rsidR="00AA4B54" w:rsidRPr="00AA4B54">
        <w:rPr>
          <w:sz w:val="22"/>
          <w:szCs w:val="22"/>
        </w:rPr>
        <w:t xml:space="preserve">62 </w:t>
      </w:r>
      <w:r w:rsidRPr="00AA4B54">
        <w:rPr>
          <w:sz w:val="22"/>
          <w:szCs w:val="22"/>
        </w:rPr>
        <w:t xml:space="preserve">projektových žádostí o objemu </w:t>
      </w:r>
      <w:r w:rsidR="00AA4B54" w:rsidRPr="00AA4B54">
        <w:rPr>
          <w:sz w:val="22"/>
          <w:szCs w:val="22"/>
        </w:rPr>
        <w:t>85,01</w:t>
      </w:r>
      <w:r w:rsidR="003E76AC" w:rsidRPr="00AA4B54">
        <w:rPr>
          <w:sz w:val="22"/>
          <w:szCs w:val="22"/>
        </w:rPr>
        <w:t xml:space="preserve"> </w:t>
      </w:r>
      <w:r w:rsidRPr="00AA4B54">
        <w:rPr>
          <w:sz w:val="22"/>
          <w:szCs w:val="22"/>
        </w:rPr>
        <w:t xml:space="preserve">mil. EUR, schváleno </w:t>
      </w:r>
      <w:r w:rsidR="005E06B9" w:rsidRPr="00AA4B54">
        <w:rPr>
          <w:sz w:val="22"/>
          <w:szCs w:val="22"/>
        </w:rPr>
        <w:t xml:space="preserve">bylo </w:t>
      </w:r>
      <w:r w:rsidR="00AA4B54" w:rsidRPr="00AA4B54">
        <w:rPr>
          <w:sz w:val="22"/>
          <w:szCs w:val="22"/>
        </w:rPr>
        <w:t>44</w:t>
      </w:r>
      <w:r w:rsidR="003E76AC" w:rsidRPr="00AA4B54">
        <w:rPr>
          <w:sz w:val="22"/>
          <w:szCs w:val="22"/>
        </w:rPr>
        <w:t xml:space="preserve"> </w:t>
      </w:r>
      <w:r w:rsidRPr="00AA4B54">
        <w:rPr>
          <w:sz w:val="22"/>
          <w:szCs w:val="22"/>
        </w:rPr>
        <w:t xml:space="preserve">projektů </w:t>
      </w:r>
      <w:r w:rsidR="009347CD">
        <w:rPr>
          <w:sz w:val="22"/>
          <w:szCs w:val="22"/>
        </w:rPr>
        <w:br/>
      </w:r>
      <w:r w:rsidR="005E06B9" w:rsidRPr="00AA4B54">
        <w:rPr>
          <w:sz w:val="22"/>
          <w:szCs w:val="22"/>
        </w:rPr>
        <w:t>v</w:t>
      </w:r>
      <w:r w:rsidRPr="00AA4B54">
        <w:rPr>
          <w:sz w:val="22"/>
          <w:szCs w:val="22"/>
        </w:rPr>
        <w:t xml:space="preserve"> část</w:t>
      </w:r>
      <w:r w:rsidR="005E06B9" w:rsidRPr="00AA4B54">
        <w:rPr>
          <w:sz w:val="22"/>
          <w:szCs w:val="22"/>
        </w:rPr>
        <w:t>ce</w:t>
      </w:r>
      <w:r w:rsidRPr="00AA4B54">
        <w:rPr>
          <w:sz w:val="22"/>
          <w:szCs w:val="22"/>
        </w:rPr>
        <w:t xml:space="preserve"> </w:t>
      </w:r>
      <w:r w:rsidR="00AA4B54" w:rsidRPr="00AA4B54">
        <w:rPr>
          <w:sz w:val="22"/>
          <w:szCs w:val="22"/>
        </w:rPr>
        <w:t>55,46</w:t>
      </w:r>
      <w:r w:rsidRPr="00AA4B54">
        <w:rPr>
          <w:sz w:val="22"/>
          <w:szCs w:val="22"/>
        </w:rPr>
        <w:t xml:space="preserve"> mil. EUR.</w:t>
      </w:r>
      <w:r w:rsidR="00B06B99" w:rsidRPr="00153AE7">
        <w:rPr>
          <w:sz w:val="22"/>
          <w:szCs w:val="22"/>
        </w:rPr>
        <w:t xml:space="preserve"> </w:t>
      </w:r>
    </w:p>
    <w:p w:rsidR="000D1AB7" w:rsidRDefault="000D1AB7" w:rsidP="002F2C3F">
      <w:pPr>
        <w:rPr>
          <w:b/>
          <w:sz w:val="24"/>
          <w:szCs w:val="24"/>
        </w:rPr>
      </w:pPr>
    </w:p>
    <w:p w:rsidR="000D1AB7" w:rsidRPr="000D1AB7" w:rsidRDefault="000D1AB7" w:rsidP="000D1AB7">
      <w:pPr>
        <w:pStyle w:val="Tabulkanzev"/>
        <w:rPr>
          <w:b w:val="0"/>
          <w:bCs/>
        </w:rPr>
      </w:pPr>
      <w:bookmarkStart w:id="111" w:name="_Toc433873561"/>
      <w:r w:rsidRPr="00DB3722">
        <w:rPr>
          <w:rStyle w:val="Siln"/>
        </w:rPr>
        <w:t xml:space="preserve">Přehled probíhajících výzev v období </w:t>
      </w:r>
      <w:r>
        <w:rPr>
          <w:rStyle w:val="Siln"/>
        </w:rPr>
        <w:t>1</w:t>
      </w:r>
      <w:r w:rsidR="00B7584C">
        <w:rPr>
          <w:rStyle w:val="Siln"/>
        </w:rPr>
        <w:t>7</w:t>
      </w:r>
      <w:r>
        <w:rPr>
          <w:rStyle w:val="Siln"/>
        </w:rPr>
        <w:t>.</w:t>
      </w:r>
      <w:r w:rsidR="00560853">
        <w:rPr>
          <w:rStyle w:val="Siln"/>
        </w:rPr>
        <w:t xml:space="preserve"> </w:t>
      </w:r>
      <w:r w:rsidR="00B7584C">
        <w:rPr>
          <w:rStyle w:val="Siln"/>
        </w:rPr>
        <w:t>4</w:t>
      </w:r>
      <w:r>
        <w:rPr>
          <w:rStyle w:val="Siln"/>
        </w:rPr>
        <w:t>.</w:t>
      </w:r>
      <w:r w:rsidR="00560853">
        <w:rPr>
          <w:rStyle w:val="Siln"/>
        </w:rPr>
        <w:t xml:space="preserve"> </w:t>
      </w:r>
      <w:r>
        <w:rPr>
          <w:rStyle w:val="Siln"/>
        </w:rPr>
        <w:t>201</w:t>
      </w:r>
      <w:r w:rsidR="00B7584C">
        <w:rPr>
          <w:rStyle w:val="Siln"/>
        </w:rPr>
        <w:t>5</w:t>
      </w:r>
      <w:r w:rsidRPr="00DB3722">
        <w:rPr>
          <w:rStyle w:val="Siln"/>
        </w:rPr>
        <w:t xml:space="preserve"> </w:t>
      </w:r>
      <w:r w:rsidR="00F75307">
        <w:rPr>
          <w:rStyle w:val="Siln"/>
        </w:rPr>
        <w:t xml:space="preserve"> </w:t>
      </w:r>
      <w:r w:rsidRPr="00DB3722">
        <w:rPr>
          <w:rStyle w:val="Siln"/>
        </w:rPr>
        <w:t xml:space="preserve">- </w:t>
      </w:r>
      <w:r w:rsidR="0015783A">
        <w:rPr>
          <w:rStyle w:val="Siln"/>
        </w:rPr>
        <w:t>30. 9. 2015</w:t>
      </w:r>
      <w:r w:rsidRPr="00DB3722">
        <w:rPr>
          <w:rStyle w:val="Siln"/>
        </w:rPr>
        <w:t xml:space="preserve"> v prioritní ose 4a a 4b</w:t>
      </w:r>
      <w:bookmarkEnd w:id="111"/>
    </w:p>
    <w:tbl>
      <w:tblPr>
        <w:tblW w:w="8980" w:type="dxa"/>
        <w:tblInd w:w="47" w:type="dxa"/>
        <w:tblBorders>
          <w:top w:val="single" w:sz="8" w:space="0" w:color="1F497D" w:themeColor="text2"/>
          <w:left w:val="single" w:sz="8" w:space="0" w:color="1F497D" w:themeColor="text2"/>
          <w:bottom w:val="single" w:sz="8" w:space="0" w:color="1F497D" w:themeColor="text2"/>
          <w:right w:val="single" w:sz="8" w:space="0" w:color="1F497D" w:themeColor="text2"/>
          <w:insideH w:val="single" w:sz="8" w:space="0" w:color="1F497D" w:themeColor="text2"/>
          <w:insideV w:val="single" w:sz="8" w:space="0" w:color="1F497D" w:themeColor="text2"/>
        </w:tblBorders>
        <w:tblCellMar>
          <w:left w:w="70" w:type="dxa"/>
          <w:right w:w="70" w:type="dxa"/>
        </w:tblCellMar>
        <w:tblLook w:val="04A0" w:firstRow="1" w:lastRow="0" w:firstColumn="1" w:lastColumn="0" w:noHBand="0" w:noVBand="1"/>
      </w:tblPr>
      <w:tblGrid>
        <w:gridCol w:w="677"/>
        <w:gridCol w:w="616"/>
        <w:gridCol w:w="1047"/>
        <w:gridCol w:w="780"/>
        <w:gridCol w:w="921"/>
        <w:gridCol w:w="489"/>
        <w:gridCol w:w="1044"/>
        <w:gridCol w:w="505"/>
        <w:gridCol w:w="1027"/>
        <w:gridCol w:w="667"/>
        <w:gridCol w:w="1270"/>
      </w:tblGrid>
      <w:tr w:rsidR="00B7584C" w:rsidRPr="00B7584C" w:rsidTr="00666610">
        <w:trPr>
          <w:trHeight w:val="315"/>
        </w:trPr>
        <w:tc>
          <w:tcPr>
            <w:tcW w:w="677" w:type="dxa"/>
            <w:vMerge w:val="restart"/>
            <w:shd w:val="clear" w:color="000000" w:fill="B8CCE4"/>
            <w:vAlign w:val="center"/>
            <w:hideMark/>
          </w:tcPr>
          <w:p w:rsidR="00B7584C" w:rsidRPr="00B7584C" w:rsidRDefault="00B7584C" w:rsidP="00B7584C">
            <w:pPr>
              <w:jc w:val="center"/>
              <w:rPr>
                <w:b/>
                <w:bCs/>
                <w:color w:val="000000"/>
                <w:sz w:val="16"/>
                <w:szCs w:val="16"/>
              </w:rPr>
            </w:pPr>
            <w:bookmarkStart w:id="112" w:name="_Toc306893722"/>
            <w:r w:rsidRPr="00B7584C">
              <w:rPr>
                <w:b/>
                <w:bCs/>
                <w:color w:val="000000"/>
                <w:sz w:val="16"/>
                <w:szCs w:val="16"/>
              </w:rPr>
              <w:t>Pořadí výzvy</w:t>
            </w:r>
          </w:p>
        </w:tc>
        <w:tc>
          <w:tcPr>
            <w:tcW w:w="616" w:type="dxa"/>
            <w:vMerge w:val="restart"/>
            <w:shd w:val="clear" w:color="000000" w:fill="B8CCE4"/>
            <w:vAlign w:val="center"/>
            <w:hideMark/>
          </w:tcPr>
          <w:p w:rsidR="00B7584C" w:rsidRPr="00B7584C" w:rsidRDefault="00B7584C" w:rsidP="00B7584C">
            <w:pPr>
              <w:jc w:val="center"/>
              <w:rPr>
                <w:b/>
                <w:bCs/>
                <w:color w:val="000000"/>
                <w:sz w:val="16"/>
                <w:szCs w:val="16"/>
              </w:rPr>
            </w:pPr>
            <w:r w:rsidRPr="00B7584C">
              <w:rPr>
                <w:b/>
                <w:bCs/>
                <w:color w:val="000000"/>
                <w:sz w:val="16"/>
                <w:szCs w:val="16"/>
              </w:rPr>
              <w:t>Číslo výzvy</w:t>
            </w:r>
          </w:p>
        </w:tc>
        <w:tc>
          <w:tcPr>
            <w:tcW w:w="1887" w:type="dxa"/>
            <w:gridSpan w:val="2"/>
            <w:vMerge w:val="restart"/>
            <w:shd w:val="clear" w:color="000000" w:fill="B8CCE4"/>
            <w:vAlign w:val="center"/>
            <w:hideMark/>
          </w:tcPr>
          <w:p w:rsidR="00B7584C" w:rsidRPr="00B7584C" w:rsidRDefault="00B7584C" w:rsidP="00B7584C">
            <w:pPr>
              <w:jc w:val="center"/>
              <w:rPr>
                <w:b/>
                <w:bCs/>
                <w:color w:val="000000"/>
                <w:sz w:val="16"/>
                <w:szCs w:val="16"/>
              </w:rPr>
            </w:pPr>
            <w:r w:rsidRPr="00B7584C">
              <w:rPr>
                <w:b/>
                <w:bCs/>
                <w:color w:val="000000"/>
                <w:sz w:val="16"/>
                <w:szCs w:val="16"/>
              </w:rPr>
              <w:t>Podání projektových žádostí</w:t>
            </w:r>
          </w:p>
        </w:tc>
        <w:tc>
          <w:tcPr>
            <w:tcW w:w="921" w:type="dxa"/>
            <w:vMerge w:val="restart"/>
            <w:shd w:val="clear" w:color="000000" w:fill="B8CCE4"/>
            <w:vAlign w:val="center"/>
            <w:hideMark/>
          </w:tcPr>
          <w:p w:rsidR="00B7584C" w:rsidRPr="00B7584C" w:rsidRDefault="00B7584C" w:rsidP="00B7584C">
            <w:pPr>
              <w:jc w:val="center"/>
              <w:rPr>
                <w:b/>
                <w:bCs/>
                <w:color w:val="000000"/>
                <w:sz w:val="16"/>
                <w:szCs w:val="16"/>
              </w:rPr>
            </w:pPr>
            <w:r w:rsidRPr="00B7584C">
              <w:rPr>
                <w:b/>
                <w:bCs/>
                <w:color w:val="000000"/>
                <w:sz w:val="16"/>
                <w:szCs w:val="16"/>
              </w:rPr>
              <w:t>Druh výzvy</w:t>
            </w:r>
          </w:p>
        </w:tc>
        <w:tc>
          <w:tcPr>
            <w:tcW w:w="489" w:type="dxa"/>
            <w:vMerge w:val="restart"/>
            <w:shd w:val="clear" w:color="000000" w:fill="B8CCE4"/>
            <w:vAlign w:val="center"/>
            <w:hideMark/>
          </w:tcPr>
          <w:p w:rsidR="00B7584C" w:rsidRPr="00B7584C" w:rsidRDefault="00B7584C" w:rsidP="00B7584C">
            <w:pPr>
              <w:jc w:val="center"/>
              <w:rPr>
                <w:b/>
                <w:bCs/>
                <w:color w:val="000000"/>
                <w:sz w:val="16"/>
                <w:szCs w:val="16"/>
              </w:rPr>
            </w:pPr>
            <w:r w:rsidRPr="00B7584C">
              <w:rPr>
                <w:b/>
                <w:bCs/>
                <w:color w:val="000000"/>
                <w:sz w:val="16"/>
                <w:szCs w:val="16"/>
              </w:rPr>
              <w:t>OI</w:t>
            </w:r>
          </w:p>
        </w:tc>
        <w:tc>
          <w:tcPr>
            <w:tcW w:w="1044" w:type="dxa"/>
            <w:vMerge w:val="restart"/>
            <w:shd w:val="clear" w:color="000000" w:fill="B8CCE4"/>
            <w:vAlign w:val="center"/>
            <w:hideMark/>
          </w:tcPr>
          <w:p w:rsidR="00B7584C" w:rsidRPr="00B7584C" w:rsidRDefault="00B7584C" w:rsidP="00B7584C">
            <w:pPr>
              <w:jc w:val="center"/>
              <w:rPr>
                <w:b/>
                <w:bCs/>
                <w:color w:val="000000"/>
                <w:sz w:val="16"/>
                <w:szCs w:val="16"/>
              </w:rPr>
            </w:pPr>
            <w:r w:rsidRPr="00B7584C">
              <w:rPr>
                <w:b/>
                <w:bCs/>
                <w:color w:val="000000"/>
                <w:sz w:val="16"/>
                <w:szCs w:val="16"/>
              </w:rPr>
              <w:t>Alokace na výzvu</w:t>
            </w:r>
          </w:p>
        </w:tc>
        <w:tc>
          <w:tcPr>
            <w:tcW w:w="1516" w:type="dxa"/>
            <w:gridSpan w:val="2"/>
            <w:vMerge w:val="restart"/>
            <w:shd w:val="clear" w:color="000000" w:fill="B8CCE4"/>
            <w:vAlign w:val="center"/>
            <w:hideMark/>
          </w:tcPr>
          <w:p w:rsidR="00B7584C" w:rsidRPr="00B7584C" w:rsidRDefault="00B7584C" w:rsidP="00B7584C">
            <w:pPr>
              <w:jc w:val="center"/>
              <w:rPr>
                <w:b/>
                <w:bCs/>
                <w:color w:val="000000"/>
                <w:sz w:val="16"/>
                <w:szCs w:val="16"/>
              </w:rPr>
            </w:pPr>
            <w:r w:rsidRPr="00B7584C">
              <w:rPr>
                <w:b/>
                <w:bCs/>
                <w:color w:val="000000"/>
                <w:sz w:val="16"/>
                <w:szCs w:val="16"/>
              </w:rPr>
              <w:t>Předložené žádosti o podporu</w:t>
            </w:r>
          </w:p>
        </w:tc>
        <w:tc>
          <w:tcPr>
            <w:tcW w:w="1830" w:type="dxa"/>
            <w:gridSpan w:val="2"/>
            <w:vMerge w:val="restart"/>
            <w:shd w:val="clear" w:color="000000" w:fill="B8CCE4"/>
            <w:vAlign w:val="center"/>
            <w:hideMark/>
          </w:tcPr>
          <w:p w:rsidR="00B7584C" w:rsidRPr="00B7584C" w:rsidRDefault="00B7584C" w:rsidP="00B7584C">
            <w:pPr>
              <w:jc w:val="center"/>
              <w:rPr>
                <w:b/>
                <w:bCs/>
                <w:color w:val="000000"/>
                <w:sz w:val="16"/>
                <w:szCs w:val="16"/>
              </w:rPr>
            </w:pPr>
            <w:r w:rsidRPr="00B7584C">
              <w:rPr>
                <w:b/>
                <w:bCs/>
                <w:color w:val="000000"/>
                <w:sz w:val="16"/>
                <w:szCs w:val="16"/>
              </w:rPr>
              <w:t>Projekty s vydaným Rozhodnutím/podepsanou Smlouvou</w:t>
            </w:r>
          </w:p>
        </w:tc>
      </w:tr>
      <w:tr w:rsidR="00B7584C" w:rsidRPr="00B7584C" w:rsidTr="00666610">
        <w:trPr>
          <w:trHeight w:val="315"/>
        </w:trPr>
        <w:tc>
          <w:tcPr>
            <w:tcW w:w="677" w:type="dxa"/>
            <w:vMerge/>
            <w:vAlign w:val="center"/>
            <w:hideMark/>
          </w:tcPr>
          <w:p w:rsidR="00B7584C" w:rsidRPr="00B7584C" w:rsidRDefault="00B7584C" w:rsidP="00B7584C">
            <w:pPr>
              <w:rPr>
                <w:b/>
                <w:bCs/>
                <w:color w:val="000000"/>
                <w:sz w:val="16"/>
                <w:szCs w:val="16"/>
              </w:rPr>
            </w:pPr>
          </w:p>
        </w:tc>
        <w:tc>
          <w:tcPr>
            <w:tcW w:w="616" w:type="dxa"/>
            <w:vMerge/>
            <w:vAlign w:val="center"/>
            <w:hideMark/>
          </w:tcPr>
          <w:p w:rsidR="00B7584C" w:rsidRPr="00B7584C" w:rsidRDefault="00B7584C" w:rsidP="00B7584C">
            <w:pPr>
              <w:rPr>
                <w:b/>
                <w:bCs/>
                <w:color w:val="000000"/>
                <w:sz w:val="16"/>
                <w:szCs w:val="16"/>
              </w:rPr>
            </w:pPr>
          </w:p>
        </w:tc>
        <w:tc>
          <w:tcPr>
            <w:tcW w:w="1887" w:type="dxa"/>
            <w:gridSpan w:val="2"/>
            <w:vMerge/>
            <w:vAlign w:val="center"/>
            <w:hideMark/>
          </w:tcPr>
          <w:p w:rsidR="00B7584C" w:rsidRPr="00B7584C" w:rsidRDefault="00B7584C" w:rsidP="00B7584C">
            <w:pPr>
              <w:rPr>
                <w:b/>
                <w:bCs/>
                <w:color w:val="000000"/>
                <w:sz w:val="16"/>
                <w:szCs w:val="16"/>
              </w:rPr>
            </w:pPr>
          </w:p>
        </w:tc>
        <w:tc>
          <w:tcPr>
            <w:tcW w:w="921" w:type="dxa"/>
            <w:vMerge/>
            <w:vAlign w:val="center"/>
            <w:hideMark/>
          </w:tcPr>
          <w:p w:rsidR="00B7584C" w:rsidRPr="00B7584C" w:rsidRDefault="00B7584C" w:rsidP="00B7584C">
            <w:pPr>
              <w:rPr>
                <w:b/>
                <w:bCs/>
                <w:color w:val="000000"/>
                <w:sz w:val="16"/>
                <w:szCs w:val="16"/>
              </w:rPr>
            </w:pPr>
          </w:p>
        </w:tc>
        <w:tc>
          <w:tcPr>
            <w:tcW w:w="489" w:type="dxa"/>
            <w:vMerge/>
            <w:vAlign w:val="center"/>
            <w:hideMark/>
          </w:tcPr>
          <w:p w:rsidR="00B7584C" w:rsidRPr="00B7584C" w:rsidRDefault="00B7584C" w:rsidP="00B7584C">
            <w:pPr>
              <w:rPr>
                <w:b/>
                <w:bCs/>
                <w:color w:val="000000"/>
                <w:sz w:val="16"/>
                <w:szCs w:val="16"/>
              </w:rPr>
            </w:pPr>
          </w:p>
        </w:tc>
        <w:tc>
          <w:tcPr>
            <w:tcW w:w="1044" w:type="dxa"/>
            <w:vMerge/>
            <w:vAlign w:val="center"/>
            <w:hideMark/>
          </w:tcPr>
          <w:p w:rsidR="00B7584C" w:rsidRPr="00B7584C" w:rsidRDefault="00B7584C" w:rsidP="00B7584C">
            <w:pPr>
              <w:rPr>
                <w:b/>
                <w:bCs/>
                <w:color w:val="000000"/>
                <w:sz w:val="16"/>
                <w:szCs w:val="16"/>
              </w:rPr>
            </w:pPr>
          </w:p>
        </w:tc>
        <w:tc>
          <w:tcPr>
            <w:tcW w:w="1516" w:type="dxa"/>
            <w:gridSpan w:val="2"/>
            <w:vMerge/>
            <w:vAlign w:val="center"/>
            <w:hideMark/>
          </w:tcPr>
          <w:p w:rsidR="00B7584C" w:rsidRPr="00B7584C" w:rsidRDefault="00B7584C" w:rsidP="00B7584C">
            <w:pPr>
              <w:rPr>
                <w:b/>
                <w:bCs/>
                <w:color w:val="000000"/>
                <w:sz w:val="16"/>
                <w:szCs w:val="16"/>
              </w:rPr>
            </w:pPr>
          </w:p>
        </w:tc>
        <w:tc>
          <w:tcPr>
            <w:tcW w:w="1830" w:type="dxa"/>
            <w:gridSpan w:val="2"/>
            <w:vMerge/>
            <w:vAlign w:val="center"/>
            <w:hideMark/>
          </w:tcPr>
          <w:p w:rsidR="00B7584C" w:rsidRPr="00B7584C" w:rsidRDefault="00B7584C" w:rsidP="00B7584C">
            <w:pPr>
              <w:rPr>
                <w:b/>
                <w:bCs/>
                <w:color w:val="000000"/>
                <w:sz w:val="16"/>
                <w:szCs w:val="16"/>
              </w:rPr>
            </w:pPr>
          </w:p>
        </w:tc>
      </w:tr>
      <w:tr w:rsidR="00B7584C" w:rsidRPr="00B7584C" w:rsidTr="00666610">
        <w:trPr>
          <w:trHeight w:val="1065"/>
        </w:trPr>
        <w:tc>
          <w:tcPr>
            <w:tcW w:w="677" w:type="dxa"/>
            <w:vMerge/>
            <w:vAlign w:val="center"/>
            <w:hideMark/>
          </w:tcPr>
          <w:p w:rsidR="00B7584C" w:rsidRPr="00B7584C" w:rsidRDefault="00B7584C" w:rsidP="00B7584C">
            <w:pPr>
              <w:rPr>
                <w:b/>
                <w:bCs/>
                <w:color w:val="000000"/>
                <w:sz w:val="16"/>
                <w:szCs w:val="16"/>
              </w:rPr>
            </w:pPr>
          </w:p>
        </w:tc>
        <w:tc>
          <w:tcPr>
            <w:tcW w:w="616" w:type="dxa"/>
            <w:vMerge/>
            <w:vAlign w:val="center"/>
            <w:hideMark/>
          </w:tcPr>
          <w:p w:rsidR="00B7584C" w:rsidRPr="00B7584C" w:rsidRDefault="00B7584C" w:rsidP="00B7584C">
            <w:pPr>
              <w:rPr>
                <w:b/>
                <w:bCs/>
                <w:color w:val="000000"/>
                <w:sz w:val="16"/>
                <w:szCs w:val="16"/>
              </w:rPr>
            </w:pPr>
          </w:p>
        </w:tc>
        <w:tc>
          <w:tcPr>
            <w:tcW w:w="958" w:type="dxa"/>
            <w:shd w:val="clear" w:color="000000" w:fill="B8CCE4"/>
            <w:vAlign w:val="center"/>
            <w:hideMark/>
          </w:tcPr>
          <w:p w:rsidR="00B7584C" w:rsidRPr="00B7584C" w:rsidRDefault="00B7584C" w:rsidP="00B7584C">
            <w:pPr>
              <w:jc w:val="center"/>
              <w:rPr>
                <w:b/>
                <w:bCs/>
                <w:color w:val="000000"/>
                <w:sz w:val="16"/>
                <w:szCs w:val="16"/>
              </w:rPr>
            </w:pPr>
            <w:r w:rsidRPr="00B7584C">
              <w:rPr>
                <w:b/>
                <w:bCs/>
                <w:color w:val="000000"/>
                <w:sz w:val="16"/>
                <w:szCs w:val="16"/>
              </w:rPr>
              <w:t>Datum zahájení příjmu projektových žádostí</w:t>
            </w:r>
          </w:p>
        </w:tc>
        <w:tc>
          <w:tcPr>
            <w:tcW w:w="929" w:type="dxa"/>
            <w:shd w:val="clear" w:color="000000" w:fill="B8CCE4"/>
            <w:vAlign w:val="center"/>
            <w:hideMark/>
          </w:tcPr>
          <w:p w:rsidR="00B7584C" w:rsidRPr="00B7584C" w:rsidRDefault="00B7584C" w:rsidP="00B7584C">
            <w:pPr>
              <w:jc w:val="center"/>
              <w:rPr>
                <w:b/>
                <w:bCs/>
                <w:color w:val="000000"/>
                <w:sz w:val="16"/>
                <w:szCs w:val="16"/>
              </w:rPr>
            </w:pPr>
            <w:r w:rsidRPr="00B7584C">
              <w:rPr>
                <w:b/>
                <w:bCs/>
                <w:color w:val="000000"/>
                <w:sz w:val="16"/>
                <w:szCs w:val="16"/>
              </w:rPr>
              <w:t>Datum ukončení výzvy</w:t>
            </w:r>
          </w:p>
        </w:tc>
        <w:tc>
          <w:tcPr>
            <w:tcW w:w="921" w:type="dxa"/>
            <w:vMerge/>
            <w:vAlign w:val="center"/>
            <w:hideMark/>
          </w:tcPr>
          <w:p w:rsidR="00B7584C" w:rsidRPr="00B7584C" w:rsidRDefault="00B7584C" w:rsidP="00B7584C">
            <w:pPr>
              <w:rPr>
                <w:b/>
                <w:bCs/>
                <w:color w:val="000000"/>
                <w:sz w:val="16"/>
                <w:szCs w:val="16"/>
              </w:rPr>
            </w:pPr>
          </w:p>
        </w:tc>
        <w:tc>
          <w:tcPr>
            <w:tcW w:w="489" w:type="dxa"/>
            <w:vMerge/>
            <w:vAlign w:val="center"/>
            <w:hideMark/>
          </w:tcPr>
          <w:p w:rsidR="00B7584C" w:rsidRPr="00B7584C" w:rsidRDefault="00B7584C" w:rsidP="00B7584C">
            <w:pPr>
              <w:rPr>
                <w:b/>
                <w:bCs/>
                <w:color w:val="000000"/>
                <w:sz w:val="16"/>
                <w:szCs w:val="16"/>
              </w:rPr>
            </w:pPr>
          </w:p>
        </w:tc>
        <w:tc>
          <w:tcPr>
            <w:tcW w:w="1044" w:type="dxa"/>
            <w:shd w:val="clear" w:color="000000" w:fill="B8CCE4"/>
            <w:vAlign w:val="center"/>
            <w:hideMark/>
          </w:tcPr>
          <w:p w:rsidR="00B7584C" w:rsidRPr="00B7584C" w:rsidRDefault="00B7584C" w:rsidP="00B7584C">
            <w:pPr>
              <w:jc w:val="center"/>
              <w:rPr>
                <w:b/>
                <w:bCs/>
                <w:color w:val="000000"/>
                <w:sz w:val="16"/>
                <w:szCs w:val="16"/>
              </w:rPr>
            </w:pPr>
            <w:r w:rsidRPr="00B7584C">
              <w:rPr>
                <w:b/>
                <w:bCs/>
                <w:color w:val="000000"/>
                <w:sz w:val="16"/>
                <w:szCs w:val="16"/>
              </w:rPr>
              <w:t xml:space="preserve">v </w:t>
            </w:r>
            <w:proofErr w:type="gramStart"/>
            <w:r w:rsidRPr="00B7584C">
              <w:rPr>
                <w:b/>
                <w:bCs/>
                <w:color w:val="000000"/>
                <w:sz w:val="16"/>
                <w:szCs w:val="16"/>
              </w:rPr>
              <w:t>EUR</w:t>
            </w:r>
            <w:proofErr w:type="gramEnd"/>
          </w:p>
        </w:tc>
        <w:tc>
          <w:tcPr>
            <w:tcW w:w="489" w:type="dxa"/>
            <w:shd w:val="clear" w:color="000000" w:fill="B8CCE4"/>
            <w:vAlign w:val="center"/>
            <w:hideMark/>
          </w:tcPr>
          <w:p w:rsidR="00B7584C" w:rsidRPr="00B7584C" w:rsidRDefault="00B7584C" w:rsidP="00B7584C">
            <w:pPr>
              <w:jc w:val="center"/>
              <w:rPr>
                <w:b/>
                <w:bCs/>
                <w:color w:val="000000"/>
                <w:sz w:val="16"/>
                <w:szCs w:val="16"/>
              </w:rPr>
            </w:pPr>
            <w:r w:rsidRPr="00B7584C">
              <w:rPr>
                <w:b/>
                <w:bCs/>
                <w:color w:val="000000"/>
                <w:sz w:val="16"/>
                <w:szCs w:val="16"/>
              </w:rPr>
              <w:t>počet</w:t>
            </w:r>
          </w:p>
        </w:tc>
        <w:tc>
          <w:tcPr>
            <w:tcW w:w="1027" w:type="dxa"/>
            <w:shd w:val="clear" w:color="000000" w:fill="B8CCE4"/>
            <w:vAlign w:val="center"/>
            <w:hideMark/>
          </w:tcPr>
          <w:p w:rsidR="00B7584C" w:rsidRPr="00B7584C" w:rsidRDefault="00B7584C" w:rsidP="00B7584C">
            <w:pPr>
              <w:jc w:val="center"/>
              <w:rPr>
                <w:b/>
                <w:bCs/>
                <w:color w:val="000000"/>
                <w:sz w:val="16"/>
                <w:szCs w:val="16"/>
              </w:rPr>
            </w:pPr>
            <w:r w:rsidRPr="00B7584C">
              <w:rPr>
                <w:b/>
                <w:bCs/>
                <w:color w:val="000000"/>
                <w:sz w:val="16"/>
                <w:szCs w:val="16"/>
              </w:rPr>
              <w:t xml:space="preserve">v </w:t>
            </w:r>
            <w:proofErr w:type="gramStart"/>
            <w:r w:rsidRPr="00B7584C">
              <w:rPr>
                <w:b/>
                <w:bCs/>
                <w:color w:val="000000"/>
                <w:sz w:val="16"/>
                <w:szCs w:val="16"/>
              </w:rPr>
              <w:t>EUR</w:t>
            </w:r>
            <w:proofErr w:type="gramEnd"/>
          </w:p>
        </w:tc>
        <w:tc>
          <w:tcPr>
            <w:tcW w:w="630" w:type="dxa"/>
            <w:shd w:val="clear" w:color="000000" w:fill="B8CCE4"/>
            <w:noWrap/>
            <w:vAlign w:val="center"/>
            <w:hideMark/>
          </w:tcPr>
          <w:p w:rsidR="00B7584C" w:rsidRPr="00B7584C" w:rsidRDefault="00B7584C" w:rsidP="00B7584C">
            <w:pPr>
              <w:jc w:val="center"/>
              <w:rPr>
                <w:b/>
                <w:bCs/>
                <w:color w:val="000000"/>
                <w:sz w:val="16"/>
                <w:szCs w:val="16"/>
              </w:rPr>
            </w:pPr>
            <w:r w:rsidRPr="00B7584C">
              <w:rPr>
                <w:b/>
                <w:bCs/>
                <w:color w:val="000000"/>
                <w:sz w:val="16"/>
                <w:szCs w:val="16"/>
              </w:rPr>
              <w:t xml:space="preserve">počet </w:t>
            </w:r>
          </w:p>
        </w:tc>
        <w:tc>
          <w:tcPr>
            <w:tcW w:w="1200" w:type="dxa"/>
            <w:shd w:val="clear" w:color="000000" w:fill="B8CCE4"/>
            <w:noWrap/>
            <w:vAlign w:val="center"/>
            <w:hideMark/>
          </w:tcPr>
          <w:p w:rsidR="00B7584C" w:rsidRPr="00B7584C" w:rsidRDefault="00B7584C" w:rsidP="00B7584C">
            <w:pPr>
              <w:jc w:val="center"/>
              <w:rPr>
                <w:b/>
                <w:bCs/>
                <w:color w:val="000000"/>
                <w:sz w:val="16"/>
                <w:szCs w:val="16"/>
              </w:rPr>
            </w:pPr>
            <w:r w:rsidRPr="00B7584C">
              <w:rPr>
                <w:b/>
                <w:bCs/>
                <w:color w:val="000000"/>
                <w:sz w:val="16"/>
                <w:szCs w:val="16"/>
              </w:rPr>
              <w:t xml:space="preserve">v </w:t>
            </w:r>
            <w:proofErr w:type="gramStart"/>
            <w:r w:rsidRPr="00B7584C">
              <w:rPr>
                <w:b/>
                <w:bCs/>
                <w:color w:val="000000"/>
                <w:sz w:val="16"/>
                <w:szCs w:val="16"/>
              </w:rPr>
              <w:t>EUR</w:t>
            </w:r>
            <w:proofErr w:type="gramEnd"/>
          </w:p>
        </w:tc>
      </w:tr>
      <w:tr w:rsidR="00B7584C" w:rsidRPr="00B7584C" w:rsidTr="00666610">
        <w:trPr>
          <w:trHeight w:val="315"/>
        </w:trPr>
        <w:tc>
          <w:tcPr>
            <w:tcW w:w="677" w:type="dxa"/>
            <w:shd w:val="clear" w:color="000000" w:fill="FFFFFF"/>
            <w:noWrap/>
            <w:vAlign w:val="center"/>
            <w:hideMark/>
          </w:tcPr>
          <w:p w:rsidR="00B7584C" w:rsidRPr="00B7584C" w:rsidRDefault="00B7584C" w:rsidP="00B7584C">
            <w:pPr>
              <w:jc w:val="right"/>
              <w:rPr>
                <w:color w:val="000000"/>
                <w:sz w:val="16"/>
                <w:szCs w:val="16"/>
              </w:rPr>
            </w:pPr>
            <w:r w:rsidRPr="00B7584C">
              <w:rPr>
                <w:color w:val="000000"/>
                <w:sz w:val="16"/>
                <w:szCs w:val="16"/>
              </w:rPr>
              <w:t>44</w:t>
            </w:r>
          </w:p>
        </w:tc>
        <w:tc>
          <w:tcPr>
            <w:tcW w:w="616" w:type="dxa"/>
            <w:shd w:val="clear" w:color="000000" w:fill="FFFFFF"/>
            <w:noWrap/>
            <w:vAlign w:val="center"/>
            <w:hideMark/>
          </w:tcPr>
          <w:p w:rsidR="00B7584C" w:rsidRPr="00B7584C" w:rsidRDefault="00B7584C" w:rsidP="00B7584C">
            <w:pPr>
              <w:jc w:val="right"/>
              <w:rPr>
                <w:color w:val="000000"/>
                <w:sz w:val="16"/>
                <w:szCs w:val="16"/>
              </w:rPr>
            </w:pPr>
            <w:r w:rsidRPr="00B7584C">
              <w:rPr>
                <w:color w:val="000000"/>
                <w:sz w:val="16"/>
                <w:szCs w:val="16"/>
              </w:rPr>
              <w:t>12</w:t>
            </w:r>
          </w:p>
        </w:tc>
        <w:tc>
          <w:tcPr>
            <w:tcW w:w="958" w:type="dxa"/>
            <w:shd w:val="clear" w:color="000000" w:fill="FFFFFF"/>
            <w:vAlign w:val="center"/>
            <w:hideMark/>
          </w:tcPr>
          <w:p w:rsidR="00B7584C" w:rsidRPr="00B7584C" w:rsidRDefault="00B7584C" w:rsidP="00B7584C">
            <w:pPr>
              <w:jc w:val="right"/>
              <w:rPr>
                <w:color w:val="000000"/>
                <w:sz w:val="16"/>
                <w:szCs w:val="16"/>
              </w:rPr>
            </w:pPr>
            <w:r w:rsidRPr="00B7584C">
              <w:rPr>
                <w:color w:val="000000"/>
                <w:sz w:val="16"/>
                <w:szCs w:val="16"/>
              </w:rPr>
              <w:t>7. 9. 2011</w:t>
            </w:r>
          </w:p>
        </w:tc>
        <w:tc>
          <w:tcPr>
            <w:tcW w:w="929" w:type="dxa"/>
            <w:shd w:val="clear" w:color="000000" w:fill="FFFFFF"/>
            <w:vAlign w:val="center"/>
            <w:hideMark/>
          </w:tcPr>
          <w:p w:rsidR="00B7584C" w:rsidRPr="00B7584C" w:rsidRDefault="00B7584C" w:rsidP="00B7584C">
            <w:pPr>
              <w:jc w:val="right"/>
              <w:rPr>
                <w:color w:val="000000"/>
                <w:sz w:val="16"/>
                <w:szCs w:val="16"/>
              </w:rPr>
            </w:pPr>
            <w:proofErr w:type="gramStart"/>
            <w:r w:rsidRPr="00B7584C">
              <w:rPr>
                <w:color w:val="000000"/>
                <w:sz w:val="16"/>
                <w:szCs w:val="16"/>
              </w:rPr>
              <w:t>30.4.2015</w:t>
            </w:r>
            <w:proofErr w:type="gramEnd"/>
          </w:p>
        </w:tc>
        <w:tc>
          <w:tcPr>
            <w:tcW w:w="921" w:type="dxa"/>
            <w:shd w:val="clear" w:color="000000" w:fill="FFFFFF"/>
            <w:noWrap/>
            <w:vAlign w:val="center"/>
            <w:hideMark/>
          </w:tcPr>
          <w:p w:rsidR="00B7584C" w:rsidRPr="00B7584C" w:rsidRDefault="00B7584C" w:rsidP="00B7584C">
            <w:pPr>
              <w:rPr>
                <w:color w:val="000000"/>
                <w:sz w:val="16"/>
                <w:szCs w:val="16"/>
              </w:rPr>
            </w:pPr>
            <w:r w:rsidRPr="00B7584C">
              <w:rPr>
                <w:color w:val="000000"/>
                <w:sz w:val="16"/>
                <w:szCs w:val="16"/>
              </w:rPr>
              <w:t>kontinuální</w:t>
            </w:r>
          </w:p>
        </w:tc>
        <w:tc>
          <w:tcPr>
            <w:tcW w:w="489" w:type="dxa"/>
            <w:shd w:val="clear" w:color="000000" w:fill="FFFFFF"/>
            <w:noWrap/>
            <w:vAlign w:val="center"/>
            <w:hideMark/>
          </w:tcPr>
          <w:p w:rsidR="00B7584C" w:rsidRPr="00B7584C" w:rsidRDefault="00B7584C" w:rsidP="00B7584C">
            <w:pPr>
              <w:jc w:val="center"/>
              <w:rPr>
                <w:color w:val="000000"/>
                <w:sz w:val="16"/>
                <w:szCs w:val="16"/>
              </w:rPr>
            </w:pPr>
            <w:r w:rsidRPr="00B7584C">
              <w:rPr>
                <w:color w:val="000000"/>
                <w:sz w:val="16"/>
                <w:szCs w:val="16"/>
              </w:rPr>
              <w:t>4.1</w:t>
            </w:r>
          </w:p>
        </w:tc>
        <w:tc>
          <w:tcPr>
            <w:tcW w:w="1044" w:type="dxa"/>
            <w:shd w:val="clear" w:color="000000" w:fill="FFFFFF"/>
            <w:noWrap/>
            <w:vAlign w:val="center"/>
            <w:hideMark/>
          </w:tcPr>
          <w:p w:rsidR="00B7584C" w:rsidRPr="00B7584C" w:rsidRDefault="00B7584C" w:rsidP="00B7584C">
            <w:pPr>
              <w:jc w:val="right"/>
              <w:rPr>
                <w:color w:val="000000"/>
                <w:sz w:val="16"/>
                <w:szCs w:val="16"/>
              </w:rPr>
            </w:pPr>
            <w:r w:rsidRPr="00B7584C">
              <w:rPr>
                <w:color w:val="000000"/>
                <w:sz w:val="16"/>
                <w:szCs w:val="16"/>
              </w:rPr>
              <w:t>56 037 951</w:t>
            </w:r>
          </w:p>
        </w:tc>
        <w:tc>
          <w:tcPr>
            <w:tcW w:w="489" w:type="dxa"/>
            <w:shd w:val="clear" w:color="000000" w:fill="FFFFFF"/>
            <w:noWrap/>
            <w:vAlign w:val="center"/>
            <w:hideMark/>
          </w:tcPr>
          <w:p w:rsidR="00B7584C" w:rsidRPr="00B7584C" w:rsidRDefault="00B7584C" w:rsidP="00B7584C">
            <w:pPr>
              <w:jc w:val="right"/>
              <w:rPr>
                <w:color w:val="000000"/>
                <w:sz w:val="16"/>
                <w:szCs w:val="16"/>
              </w:rPr>
            </w:pPr>
            <w:r w:rsidRPr="00B7584C">
              <w:rPr>
                <w:color w:val="000000"/>
                <w:sz w:val="16"/>
                <w:szCs w:val="16"/>
              </w:rPr>
              <w:t>31</w:t>
            </w:r>
          </w:p>
        </w:tc>
        <w:tc>
          <w:tcPr>
            <w:tcW w:w="1027" w:type="dxa"/>
            <w:shd w:val="clear" w:color="000000" w:fill="FFFFFF"/>
            <w:noWrap/>
            <w:vAlign w:val="center"/>
            <w:hideMark/>
          </w:tcPr>
          <w:p w:rsidR="00B7584C" w:rsidRPr="00B7584C" w:rsidRDefault="00B7584C" w:rsidP="00B7584C">
            <w:pPr>
              <w:jc w:val="right"/>
              <w:rPr>
                <w:color w:val="000000"/>
                <w:sz w:val="16"/>
                <w:szCs w:val="16"/>
              </w:rPr>
            </w:pPr>
            <w:r w:rsidRPr="00B7584C">
              <w:rPr>
                <w:color w:val="000000"/>
                <w:sz w:val="16"/>
                <w:szCs w:val="16"/>
              </w:rPr>
              <w:t>75 361 508</w:t>
            </w:r>
          </w:p>
        </w:tc>
        <w:tc>
          <w:tcPr>
            <w:tcW w:w="630" w:type="dxa"/>
            <w:shd w:val="clear" w:color="000000" w:fill="FFFFFF"/>
            <w:noWrap/>
            <w:vAlign w:val="center"/>
            <w:hideMark/>
          </w:tcPr>
          <w:p w:rsidR="00B7584C" w:rsidRPr="00B7584C" w:rsidRDefault="00B7584C" w:rsidP="00B7584C">
            <w:pPr>
              <w:jc w:val="right"/>
              <w:rPr>
                <w:color w:val="000000"/>
                <w:sz w:val="16"/>
                <w:szCs w:val="16"/>
              </w:rPr>
            </w:pPr>
            <w:r w:rsidRPr="00B7584C">
              <w:rPr>
                <w:color w:val="000000"/>
                <w:sz w:val="16"/>
                <w:szCs w:val="16"/>
              </w:rPr>
              <w:t>22</w:t>
            </w:r>
          </w:p>
        </w:tc>
        <w:tc>
          <w:tcPr>
            <w:tcW w:w="1200" w:type="dxa"/>
            <w:shd w:val="clear" w:color="000000" w:fill="FFFFFF"/>
            <w:noWrap/>
            <w:vAlign w:val="center"/>
            <w:hideMark/>
          </w:tcPr>
          <w:p w:rsidR="00B7584C" w:rsidRPr="00B7584C" w:rsidRDefault="00B7584C" w:rsidP="00B7584C">
            <w:pPr>
              <w:jc w:val="right"/>
              <w:rPr>
                <w:color w:val="000000"/>
                <w:sz w:val="16"/>
                <w:szCs w:val="16"/>
              </w:rPr>
            </w:pPr>
            <w:r w:rsidRPr="00B7584C">
              <w:rPr>
                <w:color w:val="000000"/>
                <w:sz w:val="16"/>
                <w:szCs w:val="16"/>
              </w:rPr>
              <w:t>51 501 721</w:t>
            </w:r>
          </w:p>
        </w:tc>
      </w:tr>
      <w:tr w:rsidR="00B7584C" w:rsidRPr="00B7584C" w:rsidTr="00666610">
        <w:trPr>
          <w:trHeight w:val="315"/>
        </w:trPr>
        <w:tc>
          <w:tcPr>
            <w:tcW w:w="677" w:type="dxa"/>
            <w:shd w:val="clear" w:color="000000" w:fill="FFFFFF"/>
            <w:noWrap/>
            <w:vAlign w:val="center"/>
            <w:hideMark/>
          </w:tcPr>
          <w:p w:rsidR="00B7584C" w:rsidRPr="00B7584C" w:rsidRDefault="00B7584C" w:rsidP="00B7584C">
            <w:pPr>
              <w:jc w:val="right"/>
              <w:rPr>
                <w:color w:val="000000"/>
                <w:sz w:val="16"/>
                <w:szCs w:val="16"/>
              </w:rPr>
            </w:pPr>
            <w:r w:rsidRPr="00B7584C">
              <w:rPr>
                <w:color w:val="000000"/>
                <w:sz w:val="16"/>
                <w:szCs w:val="16"/>
              </w:rPr>
              <w:t> </w:t>
            </w:r>
          </w:p>
        </w:tc>
        <w:tc>
          <w:tcPr>
            <w:tcW w:w="616" w:type="dxa"/>
            <w:shd w:val="clear" w:color="000000" w:fill="FFFFFF"/>
            <w:noWrap/>
            <w:vAlign w:val="center"/>
            <w:hideMark/>
          </w:tcPr>
          <w:p w:rsidR="00B7584C" w:rsidRPr="00B7584C" w:rsidRDefault="00B7584C" w:rsidP="00B7584C">
            <w:pPr>
              <w:jc w:val="right"/>
              <w:rPr>
                <w:color w:val="000000"/>
                <w:sz w:val="16"/>
                <w:szCs w:val="16"/>
              </w:rPr>
            </w:pPr>
            <w:r w:rsidRPr="00B7584C">
              <w:rPr>
                <w:color w:val="000000"/>
                <w:sz w:val="16"/>
                <w:szCs w:val="16"/>
              </w:rPr>
              <w:t> </w:t>
            </w:r>
          </w:p>
        </w:tc>
        <w:tc>
          <w:tcPr>
            <w:tcW w:w="958" w:type="dxa"/>
            <w:shd w:val="clear" w:color="000000" w:fill="FFFFFF"/>
            <w:vAlign w:val="center"/>
            <w:hideMark/>
          </w:tcPr>
          <w:p w:rsidR="00B7584C" w:rsidRPr="00B7584C" w:rsidRDefault="00B7584C" w:rsidP="00B7584C">
            <w:pPr>
              <w:jc w:val="right"/>
              <w:rPr>
                <w:color w:val="000000"/>
                <w:sz w:val="16"/>
                <w:szCs w:val="16"/>
              </w:rPr>
            </w:pPr>
            <w:r w:rsidRPr="00B7584C">
              <w:rPr>
                <w:color w:val="000000"/>
                <w:sz w:val="16"/>
                <w:szCs w:val="16"/>
              </w:rPr>
              <w:t> </w:t>
            </w:r>
          </w:p>
        </w:tc>
        <w:tc>
          <w:tcPr>
            <w:tcW w:w="929" w:type="dxa"/>
            <w:shd w:val="clear" w:color="000000" w:fill="FFFFFF"/>
            <w:vAlign w:val="center"/>
            <w:hideMark/>
          </w:tcPr>
          <w:p w:rsidR="00B7584C" w:rsidRPr="00B7584C" w:rsidRDefault="00B7584C" w:rsidP="00B7584C">
            <w:pPr>
              <w:jc w:val="right"/>
              <w:rPr>
                <w:color w:val="000000"/>
                <w:sz w:val="16"/>
                <w:szCs w:val="16"/>
              </w:rPr>
            </w:pPr>
            <w:r w:rsidRPr="00B7584C">
              <w:rPr>
                <w:color w:val="000000"/>
                <w:sz w:val="16"/>
                <w:szCs w:val="16"/>
              </w:rPr>
              <w:t> </w:t>
            </w:r>
          </w:p>
        </w:tc>
        <w:tc>
          <w:tcPr>
            <w:tcW w:w="921" w:type="dxa"/>
            <w:shd w:val="clear" w:color="000000" w:fill="FFFFFF"/>
            <w:noWrap/>
            <w:vAlign w:val="center"/>
            <w:hideMark/>
          </w:tcPr>
          <w:p w:rsidR="00B7584C" w:rsidRPr="00B7584C" w:rsidRDefault="00B7584C" w:rsidP="00B7584C">
            <w:pPr>
              <w:rPr>
                <w:color w:val="000000"/>
                <w:sz w:val="16"/>
                <w:szCs w:val="16"/>
              </w:rPr>
            </w:pPr>
            <w:r w:rsidRPr="00B7584C">
              <w:rPr>
                <w:color w:val="000000"/>
                <w:sz w:val="16"/>
                <w:szCs w:val="16"/>
              </w:rPr>
              <w:t> </w:t>
            </w:r>
          </w:p>
        </w:tc>
        <w:tc>
          <w:tcPr>
            <w:tcW w:w="489" w:type="dxa"/>
            <w:shd w:val="clear" w:color="000000" w:fill="FFFFFF"/>
            <w:noWrap/>
            <w:vAlign w:val="center"/>
            <w:hideMark/>
          </w:tcPr>
          <w:p w:rsidR="00B7584C" w:rsidRPr="00B7584C" w:rsidRDefault="00B7584C" w:rsidP="00B7584C">
            <w:pPr>
              <w:rPr>
                <w:color w:val="000000"/>
                <w:sz w:val="16"/>
                <w:szCs w:val="16"/>
              </w:rPr>
            </w:pPr>
            <w:r w:rsidRPr="00B7584C">
              <w:rPr>
                <w:color w:val="000000"/>
                <w:sz w:val="16"/>
                <w:szCs w:val="16"/>
              </w:rPr>
              <w:t> </w:t>
            </w:r>
          </w:p>
        </w:tc>
        <w:tc>
          <w:tcPr>
            <w:tcW w:w="1044" w:type="dxa"/>
            <w:shd w:val="clear" w:color="000000" w:fill="FFFFFF"/>
            <w:noWrap/>
            <w:vAlign w:val="center"/>
            <w:hideMark/>
          </w:tcPr>
          <w:p w:rsidR="00B7584C" w:rsidRPr="00B7584C" w:rsidRDefault="00B7584C" w:rsidP="00B7584C">
            <w:pPr>
              <w:jc w:val="right"/>
              <w:rPr>
                <w:color w:val="000000"/>
                <w:sz w:val="16"/>
                <w:szCs w:val="16"/>
              </w:rPr>
            </w:pPr>
            <w:r w:rsidRPr="00B7584C">
              <w:rPr>
                <w:color w:val="000000"/>
                <w:sz w:val="16"/>
                <w:szCs w:val="16"/>
              </w:rPr>
              <w:t>4 205 182</w:t>
            </w:r>
          </w:p>
        </w:tc>
        <w:tc>
          <w:tcPr>
            <w:tcW w:w="489" w:type="dxa"/>
            <w:shd w:val="clear" w:color="000000" w:fill="FFFFFF"/>
            <w:noWrap/>
            <w:vAlign w:val="center"/>
            <w:hideMark/>
          </w:tcPr>
          <w:p w:rsidR="00B7584C" w:rsidRPr="00B7584C" w:rsidRDefault="00B7584C" w:rsidP="00B7584C">
            <w:pPr>
              <w:jc w:val="right"/>
              <w:rPr>
                <w:color w:val="000000"/>
                <w:sz w:val="16"/>
                <w:szCs w:val="16"/>
              </w:rPr>
            </w:pPr>
            <w:r w:rsidRPr="00B7584C">
              <w:rPr>
                <w:color w:val="000000"/>
                <w:sz w:val="16"/>
                <w:szCs w:val="16"/>
              </w:rPr>
              <w:t>31</w:t>
            </w:r>
          </w:p>
        </w:tc>
        <w:tc>
          <w:tcPr>
            <w:tcW w:w="1027" w:type="dxa"/>
            <w:shd w:val="clear" w:color="000000" w:fill="FFFFFF"/>
            <w:noWrap/>
            <w:vAlign w:val="center"/>
            <w:hideMark/>
          </w:tcPr>
          <w:p w:rsidR="00B7584C" w:rsidRPr="00B7584C" w:rsidRDefault="00B7584C" w:rsidP="00B7584C">
            <w:pPr>
              <w:jc w:val="right"/>
              <w:rPr>
                <w:color w:val="000000"/>
                <w:sz w:val="16"/>
                <w:szCs w:val="16"/>
              </w:rPr>
            </w:pPr>
            <w:r w:rsidRPr="00B7584C">
              <w:rPr>
                <w:color w:val="000000"/>
                <w:sz w:val="16"/>
                <w:szCs w:val="16"/>
              </w:rPr>
              <w:t>9 669 972</w:t>
            </w:r>
          </w:p>
        </w:tc>
        <w:tc>
          <w:tcPr>
            <w:tcW w:w="630" w:type="dxa"/>
            <w:shd w:val="clear" w:color="000000" w:fill="FFFFFF"/>
            <w:noWrap/>
            <w:vAlign w:val="center"/>
            <w:hideMark/>
          </w:tcPr>
          <w:p w:rsidR="00B7584C" w:rsidRPr="00B7584C" w:rsidRDefault="00B7584C" w:rsidP="00B7584C">
            <w:pPr>
              <w:jc w:val="right"/>
              <w:rPr>
                <w:color w:val="000000"/>
                <w:sz w:val="16"/>
                <w:szCs w:val="16"/>
              </w:rPr>
            </w:pPr>
            <w:r w:rsidRPr="00B7584C">
              <w:rPr>
                <w:color w:val="000000"/>
                <w:sz w:val="16"/>
                <w:szCs w:val="16"/>
              </w:rPr>
              <w:t>22</w:t>
            </w:r>
          </w:p>
        </w:tc>
        <w:tc>
          <w:tcPr>
            <w:tcW w:w="1200" w:type="dxa"/>
            <w:shd w:val="clear" w:color="000000" w:fill="FFFFFF"/>
            <w:noWrap/>
            <w:vAlign w:val="center"/>
            <w:hideMark/>
          </w:tcPr>
          <w:p w:rsidR="00B7584C" w:rsidRPr="00B7584C" w:rsidRDefault="00B7584C" w:rsidP="00B7584C">
            <w:pPr>
              <w:jc w:val="right"/>
              <w:rPr>
                <w:color w:val="000000"/>
                <w:sz w:val="16"/>
                <w:szCs w:val="16"/>
              </w:rPr>
            </w:pPr>
            <w:r w:rsidRPr="00B7584C">
              <w:rPr>
                <w:color w:val="000000"/>
                <w:sz w:val="16"/>
                <w:szCs w:val="16"/>
              </w:rPr>
              <w:t>3 960 971</w:t>
            </w:r>
          </w:p>
        </w:tc>
      </w:tr>
      <w:tr w:rsidR="00B7584C" w:rsidRPr="00B7584C" w:rsidTr="00666610">
        <w:trPr>
          <w:trHeight w:val="315"/>
        </w:trPr>
        <w:tc>
          <w:tcPr>
            <w:tcW w:w="677" w:type="dxa"/>
            <w:shd w:val="clear" w:color="000000" w:fill="DCE6F1"/>
            <w:noWrap/>
            <w:vAlign w:val="center"/>
            <w:hideMark/>
          </w:tcPr>
          <w:p w:rsidR="00B7584C" w:rsidRPr="00B7584C" w:rsidRDefault="00B7584C" w:rsidP="00B7584C">
            <w:pPr>
              <w:jc w:val="right"/>
              <w:rPr>
                <w:color w:val="000000"/>
                <w:sz w:val="16"/>
                <w:szCs w:val="16"/>
              </w:rPr>
            </w:pPr>
            <w:r w:rsidRPr="00B7584C">
              <w:rPr>
                <w:color w:val="000000"/>
                <w:sz w:val="16"/>
                <w:szCs w:val="16"/>
              </w:rPr>
              <w:t> </w:t>
            </w:r>
          </w:p>
        </w:tc>
        <w:tc>
          <w:tcPr>
            <w:tcW w:w="616" w:type="dxa"/>
            <w:shd w:val="clear" w:color="000000" w:fill="DCE6F1"/>
            <w:noWrap/>
            <w:vAlign w:val="center"/>
            <w:hideMark/>
          </w:tcPr>
          <w:p w:rsidR="00B7584C" w:rsidRPr="00B7584C" w:rsidRDefault="00B7584C" w:rsidP="00B7584C">
            <w:pPr>
              <w:jc w:val="right"/>
              <w:rPr>
                <w:color w:val="000000"/>
                <w:sz w:val="16"/>
                <w:szCs w:val="16"/>
              </w:rPr>
            </w:pPr>
            <w:r w:rsidRPr="00B7584C">
              <w:rPr>
                <w:color w:val="000000"/>
                <w:sz w:val="16"/>
                <w:szCs w:val="16"/>
              </w:rPr>
              <w:t> </w:t>
            </w:r>
          </w:p>
        </w:tc>
        <w:tc>
          <w:tcPr>
            <w:tcW w:w="958" w:type="dxa"/>
            <w:shd w:val="clear" w:color="000000" w:fill="DCE6F1"/>
            <w:vAlign w:val="center"/>
            <w:hideMark/>
          </w:tcPr>
          <w:p w:rsidR="00B7584C" w:rsidRPr="00B7584C" w:rsidRDefault="00B7584C" w:rsidP="00B7584C">
            <w:pPr>
              <w:jc w:val="right"/>
              <w:rPr>
                <w:color w:val="000000"/>
                <w:sz w:val="16"/>
                <w:szCs w:val="16"/>
              </w:rPr>
            </w:pPr>
            <w:r w:rsidRPr="00B7584C">
              <w:rPr>
                <w:color w:val="000000"/>
                <w:sz w:val="16"/>
                <w:szCs w:val="16"/>
              </w:rPr>
              <w:t> </w:t>
            </w:r>
          </w:p>
        </w:tc>
        <w:tc>
          <w:tcPr>
            <w:tcW w:w="929" w:type="dxa"/>
            <w:shd w:val="clear" w:color="000000" w:fill="DCE6F1"/>
            <w:vAlign w:val="center"/>
            <w:hideMark/>
          </w:tcPr>
          <w:p w:rsidR="00B7584C" w:rsidRPr="00B7584C" w:rsidRDefault="00B7584C" w:rsidP="00B7584C">
            <w:pPr>
              <w:jc w:val="right"/>
              <w:rPr>
                <w:color w:val="000000"/>
                <w:sz w:val="16"/>
                <w:szCs w:val="16"/>
              </w:rPr>
            </w:pPr>
            <w:r w:rsidRPr="00B7584C">
              <w:rPr>
                <w:color w:val="000000"/>
                <w:sz w:val="16"/>
                <w:szCs w:val="16"/>
              </w:rPr>
              <w:t> </w:t>
            </w:r>
          </w:p>
        </w:tc>
        <w:tc>
          <w:tcPr>
            <w:tcW w:w="1410" w:type="dxa"/>
            <w:gridSpan w:val="2"/>
            <w:shd w:val="clear" w:color="000000" w:fill="DCE6F1"/>
            <w:noWrap/>
            <w:vAlign w:val="center"/>
            <w:hideMark/>
          </w:tcPr>
          <w:p w:rsidR="00B7584C" w:rsidRPr="00B7584C" w:rsidRDefault="00B7584C" w:rsidP="00B7584C">
            <w:pPr>
              <w:jc w:val="center"/>
              <w:rPr>
                <w:color w:val="000000"/>
                <w:sz w:val="16"/>
                <w:szCs w:val="16"/>
              </w:rPr>
            </w:pPr>
            <w:r w:rsidRPr="00B7584C">
              <w:rPr>
                <w:color w:val="000000"/>
                <w:sz w:val="16"/>
                <w:szCs w:val="16"/>
              </w:rPr>
              <w:t>celkem výzva</w:t>
            </w:r>
          </w:p>
        </w:tc>
        <w:tc>
          <w:tcPr>
            <w:tcW w:w="1044" w:type="dxa"/>
            <w:shd w:val="clear" w:color="000000" w:fill="DCE6F1"/>
            <w:noWrap/>
            <w:vAlign w:val="center"/>
            <w:hideMark/>
          </w:tcPr>
          <w:p w:rsidR="00B7584C" w:rsidRPr="00B7584C" w:rsidRDefault="00B7584C" w:rsidP="00B7584C">
            <w:pPr>
              <w:jc w:val="right"/>
              <w:rPr>
                <w:color w:val="000000"/>
                <w:sz w:val="16"/>
                <w:szCs w:val="16"/>
              </w:rPr>
            </w:pPr>
            <w:r w:rsidRPr="00B7584C">
              <w:rPr>
                <w:color w:val="000000"/>
                <w:sz w:val="16"/>
                <w:szCs w:val="16"/>
              </w:rPr>
              <w:t>60 243 133</w:t>
            </w:r>
          </w:p>
        </w:tc>
        <w:tc>
          <w:tcPr>
            <w:tcW w:w="489" w:type="dxa"/>
            <w:shd w:val="clear" w:color="000000" w:fill="DCE6F1"/>
            <w:noWrap/>
            <w:vAlign w:val="center"/>
            <w:hideMark/>
          </w:tcPr>
          <w:p w:rsidR="00B7584C" w:rsidRPr="00B7584C" w:rsidRDefault="00B7584C" w:rsidP="00B7584C">
            <w:pPr>
              <w:jc w:val="right"/>
              <w:rPr>
                <w:color w:val="000000"/>
                <w:sz w:val="16"/>
                <w:szCs w:val="16"/>
              </w:rPr>
            </w:pPr>
            <w:r w:rsidRPr="00B7584C">
              <w:rPr>
                <w:color w:val="000000"/>
                <w:sz w:val="16"/>
                <w:szCs w:val="16"/>
              </w:rPr>
              <w:t>62</w:t>
            </w:r>
          </w:p>
        </w:tc>
        <w:tc>
          <w:tcPr>
            <w:tcW w:w="1027" w:type="dxa"/>
            <w:shd w:val="clear" w:color="000000" w:fill="DCE6F1"/>
            <w:noWrap/>
            <w:vAlign w:val="center"/>
            <w:hideMark/>
          </w:tcPr>
          <w:p w:rsidR="00B7584C" w:rsidRPr="00B7584C" w:rsidRDefault="00B7584C" w:rsidP="00B7584C">
            <w:pPr>
              <w:jc w:val="right"/>
              <w:rPr>
                <w:color w:val="000000"/>
                <w:sz w:val="16"/>
                <w:szCs w:val="16"/>
              </w:rPr>
            </w:pPr>
            <w:r w:rsidRPr="00B7584C">
              <w:rPr>
                <w:color w:val="000000"/>
                <w:sz w:val="16"/>
                <w:szCs w:val="16"/>
              </w:rPr>
              <w:t>85 031 480</w:t>
            </w:r>
          </w:p>
        </w:tc>
        <w:tc>
          <w:tcPr>
            <w:tcW w:w="630" w:type="dxa"/>
            <w:shd w:val="clear" w:color="000000" w:fill="DCE6F1"/>
            <w:noWrap/>
            <w:vAlign w:val="center"/>
            <w:hideMark/>
          </w:tcPr>
          <w:p w:rsidR="00B7584C" w:rsidRPr="00B7584C" w:rsidRDefault="00B7584C" w:rsidP="00B7584C">
            <w:pPr>
              <w:jc w:val="right"/>
              <w:rPr>
                <w:color w:val="000000"/>
                <w:sz w:val="16"/>
                <w:szCs w:val="16"/>
              </w:rPr>
            </w:pPr>
            <w:r w:rsidRPr="00B7584C">
              <w:rPr>
                <w:color w:val="000000"/>
                <w:sz w:val="16"/>
                <w:szCs w:val="16"/>
              </w:rPr>
              <w:t>44</w:t>
            </w:r>
          </w:p>
        </w:tc>
        <w:tc>
          <w:tcPr>
            <w:tcW w:w="1200" w:type="dxa"/>
            <w:shd w:val="clear" w:color="000000" w:fill="DCE6F1"/>
            <w:noWrap/>
            <w:vAlign w:val="center"/>
            <w:hideMark/>
          </w:tcPr>
          <w:p w:rsidR="00B7584C" w:rsidRPr="00B7584C" w:rsidRDefault="00B7584C" w:rsidP="00B7584C">
            <w:pPr>
              <w:jc w:val="right"/>
              <w:rPr>
                <w:color w:val="000000"/>
                <w:sz w:val="16"/>
                <w:szCs w:val="16"/>
              </w:rPr>
            </w:pPr>
            <w:r w:rsidRPr="00B7584C">
              <w:rPr>
                <w:color w:val="000000"/>
                <w:sz w:val="16"/>
                <w:szCs w:val="16"/>
              </w:rPr>
              <w:t>55 462 692</w:t>
            </w:r>
          </w:p>
        </w:tc>
      </w:tr>
    </w:tbl>
    <w:p w:rsidR="000D1AB7" w:rsidRPr="005F749B" w:rsidRDefault="000D1AB7" w:rsidP="000D1AB7">
      <w:pPr>
        <w:rPr>
          <w:i/>
          <w:sz w:val="18"/>
          <w:szCs w:val="18"/>
        </w:rPr>
      </w:pPr>
      <w:r>
        <w:rPr>
          <w:i/>
          <w:sz w:val="18"/>
          <w:szCs w:val="18"/>
        </w:rPr>
        <w:t xml:space="preserve">Zdroj: IS Monit7+ ke dni </w:t>
      </w:r>
      <w:r w:rsidR="0015783A">
        <w:rPr>
          <w:i/>
          <w:sz w:val="18"/>
          <w:szCs w:val="18"/>
        </w:rPr>
        <w:t>30. 9. 2015</w:t>
      </w:r>
    </w:p>
    <w:p w:rsidR="000D1AB7" w:rsidRDefault="000D1AB7" w:rsidP="000D1AB7">
      <w:pPr>
        <w:rPr>
          <w:sz w:val="22"/>
          <w:szCs w:val="22"/>
        </w:rPr>
      </w:pPr>
      <w:r w:rsidRPr="005F749B">
        <w:rPr>
          <w:i/>
          <w:sz w:val="18"/>
          <w:szCs w:val="18"/>
        </w:rPr>
        <w:t xml:space="preserve">Zdroj financování – </w:t>
      </w:r>
      <w:r>
        <w:rPr>
          <w:i/>
          <w:sz w:val="18"/>
          <w:szCs w:val="18"/>
        </w:rPr>
        <w:t>veřejné prostředky celkem</w:t>
      </w:r>
    </w:p>
    <w:p w:rsidR="00B141FF" w:rsidRPr="008950FA" w:rsidRDefault="00B141FF" w:rsidP="00B141FF">
      <w:pPr>
        <w:rPr>
          <w:i/>
          <w:sz w:val="18"/>
          <w:szCs w:val="18"/>
        </w:rPr>
      </w:pPr>
      <w:r w:rsidRPr="008950FA">
        <w:rPr>
          <w:i/>
          <w:sz w:val="18"/>
          <w:szCs w:val="18"/>
        </w:rPr>
        <w:t xml:space="preserve">Pozn.: Počet podaných žádostí a Projektů s vydaným Rozhodnutím/podepsanou smlouvou je vzhledem k </w:t>
      </w:r>
      <w:proofErr w:type="spellStart"/>
      <w:r w:rsidRPr="008950FA">
        <w:rPr>
          <w:i/>
          <w:sz w:val="18"/>
          <w:szCs w:val="18"/>
        </w:rPr>
        <w:t>vícecílovosti</w:t>
      </w:r>
      <w:proofErr w:type="spellEnd"/>
      <w:r w:rsidRPr="008950FA">
        <w:rPr>
          <w:i/>
          <w:sz w:val="18"/>
          <w:szCs w:val="18"/>
        </w:rPr>
        <w:t xml:space="preserve"> prioritních os uveden u oblastí podpory vztahující se k cíli Konvergence V oblastech podpory, které spadají pod cíl Regionální konkurenceschopnost a zaměstnanost</w:t>
      </w:r>
      <w:r w:rsidR="008742C1">
        <w:rPr>
          <w:i/>
          <w:sz w:val="18"/>
          <w:szCs w:val="18"/>
        </w:rPr>
        <w:t>,</w:t>
      </w:r>
      <w:r w:rsidRPr="008950FA">
        <w:rPr>
          <w:i/>
          <w:sz w:val="18"/>
          <w:szCs w:val="18"/>
        </w:rPr>
        <w:t xml:space="preserve"> je počet nulový</w:t>
      </w:r>
      <w:r w:rsidR="008742C1">
        <w:rPr>
          <w:i/>
          <w:sz w:val="18"/>
          <w:szCs w:val="18"/>
        </w:rPr>
        <w:t>.</w:t>
      </w:r>
    </w:p>
    <w:p w:rsidR="00CE7D66" w:rsidRDefault="00CE7D66" w:rsidP="00C5778D"/>
    <w:p w:rsidR="002F2C3F" w:rsidRDefault="002F2C3F" w:rsidP="002F2C3F">
      <w:pPr>
        <w:pStyle w:val="Nadpis3"/>
        <w:rPr>
          <w:rFonts w:ascii="Times New Roman" w:hAnsi="Times New Roman"/>
          <w:sz w:val="24"/>
          <w:szCs w:val="24"/>
        </w:rPr>
      </w:pPr>
      <w:bookmarkStart w:id="113" w:name="_Toc433873508"/>
      <w:r w:rsidRPr="003218E6">
        <w:rPr>
          <w:rFonts w:ascii="Times New Roman" w:hAnsi="Times New Roman"/>
          <w:sz w:val="24"/>
          <w:szCs w:val="24"/>
        </w:rPr>
        <w:t>3</w:t>
      </w:r>
      <w:r w:rsidRPr="00B7725D">
        <w:rPr>
          <w:rFonts w:ascii="Times New Roman" w:hAnsi="Times New Roman"/>
          <w:sz w:val="24"/>
          <w:szCs w:val="24"/>
        </w:rPr>
        <w:t>.4.3 Naplňování indikátorů</w:t>
      </w:r>
      <w:bookmarkEnd w:id="112"/>
      <w:bookmarkEnd w:id="113"/>
    </w:p>
    <w:p w:rsidR="002227AD" w:rsidRDefault="002227AD" w:rsidP="002227AD">
      <w:pPr>
        <w:jc w:val="both"/>
        <w:rPr>
          <w:sz w:val="22"/>
          <w:szCs w:val="22"/>
        </w:rPr>
      </w:pPr>
      <w:r>
        <w:rPr>
          <w:sz w:val="22"/>
          <w:szCs w:val="22"/>
        </w:rPr>
        <w:t>Závazky ze schválených projektů vykazují naplnění</w:t>
      </w:r>
      <w:r>
        <w:rPr>
          <w:b/>
          <w:sz w:val="22"/>
          <w:szCs w:val="22"/>
        </w:rPr>
        <w:t xml:space="preserve"> indikátoru 410100 </w:t>
      </w:r>
      <w:proofErr w:type="spellStart"/>
      <w:r>
        <w:rPr>
          <w:b/>
          <w:sz w:val="22"/>
          <w:szCs w:val="22"/>
        </w:rPr>
        <w:t>Core</w:t>
      </w:r>
      <w:proofErr w:type="spellEnd"/>
      <w:r>
        <w:rPr>
          <w:b/>
          <w:sz w:val="22"/>
          <w:szCs w:val="22"/>
        </w:rPr>
        <w:t xml:space="preserve"> 34 Počet projektů zaměřených na rozvoj cestovního ruchu</w:t>
      </w:r>
      <w:r>
        <w:rPr>
          <w:sz w:val="22"/>
          <w:szCs w:val="22"/>
        </w:rPr>
        <w:t xml:space="preserve"> ve výši 125,37 % a z cílové hodnoty dosahuje 89,05 %.</w:t>
      </w:r>
    </w:p>
    <w:p w:rsidR="002227AD" w:rsidRDefault="002227AD" w:rsidP="002227AD">
      <w:pPr>
        <w:jc w:val="both"/>
        <w:rPr>
          <w:sz w:val="22"/>
          <w:szCs w:val="22"/>
        </w:rPr>
      </w:pPr>
    </w:p>
    <w:p w:rsidR="002227AD" w:rsidRPr="002227AD" w:rsidRDefault="002227AD" w:rsidP="002227AD">
      <w:pPr>
        <w:jc w:val="both"/>
        <w:rPr>
          <w:sz w:val="22"/>
          <w:szCs w:val="22"/>
        </w:rPr>
      </w:pPr>
      <w:r>
        <w:rPr>
          <w:b/>
          <w:sz w:val="22"/>
          <w:szCs w:val="22"/>
        </w:rPr>
        <w:t>Indikátor 413305</w:t>
      </w:r>
      <w:r>
        <w:rPr>
          <w:sz w:val="22"/>
          <w:szCs w:val="22"/>
        </w:rPr>
        <w:t xml:space="preserve"> měl být výsledkem projektu s názvem „Zavedení národního informačního portálu cestovního ruchu“. Vzhledem k problémům v realizaci projektu a riziku nedovolené veřejné podpory nechal příjemce zpracovat posudek</w:t>
      </w:r>
      <w:r w:rsidR="008742C1">
        <w:rPr>
          <w:sz w:val="22"/>
          <w:szCs w:val="22"/>
        </w:rPr>
        <w:t>.</w:t>
      </w:r>
      <w:r>
        <w:rPr>
          <w:sz w:val="22"/>
          <w:szCs w:val="22"/>
        </w:rPr>
        <w:t xml:space="preserve"> </w:t>
      </w:r>
      <w:r w:rsidR="008742C1">
        <w:rPr>
          <w:sz w:val="22"/>
          <w:szCs w:val="22"/>
        </w:rPr>
        <w:t>C</w:t>
      </w:r>
      <w:r>
        <w:rPr>
          <w:sz w:val="22"/>
          <w:szCs w:val="22"/>
        </w:rPr>
        <w:t>ílem bylo zhodnotit stav projektu</w:t>
      </w:r>
      <w:r w:rsidR="008742C1">
        <w:rPr>
          <w:sz w:val="22"/>
          <w:szCs w:val="22"/>
        </w:rPr>
        <w:t xml:space="preserve"> a</w:t>
      </w:r>
      <w:r>
        <w:rPr>
          <w:sz w:val="22"/>
          <w:szCs w:val="22"/>
        </w:rPr>
        <w:t xml:space="preserve"> zhodnotit, zda a jakým způsobem pokračovat v jeho další realizaci. Příjemce se na základě výstupů posudku rozhodl v projektu nepokračovat a k 26. 3. 2015 odstoupil od realizace. Vzhledem k fázi implementace programu není možné realizovat projekt, který by tento indikátor naplnil. Na odstoupený projekt byl rovněž vázán indikátor výsledku </w:t>
      </w:r>
      <w:r w:rsidRPr="00586D73">
        <w:rPr>
          <w:b/>
          <w:sz w:val="22"/>
          <w:szCs w:val="22"/>
        </w:rPr>
        <w:t>413311 Podíl subjektů CR v ČR, které budou napojeny na rezervační systém</w:t>
      </w:r>
      <w:r>
        <w:rPr>
          <w:sz w:val="22"/>
          <w:szCs w:val="22"/>
        </w:rPr>
        <w:t>, který nebude z</w:t>
      </w:r>
      <w:r w:rsidR="008742C1">
        <w:rPr>
          <w:sz w:val="22"/>
          <w:szCs w:val="22"/>
        </w:rPr>
        <w:t>e stejnýc</w:t>
      </w:r>
      <w:r>
        <w:rPr>
          <w:sz w:val="22"/>
          <w:szCs w:val="22"/>
        </w:rPr>
        <w:t>h příčin rovněž naplněn.</w:t>
      </w:r>
    </w:p>
    <w:p w:rsidR="002227AD" w:rsidRPr="005128C0" w:rsidRDefault="002227AD" w:rsidP="002227AD">
      <w:pPr>
        <w:jc w:val="both"/>
        <w:rPr>
          <w:sz w:val="22"/>
          <w:szCs w:val="22"/>
        </w:rPr>
      </w:pPr>
    </w:p>
    <w:p w:rsidR="002227AD" w:rsidRDefault="002227AD" w:rsidP="002227AD">
      <w:pPr>
        <w:jc w:val="both"/>
        <w:rPr>
          <w:b/>
          <w:sz w:val="22"/>
          <w:szCs w:val="22"/>
        </w:rPr>
      </w:pPr>
      <w:r>
        <w:rPr>
          <w:b/>
          <w:sz w:val="22"/>
          <w:szCs w:val="22"/>
        </w:rPr>
        <w:t>Indikátor 413320</w:t>
      </w:r>
      <w:r>
        <w:rPr>
          <w:sz w:val="22"/>
          <w:szCs w:val="22"/>
        </w:rPr>
        <w:t xml:space="preserve"> </w:t>
      </w:r>
      <w:r>
        <w:rPr>
          <w:b/>
          <w:sz w:val="22"/>
          <w:szCs w:val="22"/>
        </w:rPr>
        <w:t>Počet nově klasifikovaných a certifikovaných subjektů v oblasti CR.</w:t>
      </w:r>
    </w:p>
    <w:p w:rsidR="009108B3" w:rsidRPr="009108B3" w:rsidRDefault="009108B3" w:rsidP="009108B3">
      <w:pPr>
        <w:jc w:val="both"/>
        <w:rPr>
          <w:iCs/>
          <w:sz w:val="22"/>
          <w:szCs w:val="22"/>
        </w:rPr>
      </w:pPr>
      <w:r w:rsidRPr="009108B3">
        <w:rPr>
          <w:iCs/>
          <w:sz w:val="22"/>
          <w:szCs w:val="22"/>
        </w:rPr>
        <w:t>Jedná se o indikátor výsledku  projektu s názvem „Národní systém kvality služeb cestovního ruchu v České republice“. Vykázání cílové hodnoty indikátoru příjemce naplánoval k ukončení realizace projektu 31. 12. 2015. Ke 2. 10. 2015  činila dosažená hodnota 1316 z cílové hodnoty 2000</w:t>
      </w:r>
      <w:r w:rsidRPr="009108B3">
        <w:rPr>
          <w:rStyle w:val="Odkaznakoment"/>
          <w:iCs/>
          <w:sz w:val="22"/>
          <w:szCs w:val="22"/>
        </w:rPr>
        <w:t>. Uvedený</w:t>
      </w:r>
      <w:r w:rsidRPr="009108B3">
        <w:rPr>
          <w:iCs/>
          <w:sz w:val="22"/>
          <w:szCs w:val="22"/>
        </w:rPr>
        <w:t xml:space="preserve"> projekt se vyznačoval komplikovanými smluvními vztahy, které byly jednou z příčin nedodržování harmonogramu realizace, potažmo zpoždění v naplňování monitorovacího indikátoru. V případě, že projekt nenaplní cílovou hodnotu do konce realizace projektu, bude příjemce žádat o snížení hodnoty monitorovacího indikátoru. Pokud bude snížení hodnoty monitorovacího indikátoru ŘO IOP schváleno, bude odpovídajícím způsob</w:t>
      </w:r>
      <w:r>
        <w:rPr>
          <w:iCs/>
          <w:sz w:val="22"/>
          <w:szCs w:val="22"/>
        </w:rPr>
        <w:t>em</w:t>
      </w:r>
      <w:r w:rsidRPr="009108B3">
        <w:rPr>
          <w:iCs/>
          <w:sz w:val="22"/>
          <w:szCs w:val="22"/>
        </w:rPr>
        <w:t xml:space="preserve"> snížen i celkový rozpočet projektu.        </w:t>
      </w:r>
    </w:p>
    <w:p w:rsidR="002227AD" w:rsidRDefault="002227AD" w:rsidP="002227AD">
      <w:pPr>
        <w:jc w:val="both"/>
        <w:rPr>
          <w:b/>
          <w:sz w:val="22"/>
          <w:szCs w:val="22"/>
        </w:rPr>
      </w:pPr>
    </w:p>
    <w:p w:rsidR="002227AD" w:rsidRDefault="002227AD" w:rsidP="002227AD">
      <w:pPr>
        <w:jc w:val="both"/>
        <w:rPr>
          <w:b/>
          <w:sz w:val="22"/>
          <w:szCs w:val="22"/>
        </w:rPr>
      </w:pPr>
      <w:r>
        <w:rPr>
          <w:b/>
          <w:sz w:val="22"/>
          <w:szCs w:val="22"/>
        </w:rPr>
        <w:t>Indikátor 413315</w:t>
      </w:r>
      <w:r>
        <w:rPr>
          <w:sz w:val="22"/>
          <w:szCs w:val="22"/>
        </w:rPr>
        <w:t xml:space="preserve"> </w:t>
      </w:r>
      <w:r>
        <w:rPr>
          <w:b/>
          <w:sz w:val="22"/>
          <w:szCs w:val="22"/>
        </w:rPr>
        <w:t>Počet zavedených standardů služeb.</w:t>
      </w:r>
    </w:p>
    <w:p w:rsidR="009108B3" w:rsidRPr="009108B3" w:rsidRDefault="009108B3" w:rsidP="009108B3">
      <w:pPr>
        <w:jc w:val="both"/>
        <w:rPr>
          <w:iCs/>
          <w:sz w:val="22"/>
          <w:szCs w:val="22"/>
        </w:rPr>
      </w:pPr>
      <w:r w:rsidRPr="009108B3">
        <w:rPr>
          <w:iCs/>
          <w:sz w:val="22"/>
          <w:szCs w:val="22"/>
        </w:rPr>
        <w:t xml:space="preserve">Indikátor je spojen s  projektem „Národní systém kvality služeb cestovního ruchu v České republice“ </w:t>
      </w:r>
      <w:r>
        <w:rPr>
          <w:iCs/>
          <w:sz w:val="22"/>
          <w:szCs w:val="22"/>
        </w:rPr>
        <w:br/>
      </w:r>
      <w:r w:rsidRPr="009108B3">
        <w:rPr>
          <w:iCs/>
          <w:sz w:val="22"/>
          <w:szCs w:val="22"/>
        </w:rPr>
        <w:t xml:space="preserve">a byl naplněn již v roce 2013. </w:t>
      </w:r>
    </w:p>
    <w:p w:rsidR="002227AD" w:rsidRPr="005128C0" w:rsidRDefault="002227AD" w:rsidP="002227AD">
      <w:pPr>
        <w:jc w:val="both"/>
        <w:rPr>
          <w:sz w:val="22"/>
          <w:szCs w:val="22"/>
        </w:rPr>
      </w:pPr>
    </w:p>
    <w:p w:rsidR="002227AD" w:rsidRDefault="002227AD" w:rsidP="002227AD">
      <w:pPr>
        <w:jc w:val="both"/>
        <w:rPr>
          <w:b/>
          <w:sz w:val="22"/>
          <w:szCs w:val="22"/>
        </w:rPr>
      </w:pPr>
      <w:r>
        <w:rPr>
          <w:b/>
          <w:sz w:val="22"/>
          <w:szCs w:val="22"/>
        </w:rPr>
        <w:t>Indikátor 410302</w:t>
      </w:r>
      <w:r>
        <w:rPr>
          <w:sz w:val="22"/>
          <w:szCs w:val="22"/>
        </w:rPr>
        <w:t xml:space="preserve"> </w:t>
      </w:r>
      <w:r>
        <w:rPr>
          <w:b/>
          <w:sz w:val="22"/>
          <w:szCs w:val="22"/>
        </w:rPr>
        <w:t>Počet vytvořených propagačních nebo marketingových produktů pro CR.</w:t>
      </w:r>
    </w:p>
    <w:p w:rsidR="002227AD" w:rsidRDefault="002227AD" w:rsidP="002227AD">
      <w:pPr>
        <w:jc w:val="both"/>
        <w:rPr>
          <w:sz w:val="22"/>
          <w:szCs w:val="22"/>
        </w:rPr>
      </w:pPr>
      <w:r>
        <w:rPr>
          <w:sz w:val="22"/>
          <w:szCs w:val="22"/>
        </w:rPr>
        <w:lastRenderedPageBreak/>
        <w:t xml:space="preserve">Indikátor dosahuje hodnoty 28,79 z cílové hodnoty 20. Závazky ze schválených projektů vykazují </w:t>
      </w:r>
      <w:r w:rsidR="00916CB9">
        <w:rPr>
          <w:sz w:val="22"/>
          <w:szCs w:val="22"/>
        </w:rPr>
        <w:t>naplnění cílové</w:t>
      </w:r>
      <w:r>
        <w:rPr>
          <w:sz w:val="22"/>
          <w:szCs w:val="22"/>
        </w:rPr>
        <w:t xml:space="preserve"> hodnoty</w:t>
      </w:r>
      <w:r w:rsidR="008742C1">
        <w:rPr>
          <w:sz w:val="22"/>
          <w:szCs w:val="22"/>
        </w:rPr>
        <w:t xml:space="preserve"> na 170 %</w:t>
      </w:r>
      <w:r>
        <w:rPr>
          <w:sz w:val="22"/>
          <w:szCs w:val="22"/>
        </w:rPr>
        <w:t xml:space="preserve">. </w:t>
      </w:r>
      <w:r w:rsidR="008742C1">
        <w:rPr>
          <w:sz w:val="22"/>
          <w:szCs w:val="22"/>
        </w:rPr>
        <w:t>S</w:t>
      </w:r>
      <w:r>
        <w:rPr>
          <w:sz w:val="22"/>
          <w:szCs w:val="22"/>
        </w:rPr>
        <w:t xml:space="preserve">tanovená hodnota indikátoru 410302 nezohledňovala fakt, že v aktivitách d) a e) je největší absorpční kapacita, a indikátor zvolili všichni žadatelé.  </w:t>
      </w:r>
    </w:p>
    <w:p w:rsidR="008E1F4C" w:rsidRDefault="008742C1" w:rsidP="002227AD">
      <w:pPr>
        <w:jc w:val="both"/>
        <w:rPr>
          <w:sz w:val="22"/>
          <w:szCs w:val="22"/>
        </w:rPr>
      </w:pPr>
      <w:r>
        <w:rPr>
          <w:sz w:val="22"/>
          <w:szCs w:val="22"/>
        </w:rPr>
        <w:t>Data, zpracovávaná p</w:t>
      </w:r>
      <w:r w:rsidR="002227AD">
        <w:rPr>
          <w:sz w:val="22"/>
          <w:szCs w:val="22"/>
        </w:rPr>
        <w:t>ři průzkumu absorpční kapacity v době přípravy programu</w:t>
      </w:r>
      <w:r>
        <w:rPr>
          <w:sz w:val="22"/>
          <w:szCs w:val="22"/>
        </w:rPr>
        <w:t>,</w:t>
      </w:r>
      <w:r w:rsidR="002227AD">
        <w:rPr>
          <w:sz w:val="22"/>
          <w:szCs w:val="22"/>
        </w:rPr>
        <w:t xml:space="preserve"> ztratila vypovídací hodnotu. </w:t>
      </w:r>
    </w:p>
    <w:p w:rsidR="002227AD" w:rsidRPr="005128C0" w:rsidRDefault="002227AD" w:rsidP="002227AD">
      <w:pPr>
        <w:jc w:val="both"/>
        <w:rPr>
          <w:sz w:val="22"/>
          <w:szCs w:val="22"/>
        </w:rPr>
      </w:pPr>
      <w:r>
        <w:rPr>
          <w:sz w:val="22"/>
          <w:szCs w:val="22"/>
        </w:rPr>
        <w:t>P</w:t>
      </w:r>
      <w:r w:rsidR="008742C1">
        <w:rPr>
          <w:sz w:val="22"/>
          <w:szCs w:val="22"/>
        </w:rPr>
        <w:t xml:space="preserve">ředpokladem pro parametry výzvy byl menší počet projektů </w:t>
      </w:r>
      <w:r>
        <w:rPr>
          <w:sz w:val="22"/>
          <w:szCs w:val="22"/>
        </w:rPr>
        <w:t>z neziskového sektoru, ale z důvodu kofinancování pře</w:t>
      </w:r>
      <w:r w:rsidR="008E1F4C">
        <w:rPr>
          <w:sz w:val="22"/>
          <w:szCs w:val="22"/>
        </w:rPr>
        <w:t xml:space="preserve">dložili méně nákladné projekty </w:t>
      </w:r>
      <w:r>
        <w:rPr>
          <w:sz w:val="22"/>
          <w:szCs w:val="22"/>
        </w:rPr>
        <w:t>s rozpočty v řádech milionů korun. Byl proto podpořen vyšší počet projektů od více příjemců, než činil předpoklad.</w:t>
      </w:r>
    </w:p>
    <w:p w:rsidR="002227AD" w:rsidRDefault="002227AD" w:rsidP="002227AD">
      <w:pPr>
        <w:jc w:val="both"/>
        <w:rPr>
          <w:b/>
          <w:sz w:val="22"/>
          <w:szCs w:val="22"/>
        </w:rPr>
      </w:pPr>
    </w:p>
    <w:p w:rsidR="002227AD" w:rsidRDefault="002227AD" w:rsidP="002227AD">
      <w:pPr>
        <w:jc w:val="both"/>
        <w:rPr>
          <w:b/>
          <w:sz w:val="22"/>
          <w:szCs w:val="22"/>
        </w:rPr>
      </w:pPr>
      <w:r>
        <w:rPr>
          <w:b/>
          <w:sz w:val="22"/>
          <w:szCs w:val="22"/>
        </w:rPr>
        <w:t>Indikátor 410303 Počet propagačních kampaní na produkty v oblasti CR.</w:t>
      </w:r>
    </w:p>
    <w:p w:rsidR="002227AD" w:rsidRPr="002227AD" w:rsidRDefault="002227AD" w:rsidP="002227AD">
      <w:pPr>
        <w:jc w:val="both"/>
        <w:rPr>
          <w:sz w:val="22"/>
          <w:szCs w:val="22"/>
        </w:rPr>
      </w:pPr>
      <w:r w:rsidRPr="005128C0">
        <w:rPr>
          <w:sz w:val="22"/>
          <w:szCs w:val="22"/>
        </w:rPr>
        <w:t>I</w:t>
      </w:r>
      <w:r>
        <w:rPr>
          <w:sz w:val="22"/>
          <w:szCs w:val="22"/>
        </w:rPr>
        <w:t xml:space="preserve">ndikátor dosahuje hodnoty 42,29 z cílové hodnoty 43. Závazky ze schválených projektů vykazují naplnění 120,93 % z cílové hodnoty. Princip </w:t>
      </w:r>
      <w:r w:rsidR="003715C2">
        <w:rPr>
          <w:sz w:val="22"/>
          <w:szCs w:val="22"/>
        </w:rPr>
        <w:t>překročení cílové hodnoty</w:t>
      </w:r>
      <w:r>
        <w:rPr>
          <w:sz w:val="22"/>
          <w:szCs w:val="22"/>
        </w:rPr>
        <w:t xml:space="preserve"> indikátoru je analogický k situaci v indikátoru 410302.</w:t>
      </w:r>
    </w:p>
    <w:p w:rsidR="002227AD" w:rsidRDefault="002227AD" w:rsidP="002227AD">
      <w:pPr>
        <w:jc w:val="both"/>
        <w:rPr>
          <w:b/>
          <w:sz w:val="22"/>
          <w:szCs w:val="22"/>
        </w:rPr>
      </w:pPr>
    </w:p>
    <w:p w:rsidR="002227AD" w:rsidRDefault="002227AD" w:rsidP="002227AD">
      <w:pPr>
        <w:jc w:val="both"/>
        <w:rPr>
          <w:sz w:val="22"/>
          <w:szCs w:val="22"/>
        </w:rPr>
      </w:pPr>
      <w:r>
        <w:rPr>
          <w:b/>
          <w:sz w:val="22"/>
          <w:szCs w:val="22"/>
        </w:rPr>
        <w:t>Indikátor 410304</w:t>
      </w:r>
      <w:r>
        <w:rPr>
          <w:sz w:val="22"/>
          <w:szCs w:val="22"/>
        </w:rPr>
        <w:t xml:space="preserve"> </w:t>
      </w:r>
      <w:r>
        <w:rPr>
          <w:b/>
          <w:sz w:val="22"/>
          <w:szCs w:val="22"/>
        </w:rPr>
        <w:t>Počet marketingových a statistických šetření.</w:t>
      </w:r>
    </w:p>
    <w:p w:rsidR="002227AD" w:rsidRDefault="002227AD" w:rsidP="002227AD">
      <w:pPr>
        <w:jc w:val="both"/>
        <w:rPr>
          <w:sz w:val="22"/>
          <w:szCs w:val="22"/>
        </w:rPr>
      </w:pPr>
      <w:r>
        <w:rPr>
          <w:sz w:val="22"/>
          <w:szCs w:val="22"/>
        </w:rPr>
        <w:t>Indikátor dosahuje hodnoty celkového naplnění cílové hodnoty.</w:t>
      </w:r>
    </w:p>
    <w:p w:rsidR="00B50CFF" w:rsidRPr="009B5D0A" w:rsidRDefault="00B50CFF" w:rsidP="00FB7318">
      <w:pPr>
        <w:jc w:val="both"/>
        <w:rPr>
          <w:sz w:val="22"/>
          <w:szCs w:val="22"/>
        </w:rPr>
      </w:pPr>
    </w:p>
    <w:p w:rsidR="00FB7318" w:rsidRPr="00B50CFF" w:rsidRDefault="00B50CFF" w:rsidP="00FB7318">
      <w:pPr>
        <w:pStyle w:val="Tabulkanzev"/>
        <w:rPr>
          <w:b w:val="0"/>
          <w:bCs/>
        </w:rPr>
      </w:pPr>
      <w:bookmarkStart w:id="114" w:name="_Toc433873562"/>
      <w:r w:rsidRPr="00DB3722">
        <w:rPr>
          <w:rStyle w:val="Siln"/>
        </w:rPr>
        <w:t>Indikátory výstupu</w:t>
      </w:r>
      <w:bookmarkEnd w:id="114"/>
    </w:p>
    <w:tbl>
      <w:tblPr>
        <w:tblW w:w="9148" w:type="dxa"/>
        <w:tblInd w:w="55"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70" w:type="dxa"/>
          <w:right w:w="70" w:type="dxa"/>
        </w:tblCellMar>
        <w:tblLook w:val="04A0" w:firstRow="1" w:lastRow="0" w:firstColumn="1" w:lastColumn="0" w:noHBand="0" w:noVBand="1"/>
      </w:tblPr>
      <w:tblGrid>
        <w:gridCol w:w="1026"/>
        <w:gridCol w:w="1548"/>
        <w:gridCol w:w="957"/>
        <w:gridCol w:w="899"/>
        <w:gridCol w:w="899"/>
        <w:gridCol w:w="1258"/>
        <w:gridCol w:w="1225"/>
        <w:gridCol w:w="1336"/>
      </w:tblGrid>
      <w:tr w:rsidR="004A20B1" w:rsidRPr="004A20B1" w:rsidTr="004A20B1">
        <w:trPr>
          <w:trHeight w:val="1032"/>
        </w:trPr>
        <w:tc>
          <w:tcPr>
            <w:tcW w:w="1026" w:type="dxa"/>
            <w:shd w:val="clear" w:color="000000" w:fill="C5D9F1"/>
            <w:vAlign w:val="center"/>
            <w:hideMark/>
          </w:tcPr>
          <w:p w:rsidR="004A20B1" w:rsidRPr="004A20B1" w:rsidRDefault="004A20B1" w:rsidP="004A20B1">
            <w:pPr>
              <w:jc w:val="center"/>
              <w:rPr>
                <w:b/>
                <w:bCs/>
              </w:rPr>
            </w:pPr>
            <w:r w:rsidRPr="004A20B1">
              <w:rPr>
                <w:b/>
                <w:bCs/>
              </w:rPr>
              <w:t>Kód</w:t>
            </w:r>
          </w:p>
        </w:tc>
        <w:tc>
          <w:tcPr>
            <w:tcW w:w="1548" w:type="dxa"/>
            <w:shd w:val="clear" w:color="000000" w:fill="C5D9F1"/>
            <w:vAlign w:val="center"/>
            <w:hideMark/>
          </w:tcPr>
          <w:p w:rsidR="004A20B1" w:rsidRPr="004A20B1" w:rsidRDefault="004A20B1" w:rsidP="004A20B1">
            <w:pPr>
              <w:jc w:val="center"/>
              <w:rPr>
                <w:b/>
                <w:bCs/>
              </w:rPr>
            </w:pPr>
            <w:r w:rsidRPr="004A20B1">
              <w:rPr>
                <w:b/>
                <w:bCs/>
              </w:rPr>
              <w:t>Název indikátoru</w:t>
            </w:r>
          </w:p>
        </w:tc>
        <w:tc>
          <w:tcPr>
            <w:tcW w:w="957" w:type="dxa"/>
            <w:shd w:val="clear" w:color="000000" w:fill="C5D9F1"/>
            <w:vAlign w:val="center"/>
            <w:hideMark/>
          </w:tcPr>
          <w:p w:rsidR="004A20B1" w:rsidRPr="004A20B1" w:rsidRDefault="004A20B1" w:rsidP="004A20B1">
            <w:pPr>
              <w:jc w:val="center"/>
              <w:rPr>
                <w:b/>
                <w:bCs/>
              </w:rPr>
            </w:pPr>
            <w:r w:rsidRPr="004A20B1">
              <w:rPr>
                <w:b/>
                <w:bCs/>
              </w:rPr>
              <w:t>Měrná jednotka</w:t>
            </w:r>
          </w:p>
        </w:tc>
        <w:tc>
          <w:tcPr>
            <w:tcW w:w="899" w:type="dxa"/>
            <w:shd w:val="clear" w:color="000000" w:fill="C5D9F1"/>
            <w:vAlign w:val="center"/>
            <w:hideMark/>
          </w:tcPr>
          <w:p w:rsidR="004A20B1" w:rsidRPr="004A20B1" w:rsidRDefault="004A20B1" w:rsidP="004A20B1">
            <w:pPr>
              <w:jc w:val="center"/>
              <w:rPr>
                <w:b/>
                <w:bCs/>
              </w:rPr>
            </w:pPr>
            <w:r w:rsidRPr="004A20B1">
              <w:rPr>
                <w:b/>
                <w:bCs/>
              </w:rPr>
              <w:t xml:space="preserve">Výchozí hodnota </w:t>
            </w:r>
          </w:p>
        </w:tc>
        <w:tc>
          <w:tcPr>
            <w:tcW w:w="899" w:type="dxa"/>
            <w:shd w:val="clear" w:color="000000" w:fill="C5D9F1"/>
            <w:vAlign w:val="center"/>
            <w:hideMark/>
          </w:tcPr>
          <w:p w:rsidR="004A20B1" w:rsidRPr="004A20B1" w:rsidRDefault="004A20B1" w:rsidP="004A20B1">
            <w:pPr>
              <w:jc w:val="center"/>
              <w:rPr>
                <w:b/>
                <w:bCs/>
              </w:rPr>
            </w:pPr>
            <w:r w:rsidRPr="004A20B1">
              <w:rPr>
                <w:b/>
                <w:bCs/>
              </w:rPr>
              <w:t>Cílová hodnota</w:t>
            </w:r>
          </w:p>
        </w:tc>
        <w:tc>
          <w:tcPr>
            <w:tcW w:w="1258" w:type="dxa"/>
            <w:shd w:val="clear" w:color="000000" w:fill="C5D9F1"/>
            <w:vAlign w:val="center"/>
            <w:hideMark/>
          </w:tcPr>
          <w:p w:rsidR="004A20B1" w:rsidRPr="004A20B1" w:rsidRDefault="004A20B1" w:rsidP="004A20B1">
            <w:pPr>
              <w:jc w:val="center"/>
              <w:rPr>
                <w:b/>
                <w:bCs/>
              </w:rPr>
            </w:pPr>
            <w:r w:rsidRPr="004A20B1">
              <w:rPr>
                <w:b/>
                <w:bCs/>
              </w:rPr>
              <w:t>Závazek ze schválených projektů</w:t>
            </w:r>
          </w:p>
        </w:tc>
        <w:tc>
          <w:tcPr>
            <w:tcW w:w="1225" w:type="dxa"/>
            <w:shd w:val="clear" w:color="000000" w:fill="C5D9F1"/>
            <w:vAlign w:val="center"/>
            <w:hideMark/>
          </w:tcPr>
          <w:p w:rsidR="004A20B1" w:rsidRPr="004A20B1" w:rsidRDefault="004A20B1" w:rsidP="004A20B1">
            <w:pPr>
              <w:jc w:val="center"/>
              <w:rPr>
                <w:b/>
                <w:bCs/>
              </w:rPr>
            </w:pPr>
            <w:r w:rsidRPr="004A20B1">
              <w:rPr>
                <w:b/>
                <w:bCs/>
              </w:rPr>
              <w:t>Dosažená hodnota k 30. 9. 2015</w:t>
            </w:r>
          </w:p>
        </w:tc>
        <w:tc>
          <w:tcPr>
            <w:tcW w:w="1336" w:type="dxa"/>
            <w:shd w:val="clear" w:color="000000" w:fill="C5D9F1"/>
            <w:vAlign w:val="center"/>
            <w:hideMark/>
          </w:tcPr>
          <w:p w:rsidR="004A20B1" w:rsidRPr="004A20B1" w:rsidRDefault="004A20B1" w:rsidP="004A20B1">
            <w:pPr>
              <w:jc w:val="center"/>
              <w:rPr>
                <w:b/>
                <w:bCs/>
              </w:rPr>
            </w:pPr>
            <w:r w:rsidRPr="004A20B1">
              <w:rPr>
                <w:b/>
                <w:bCs/>
              </w:rPr>
              <w:t>V Rozhodnutí k 30. 9. 2015</w:t>
            </w:r>
          </w:p>
        </w:tc>
      </w:tr>
      <w:tr w:rsidR="004A20B1" w:rsidRPr="004A20B1" w:rsidTr="004A20B1">
        <w:trPr>
          <w:trHeight w:val="957"/>
        </w:trPr>
        <w:tc>
          <w:tcPr>
            <w:tcW w:w="1026" w:type="dxa"/>
            <w:shd w:val="clear" w:color="auto" w:fill="auto"/>
            <w:vAlign w:val="center"/>
            <w:hideMark/>
          </w:tcPr>
          <w:p w:rsidR="004A20B1" w:rsidRPr="004A20B1" w:rsidRDefault="004A20B1" w:rsidP="004A20B1">
            <w:pPr>
              <w:jc w:val="center"/>
              <w:rPr>
                <w:sz w:val="18"/>
                <w:szCs w:val="18"/>
              </w:rPr>
            </w:pPr>
            <w:r w:rsidRPr="004A20B1">
              <w:rPr>
                <w:sz w:val="18"/>
                <w:szCs w:val="18"/>
              </w:rPr>
              <w:t xml:space="preserve">410100   </w:t>
            </w:r>
            <w:proofErr w:type="spellStart"/>
            <w:r w:rsidRPr="004A20B1">
              <w:rPr>
                <w:sz w:val="18"/>
                <w:szCs w:val="18"/>
              </w:rPr>
              <w:t>Core</w:t>
            </w:r>
            <w:proofErr w:type="spellEnd"/>
            <w:r w:rsidRPr="004A20B1">
              <w:rPr>
                <w:sz w:val="18"/>
                <w:szCs w:val="18"/>
              </w:rPr>
              <w:t xml:space="preserve"> 34</w:t>
            </w:r>
          </w:p>
        </w:tc>
        <w:tc>
          <w:tcPr>
            <w:tcW w:w="1548" w:type="dxa"/>
            <w:shd w:val="clear" w:color="auto" w:fill="auto"/>
            <w:vAlign w:val="bottom"/>
            <w:hideMark/>
          </w:tcPr>
          <w:p w:rsidR="004A20B1" w:rsidRPr="004A20B1" w:rsidRDefault="004A20B1" w:rsidP="004A20B1">
            <w:pPr>
              <w:rPr>
                <w:sz w:val="18"/>
                <w:szCs w:val="18"/>
              </w:rPr>
            </w:pPr>
            <w:r w:rsidRPr="004A20B1">
              <w:rPr>
                <w:sz w:val="18"/>
                <w:szCs w:val="18"/>
              </w:rPr>
              <w:t>Počet projektů zaměřených na rozvoj cestovního ruchu</w:t>
            </w:r>
          </w:p>
        </w:tc>
        <w:tc>
          <w:tcPr>
            <w:tcW w:w="957" w:type="dxa"/>
            <w:shd w:val="clear" w:color="auto" w:fill="auto"/>
            <w:noWrap/>
            <w:vAlign w:val="center"/>
            <w:hideMark/>
          </w:tcPr>
          <w:p w:rsidR="004A20B1" w:rsidRPr="004A20B1" w:rsidRDefault="004A20B1" w:rsidP="004A20B1">
            <w:pPr>
              <w:jc w:val="center"/>
              <w:rPr>
                <w:sz w:val="18"/>
                <w:szCs w:val="18"/>
              </w:rPr>
            </w:pPr>
            <w:r w:rsidRPr="004A20B1">
              <w:rPr>
                <w:sz w:val="18"/>
                <w:szCs w:val="18"/>
              </w:rPr>
              <w:t>Počet</w:t>
            </w:r>
          </w:p>
        </w:tc>
        <w:tc>
          <w:tcPr>
            <w:tcW w:w="899" w:type="dxa"/>
            <w:shd w:val="clear" w:color="auto" w:fill="auto"/>
            <w:noWrap/>
            <w:vAlign w:val="center"/>
            <w:hideMark/>
          </w:tcPr>
          <w:p w:rsidR="004A20B1" w:rsidRPr="004A20B1" w:rsidRDefault="004A20B1" w:rsidP="004A20B1">
            <w:pPr>
              <w:jc w:val="center"/>
              <w:rPr>
                <w:sz w:val="18"/>
                <w:szCs w:val="18"/>
              </w:rPr>
            </w:pPr>
            <w:r w:rsidRPr="004A20B1">
              <w:rPr>
                <w:sz w:val="18"/>
                <w:szCs w:val="18"/>
              </w:rPr>
              <w:t>0</w:t>
            </w:r>
          </w:p>
        </w:tc>
        <w:tc>
          <w:tcPr>
            <w:tcW w:w="899" w:type="dxa"/>
            <w:shd w:val="clear" w:color="auto" w:fill="auto"/>
            <w:noWrap/>
            <w:vAlign w:val="center"/>
            <w:hideMark/>
          </w:tcPr>
          <w:p w:rsidR="004A20B1" w:rsidRPr="004A20B1" w:rsidRDefault="004A20B1" w:rsidP="004A20B1">
            <w:pPr>
              <w:jc w:val="center"/>
              <w:rPr>
                <w:sz w:val="18"/>
                <w:szCs w:val="18"/>
              </w:rPr>
            </w:pPr>
            <w:r w:rsidRPr="004A20B1">
              <w:rPr>
                <w:sz w:val="18"/>
                <w:szCs w:val="18"/>
              </w:rPr>
              <w:t>67</w:t>
            </w:r>
          </w:p>
        </w:tc>
        <w:tc>
          <w:tcPr>
            <w:tcW w:w="1258" w:type="dxa"/>
            <w:shd w:val="clear" w:color="000000" w:fill="FFFFFF"/>
            <w:vAlign w:val="center"/>
            <w:hideMark/>
          </w:tcPr>
          <w:p w:rsidR="004A20B1" w:rsidRPr="004A20B1" w:rsidRDefault="004A20B1" w:rsidP="004A20B1">
            <w:pPr>
              <w:jc w:val="center"/>
              <w:rPr>
                <w:sz w:val="18"/>
                <w:szCs w:val="18"/>
              </w:rPr>
            </w:pPr>
            <w:r w:rsidRPr="004A20B1">
              <w:rPr>
                <w:sz w:val="18"/>
                <w:szCs w:val="18"/>
              </w:rPr>
              <w:t>84</w:t>
            </w:r>
          </w:p>
        </w:tc>
        <w:tc>
          <w:tcPr>
            <w:tcW w:w="1225" w:type="dxa"/>
            <w:shd w:val="clear" w:color="000000" w:fill="FFFFFF"/>
            <w:vAlign w:val="center"/>
            <w:hideMark/>
          </w:tcPr>
          <w:p w:rsidR="004A20B1" w:rsidRPr="004A20B1" w:rsidRDefault="004A20B1" w:rsidP="004A20B1">
            <w:pPr>
              <w:jc w:val="center"/>
              <w:rPr>
                <w:sz w:val="18"/>
                <w:szCs w:val="18"/>
              </w:rPr>
            </w:pPr>
            <w:r w:rsidRPr="004A20B1">
              <w:rPr>
                <w:sz w:val="18"/>
                <w:szCs w:val="18"/>
              </w:rPr>
              <w:t>60</w:t>
            </w:r>
          </w:p>
        </w:tc>
        <w:tc>
          <w:tcPr>
            <w:tcW w:w="1336" w:type="dxa"/>
            <w:shd w:val="clear" w:color="000000" w:fill="FFFFFF"/>
            <w:noWrap/>
            <w:vAlign w:val="center"/>
            <w:hideMark/>
          </w:tcPr>
          <w:p w:rsidR="004A20B1" w:rsidRPr="004A20B1" w:rsidRDefault="004A20B1" w:rsidP="004A20B1">
            <w:pPr>
              <w:jc w:val="right"/>
              <w:rPr>
                <w:sz w:val="18"/>
                <w:szCs w:val="18"/>
              </w:rPr>
            </w:pPr>
            <w:r w:rsidRPr="004A20B1">
              <w:rPr>
                <w:sz w:val="18"/>
                <w:szCs w:val="18"/>
              </w:rPr>
              <w:t>442 278 078</w:t>
            </w:r>
          </w:p>
        </w:tc>
      </w:tr>
      <w:tr w:rsidR="004A20B1" w:rsidRPr="004A20B1" w:rsidTr="004A20B1">
        <w:trPr>
          <w:trHeight w:val="1436"/>
        </w:trPr>
        <w:tc>
          <w:tcPr>
            <w:tcW w:w="1026" w:type="dxa"/>
            <w:shd w:val="clear" w:color="auto" w:fill="auto"/>
            <w:noWrap/>
            <w:vAlign w:val="center"/>
            <w:hideMark/>
          </w:tcPr>
          <w:p w:rsidR="004A20B1" w:rsidRPr="004A20B1" w:rsidRDefault="004A20B1" w:rsidP="004A20B1">
            <w:pPr>
              <w:jc w:val="center"/>
              <w:rPr>
                <w:sz w:val="18"/>
                <w:szCs w:val="18"/>
              </w:rPr>
            </w:pPr>
            <w:r w:rsidRPr="004A20B1">
              <w:rPr>
                <w:sz w:val="18"/>
                <w:szCs w:val="18"/>
              </w:rPr>
              <w:t>413305</w:t>
            </w:r>
          </w:p>
        </w:tc>
        <w:tc>
          <w:tcPr>
            <w:tcW w:w="1548" w:type="dxa"/>
            <w:shd w:val="clear" w:color="auto" w:fill="auto"/>
            <w:vAlign w:val="bottom"/>
            <w:hideMark/>
          </w:tcPr>
          <w:p w:rsidR="004A20B1" w:rsidRPr="004A20B1" w:rsidRDefault="004A20B1" w:rsidP="004A20B1">
            <w:pPr>
              <w:rPr>
                <w:sz w:val="18"/>
                <w:szCs w:val="18"/>
              </w:rPr>
            </w:pPr>
            <w:r w:rsidRPr="004A20B1">
              <w:rPr>
                <w:sz w:val="18"/>
                <w:szCs w:val="18"/>
              </w:rPr>
              <w:t>Počet nově zavedených informačních a rezervačních systémů v cestovním ruchu</w:t>
            </w:r>
          </w:p>
        </w:tc>
        <w:tc>
          <w:tcPr>
            <w:tcW w:w="957" w:type="dxa"/>
            <w:shd w:val="clear" w:color="auto" w:fill="auto"/>
            <w:noWrap/>
            <w:vAlign w:val="center"/>
            <w:hideMark/>
          </w:tcPr>
          <w:p w:rsidR="004A20B1" w:rsidRPr="004A20B1" w:rsidRDefault="004A20B1" w:rsidP="004A20B1">
            <w:pPr>
              <w:jc w:val="center"/>
              <w:rPr>
                <w:sz w:val="18"/>
                <w:szCs w:val="18"/>
              </w:rPr>
            </w:pPr>
            <w:r w:rsidRPr="004A20B1">
              <w:rPr>
                <w:sz w:val="18"/>
                <w:szCs w:val="18"/>
              </w:rPr>
              <w:t>Počet</w:t>
            </w:r>
          </w:p>
        </w:tc>
        <w:tc>
          <w:tcPr>
            <w:tcW w:w="899" w:type="dxa"/>
            <w:shd w:val="clear" w:color="auto" w:fill="auto"/>
            <w:noWrap/>
            <w:vAlign w:val="center"/>
            <w:hideMark/>
          </w:tcPr>
          <w:p w:rsidR="004A20B1" w:rsidRPr="004A20B1" w:rsidRDefault="004A20B1" w:rsidP="004A20B1">
            <w:pPr>
              <w:jc w:val="center"/>
              <w:rPr>
                <w:sz w:val="18"/>
                <w:szCs w:val="18"/>
              </w:rPr>
            </w:pPr>
            <w:r w:rsidRPr="004A20B1">
              <w:rPr>
                <w:sz w:val="18"/>
                <w:szCs w:val="18"/>
              </w:rPr>
              <w:t>0</w:t>
            </w:r>
          </w:p>
        </w:tc>
        <w:tc>
          <w:tcPr>
            <w:tcW w:w="899" w:type="dxa"/>
            <w:shd w:val="clear" w:color="auto" w:fill="auto"/>
            <w:noWrap/>
            <w:vAlign w:val="center"/>
            <w:hideMark/>
          </w:tcPr>
          <w:p w:rsidR="004A20B1" w:rsidRPr="004A20B1" w:rsidRDefault="004A20B1" w:rsidP="004A20B1">
            <w:pPr>
              <w:jc w:val="center"/>
              <w:rPr>
                <w:sz w:val="18"/>
                <w:szCs w:val="18"/>
              </w:rPr>
            </w:pPr>
            <w:r w:rsidRPr="004A20B1">
              <w:rPr>
                <w:sz w:val="18"/>
                <w:szCs w:val="18"/>
              </w:rPr>
              <w:t>2</w:t>
            </w:r>
          </w:p>
        </w:tc>
        <w:tc>
          <w:tcPr>
            <w:tcW w:w="1258" w:type="dxa"/>
            <w:shd w:val="clear" w:color="000000" w:fill="FFFFFF"/>
            <w:vAlign w:val="center"/>
            <w:hideMark/>
          </w:tcPr>
          <w:p w:rsidR="004A20B1" w:rsidRPr="004A20B1" w:rsidRDefault="004A20B1" w:rsidP="004A20B1">
            <w:pPr>
              <w:jc w:val="center"/>
              <w:rPr>
                <w:sz w:val="18"/>
                <w:szCs w:val="18"/>
              </w:rPr>
            </w:pPr>
            <w:r w:rsidRPr="004A20B1">
              <w:rPr>
                <w:sz w:val="18"/>
                <w:szCs w:val="18"/>
              </w:rPr>
              <w:t>0</w:t>
            </w:r>
          </w:p>
        </w:tc>
        <w:tc>
          <w:tcPr>
            <w:tcW w:w="1225" w:type="dxa"/>
            <w:shd w:val="clear" w:color="000000" w:fill="FFFFFF"/>
            <w:vAlign w:val="center"/>
            <w:hideMark/>
          </w:tcPr>
          <w:p w:rsidR="004A20B1" w:rsidRPr="004A20B1" w:rsidRDefault="004A20B1" w:rsidP="004A20B1">
            <w:pPr>
              <w:jc w:val="center"/>
              <w:rPr>
                <w:sz w:val="18"/>
                <w:szCs w:val="18"/>
              </w:rPr>
            </w:pPr>
            <w:r w:rsidRPr="004A20B1">
              <w:rPr>
                <w:sz w:val="18"/>
                <w:szCs w:val="18"/>
              </w:rPr>
              <w:t>0</w:t>
            </w:r>
          </w:p>
        </w:tc>
        <w:tc>
          <w:tcPr>
            <w:tcW w:w="1336" w:type="dxa"/>
            <w:shd w:val="clear" w:color="000000" w:fill="FFFFFF"/>
            <w:noWrap/>
            <w:vAlign w:val="center"/>
            <w:hideMark/>
          </w:tcPr>
          <w:p w:rsidR="004A20B1" w:rsidRPr="004A20B1" w:rsidRDefault="004A20B1" w:rsidP="004A20B1">
            <w:pPr>
              <w:jc w:val="right"/>
              <w:rPr>
                <w:sz w:val="18"/>
                <w:szCs w:val="18"/>
              </w:rPr>
            </w:pPr>
            <w:r w:rsidRPr="004A20B1">
              <w:rPr>
                <w:sz w:val="18"/>
                <w:szCs w:val="18"/>
              </w:rPr>
              <w:t>0</w:t>
            </w:r>
          </w:p>
        </w:tc>
      </w:tr>
      <w:tr w:rsidR="004A20B1" w:rsidRPr="004A20B1" w:rsidTr="004A20B1">
        <w:trPr>
          <w:trHeight w:val="718"/>
        </w:trPr>
        <w:tc>
          <w:tcPr>
            <w:tcW w:w="1026" w:type="dxa"/>
            <w:shd w:val="clear" w:color="auto" w:fill="auto"/>
            <w:noWrap/>
            <w:vAlign w:val="center"/>
            <w:hideMark/>
          </w:tcPr>
          <w:p w:rsidR="004A20B1" w:rsidRPr="004A20B1" w:rsidRDefault="004A20B1" w:rsidP="004A20B1">
            <w:pPr>
              <w:jc w:val="center"/>
              <w:rPr>
                <w:sz w:val="18"/>
                <w:szCs w:val="18"/>
              </w:rPr>
            </w:pPr>
            <w:r w:rsidRPr="004A20B1">
              <w:rPr>
                <w:sz w:val="18"/>
                <w:szCs w:val="18"/>
              </w:rPr>
              <w:t>413315</w:t>
            </w:r>
          </w:p>
        </w:tc>
        <w:tc>
          <w:tcPr>
            <w:tcW w:w="1548" w:type="dxa"/>
            <w:shd w:val="clear" w:color="auto" w:fill="auto"/>
            <w:vAlign w:val="bottom"/>
            <w:hideMark/>
          </w:tcPr>
          <w:p w:rsidR="004A20B1" w:rsidRPr="004A20B1" w:rsidRDefault="004A20B1" w:rsidP="004A20B1">
            <w:pPr>
              <w:rPr>
                <w:sz w:val="18"/>
                <w:szCs w:val="18"/>
              </w:rPr>
            </w:pPr>
            <w:r w:rsidRPr="004A20B1">
              <w:rPr>
                <w:sz w:val="18"/>
                <w:szCs w:val="18"/>
              </w:rPr>
              <w:t xml:space="preserve">Počet zavedených standardů služeb cestovního ruchu </w:t>
            </w:r>
          </w:p>
        </w:tc>
        <w:tc>
          <w:tcPr>
            <w:tcW w:w="957" w:type="dxa"/>
            <w:shd w:val="clear" w:color="auto" w:fill="auto"/>
            <w:noWrap/>
            <w:vAlign w:val="center"/>
            <w:hideMark/>
          </w:tcPr>
          <w:p w:rsidR="004A20B1" w:rsidRPr="004A20B1" w:rsidRDefault="004A20B1" w:rsidP="004A20B1">
            <w:pPr>
              <w:jc w:val="center"/>
              <w:rPr>
                <w:sz w:val="18"/>
                <w:szCs w:val="18"/>
              </w:rPr>
            </w:pPr>
            <w:r w:rsidRPr="004A20B1">
              <w:rPr>
                <w:sz w:val="18"/>
                <w:szCs w:val="18"/>
              </w:rPr>
              <w:t>Počet</w:t>
            </w:r>
          </w:p>
        </w:tc>
        <w:tc>
          <w:tcPr>
            <w:tcW w:w="899" w:type="dxa"/>
            <w:shd w:val="clear" w:color="auto" w:fill="auto"/>
            <w:noWrap/>
            <w:vAlign w:val="center"/>
            <w:hideMark/>
          </w:tcPr>
          <w:p w:rsidR="004A20B1" w:rsidRPr="004A20B1" w:rsidRDefault="004A20B1" w:rsidP="004A20B1">
            <w:pPr>
              <w:jc w:val="center"/>
              <w:rPr>
                <w:sz w:val="18"/>
                <w:szCs w:val="18"/>
              </w:rPr>
            </w:pPr>
            <w:r w:rsidRPr="004A20B1">
              <w:rPr>
                <w:sz w:val="18"/>
                <w:szCs w:val="18"/>
              </w:rPr>
              <w:t>0</w:t>
            </w:r>
          </w:p>
        </w:tc>
        <w:tc>
          <w:tcPr>
            <w:tcW w:w="899" w:type="dxa"/>
            <w:shd w:val="clear" w:color="auto" w:fill="auto"/>
            <w:noWrap/>
            <w:vAlign w:val="center"/>
            <w:hideMark/>
          </w:tcPr>
          <w:p w:rsidR="004A20B1" w:rsidRPr="004A20B1" w:rsidRDefault="004A20B1" w:rsidP="004A20B1">
            <w:pPr>
              <w:jc w:val="center"/>
              <w:rPr>
                <w:sz w:val="18"/>
                <w:szCs w:val="18"/>
              </w:rPr>
            </w:pPr>
            <w:r w:rsidRPr="004A20B1">
              <w:rPr>
                <w:sz w:val="18"/>
                <w:szCs w:val="18"/>
              </w:rPr>
              <w:t>10</w:t>
            </w:r>
          </w:p>
        </w:tc>
        <w:tc>
          <w:tcPr>
            <w:tcW w:w="1258" w:type="dxa"/>
            <w:shd w:val="clear" w:color="000000" w:fill="FFFFFF"/>
            <w:vAlign w:val="center"/>
            <w:hideMark/>
          </w:tcPr>
          <w:p w:rsidR="004A20B1" w:rsidRPr="004A20B1" w:rsidRDefault="004A20B1" w:rsidP="004A20B1">
            <w:pPr>
              <w:jc w:val="center"/>
              <w:rPr>
                <w:sz w:val="18"/>
                <w:szCs w:val="18"/>
              </w:rPr>
            </w:pPr>
            <w:r w:rsidRPr="004A20B1">
              <w:rPr>
                <w:sz w:val="18"/>
                <w:szCs w:val="18"/>
              </w:rPr>
              <w:t>5</w:t>
            </w:r>
          </w:p>
        </w:tc>
        <w:tc>
          <w:tcPr>
            <w:tcW w:w="1225" w:type="dxa"/>
            <w:shd w:val="clear" w:color="000000" w:fill="FFFFFF"/>
            <w:vAlign w:val="center"/>
            <w:hideMark/>
          </w:tcPr>
          <w:p w:rsidR="004A20B1" w:rsidRPr="004A20B1" w:rsidRDefault="004A20B1" w:rsidP="004A20B1">
            <w:pPr>
              <w:jc w:val="center"/>
              <w:rPr>
                <w:sz w:val="18"/>
                <w:szCs w:val="18"/>
              </w:rPr>
            </w:pPr>
            <w:r w:rsidRPr="004A20B1">
              <w:rPr>
                <w:sz w:val="18"/>
                <w:szCs w:val="18"/>
              </w:rPr>
              <w:t>5</w:t>
            </w:r>
          </w:p>
        </w:tc>
        <w:tc>
          <w:tcPr>
            <w:tcW w:w="1336" w:type="dxa"/>
            <w:shd w:val="clear" w:color="000000" w:fill="FFFFFF"/>
            <w:noWrap/>
            <w:vAlign w:val="center"/>
            <w:hideMark/>
          </w:tcPr>
          <w:p w:rsidR="004A20B1" w:rsidRPr="004A20B1" w:rsidRDefault="004A20B1" w:rsidP="004A20B1">
            <w:pPr>
              <w:jc w:val="right"/>
              <w:rPr>
                <w:sz w:val="18"/>
                <w:szCs w:val="18"/>
              </w:rPr>
            </w:pPr>
            <w:r w:rsidRPr="004A20B1">
              <w:rPr>
                <w:sz w:val="18"/>
                <w:szCs w:val="18"/>
              </w:rPr>
              <w:t>67 127 331</w:t>
            </w:r>
          </w:p>
        </w:tc>
      </w:tr>
      <w:tr w:rsidR="004A20B1" w:rsidRPr="004A20B1" w:rsidTr="004A20B1">
        <w:trPr>
          <w:trHeight w:val="718"/>
        </w:trPr>
        <w:tc>
          <w:tcPr>
            <w:tcW w:w="1026" w:type="dxa"/>
            <w:shd w:val="clear" w:color="auto" w:fill="auto"/>
            <w:noWrap/>
            <w:vAlign w:val="center"/>
            <w:hideMark/>
          </w:tcPr>
          <w:p w:rsidR="004A20B1" w:rsidRPr="004A20B1" w:rsidRDefault="004A20B1" w:rsidP="004A20B1">
            <w:pPr>
              <w:jc w:val="center"/>
              <w:rPr>
                <w:sz w:val="18"/>
                <w:szCs w:val="18"/>
              </w:rPr>
            </w:pPr>
            <w:r w:rsidRPr="004A20B1">
              <w:rPr>
                <w:sz w:val="18"/>
                <w:szCs w:val="18"/>
              </w:rPr>
              <w:t>410304</w:t>
            </w:r>
          </w:p>
        </w:tc>
        <w:tc>
          <w:tcPr>
            <w:tcW w:w="1548" w:type="dxa"/>
            <w:shd w:val="clear" w:color="auto" w:fill="auto"/>
            <w:vAlign w:val="bottom"/>
            <w:hideMark/>
          </w:tcPr>
          <w:p w:rsidR="004A20B1" w:rsidRPr="004A20B1" w:rsidRDefault="004A20B1" w:rsidP="004A20B1">
            <w:pPr>
              <w:rPr>
                <w:sz w:val="18"/>
                <w:szCs w:val="18"/>
              </w:rPr>
            </w:pPr>
            <w:r w:rsidRPr="004A20B1">
              <w:rPr>
                <w:sz w:val="18"/>
                <w:szCs w:val="18"/>
              </w:rPr>
              <w:t>Počet marketingových a statistických šetření</w:t>
            </w:r>
          </w:p>
        </w:tc>
        <w:tc>
          <w:tcPr>
            <w:tcW w:w="957" w:type="dxa"/>
            <w:shd w:val="clear" w:color="auto" w:fill="auto"/>
            <w:noWrap/>
            <w:vAlign w:val="center"/>
            <w:hideMark/>
          </w:tcPr>
          <w:p w:rsidR="004A20B1" w:rsidRPr="004A20B1" w:rsidRDefault="004A20B1" w:rsidP="004A20B1">
            <w:pPr>
              <w:jc w:val="center"/>
              <w:rPr>
                <w:sz w:val="18"/>
                <w:szCs w:val="18"/>
              </w:rPr>
            </w:pPr>
            <w:r w:rsidRPr="004A20B1">
              <w:rPr>
                <w:sz w:val="18"/>
                <w:szCs w:val="18"/>
              </w:rPr>
              <w:t>Počet</w:t>
            </w:r>
          </w:p>
        </w:tc>
        <w:tc>
          <w:tcPr>
            <w:tcW w:w="899" w:type="dxa"/>
            <w:shd w:val="clear" w:color="auto" w:fill="auto"/>
            <w:noWrap/>
            <w:vAlign w:val="center"/>
            <w:hideMark/>
          </w:tcPr>
          <w:p w:rsidR="004A20B1" w:rsidRPr="004A20B1" w:rsidRDefault="004A20B1" w:rsidP="004A20B1">
            <w:pPr>
              <w:jc w:val="center"/>
              <w:rPr>
                <w:sz w:val="18"/>
                <w:szCs w:val="18"/>
              </w:rPr>
            </w:pPr>
            <w:r w:rsidRPr="004A20B1">
              <w:rPr>
                <w:sz w:val="18"/>
                <w:szCs w:val="18"/>
              </w:rPr>
              <w:t>0</w:t>
            </w:r>
          </w:p>
        </w:tc>
        <w:tc>
          <w:tcPr>
            <w:tcW w:w="899" w:type="dxa"/>
            <w:shd w:val="clear" w:color="auto" w:fill="auto"/>
            <w:noWrap/>
            <w:vAlign w:val="center"/>
            <w:hideMark/>
          </w:tcPr>
          <w:p w:rsidR="004A20B1" w:rsidRPr="004A20B1" w:rsidRDefault="004A20B1" w:rsidP="004A20B1">
            <w:pPr>
              <w:jc w:val="center"/>
              <w:rPr>
                <w:sz w:val="18"/>
                <w:szCs w:val="18"/>
              </w:rPr>
            </w:pPr>
            <w:r w:rsidRPr="004A20B1">
              <w:rPr>
                <w:sz w:val="18"/>
                <w:szCs w:val="18"/>
              </w:rPr>
              <w:t>12</w:t>
            </w:r>
          </w:p>
        </w:tc>
        <w:tc>
          <w:tcPr>
            <w:tcW w:w="1258" w:type="dxa"/>
            <w:shd w:val="clear" w:color="000000" w:fill="FFFFFF"/>
            <w:vAlign w:val="center"/>
            <w:hideMark/>
          </w:tcPr>
          <w:p w:rsidR="004A20B1" w:rsidRPr="004A20B1" w:rsidRDefault="004A20B1" w:rsidP="004A20B1">
            <w:pPr>
              <w:jc w:val="center"/>
              <w:rPr>
                <w:sz w:val="18"/>
                <w:szCs w:val="18"/>
              </w:rPr>
            </w:pPr>
            <w:r w:rsidRPr="004A20B1">
              <w:rPr>
                <w:sz w:val="18"/>
                <w:szCs w:val="18"/>
              </w:rPr>
              <w:t>13</w:t>
            </w:r>
          </w:p>
        </w:tc>
        <w:tc>
          <w:tcPr>
            <w:tcW w:w="1225" w:type="dxa"/>
            <w:shd w:val="clear" w:color="000000" w:fill="FFFFFF"/>
            <w:vAlign w:val="center"/>
            <w:hideMark/>
          </w:tcPr>
          <w:p w:rsidR="004A20B1" w:rsidRPr="004A20B1" w:rsidRDefault="004A20B1" w:rsidP="004A20B1">
            <w:pPr>
              <w:jc w:val="center"/>
              <w:rPr>
                <w:sz w:val="18"/>
                <w:szCs w:val="18"/>
              </w:rPr>
            </w:pPr>
            <w:r w:rsidRPr="004A20B1">
              <w:rPr>
                <w:sz w:val="18"/>
                <w:szCs w:val="18"/>
              </w:rPr>
              <w:t>12</w:t>
            </w:r>
          </w:p>
        </w:tc>
        <w:tc>
          <w:tcPr>
            <w:tcW w:w="1336" w:type="dxa"/>
            <w:shd w:val="clear" w:color="000000" w:fill="FFFFFF"/>
            <w:noWrap/>
            <w:vAlign w:val="center"/>
            <w:hideMark/>
          </w:tcPr>
          <w:p w:rsidR="004A20B1" w:rsidRPr="004A20B1" w:rsidRDefault="004A20B1" w:rsidP="004A20B1">
            <w:pPr>
              <w:jc w:val="right"/>
              <w:rPr>
                <w:sz w:val="18"/>
                <w:szCs w:val="18"/>
              </w:rPr>
            </w:pPr>
            <w:r w:rsidRPr="004A20B1">
              <w:rPr>
                <w:sz w:val="18"/>
                <w:szCs w:val="18"/>
              </w:rPr>
              <w:t>233 062 346</w:t>
            </w:r>
          </w:p>
        </w:tc>
      </w:tr>
      <w:tr w:rsidR="004A20B1" w:rsidRPr="004A20B1" w:rsidTr="004A20B1">
        <w:trPr>
          <w:trHeight w:val="957"/>
        </w:trPr>
        <w:tc>
          <w:tcPr>
            <w:tcW w:w="1026" w:type="dxa"/>
            <w:shd w:val="clear" w:color="auto" w:fill="auto"/>
            <w:vAlign w:val="center"/>
            <w:hideMark/>
          </w:tcPr>
          <w:p w:rsidR="004A20B1" w:rsidRPr="004A20B1" w:rsidRDefault="004A20B1" w:rsidP="004A20B1">
            <w:pPr>
              <w:jc w:val="center"/>
              <w:rPr>
                <w:sz w:val="18"/>
                <w:szCs w:val="18"/>
              </w:rPr>
            </w:pPr>
            <w:r w:rsidRPr="004A20B1">
              <w:rPr>
                <w:sz w:val="18"/>
                <w:szCs w:val="18"/>
              </w:rPr>
              <w:t>410303</w:t>
            </w:r>
          </w:p>
        </w:tc>
        <w:tc>
          <w:tcPr>
            <w:tcW w:w="1548" w:type="dxa"/>
            <w:shd w:val="clear" w:color="auto" w:fill="auto"/>
            <w:vAlign w:val="bottom"/>
            <w:hideMark/>
          </w:tcPr>
          <w:p w:rsidR="004A20B1" w:rsidRPr="004A20B1" w:rsidRDefault="004A20B1" w:rsidP="004A20B1">
            <w:pPr>
              <w:rPr>
                <w:sz w:val="18"/>
                <w:szCs w:val="18"/>
              </w:rPr>
            </w:pPr>
            <w:r w:rsidRPr="004A20B1">
              <w:rPr>
                <w:sz w:val="18"/>
                <w:szCs w:val="18"/>
              </w:rPr>
              <w:t xml:space="preserve">Počet propagačních kampaní na produkty v oblasti CR </w:t>
            </w:r>
          </w:p>
        </w:tc>
        <w:tc>
          <w:tcPr>
            <w:tcW w:w="957" w:type="dxa"/>
            <w:shd w:val="clear" w:color="auto" w:fill="auto"/>
            <w:noWrap/>
            <w:vAlign w:val="center"/>
            <w:hideMark/>
          </w:tcPr>
          <w:p w:rsidR="004A20B1" w:rsidRPr="004A20B1" w:rsidRDefault="004A20B1" w:rsidP="004A20B1">
            <w:pPr>
              <w:jc w:val="center"/>
              <w:rPr>
                <w:sz w:val="18"/>
                <w:szCs w:val="18"/>
              </w:rPr>
            </w:pPr>
            <w:r w:rsidRPr="004A20B1">
              <w:rPr>
                <w:sz w:val="18"/>
                <w:szCs w:val="18"/>
              </w:rPr>
              <w:t>Počet</w:t>
            </w:r>
          </w:p>
        </w:tc>
        <w:tc>
          <w:tcPr>
            <w:tcW w:w="899" w:type="dxa"/>
            <w:shd w:val="clear" w:color="auto" w:fill="auto"/>
            <w:noWrap/>
            <w:vAlign w:val="center"/>
            <w:hideMark/>
          </w:tcPr>
          <w:p w:rsidR="004A20B1" w:rsidRPr="004A20B1" w:rsidRDefault="004A20B1" w:rsidP="004A20B1">
            <w:pPr>
              <w:jc w:val="center"/>
              <w:rPr>
                <w:sz w:val="18"/>
                <w:szCs w:val="18"/>
              </w:rPr>
            </w:pPr>
            <w:r w:rsidRPr="004A20B1">
              <w:rPr>
                <w:sz w:val="18"/>
                <w:szCs w:val="18"/>
              </w:rPr>
              <w:t>0</w:t>
            </w:r>
          </w:p>
        </w:tc>
        <w:tc>
          <w:tcPr>
            <w:tcW w:w="899" w:type="dxa"/>
            <w:shd w:val="clear" w:color="auto" w:fill="auto"/>
            <w:noWrap/>
            <w:vAlign w:val="center"/>
            <w:hideMark/>
          </w:tcPr>
          <w:p w:rsidR="004A20B1" w:rsidRPr="004A20B1" w:rsidRDefault="004A20B1" w:rsidP="004A20B1">
            <w:pPr>
              <w:jc w:val="center"/>
              <w:rPr>
                <w:sz w:val="18"/>
                <w:szCs w:val="18"/>
              </w:rPr>
            </w:pPr>
            <w:r w:rsidRPr="004A20B1">
              <w:rPr>
                <w:sz w:val="18"/>
                <w:szCs w:val="18"/>
              </w:rPr>
              <w:t>43</w:t>
            </w:r>
          </w:p>
        </w:tc>
        <w:tc>
          <w:tcPr>
            <w:tcW w:w="1258" w:type="dxa"/>
            <w:shd w:val="clear" w:color="000000" w:fill="FFFFFF"/>
            <w:vAlign w:val="center"/>
            <w:hideMark/>
          </w:tcPr>
          <w:p w:rsidR="004A20B1" w:rsidRPr="004A20B1" w:rsidRDefault="004A20B1" w:rsidP="004A20B1">
            <w:pPr>
              <w:jc w:val="center"/>
              <w:rPr>
                <w:sz w:val="18"/>
                <w:szCs w:val="18"/>
              </w:rPr>
            </w:pPr>
            <w:r w:rsidRPr="004A20B1">
              <w:rPr>
                <w:sz w:val="18"/>
                <w:szCs w:val="18"/>
              </w:rPr>
              <w:t>52</w:t>
            </w:r>
          </w:p>
        </w:tc>
        <w:tc>
          <w:tcPr>
            <w:tcW w:w="1225" w:type="dxa"/>
            <w:shd w:val="clear" w:color="000000" w:fill="FFFFFF"/>
            <w:vAlign w:val="center"/>
            <w:hideMark/>
          </w:tcPr>
          <w:p w:rsidR="004A20B1" w:rsidRPr="004A20B1" w:rsidRDefault="004A20B1" w:rsidP="00084830">
            <w:pPr>
              <w:jc w:val="center"/>
              <w:rPr>
                <w:sz w:val="18"/>
                <w:szCs w:val="18"/>
              </w:rPr>
            </w:pPr>
            <w:r w:rsidRPr="004A20B1">
              <w:rPr>
                <w:sz w:val="18"/>
                <w:szCs w:val="18"/>
              </w:rPr>
              <w:t>42</w:t>
            </w:r>
          </w:p>
        </w:tc>
        <w:tc>
          <w:tcPr>
            <w:tcW w:w="1336" w:type="dxa"/>
            <w:shd w:val="clear" w:color="000000" w:fill="FFFFFF"/>
            <w:noWrap/>
            <w:vAlign w:val="center"/>
            <w:hideMark/>
          </w:tcPr>
          <w:p w:rsidR="004A20B1" w:rsidRPr="004A20B1" w:rsidRDefault="004A20B1" w:rsidP="004A20B1">
            <w:pPr>
              <w:jc w:val="right"/>
              <w:rPr>
                <w:sz w:val="18"/>
                <w:szCs w:val="18"/>
              </w:rPr>
            </w:pPr>
            <w:r w:rsidRPr="004A20B1">
              <w:rPr>
                <w:sz w:val="18"/>
                <w:szCs w:val="18"/>
              </w:rPr>
              <w:t>142 088 400</w:t>
            </w:r>
          </w:p>
        </w:tc>
      </w:tr>
    </w:tbl>
    <w:p w:rsidR="002D1C24" w:rsidRPr="000F53E8" w:rsidRDefault="002D1C24" w:rsidP="000F53E8">
      <w:pPr>
        <w:rPr>
          <w:rStyle w:val="Siln"/>
          <w:b w:val="0"/>
          <w:i/>
          <w:sz w:val="18"/>
          <w:szCs w:val="18"/>
        </w:rPr>
      </w:pPr>
      <w:r w:rsidRPr="000F53E8">
        <w:rPr>
          <w:rStyle w:val="Siln"/>
          <w:b w:val="0"/>
          <w:i/>
          <w:sz w:val="18"/>
          <w:szCs w:val="18"/>
        </w:rPr>
        <w:t xml:space="preserve">Zdroj: </w:t>
      </w:r>
      <w:r w:rsidR="00275DC0">
        <w:rPr>
          <w:rStyle w:val="Siln"/>
          <w:b w:val="0"/>
          <w:i/>
          <w:sz w:val="18"/>
          <w:szCs w:val="18"/>
        </w:rPr>
        <w:t xml:space="preserve">MSC2007 </w:t>
      </w:r>
      <w:r w:rsidR="00914BC7">
        <w:rPr>
          <w:rStyle w:val="Siln"/>
          <w:b w:val="0"/>
          <w:i/>
          <w:sz w:val="18"/>
          <w:szCs w:val="18"/>
        </w:rPr>
        <w:t>k 30. 9. 2015</w:t>
      </w:r>
      <w:r w:rsidRPr="000F53E8">
        <w:rPr>
          <w:rStyle w:val="Siln"/>
          <w:b w:val="0"/>
          <w:i/>
          <w:sz w:val="18"/>
          <w:szCs w:val="18"/>
        </w:rPr>
        <w:t>, informace od ZS u podílových indikátorů</w:t>
      </w:r>
    </w:p>
    <w:p w:rsidR="00FB7318" w:rsidRDefault="00FB7318" w:rsidP="00FB7318"/>
    <w:p w:rsidR="00B50CFF" w:rsidRPr="00B50CFF" w:rsidRDefault="00B50CFF" w:rsidP="00FB7318">
      <w:pPr>
        <w:pStyle w:val="Tabulkanzev"/>
        <w:keepNext/>
        <w:rPr>
          <w:b w:val="0"/>
          <w:bCs/>
        </w:rPr>
      </w:pPr>
      <w:bookmarkStart w:id="115" w:name="_Toc433873563"/>
      <w:r w:rsidRPr="00DB3722">
        <w:rPr>
          <w:rStyle w:val="Siln"/>
        </w:rPr>
        <w:t>Indikátory výsledku</w:t>
      </w:r>
      <w:bookmarkEnd w:id="115"/>
    </w:p>
    <w:tbl>
      <w:tblPr>
        <w:tblW w:w="9164" w:type="dxa"/>
        <w:tblInd w:w="55" w:type="dxa"/>
        <w:tblBorders>
          <w:top w:val="single" w:sz="8" w:space="0" w:color="1F497D" w:themeColor="text2"/>
          <w:left w:val="single" w:sz="8" w:space="0" w:color="1F497D" w:themeColor="text2"/>
          <w:bottom w:val="single" w:sz="8" w:space="0" w:color="1F497D" w:themeColor="text2"/>
          <w:right w:val="single" w:sz="8" w:space="0" w:color="1F497D" w:themeColor="text2"/>
          <w:insideH w:val="single" w:sz="8" w:space="0" w:color="1F497D" w:themeColor="text2"/>
          <w:insideV w:val="single" w:sz="8" w:space="0" w:color="1F497D" w:themeColor="text2"/>
        </w:tblBorders>
        <w:tblCellMar>
          <w:left w:w="70" w:type="dxa"/>
          <w:right w:w="70" w:type="dxa"/>
        </w:tblCellMar>
        <w:tblLook w:val="04A0" w:firstRow="1" w:lastRow="0" w:firstColumn="1" w:lastColumn="0" w:noHBand="0" w:noVBand="1"/>
      </w:tblPr>
      <w:tblGrid>
        <w:gridCol w:w="954"/>
        <w:gridCol w:w="1621"/>
        <w:gridCol w:w="959"/>
        <w:gridCol w:w="900"/>
        <w:gridCol w:w="900"/>
        <w:gridCol w:w="1262"/>
        <w:gridCol w:w="1216"/>
        <w:gridCol w:w="1352"/>
      </w:tblGrid>
      <w:tr w:rsidR="00B96108" w:rsidRPr="00B96108" w:rsidTr="002E5B61">
        <w:trPr>
          <w:trHeight w:val="1028"/>
          <w:tblHeader/>
        </w:trPr>
        <w:tc>
          <w:tcPr>
            <w:tcW w:w="954" w:type="dxa"/>
            <w:shd w:val="clear" w:color="000000" w:fill="C5D9F1"/>
            <w:vAlign w:val="center"/>
            <w:hideMark/>
          </w:tcPr>
          <w:p w:rsidR="00B96108" w:rsidRPr="00B96108" w:rsidRDefault="00B96108" w:rsidP="00B96108">
            <w:pPr>
              <w:jc w:val="center"/>
              <w:rPr>
                <w:b/>
                <w:bCs/>
              </w:rPr>
            </w:pPr>
            <w:r w:rsidRPr="00B96108">
              <w:rPr>
                <w:b/>
                <w:bCs/>
              </w:rPr>
              <w:t>Kód</w:t>
            </w:r>
          </w:p>
        </w:tc>
        <w:tc>
          <w:tcPr>
            <w:tcW w:w="1621" w:type="dxa"/>
            <w:shd w:val="clear" w:color="000000" w:fill="C5D9F1"/>
            <w:vAlign w:val="center"/>
            <w:hideMark/>
          </w:tcPr>
          <w:p w:rsidR="00B96108" w:rsidRPr="00B96108" w:rsidRDefault="00B96108" w:rsidP="00B96108">
            <w:pPr>
              <w:jc w:val="center"/>
              <w:rPr>
                <w:b/>
                <w:bCs/>
              </w:rPr>
            </w:pPr>
            <w:r w:rsidRPr="00B96108">
              <w:rPr>
                <w:b/>
                <w:bCs/>
              </w:rPr>
              <w:t>Název indikátoru</w:t>
            </w:r>
          </w:p>
        </w:tc>
        <w:tc>
          <w:tcPr>
            <w:tcW w:w="959" w:type="dxa"/>
            <w:shd w:val="clear" w:color="000000" w:fill="C5D9F1"/>
            <w:vAlign w:val="center"/>
            <w:hideMark/>
          </w:tcPr>
          <w:p w:rsidR="00B96108" w:rsidRPr="00B96108" w:rsidRDefault="00B96108" w:rsidP="00B96108">
            <w:pPr>
              <w:jc w:val="center"/>
              <w:rPr>
                <w:b/>
                <w:bCs/>
              </w:rPr>
            </w:pPr>
            <w:r w:rsidRPr="00B96108">
              <w:rPr>
                <w:b/>
                <w:bCs/>
              </w:rPr>
              <w:t>Měrná jednotka</w:t>
            </w:r>
          </w:p>
        </w:tc>
        <w:tc>
          <w:tcPr>
            <w:tcW w:w="900" w:type="dxa"/>
            <w:shd w:val="clear" w:color="000000" w:fill="C5D9F1"/>
            <w:vAlign w:val="center"/>
            <w:hideMark/>
          </w:tcPr>
          <w:p w:rsidR="00B96108" w:rsidRPr="00B96108" w:rsidRDefault="00B96108" w:rsidP="00B96108">
            <w:pPr>
              <w:jc w:val="center"/>
              <w:rPr>
                <w:b/>
                <w:bCs/>
              </w:rPr>
            </w:pPr>
            <w:r w:rsidRPr="00B96108">
              <w:rPr>
                <w:b/>
                <w:bCs/>
              </w:rPr>
              <w:t xml:space="preserve">Výchozí hodnota </w:t>
            </w:r>
          </w:p>
        </w:tc>
        <w:tc>
          <w:tcPr>
            <w:tcW w:w="900" w:type="dxa"/>
            <w:shd w:val="clear" w:color="000000" w:fill="C5D9F1"/>
            <w:vAlign w:val="center"/>
            <w:hideMark/>
          </w:tcPr>
          <w:p w:rsidR="00B96108" w:rsidRPr="00B96108" w:rsidRDefault="00B96108" w:rsidP="00B96108">
            <w:pPr>
              <w:jc w:val="center"/>
              <w:rPr>
                <w:b/>
                <w:bCs/>
              </w:rPr>
            </w:pPr>
            <w:r w:rsidRPr="00B96108">
              <w:rPr>
                <w:b/>
                <w:bCs/>
              </w:rPr>
              <w:t>Cílová hodnota</w:t>
            </w:r>
          </w:p>
        </w:tc>
        <w:tc>
          <w:tcPr>
            <w:tcW w:w="1262" w:type="dxa"/>
            <w:shd w:val="clear" w:color="000000" w:fill="C5D9F1"/>
            <w:vAlign w:val="center"/>
            <w:hideMark/>
          </w:tcPr>
          <w:p w:rsidR="00B96108" w:rsidRPr="00B96108" w:rsidRDefault="00B96108" w:rsidP="00B96108">
            <w:pPr>
              <w:jc w:val="center"/>
              <w:rPr>
                <w:b/>
                <w:bCs/>
              </w:rPr>
            </w:pPr>
            <w:r w:rsidRPr="00B96108">
              <w:rPr>
                <w:b/>
                <w:bCs/>
              </w:rPr>
              <w:t>Závazek ze schválených projektů</w:t>
            </w:r>
          </w:p>
        </w:tc>
        <w:tc>
          <w:tcPr>
            <w:tcW w:w="1216" w:type="dxa"/>
            <w:shd w:val="clear" w:color="000000" w:fill="C5D9F1"/>
            <w:vAlign w:val="center"/>
            <w:hideMark/>
          </w:tcPr>
          <w:p w:rsidR="00B96108" w:rsidRPr="00B96108" w:rsidRDefault="00B96108" w:rsidP="00B96108">
            <w:pPr>
              <w:jc w:val="center"/>
              <w:rPr>
                <w:b/>
                <w:bCs/>
              </w:rPr>
            </w:pPr>
            <w:r w:rsidRPr="00B96108">
              <w:rPr>
                <w:b/>
                <w:bCs/>
              </w:rPr>
              <w:t>Dosažená hodnota k 30. 9. 2015</w:t>
            </w:r>
          </w:p>
        </w:tc>
        <w:tc>
          <w:tcPr>
            <w:tcW w:w="1352" w:type="dxa"/>
            <w:shd w:val="clear" w:color="000000" w:fill="C5D9F1"/>
            <w:vAlign w:val="center"/>
            <w:hideMark/>
          </w:tcPr>
          <w:p w:rsidR="00B96108" w:rsidRPr="00B96108" w:rsidRDefault="00B96108" w:rsidP="00B96108">
            <w:pPr>
              <w:jc w:val="center"/>
              <w:rPr>
                <w:b/>
                <w:bCs/>
              </w:rPr>
            </w:pPr>
            <w:r w:rsidRPr="00B96108">
              <w:rPr>
                <w:b/>
                <w:bCs/>
              </w:rPr>
              <w:t>V Rozhodnutí k 30. 9. 2015</w:t>
            </w:r>
          </w:p>
        </w:tc>
      </w:tr>
      <w:tr w:rsidR="00B96108" w:rsidRPr="00B96108" w:rsidTr="006866A2">
        <w:trPr>
          <w:trHeight w:val="954"/>
        </w:trPr>
        <w:tc>
          <w:tcPr>
            <w:tcW w:w="954" w:type="dxa"/>
            <w:shd w:val="clear" w:color="auto" w:fill="auto"/>
            <w:vAlign w:val="center"/>
            <w:hideMark/>
          </w:tcPr>
          <w:p w:rsidR="00B96108" w:rsidRPr="00B96108" w:rsidRDefault="00B96108" w:rsidP="00B96108">
            <w:pPr>
              <w:jc w:val="center"/>
              <w:rPr>
                <w:sz w:val="18"/>
                <w:szCs w:val="18"/>
              </w:rPr>
            </w:pPr>
            <w:r w:rsidRPr="00B96108">
              <w:rPr>
                <w:sz w:val="18"/>
                <w:szCs w:val="18"/>
              </w:rPr>
              <w:t>413311</w:t>
            </w:r>
          </w:p>
        </w:tc>
        <w:tc>
          <w:tcPr>
            <w:tcW w:w="1621" w:type="dxa"/>
            <w:shd w:val="clear" w:color="auto" w:fill="auto"/>
            <w:vAlign w:val="center"/>
            <w:hideMark/>
          </w:tcPr>
          <w:p w:rsidR="00B96108" w:rsidRPr="00B96108" w:rsidRDefault="00B96108" w:rsidP="00B96108">
            <w:pPr>
              <w:rPr>
                <w:sz w:val="18"/>
                <w:szCs w:val="18"/>
              </w:rPr>
            </w:pPr>
            <w:r w:rsidRPr="00B96108">
              <w:rPr>
                <w:sz w:val="18"/>
                <w:szCs w:val="18"/>
              </w:rPr>
              <w:t xml:space="preserve">Podíl subjektů CR v ČR, které budou napojeny na rezervační systém </w:t>
            </w:r>
          </w:p>
        </w:tc>
        <w:tc>
          <w:tcPr>
            <w:tcW w:w="959" w:type="dxa"/>
            <w:shd w:val="clear" w:color="auto" w:fill="auto"/>
            <w:noWrap/>
            <w:vAlign w:val="center"/>
            <w:hideMark/>
          </w:tcPr>
          <w:p w:rsidR="00B96108" w:rsidRPr="00B96108" w:rsidRDefault="00B96108" w:rsidP="006866A2">
            <w:pPr>
              <w:jc w:val="center"/>
              <w:rPr>
                <w:sz w:val="18"/>
                <w:szCs w:val="18"/>
              </w:rPr>
            </w:pPr>
            <w:r w:rsidRPr="00B96108">
              <w:rPr>
                <w:sz w:val="18"/>
                <w:szCs w:val="18"/>
              </w:rPr>
              <w:t>%</w:t>
            </w:r>
          </w:p>
        </w:tc>
        <w:tc>
          <w:tcPr>
            <w:tcW w:w="900" w:type="dxa"/>
            <w:shd w:val="clear" w:color="auto" w:fill="auto"/>
            <w:noWrap/>
            <w:vAlign w:val="center"/>
            <w:hideMark/>
          </w:tcPr>
          <w:p w:rsidR="00B96108" w:rsidRPr="00B96108" w:rsidRDefault="00B96108" w:rsidP="006866A2">
            <w:pPr>
              <w:jc w:val="center"/>
              <w:rPr>
                <w:sz w:val="18"/>
                <w:szCs w:val="18"/>
              </w:rPr>
            </w:pPr>
            <w:r w:rsidRPr="00B96108">
              <w:rPr>
                <w:sz w:val="18"/>
                <w:szCs w:val="18"/>
              </w:rPr>
              <w:t>0</w:t>
            </w:r>
          </w:p>
        </w:tc>
        <w:tc>
          <w:tcPr>
            <w:tcW w:w="900" w:type="dxa"/>
            <w:shd w:val="clear" w:color="auto" w:fill="auto"/>
            <w:noWrap/>
            <w:vAlign w:val="center"/>
            <w:hideMark/>
          </w:tcPr>
          <w:p w:rsidR="00B96108" w:rsidRPr="00B96108" w:rsidRDefault="00B96108" w:rsidP="006866A2">
            <w:pPr>
              <w:jc w:val="center"/>
              <w:rPr>
                <w:sz w:val="18"/>
                <w:szCs w:val="18"/>
              </w:rPr>
            </w:pPr>
            <w:r w:rsidRPr="00B96108">
              <w:rPr>
                <w:sz w:val="18"/>
                <w:szCs w:val="18"/>
              </w:rPr>
              <w:t>100</w:t>
            </w:r>
          </w:p>
        </w:tc>
        <w:tc>
          <w:tcPr>
            <w:tcW w:w="1262" w:type="dxa"/>
            <w:shd w:val="clear" w:color="000000" w:fill="FFFFFF"/>
            <w:vAlign w:val="center"/>
            <w:hideMark/>
          </w:tcPr>
          <w:p w:rsidR="00B96108" w:rsidRPr="00B96108" w:rsidRDefault="00B96108" w:rsidP="006866A2">
            <w:pPr>
              <w:jc w:val="center"/>
              <w:rPr>
                <w:sz w:val="18"/>
                <w:szCs w:val="18"/>
              </w:rPr>
            </w:pPr>
            <w:r w:rsidRPr="00B96108">
              <w:rPr>
                <w:sz w:val="18"/>
                <w:szCs w:val="18"/>
              </w:rPr>
              <w:t>0</w:t>
            </w:r>
          </w:p>
        </w:tc>
        <w:tc>
          <w:tcPr>
            <w:tcW w:w="1216" w:type="dxa"/>
            <w:shd w:val="clear" w:color="000000" w:fill="FFFFFF"/>
            <w:vAlign w:val="center"/>
            <w:hideMark/>
          </w:tcPr>
          <w:p w:rsidR="00B96108" w:rsidRPr="00B96108" w:rsidRDefault="00B96108" w:rsidP="006866A2">
            <w:pPr>
              <w:jc w:val="center"/>
              <w:rPr>
                <w:sz w:val="18"/>
                <w:szCs w:val="18"/>
              </w:rPr>
            </w:pPr>
            <w:r w:rsidRPr="00B96108">
              <w:rPr>
                <w:sz w:val="18"/>
                <w:szCs w:val="18"/>
              </w:rPr>
              <w:t>0</w:t>
            </w:r>
          </w:p>
        </w:tc>
        <w:tc>
          <w:tcPr>
            <w:tcW w:w="1352" w:type="dxa"/>
            <w:shd w:val="clear" w:color="000000" w:fill="FFFFFF"/>
            <w:noWrap/>
            <w:vAlign w:val="center"/>
            <w:hideMark/>
          </w:tcPr>
          <w:p w:rsidR="00B96108" w:rsidRPr="00B96108" w:rsidRDefault="00B96108" w:rsidP="006866A2">
            <w:pPr>
              <w:jc w:val="center"/>
              <w:rPr>
                <w:sz w:val="18"/>
                <w:szCs w:val="18"/>
              </w:rPr>
            </w:pPr>
            <w:r w:rsidRPr="00B96108">
              <w:rPr>
                <w:sz w:val="18"/>
                <w:szCs w:val="18"/>
              </w:rPr>
              <w:t>0</w:t>
            </w:r>
          </w:p>
        </w:tc>
      </w:tr>
      <w:tr w:rsidR="00B96108" w:rsidRPr="00B96108" w:rsidTr="00D91DB4">
        <w:trPr>
          <w:trHeight w:val="1192"/>
        </w:trPr>
        <w:tc>
          <w:tcPr>
            <w:tcW w:w="954" w:type="dxa"/>
            <w:shd w:val="clear" w:color="auto" w:fill="auto"/>
            <w:vAlign w:val="center"/>
            <w:hideMark/>
          </w:tcPr>
          <w:p w:rsidR="00B96108" w:rsidRPr="00B96108" w:rsidRDefault="00B96108" w:rsidP="00B96108">
            <w:pPr>
              <w:jc w:val="center"/>
              <w:rPr>
                <w:sz w:val="18"/>
                <w:szCs w:val="18"/>
              </w:rPr>
            </w:pPr>
            <w:r w:rsidRPr="00B96108">
              <w:rPr>
                <w:sz w:val="18"/>
                <w:szCs w:val="18"/>
              </w:rPr>
              <w:lastRenderedPageBreak/>
              <w:t>413320</w:t>
            </w:r>
          </w:p>
        </w:tc>
        <w:tc>
          <w:tcPr>
            <w:tcW w:w="1621" w:type="dxa"/>
            <w:shd w:val="clear" w:color="auto" w:fill="auto"/>
            <w:vAlign w:val="center"/>
            <w:hideMark/>
          </w:tcPr>
          <w:p w:rsidR="00B96108" w:rsidRPr="00B96108" w:rsidRDefault="00B96108" w:rsidP="00B96108">
            <w:pPr>
              <w:rPr>
                <w:sz w:val="18"/>
                <w:szCs w:val="18"/>
              </w:rPr>
            </w:pPr>
            <w:r w:rsidRPr="00B96108">
              <w:rPr>
                <w:sz w:val="18"/>
                <w:szCs w:val="18"/>
              </w:rPr>
              <w:t>Počet nově klasifikovaných a certifikovaných subjektů v oblasti CR</w:t>
            </w:r>
          </w:p>
        </w:tc>
        <w:tc>
          <w:tcPr>
            <w:tcW w:w="959" w:type="dxa"/>
            <w:shd w:val="clear" w:color="auto" w:fill="auto"/>
            <w:noWrap/>
            <w:vAlign w:val="center"/>
            <w:hideMark/>
          </w:tcPr>
          <w:p w:rsidR="00B96108" w:rsidRPr="00B96108" w:rsidRDefault="00B96108" w:rsidP="00B96108">
            <w:pPr>
              <w:jc w:val="center"/>
              <w:rPr>
                <w:sz w:val="18"/>
                <w:szCs w:val="18"/>
              </w:rPr>
            </w:pPr>
            <w:r w:rsidRPr="00B96108">
              <w:rPr>
                <w:sz w:val="18"/>
                <w:szCs w:val="18"/>
              </w:rPr>
              <w:t>Počet</w:t>
            </w:r>
          </w:p>
        </w:tc>
        <w:tc>
          <w:tcPr>
            <w:tcW w:w="900" w:type="dxa"/>
            <w:shd w:val="clear" w:color="auto" w:fill="auto"/>
            <w:noWrap/>
            <w:vAlign w:val="center"/>
            <w:hideMark/>
          </w:tcPr>
          <w:p w:rsidR="00B96108" w:rsidRPr="00B96108" w:rsidRDefault="00B96108" w:rsidP="00B96108">
            <w:pPr>
              <w:jc w:val="center"/>
              <w:rPr>
                <w:sz w:val="18"/>
                <w:szCs w:val="18"/>
              </w:rPr>
            </w:pPr>
            <w:r w:rsidRPr="00B96108">
              <w:rPr>
                <w:sz w:val="18"/>
                <w:szCs w:val="18"/>
              </w:rPr>
              <w:t>0</w:t>
            </w:r>
          </w:p>
        </w:tc>
        <w:tc>
          <w:tcPr>
            <w:tcW w:w="900" w:type="dxa"/>
            <w:shd w:val="clear" w:color="auto" w:fill="auto"/>
            <w:noWrap/>
            <w:vAlign w:val="center"/>
            <w:hideMark/>
          </w:tcPr>
          <w:p w:rsidR="00B96108" w:rsidRPr="00B96108" w:rsidRDefault="00B96108" w:rsidP="00B96108">
            <w:pPr>
              <w:jc w:val="center"/>
              <w:rPr>
                <w:sz w:val="18"/>
                <w:szCs w:val="18"/>
              </w:rPr>
            </w:pPr>
            <w:r w:rsidRPr="00B96108">
              <w:rPr>
                <w:sz w:val="18"/>
                <w:szCs w:val="18"/>
              </w:rPr>
              <w:t>2</w:t>
            </w:r>
            <w:r w:rsidR="00E516B4">
              <w:rPr>
                <w:sz w:val="18"/>
                <w:szCs w:val="18"/>
              </w:rPr>
              <w:t xml:space="preserve"> </w:t>
            </w:r>
            <w:r w:rsidRPr="00B96108">
              <w:rPr>
                <w:sz w:val="18"/>
                <w:szCs w:val="18"/>
              </w:rPr>
              <w:t>000</w:t>
            </w:r>
          </w:p>
        </w:tc>
        <w:tc>
          <w:tcPr>
            <w:tcW w:w="1262" w:type="dxa"/>
            <w:shd w:val="clear" w:color="000000" w:fill="FFFFFF"/>
            <w:vAlign w:val="center"/>
            <w:hideMark/>
          </w:tcPr>
          <w:p w:rsidR="00B96108" w:rsidRPr="00B96108" w:rsidRDefault="00B96108" w:rsidP="00B96108">
            <w:pPr>
              <w:jc w:val="center"/>
              <w:rPr>
                <w:sz w:val="18"/>
                <w:szCs w:val="18"/>
              </w:rPr>
            </w:pPr>
            <w:r w:rsidRPr="00B96108">
              <w:rPr>
                <w:sz w:val="18"/>
                <w:szCs w:val="18"/>
              </w:rPr>
              <w:t>2</w:t>
            </w:r>
            <w:r w:rsidR="00E516B4">
              <w:rPr>
                <w:sz w:val="18"/>
                <w:szCs w:val="18"/>
              </w:rPr>
              <w:t xml:space="preserve"> </w:t>
            </w:r>
            <w:r w:rsidRPr="00B96108">
              <w:rPr>
                <w:sz w:val="18"/>
                <w:szCs w:val="18"/>
              </w:rPr>
              <w:t>280</w:t>
            </w:r>
          </w:p>
        </w:tc>
        <w:tc>
          <w:tcPr>
            <w:tcW w:w="1216" w:type="dxa"/>
            <w:shd w:val="clear" w:color="000000" w:fill="FFFFFF"/>
            <w:vAlign w:val="center"/>
            <w:hideMark/>
          </w:tcPr>
          <w:p w:rsidR="00B96108" w:rsidRPr="00B96108" w:rsidRDefault="00B96108" w:rsidP="00B96108">
            <w:pPr>
              <w:jc w:val="center"/>
              <w:rPr>
                <w:sz w:val="18"/>
                <w:szCs w:val="18"/>
              </w:rPr>
            </w:pPr>
            <w:r w:rsidRPr="00B96108">
              <w:rPr>
                <w:sz w:val="18"/>
                <w:szCs w:val="18"/>
              </w:rPr>
              <w:t>980</w:t>
            </w:r>
          </w:p>
        </w:tc>
        <w:tc>
          <w:tcPr>
            <w:tcW w:w="1352" w:type="dxa"/>
            <w:shd w:val="clear" w:color="000000" w:fill="FFFFFF"/>
            <w:noWrap/>
            <w:vAlign w:val="center"/>
            <w:hideMark/>
          </w:tcPr>
          <w:p w:rsidR="00B96108" w:rsidRPr="00B96108" w:rsidRDefault="00B96108" w:rsidP="00B96108">
            <w:pPr>
              <w:jc w:val="right"/>
              <w:rPr>
                <w:sz w:val="18"/>
                <w:szCs w:val="18"/>
              </w:rPr>
            </w:pPr>
            <w:r w:rsidRPr="00B96108">
              <w:rPr>
                <w:sz w:val="18"/>
                <w:szCs w:val="18"/>
              </w:rPr>
              <w:t>67 127 331</w:t>
            </w:r>
          </w:p>
        </w:tc>
      </w:tr>
      <w:tr w:rsidR="00B96108" w:rsidRPr="00B96108" w:rsidTr="00D91DB4">
        <w:trPr>
          <w:trHeight w:val="715"/>
        </w:trPr>
        <w:tc>
          <w:tcPr>
            <w:tcW w:w="954" w:type="dxa"/>
            <w:shd w:val="clear" w:color="auto" w:fill="auto"/>
            <w:vAlign w:val="center"/>
            <w:hideMark/>
          </w:tcPr>
          <w:p w:rsidR="00B96108" w:rsidRPr="00B96108" w:rsidRDefault="00B96108" w:rsidP="00B96108">
            <w:pPr>
              <w:jc w:val="center"/>
              <w:rPr>
                <w:sz w:val="18"/>
                <w:szCs w:val="18"/>
              </w:rPr>
            </w:pPr>
            <w:r w:rsidRPr="00B96108">
              <w:rPr>
                <w:sz w:val="18"/>
                <w:szCs w:val="18"/>
              </w:rPr>
              <w:t>413321</w:t>
            </w:r>
          </w:p>
        </w:tc>
        <w:tc>
          <w:tcPr>
            <w:tcW w:w="1621" w:type="dxa"/>
            <w:shd w:val="clear" w:color="auto" w:fill="auto"/>
            <w:vAlign w:val="center"/>
            <w:hideMark/>
          </w:tcPr>
          <w:p w:rsidR="00B96108" w:rsidRPr="00B96108" w:rsidRDefault="00B96108" w:rsidP="00B96108">
            <w:pPr>
              <w:rPr>
                <w:sz w:val="18"/>
                <w:szCs w:val="18"/>
              </w:rPr>
            </w:pPr>
            <w:r w:rsidRPr="00B96108">
              <w:rPr>
                <w:sz w:val="18"/>
                <w:szCs w:val="18"/>
              </w:rPr>
              <w:t>Počet vytvořených zdrojových databází</w:t>
            </w:r>
          </w:p>
        </w:tc>
        <w:tc>
          <w:tcPr>
            <w:tcW w:w="959" w:type="dxa"/>
            <w:shd w:val="clear" w:color="auto" w:fill="auto"/>
            <w:noWrap/>
            <w:vAlign w:val="center"/>
            <w:hideMark/>
          </w:tcPr>
          <w:p w:rsidR="00B96108" w:rsidRPr="00B96108" w:rsidRDefault="00B96108" w:rsidP="00B96108">
            <w:pPr>
              <w:jc w:val="center"/>
              <w:rPr>
                <w:sz w:val="18"/>
                <w:szCs w:val="18"/>
              </w:rPr>
            </w:pPr>
            <w:r w:rsidRPr="00B96108">
              <w:rPr>
                <w:sz w:val="18"/>
                <w:szCs w:val="18"/>
              </w:rPr>
              <w:t>Počet</w:t>
            </w:r>
          </w:p>
        </w:tc>
        <w:tc>
          <w:tcPr>
            <w:tcW w:w="900" w:type="dxa"/>
            <w:shd w:val="clear" w:color="auto" w:fill="auto"/>
            <w:noWrap/>
            <w:vAlign w:val="center"/>
            <w:hideMark/>
          </w:tcPr>
          <w:p w:rsidR="00B96108" w:rsidRPr="00B96108" w:rsidRDefault="00B96108" w:rsidP="00B96108">
            <w:pPr>
              <w:jc w:val="center"/>
              <w:rPr>
                <w:sz w:val="18"/>
                <w:szCs w:val="18"/>
              </w:rPr>
            </w:pPr>
            <w:r w:rsidRPr="00B96108">
              <w:rPr>
                <w:sz w:val="18"/>
                <w:szCs w:val="18"/>
              </w:rPr>
              <w:t>0</w:t>
            </w:r>
          </w:p>
        </w:tc>
        <w:tc>
          <w:tcPr>
            <w:tcW w:w="900" w:type="dxa"/>
            <w:shd w:val="clear" w:color="auto" w:fill="auto"/>
            <w:noWrap/>
            <w:vAlign w:val="center"/>
            <w:hideMark/>
          </w:tcPr>
          <w:p w:rsidR="00B96108" w:rsidRPr="00B96108" w:rsidRDefault="00B96108" w:rsidP="00B96108">
            <w:pPr>
              <w:jc w:val="center"/>
              <w:rPr>
                <w:sz w:val="18"/>
                <w:szCs w:val="18"/>
              </w:rPr>
            </w:pPr>
            <w:r w:rsidRPr="00B96108">
              <w:rPr>
                <w:sz w:val="18"/>
                <w:szCs w:val="18"/>
              </w:rPr>
              <w:t>12</w:t>
            </w:r>
          </w:p>
        </w:tc>
        <w:tc>
          <w:tcPr>
            <w:tcW w:w="1262" w:type="dxa"/>
            <w:shd w:val="clear" w:color="000000" w:fill="FFFFFF"/>
            <w:vAlign w:val="center"/>
            <w:hideMark/>
          </w:tcPr>
          <w:p w:rsidR="00B96108" w:rsidRPr="00B96108" w:rsidRDefault="00B96108" w:rsidP="00B96108">
            <w:pPr>
              <w:jc w:val="center"/>
              <w:rPr>
                <w:sz w:val="18"/>
                <w:szCs w:val="18"/>
              </w:rPr>
            </w:pPr>
            <w:r w:rsidRPr="00B96108">
              <w:rPr>
                <w:sz w:val="18"/>
                <w:szCs w:val="18"/>
              </w:rPr>
              <w:t>7</w:t>
            </w:r>
          </w:p>
        </w:tc>
        <w:tc>
          <w:tcPr>
            <w:tcW w:w="1216" w:type="dxa"/>
            <w:shd w:val="clear" w:color="000000" w:fill="FFFFFF"/>
            <w:vAlign w:val="center"/>
            <w:hideMark/>
          </w:tcPr>
          <w:p w:rsidR="00B96108" w:rsidRPr="00B96108" w:rsidRDefault="00B96108" w:rsidP="00B96108">
            <w:pPr>
              <w:jc w:val="center"/>
              <w:rPr>
                <w:sz w:val="18"/>
                <w:szCs w:val="18"/>
              </w:rPr>
            </w:pPr>
            <w:r w:rsidRPr="00B96108">
              <w:rPr>
                <w:sz w:val="18"/>
                <w:szCs w:val="18"/>
              </w:rPr>
              <w:t>6</w:t>
            </w:r>
          </w:p>
        </w:tc>
        <w:tc>
          <w:tcPr>
            <w:tcW w:w="1352" w:type="dxa"/>
            <w:shd w:val="clear" w:color="000000" w:fill="FFFFFF"/>
            <w:noWrap/>
            <w:vAlign w:val="center"/>
            <w:hideMark/>
          </w:tcPr>
          <w:p w:rsidR="00B96108" w:rsidRPr="00B96108" w:rsidRDefault="00B96108" w:rsidP="00B96108">
            <w:pPr>
              <w:jc w:val="right"/>
              <w:rPr>
                <w:sz w:val="18"/>
                <w:szCs w:val="18"/>
              </w:rPr>
            </w:pPr>
            <w:r w:rsidRPr="00B96108">
              <w:rPr>
                <w:sz w:val="18"/>
                <w:szCs w:val="18"/>
              </w:rPr>
              <w:t>233 062 346</w:t>
            </w:r>
          </w:p>
        </w:tc>
      </w:tr>
      <w:tr w:rsidR="00B96108" w:rsidRPr="00B96108" w:rsidTr="00D91DB4">
        <w:trPr>
          <w:trHeight w:val="730"/>
        </w:trPr>
        <w:tc>
          <w:tcPr>
            <w:tcW w:w="954" w:type="dxa"/>
            <w:shd w:val="clear" w:color="auto" w:fill="auto"/>
            <w:vAlign w:val="center"/>
            <w:hideMark/>
          </w:tcPr>
          <w:p w:rsidR="00B96108" w:rsidRPr="00B96108" w:rsidRDefault="00B96108" w:rsidP="00B96108">
            <w:pPr>
              <w:jc w:val="center"/>
              <w:rPr>
                <w:sz w:val="18"/>
                <w:szCs w:val="18"/>
              </w:rPr>
            </w:pPr>
            <w:r w:rsidRPr="00B96108">
              <w:rPr>
                <w:sz w:val="18"/>
                <w:szCs w:val="18"/>
              </w:rPr>
              <w:t>410302</w:t>
            </w:r>
          </w:p>
        </w:tc>
        <w:tc>
          <w:tcPr>
            <w:tcW w:w="1621" w:type="dxa"/>
            <w:shd w:val="clear" w:color="auto" w:fill="auto"/>
            <w:vAlign w:val="center"/>
            <w:hideMark/>
          </w:tcPr>
          <w:p w:rsidR="00B96108" w:rsidRPr="00B96108" w:rsidRDefault="00B96108" w:rsidP="00B96108">
            <w:pPr>
              <w:rPr>
                <w:sz w:val="18"/>
                <w:szCs w:val="18"/>
              </w:rPr>
            </w:pPr>
            <w:r w:rsidRPr="00B96108">
              <w:rPr>
                <w:sz w:val="18"/>
                <w:szCs w:val="18"/>
              </w:rPr>
              <w:t>Počet vytvořených marketingových produktů pro CR</w:t>
            </w:r>
          </w:p>
        </w:tc>
        <w:tc>
          <w:tcPr>
            <w:tcW w:w="959" w:type="dxa"/>
            <w:shd w:val="clear" w:color="auto" w:fill="auto"/>
            <w:noWrap/>
            <w:vAlign w:val="center"/>
            <w:hideMark/>
          </w:tcPr>
          <w:p w:rsidR="00B96108" w:rsidRPr="00B96108" w:rsidRDefault="00B96108" w:rsidP="00B96108">
            <w:pPr>
              <w:jc w:val="center"/>
              <w:rPr>
                <w:sz w:val="18"/>
                <w:szCs w:val="18"/>
              </w:rPr>
            </w:pPr>
            <w:r w:rsidRPr="00B96108">
              <w:rPr>
                <w:sz w:val="18"/>
                <w:szCs w:val="18"/>
              </w:rPr>
              <w:t>Počet</w:t>
            </w:r>
          </w:p>
        </w:tc>
        <w:tc>
          <w:tcPr>
            <w:tcW w:w="900" w:type="dxa"/>
            <w:shd w:val="clear" w:color="auto" w:fill="auto"/>
            <w:noWrap/>
            <w:vAlign w:val="center"/>
            <w:hideMark/>
          </w:tcPr>
          <w:p w:rsidR="00B96108" w:rsidRPr="00B96108" w:rsidRDefault="00B96108" w:rsidP="00B96108">
            <w:pPr>
              <w:jc w:val="center"/>
              <w:rPr>
                <w:sz w:val="18"/>
                <w:szCs w:val="18"/>
              </w:rPr>
            </w:pPr>
            <w:r w:rsidRPr="00B96108">
              <w:rPr>
                <w:sz w:val="18"/>
                <w:szCs w:val="18"/>
              </w:rPr>
              <w:t>0</w:t>
            </w:r>
          </w:p>
        </w:tc>
        <w:tc>
          <w:tcPr>
            <w:tcW w:w="900" w:type="dxa"/>
            <w:shd w:val="clear" w:color="auto" w:fill="auto"/>
            <w:noWrap/>
            <w:vAlign w:val="center"/>
            <w:hideMark/>
          </w:tcPr>
          <w:p w:rsidR="00B96108" w:rsidRPr="00B96108" w:rsidRDefault="00B96108" w:rsidP="00B96108">
            <w:pPr>
              <w:jc w:val="center"/>
              <w:rPr>
                <w:sz w:val="18"/>
                <w:szCs w:val="18"/>
              </w:rPr>
            </w:pPr>
            <w:r w:rsidRPr="00B96108">
              <w:rPr>
                <w:sz w:val="18"/>
                <w:szCs w:val="18"/>
              </w:rPr>
              <w:t>20</w:t>
            </w:r>
          </w:p>
        </w:tc>
        <w:tc>
          <w:tcPr>
            <w:tcW w:w="1262" w:type="dxa"/>
            <w:shd w:val="clear" w:color="000000" w:fill="FFFFFF"/>
            <w:vAlign w:val="center"/>
            <w:hideMark/>
          </w:tcPr>
          <w:p w:rsidR="00B96108" w:rsidRPr="00B96108" w:rsidRDefault="00B96108" w:rsidP="00B96108">
            <w:pPr>
              <w:jc w:val="center"/>
              <w:rPr>
                <w:sz w:val="18"/>
                <w:szCs w:val="18"/>
              </w:rPr>
            </w:pPr>
            <w:r w:rsidRPr="00B96108">
              <w:rPr>
                <w:sz w:val="18"/>
                <w:szCs w:val="18"/>
              </w:rPr>
              <w:t>34</w:t>
            </w:r>
          </w:p>
        </w:tc>
        <w:tc>
          <w:tcPr>
            <w:tcW w:w="1216" w:type="dxa"/>
            <w:shd w:val="clear" w:color="000000" w:fill="FFFFFF"/>
            <w:vAlign w:val="center"/>
            <w:hideMark/>
          </w:tcPr>
          <w:p w:rsidR="00B96108" w:rsidRPr="00B96108" w:rsidRDefault="00B96108" w:rsidP="00B96108">
            <w:pPr>
              <w:jc w:val="center"/>
              <w:rPr>
                <w:sz w:val="18"/>
                <w:szCs w:val="18"/>
              </w:rPr>
            </w:pPr>
            <w:r w:rsidRPr="00B96108">
              <w:rPr>
                <w:sz w:val="18"/>
                <w:szCs w:val="18"/>
              </w:rPr>
              <w:t>28,79</w:t>
            </w:r>
          </w:p>
        </w:tc>
        <w:tc>
          <w:tcPr>
            <w:tcW w:w="1352" w:type="dxa"/>
            <w:shd w:val="clear" w:color="000000" w:fill="FFFFFF"/>
            <w:noWrap/>
            <w:vAlign w:val="center"/>
            <w:hideMark/>
          </w:tcPr>
          <w:p w:rsidR="00B96108" w:rsidRPr="00B96108" w:rsidRDefault="00B96108" w:rsidP="00B96108">
            <w:pPr>
              <w:jc w:val="right"/>
              <w:rPr>
                <w:sz w:val="18"/>
                <w:szCs w:val="18"/>
              </w:rPr>
            </w:pPr>
            <w:r w:rsidRPr="00B96108">
              <w:rPr>
                <w:sz w:val="18"/>
                <w:szCs w:val="18"/>
              </w:rPr>
              <w:t>1 138 027 578</w:t>
            </w:r>
          </w:p>
        </w:tc>
      </w:tr>
    </w:tbl>
    <w:p w:rsidR="002D1C24" w:rsidRPr="00045189" w:rsidRDefault="002D1C24" w:rsidP="00045189">
      <w:pPr>
        <w:rPr>
          <w:rStyle w:val="Siln"/>
          <w:b w:val="0"/>
          <w:i/>
          <w:sz w:val="18"/>
          <w:szCs w:val="18"/>
        </w:rPr>
      </w:pPr>
      <w:r w:rsidRPr="00045189">
        <w:rPr>
          <w:rStyle w:val="Siln"/>
          <w:b w:val="0"/>
          <w:i/>
          <w:sz w:val="18"/>
          <w:szCs w:val="18"/>
        </w:rPr>
        <w:t xml:space="preserve">Zdroj: </w:t>
      </w:r>
      <w:r w:rsidR="00275DC0">
        <w:rPr>
          <w:rStyle w:val="Siln"/>
          <w:b w:val="0"/>
          <w:i/>
          <w:sz w:val="18"/>
          <w:szCs w:val="18"/>
        </w:rPr>
        <w:t xml:space="preserve">MSC2007 </w:t>
      </w:r>
      <w:r w:rsidR="00914BC7">
        <w:rPr>
          <w:rStyle w:val="Siln"/>
          <w:b w:val="0"/>
          <w:i/>
          <w:sz w:val="18"/>
          <w:szCs w:val="18"/>
        </w:rPr>
        <w:t>k 30. 9. 2015</w:t>
      </w:r>
      <w:r w:rsidRPr="00045189">
        <w:rPr>
          <w:rStyle w:val="Siln"/>
          <w:b w:val="0"/>
          <w:i/>
          <w:sz w:val="18"/>
          <w:szCs w:val="18"/>
        </w:rPr>
        <w:t>, informace od ZS u podílových indikátorů</w:t>
      </w:r>
    </w:p>
    <w:p w:rsidR="00821BB2" w:rsidRDefault="00821BB2" w:rsidP="00821BB2">
      <w:pPr>
        <w:jc w:val="both"/>
      </w:pPr>
    </w:p>
    <w:p w:rsidR="004A1E5E" w:rsidRDefault="004A1E5E" w:rsidP="00821BB2">
      <w:pPr>
        <w:jc w:val="both"/>
        <w:rPr>
          <w:sz w:val="22"/>
          <w:szCs w:val="22"/>
        </w:rPr>
      </w:pPr>
    </w:p>
    <w:p w:rsidR="00821BB2" w:rsidRDefault="00821BB2" w:rsidP="00821BB2">
      <w:pPr>
        <w:jc w:val="both"/>
        <w:rPr>
          <w:sz w:val="22"/>
          <w:szCs w:val="22"/>
        </w:rPr>
      </w:pPr>
      <w:r w:rsidRPr="00C54E0E">
        <w:rPr>
          <w:sz w:val="22"/>
          <w:szCs w:val="22"/>
        </w:rPr>
        <w:t xml:space="preserve">V grafech Porovnání věcného a finančního pokroku vyjadřuje </w:t>
      </w:r>
      <w:r w:rsidRPr="00B844A3">
        <w:rPr>
          <w:sz w:val="22"/>
          <w:szCs w:val="22"/>
        </w:rPr>
        <w:t>fialový sloupec závazek ze schvále</w:t>
      </w:r>
      <w:r w:rsidRPr="00C54E0E">
        <w:rPr>
          <w:sz w:val="22"/>
          <w:szCs w:val="22"/>
        </w:rPr>
        <w:t>ných projektů, tj. celkovou plánovanou hodnotu indikátoru, kterou příjemci uvedli v žádostech o dotaci, vyjádřený v % z celkové hodnoty, stanovené v Programovém dokumentu IOP, stejný údaj je v tabulkách indikátorů. Modrý sloupec zahrnuje finanční prostředky projektů, na které je vydáno Rozhodnutí o poskytnutí dotace procentuálně vztažené k alokaci aktivit</w:t>
      </w:r>
      <w:r w:rsidR="005E06B9">
        <w:rPr>
          <w:sz w:val="22"/>
          <w:szCs w:val="22"/>
        </w:rPr>
        <w:t>y</w:t>
      </w:r>
      <w:r w:rsidRPr="00C54E0E">
        <w:rPr>
          <w:sz w:val="22"/>
          <w:szCs w:val="22"/>
        </w:rPr>
        <w:t>, do které indikátor spadá.</w:t>
      </w:r>
    </w:p>
    <w:p w:rsidR="00821BB2" w:rsidRPr="00C54E0E" w:rsidRDefault="00821BB2" w:rsidP="00821BB2">
      <w:pPr>
        <w:jc w:val="both"/>
        <w:rPr>
          <w:sz w:val="22"/>
          <w:szCs w:val="22"/>
        </w:rPr>
      </w:pPr>
    </w:p>
    <w:p w:rsidR="00B50CFF" w:rsidRDefault="00B50CFF" w:rsidP="003171F3"/>
    <w:p w:rsidR="00B50CFF" w:rsidRPr="00D00C77" w:rsidRDefault="00B50CFF" w:rsidP="003171F3">
      <w:pPr>
        <w:pStyle w:val="Graf"/>
        <w:keepNext/>
        <w:rPr>
          <w:b w:val="0"/>
        </w:rPr>
      </w:pPr>
      <w:bookmarkStart w:id="116" w:name="_Toc433873593"/>
      <w:r w:rsidRPr="00D00C77">
        <w:rPr>
          <w:b w:val="0"/>
        </w:rPr>
        <w:t>Porovnání věcného a finančního pokroku v oblasti intervence 4.1</w:t>
      </w:r>
      <w:bookmarkEnd w:id="116"/>
    </w:p>
    <w:p w:rsidR="00B50CFF" w:rsidRDefault="00757D29" w:rsidP="003171F3">
      <w:pPr>
        <w:rPr>
          <w:noProof/>
        </w:rPr>
      </w:pPr>
      <w:r>
        <w:rPr>
          <w:noProof/>
        </w:rPr>
        <w:drawing>
          <wp:inline distT="0" distB="0" distL="0" distR="0" wp14:anchorId="057C7FB4" wp14:editId="143BCE25">
            <wp:extent cx="5762847" cy="3327990"/>
            <wp:effectExtent l="0" t="0" r="28575" b="25400"/>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D1C24" w:rsidRPr="00D11CDA" w:rsidRDefault="002D1C24" w:rsidP="00D11CDA">
      <w:pPr>
        <w:rPr>
          <w:rStyle w:val="Siln"/>
          <w:b w:val="0"/>
          <w:i/>
          <w:sz w:val="18"/>
          <w:szCs w:val="18"/>
        </w:rPr>
      </w:pPr>
      <w:r w:rsidRPr="00D11CDA">
        <w:rPr>
          <w:rStyle w:val="Siln"/>
          <w:b w:val="0"/>
          <w:i/>
          <w:sz w:val="18"/>
          <w:szCs w:val="18"/>
        </w:rPr>
        <w:t xml:space="preserve">Zdroj: </w:t>
      </w:r>
      <w:r w:rsidR="00275DC0">
        <w:rPr>
          <w:rStyle w:val="Siln"/>
          <w:b w:val="0"/>
          <w:i/>
          <w:sz w:val="18"/>
          <w:szCs w:val="18"/>
        </w:rPr>
        <w:t xml:space="preserve">MSC2007 </w:t>
      </w:r>
      <w:r w:rsidR="00914BC7">
        <w:rPr>
          <w:rStyle w:val="Siln"/>
          <w:b w:val="0"/>
          <w:i/>
          <w:sz w:val="18"/>
          <w:szCs w:val="18"/>
        </w:rPr>
        <w:t>k 30. 9. 2015</w:t>
      </w:r>
      <w:r w:rsidRPr="00D11CDA">
        <w:rPr>
          <w:rStyle w:val="Siln"/>
          <w:b w:val="0"/>
          <w:i/>
          <w:sz w:val="18"/>
          <w:szCs w:val="18"/>
        </w:rPr>
        <w:t>, informace od ZS u podílových indikátorů</w:t>
      </w:r>
    </w:p>
    <w:p w:rsidR="00B50CFF" w:rsidRDefault="00B50CFF" w:rsidP="003171F3"/>
    <w:p w:rsidR="00D644B0" w:rsidRDefault="00D644B0">
      <w:pPr>
        <w:pStyle w:val="Nadpis3"/>
        <w:rPr>
          <w:rFonts w:ascii="Times New Roman" w:hAnsi="Times New Roman"/>
          <w:sz w:val="24"/>
          <w:szCs w:val="24"/>
        </w:rPr>
      </w:pPr>
      <w:bookmarkStart w:id="117" w:name="_Toc433873509"/>
      <w:r w:rsidRPr="00B7725D">
        <w:rPr>
          <w:rFonts w:ascii="Times New Roman" w:hAnsi="Times New Roman"/>
          <w:sz w:val="24"/>
          <w:szCs w:val="24"/>
        </w:rPr>
        <w:t>3.4.4 Problémy a přijatá opatření</w:t>
      </w:r>
      <w:bookmarkEnd w:id="117"/>
    </w:p>
    <w:p w:rsidR="00A82667" w:rsidRDefault="00A82667" w:rsidP="00A82667">
      <w:pPr>
        <w:jc w:val="both"/>
        <w:rPr>
          <w:b/>
          <w:sz w:val="22"/>
          <w:szCs w:val="22"/>
        </w:rPr>
      </w:pPr>
      <w:r w:rsidRPr="00A82667">
        <w:rPr>
          <w:b/>
          <w:sz w:val="22"/>
          <w:szCs w:val="22"/>
        </w:rPr>
        <w:t>Nedo</w:t>
      </w:r>
      <w:r w:rsidR="00F27CB0">
        <w:rPr>
          <w:b/>
          <w:sz w:val="22"/>
          <w:szCs w:val="22"/>
        </w:rPr>
        <w:t>držování harmonogramu realizace</w:t>
      </w:r>
    </w:p>
    <w:p w:rsidR="00A82667" w:rsidRPr="00A82667" w:rsidRDefault="00A82667" w:rsidP="00A82667">
      <w:pPr>
        <w:jc w:val="both"/>
        <w:rPr>
          <w:sz w:val="22"/>
          <w:szCs w:val="22"/>
        </w:rPr>
      </w:pPr>
      <w:r w:rsidRPr="00A82667">
        <w:rPr>
          <w:sz w:val="22"/>
          <w:szCs w:val="22"/>
        </w:rPr>
        <w:t xml:space="preserve">Během realizace projektů dochází k častým termínovým a finančním přesunům, což narušuje </w:t>
      </w:r>
      <w:r w:rsidR="009A4B9F">
        <w:rPr>
          <w:sz w:val="22"/>
          <w:szCs w:val="22"/>
        </w:rPr>
        <w:t xml:space="preserve">stanovení a plnění </w:t>
      </w:r>
      <w:r w:rsidRPr="00A82667">
        <w:rPr>
          <w:sz w:val="22"/>
          <w:szCs w:val="22"/>
        </w:rPr>
        <w:t>predikc</w:t>
      </w:r>
      <w:r w:rsidR="009A4B9F">
        <w:rPr>
          <w:sz w:val="22"/>
          <w:szCs w:val="22"/>
        </w:rPr>
        <w:t>í</w:t>
      </w:r>
      <w:r w:rsidRPr="00A82667">
        <w:rPr>
          <w:sz w:val="22"/>
          <w:szCs w:val="22"/>
        </w:rPr>
        <w:t xml:space="preserve"> čerpání a ohrožuje úspěšné ukončení realizace projektů </w:t>
      </w:r>
    </w:p>
    <w:p w:rsidR="00A82667" w:rsidRPr="00A82667" w:rsidRDefault="00A82667" w:rsidP="00A82667">
      <w:pPr>
        <w:jc w:val="both"/>
        <w:rPr>
          <w:b/>
          <w:sz w:val="22"/>
          <w:szCs w:val="22"/>
        </w:rPr>
      </w:pPr>
    </w:p>
    <w:p w:rsidR="00A82667" w:rsidRPr="00A82667" w:rsidRDefault="00A82667" w:rsidP="00A82667">
      <w:pPr>
        <w:jc w:val="both"/>
        <w:rPr>
          <w:b/>
          <w:sz w:val="22"/>
          <w:szCs w:val="22"/>
        </w:rPr>
      </w:pPr>
      <w:r w:rsidRPr="00A82667">
        <w:rPr>
          <w:b/>
          <w:sz w:val="22"/>
          <w:szCs w:val="22"/>
        </w:rPr>
        <w:t>Přijatá opatření</w:t>
      </w:r>
    </w:p>
    <w:p w:rsidR="00A82667" w:rsidRPr="00A82667" w:rsidRDefault="00A82667" w:rsidP="009A4B9F">
      <w:pPr>
        <w:jc w:val="both"/>
        <w:rPr>
          <w:sz w:val="22"/>
          <w:szCs w:val="22"/>
        </w:rPr>
      </w:pPr>
      <w:r w:rsidRPr="00A82667">
        <w:rPr>
          <w:sz w:val="22"/>
          <w:szCs w:val="22"/>
        </w:rPr>
        <w:lastRenderedPageBreak/>
        <w:t>Pracovní jednání ŘO IOP, CRR a zástupců příjemců o postupu realizace projektů (zejména zadávacích řízení) řeš</w:t>
      </w:r>
      <w:r w:rsidR="009A4B9F">
        <w:rPr>
          <w:sz w:val="22"/>
          <w:szCs w:val="22"/>
        </w:rPr>
        <w:t>í</w:t>
      </w:r>
      <w:r w:rsidRPr="00A82667">
        <w:rPr>
          <w:sz w:val="22"/>
          <w:szCs w:val="22"/>
        </w:rPr>
        <w:t xml:space="preserve"> aktuální problémy. CRR provádí monitoring a vyhodnocení administrace </w:t>
      </w:r>
      <w:r w:rsidR="00F27CB0">
        <w:rPr>
          <w:sz w:val="22"/>
          <w:szCs w:val="22"/>
        </w:rPr>
        <w:t>Ohlášení o změně projektu</w:t>
      </w:r>
      <w:r w:rsidRPr="00A82667">
        <w:rPr>
          <w:sz w:val="22"/>
          <w:szCs w:val="22"/>
        </w:rPr>
        <w:t xml:space="preserve">, projektových žádostí a </w:t>
      </w:r>
      <w:proofErr w:type="spellStart"/>
      <w:r w:rsidRPr="00A82667">
        <w:rPr>
          <w:sz w:val="22"/>
          <w:szCs w:val="22"/>
        </w:rPr>
        <w:t>Ž</w:t>
      </w:r>
      <w:r w:rsidR="004A56BD">
        <w:rPr>
          <w:sz w:val="22"/>
          <w:szCs w:val="22"/>
        </w:rPr>
        <w:t>o</w:t>
      </w:r>
      <w:r w:rsidRPr="00A82667">
        <w:rPr>
          <w:sz w:val="22"/>
          <w:szCs w:val="22"/>
        </w:rPr>
        <w:t>P</w:t>
      </w:r>
      <w:proofErr w:type="spellEnd"/>
      <w:r w:rsidRPr="00A82667">
        <w:rPr>
          <w:sz w:val="22"/>
          <w:szCs w:val="22"/>
        </w:rPr>
        <w:t xml:space="preserve"> a zveřejňuje nejčastěji kladené dotazy (FAQ) pro nejproblémovější oblasti administrace projektu. Byly nastaveny interní postupy pro urychlení administrace </w:t>
      </w:r>
      <w:proofErr w:type="spellStart"/>
      <w:r w:rsidRPr="00A82667">
        <w:rPr>
          <w:sz w:val="22"/>
          <w:szCs w:val="22"/>
        </w:rPr>
        <w:t>Ž</w:t>
      </w:r>
      <w:r w:rsidR="004A56BD">
        <w:rPr>
          <w:sz w:val="22"/>
          <w:szCs w:val="22"/>
        </w:rPr>
        <w:t>o</w:t>
      </w:r>
      <w:r w:rsidRPr="00A82667">
        <w:rPr>
          <w:sz w:val="22"/>
          <w:szCs w:val="22"/>
        </w:rPr>
        <w:t>P</w:t>
      </w:r>
      <w:proofErr w:type="spellEnd"/>
      <w:r w:rsidRPr="00A82667">
        <w:rPr>
          <w:sz w:val="22"/>
          <w:szCs w:val="22"/>
        </w:rPr>
        <w:t xml:space="preserve"> na CRR pro maximalizaci čerpání v roce 2015. </w:t>
      </w:r>
    </w:p>
    <w:p w:rsidR="00A82667" w:rsidRPr="00A82667" w:rsidRDefault="00A82667" w:rsidP="00A82667">
      <w:pPr>
        <w:jc w:val="both"/>
        <w:rPr>
          <w:b/>
          <w:sz w:val="22"/>
          <w:szCs w:val="22"/>
        </w:rPr>
      </w:pPr>
    </w:p>
    <w:p w:rsidR="002E5B61" w:rsidRDefault="002E5B61" w:rsidP="00A82667">
      <w:pPr>
        <w:jc w:val="both"/>
        <w:rPr>
          <w:b/>
          <w:sz w:val="22"/>
          <w:szCs w:val="22"/>
        </w:rPr>
      </w:pPr>
    </w:p>
    <w:p w:rsidR="00A82667" w:rsidRDefault="00A82667" w:rsidP="00A82667">
      <w:pPr>
        <w:jc w:val="both"/>
        <w:rPr>
          <w:b/>
          <w:sz w:val="22"/>
          <w:szCs w:val="22"/>
        </w:rPr>
      </w:pPr>
      <w:r w:rsidRPr="00A82667">
        <w:rPr>
          <w:b/>
          <w:sz w:val="22"/>
          <w:szCs w:val="22"/>
        </w:rPr>
        <w:t xml:space="preserve">Nutnost opakovat výběrová řízení </w:t>
      </w:r>
    </w:p>
    <w:p w:rsidR="00A82667" w:rsidRPr="00A82667" w:rsidRDefault="009A4B9F" w:rsidP="00A82667">
      <w:pPr>
        <w:jc w:val="both"/>
        <w:rPr>
          <w:sz w:val="22"/>
          <w:szCs w:val="22"/>
        </w:rPr>
      </w:pPr>
      <w:r>
        <w:rPr>
          <w:sz w:val="22"/>
          <w:szCs w:val="22"/>
        </w:rPr>
        <w:t>Př</w:t>
      </w:r>
      <w:r w:rsidR="00A82667" w:rsidRPr="00A82667">
        <w:rPr>
          <w:sz w:val="22"/>
          <w:szCs w:val="22"/>
        </w:rPr>
        <w:t>i realizac</w:t>
      </w:r>
      <w:r>
        <w:rPr>
          <w:sz w:val="22"/>
          <w:szCs w:val="22"/>
        </w:rPr>
        <w:t>i</w:t>
      </w:r>
      <w:r w:rsidR="00A82667" w:rsidRPr="00A82667">
        <w:rPr>
          <w:sz w:val="22"/>
          <w:szCs w:val="22"/>
        </w:rPr>
        <w:t xml:space="preserve"> projektů je často nutné opakovat výběrová řízení z důvodu nepodání žádné či podání </w:t>
      </w:r>
      <w:r>
        <w:rPr>
          <w:sz w:val="22"/>
          <w:szCs w:val="22"/>
        </w:rPr>
        <w:t>jedné</w:t>
      </w:r>
      <w:r w:rsidR="00A82667" w:rsidRPr="00A82667">
        <w:rPr>
          <w:sz w:val="22"/>
          <w:szCs w:val="22"/>
        </w:rPr>
        <w:t xml:space="preserve"> nabídky, respektive nedostatečně připravené zadávací dokumentace. </w:t>
      </w:r>
    </w:p>
    <w:p w:rsidR="00A82667" w:rsidRPr="00A82667" w:rsidRDefault="00A82667" w:rsidP="00A82667">
      <w:pPr>
        <w:jc w:val="both"/>
        <w:rPr>
          <w:b/>
          <w:sz w:val="22"/>
          <w:szCs w:val="22"/>
        </w:rPr>
      </w:pPr>
    </w:p>
    <w:p w:rsidR="00A82667" w:rsidRPr="00A82667" w:rsidRDefault="00A82667" w:rsidP="00A82667">
      <w:pPr>
        <w:jc w:val="both"/>
        <w:rPr>
          <w:b/>
          <w:sz w:val="22"/>
          <w:szCs w:val="22"/>
        </w:rPr>
      </w:pPr>
      <w:r w:rsidRPr="00A82667">
        <w:rPr>
          <w:b/>
          <w:sz w:val="22"/>
          <w:szCs w:val="22"/>
        </w:rPr>
        <w:t>Přijatá opatření</w:t>
      </w:r>
    </w:p>
    <w:p w:rsidR="00A82667" w:rsidRPr="00A82667" w:rsidRDefault="00A82667" w:rsidP="00A82667">
      <w:pPr>
        <w:jc w:val="both"/>
        <w:rPr>
          <w:sz w:val="22"/>
          <w:szCs w:val="22"/>
        </w:rPr>
      </w:pPr>
      <w:r w:rsidRPr="00A82667">
        <w:rPr>
          <w:sz w:val="22"/>
          <w:szCs w:val="22"/>
        </w:rPr>
        <w:t xml:space="preserve">CRR dbá zvýšené kontroly předkládaných zadávacích dokumentací a stavu zadávacích řízení – kontrola termínu dodávek ve vztahu k datu ukončení realizace projektu. </w:t>
      </w:r>
    </w:p>
    <w:p w:rsidR="00A82667" w:rsidRPr="00A82667" w:rsidRDefault="00A82667" w:rsidP="00A82667">
      <w:pPr>
        <w:jc w:val="both"/>
        <w:rPr>
          <w:b/>
          <w:sz w:val="22"/>
          <w:szCs w:val="22"/>
        </w:rPr>
      </w:pPr>
    </w:p>
    <w:p w:rsidR="00A82667" w:rsidRDefault="00A82667" w:rsidP="00A82667">
      <w:pPr>
        <w:jc w:val="both"/>
        <w:rPr>
          <w:b/>
          <w:sz w:val="22"/>
          <w:szCs w:val="22"/>
        </w:rPr>
      </w:pPr>
      <w:r w:rsidRPr="00A82667">
        <w:rPr>
          <w:b/>
          <w:sz w:val="22"/>
          <w:szCs w:val="22"/>
        </w:rPr>
        <w:t xml:space="preserve">Veřejná podpora </w:t>
      </w:r>
    </w:p>
    <w:p w:rsidR="00A82667" w:rsidRPr="00A82667" w:rsidRDefault="00A82667" w:rsidP="00A82667">
      <w:pPr>
        <w:jc w:val="both"/>
        <w:rPr>
          <w:sz w:val="22"/>
          <w:szCs w:val="22"/>
        </w:rPr>
      </w:pPr>
      <w:r w:rsidRPr="00A82667">
        <w:rPr>
          <w:sz w:val="22"/>
          <w:szCs w:val="22"/>
        </w:rPr>
        <w:t xml:space="preserve">Realizace některých projektů naráží na problém rizika </w:t>
      </w:r>
      <w:r w:rsidR="009A4B9F">
        <w:rPr>
          <w:sz w:val="22"/>
          <w:szCs w:val="22"/>
        </w:rPr>
        <w:t xml:space="preserve">nedovolené </w:t>
      </w:r>
      <w:r w:rsidRPr="00A82667">
        <w:rPr>
          <w:sz w:val="22"/>
          <w:szCs w:val="22"/>
        </w:rPr>
        <w:t xml:space="preserve">veřejné podpory. </w:t>
      </w:r>
    </w:p>
    <w:p w:rsidR="00A82667" w:rsidRPr="00A82667" w:rsidRDefault="00A82667" w:rsidP="00A82667">
      <w:pPr>
        <w:jc w:val="both"/>
        <w:rPr>
          <w:b/>
          <w:sz w:val="22"/>
          <w:szCs w:val="22"/>
        </w:rPr>
      </w:pPr>
    </w:p>
    <w:p w:rsidR="00A82667" w:rsidRPr="00A82667" w:rsidRDefault="00A82667" w:rsidP="00A82667">
      <w:pPr>
        <w:jc w:val="both"/>
        <w:rPr>
          <w:b/>
          <w:sz w:val="22"/>
          <w:szCs w:val="22"/>
        </w:rPr>
      </w:pPr>
      <w:r w:rsidRPr="00A82667">
        <w:rPr>
          <w:b/>
          <w:sz w:val="22"/>
          <w:szCs w:val="22"/>
        </w:rPr>
        <w:t xml:space="preserve">Přijatá opatření </w:t>
      </w:r>
    </w:p>
    <w:p w:rsidR="00E039CC" w:rsidRPr="00A82667" w:rsidRDefault="00A82667" w:rsidP="00A82667">
      <w:pPr>
        <w:jc w:val="both"/>
        <w:rPr>
          <w:sz w:val="22"/>
          <w:szCs w:val="22"/>
        </w:rPr>
      </w:pPr>
      <w:r w:rsidRPr="00A82667">
        <w:rPr>
          <w:sz w:val="22"/>
          <w:szCs w:val="22"/>
        </w:rPr>
        <w:t>CRR využívá konzultací s experty ŘO IOP na veřejnou podporu. CRR zveřejnilo ve spolupráci s ŘO IOP nejčastěji kladené dotazy (FAQ) s návody, jak riziko veřejné podpory minimalizovat.</w:t>
      </w:r>
    </w:p>
    <w:p w:rsidR="00D644B0" w:rsidRPr="00B7725D" w:rsidRDefault="00D644B0">
      <w:pPr>
        <w:rPr>
          <w:sz w:val="22"/>
          <w:szCs w:val="22"/>
        </w:rPr>
      </w:pPr>
    </w:p>
    <w:p w:rsidR="00810330" w:rsidRPr="00523182" w:rsidRDefault="00810330" w:rsidP="00E50867">
      <w:pPr>
        <w:jc w:val="both"/>
        <w:rPr>
          <w:sz w:val="22"/>
          <w:szCs w:val="22"/>
        </w:rPr>
      </w:pPr>
    </w:p>
    <w:p w:rsidR="00191B2A" w:rsidRPr="007170F6" w:rsidRDefault="00191B2A" w:rsidP="006F4AED">
      <w:pPr>
        <w:jc w:val="both"/>
        <w:rPr>
          <w:sz w:val="22"/>
          <w:szCs w:val="22"/>
        </w:rPr>
      </w:pPr>
    </w:p>
    <w:p w:rsidR="00810330" w:rsidRDefault="00810330" w:rsidP="00E50867">
      <w:pPr>
        <w:jc w:val="both"/>
      </w:pPr>
    </w:p>
    <w:p w:rsidR="00D644B0" w:rsidRPr="006C74B9" w:rsidRDefault="00547BCE" w:rsidP="006C74B9">
      <w:pPr>
        <w:pStyle w:val="Nadpis2"/>
        <w:rPr>
          <w:sz w:val="32"/>
          <w:szCs w:val="32"/>
        </w:rPr>
      </w:pPr>
      <w:r>
        <w:br w:type="page"/>
      </w:r>
      <w:bookmarkStart w:id="118" w:name="_Toc433873510"/>
      <w:r w:rsidR="00155C99" w:rsidRPr="003F7530">
        <w:rPr>
          <w:rFonts w:ascii="Times New Roman" w:hAnsi="Times New Roman"/>
        </w:rPr>
        <w:lastRenderedPageBreak/>
        <w:t>3.5 Prioritní osa 5 – Národní podpora územního rozvoje</w:t>
      </w:r>
      <w:bookmarkEnd w:id="118"/>
    </w:p>
    <w:p w:rsidR="00D644B0" w:rsidRPr="00DD227B" w:rsidRDefault="00D644B0">
      <w:pPr>
        <w:pStyle w:val="Nadpis3"/>
        <w:rPr>
          <w:rFonts w:ascii="Times New Roman" w:hAnsi="Times New Roman"/>
          <w:sz w:val="24"/>
          <w:szCs w:val="24"/>
        </w:rPr>
      </w:pPr>
      <w:bookmarkStart w:id="119" w:name="_Toc433873511"/>
      <w:r w:rsidRPr="00B66326">
        <w:rPr>
          <w:rFonts w:ascii="Times New Roman" w:hAnsi="Times New Roman"/>
          <w:sz w:val="24"/>
          <w:szCs w:val="24"/>
        </w:rPr>
        <w:t>3</w:t>
      </w:r>
      <w:r w:rsidRPr="00B7725D">
        <w:rPr>
          <w:rFonts w:ascii="Times New Roman" w:hAnsi="Times New Roman"/>
          <w:sz w:val="24"/>
          <w:szCs w:val="24"/>
        </w:rPr>
        <w:t>.5.1 Zaměření prioritních os/oblastí intervence</w:t>
      </w:r>
      <w:bookmarkEnd w:id="119"/>
    </w:p>
    <w:p w:rsidR="00D644B0" w:rsidRDefault="00D644B0">
      <w:pPr>
        <w:rPr>
          <w:sz w:val="22"/>
          <w:szCs w:val="22"/>
        </w:rPr>
      </w:pPr>
    </w:p>
    <w:p w:rsidR="00D644B0" w:rsidRDefault="00D644B0">
      <w:pPr>
        <w:jc w:val="both"/>
        <w:rPr>
          <w:sz w:val="22"/>
          <w:szCs w:val="22"/>
        </w:rPr>
      </w:pPr>
      <w:r>
        <w:rPr>
          <w:sz w:val="22"/>
          <w:szCs w:val="22"/>
        </w:rPr>
        <w:t xml:space="preserve">Cílem intervencí je vytvoření základního prostředí, na které budou komplementárně navazovat intervence z Regionálních operačních programů. Jedná </w:t>
      </w:r>
      <w:r w:rsidRPr="00DC49E7">
        <w:rPr>
          <w:sz w:val="22"/>
          <w:szCs w:val="22"/>
        </w:rPr>
        <w:t xml:space="preserve">se </w:t>
      </w:r>
      <w:r w:rsidRPr="00507048">
        <w:rPr>
          <w:b/>
          <w:sz w:val="22"/>
          <w:szCs w:val="22"/>
        </w:rPr>
        <w:t>o oblasti intervence</w:t>
      </w:r>
      <w:r>
        <w:rPr>
          <w:sz w:val="22"/>
          <w:szCs w:val="22"/>
        </w:rPr>
        <w:t>:</w:t>
      </w:r>
    </w:p>
    <w:p w:rsidR="00D644B0" w:rsidRDefault="00D644B0" w:rsidP="00EA7841">
      <w:pPr>
        <w:numPr>
          <w:ilvl w:val="0"/>
          <w:numId w:val="18"/>
        </w:numPr>
        <w:rPr>
          <w:sz w:val="22"/>
          <w:szCs w:val="22"/>
        </w:rPr>
      </w:pPr>
      <w:r>
        <w:rPr>
          <w:sz w:val="22"/>
          <w:szCs w:val="22"/>
        </w:rPr>
        <w:t>5.1 – Národní podpora využití potenciálu kulturního dědictví,</w:t>
      </w:r>
    </w:p>
    <w:p w:rsidR="00D644B0" w:rsidRDefault="00D644B0" w:rsidP="00EA7841">
      <w:pPr>
        <w:numPr>
          <w:ilvl w:val="0"/>
          <w:numId w:val="18"/>
        </w:numPr>
        <w:rPr>
          <w:sz w:val="22"/>
          <w:szCs w:val="22"/>
        </w:rPr>
      </w:pPr>
      <w:r>
        <w:rPr>
          <w:sz w:val="22"/>
          <w:szCs w:val="22"/>
        </w:rPr>
        <w:t>5.2 – Zlepšení prostředí v problémových sídlištích,</w:t>
      </w:r>
    </w:p>
    <w:p w:rsidR="00D644B0" w:rsidRPr="00252F09" w:rsidRDefault="00D644B0" w:rsidP="00EA7841">
      <w:pPr>
        <w:numPr>
          <w:ilvl w:val="0"/>
          <w:numId w:val="18"/>
        </w:numPr>
        <w:rPr>
          <w:sz w:val="22"/>
          <w:szCs w:val="22"/>
        </w:rPr>
      </w:pPr>
      <w:r>
        <w:rPr>
          <w:sz w:val="22"/>
          <w:szCs w:val="22"/>
        </w:rPr>
        <w:t>5.3 – Modernizace a rozvoj systémů tvorby územních politik</w:t>
      </w:r>
      <w:r w:rsidR="00EC5995">
        <w:rPr>
          <w:sz w:val="22"/>
          <w:szCs w:val="22"/>
        </w:rPr>
        <w:t>.</w:t>
      </w:r>
    </w:p>
    <w:p w:rsidR="00D644B0" w:rsidRDefault="00D644B0">
      <w:pPr>
        <w:rPr>
          <w:sz w:val="22"/>
          <w:szCs w:val="22"/>
        </w:rPr>
      </w:pPr>
    </w:p>
    <w:p w:rsidR="00D644B0" w:rsidRDefault="00D644B0">
      <w:pPr>
        <w:rPr>
          <w:sz w:val="22"/>
          <w:szCs w:val="22"/>
        </w:rPr>
      </w:pPr>
      <w:r>
        <w:rPr>
          <w:sz w:val="22"/>
          <w:szCs w:val="22"/>
        </w:rPr>
        <w:t>Specifické cíle:</w:t>
      </w:r>
    </w:p>
    <w:p w:rsidR="00D644B0" w:rsidRDefault="00D644B0" w:rsidP="00EA7841">
      <w:pPr>
        <w:numPr>
          <w:ilvl w:val="0"/>
          <w:numId w:val="19"/>
        </w:numPr>
        <w:spacing w:before="60"/>
        <w:jc w:val="both"/>
        <w:rPr>
          <w:sz w:val="22"/>
          <w:szCs w:val="22"/>
        </w:rPr>
      </w:pPr>
      <w:r>
        <w:rPr>
          <w:sz w:val="22"/>
          <w:szCs w:val="22"/>
        </w:rPr>
        <w:t>zlepšení služeb pro vlastníky památek v oblasti péče o kulturní dědictví, zvýšení využití kulturního dědictví ČR a prezentace kultury pro veřejnost,</w:t>
      </w:r>
    </w:p>
    <w:p w:rsidR="00D644B0" w:rsidRDefault="00D644B0" w:rsidP="00EA7841">
      <w:pPr>
        <w:numPr>
          <w:ilvl w:val="0"/>
          <w:numId w:val="19"/>
        </w:numPr>
        <w:spacing w:before="60"/>
        <w:jc w:val="both"/>
        <w:rPr>
          <w:sz w:val="22"/>
          <w:szCs w:val="22"/>
        </w:rPr>
      </w:pPr>
      <w:r>
        <w:rPr>
          <w:sz w:val="22"/>
          <w:szCs w:val="22"/>
        </w:rPr>
        <w:t>zvýšení kvality života a životního prostředí pro obyvatele problémových sídlišť ve velkých městech nad 20 000 obyvatel prostřednictvím revitalizace prostředí těchto sídlišť a regenerace bytových domů v sídlištích, včetně úspor energie,</w:t>
      </w:r>
    </w:p>
    <w:p w:rsidR="00D644B0" w:rsidRDefault="00D644B0" w:rsidP="00EA7841">
      <w:pPr>
        <w:numPr>
          <w:ilvl w:val="0"/>
          <w:numId w:val="19"/>
        </w:numPr>
        <w:spacing w:before="60"/>
        <w:jc w:val="both"/>
        <w:rPr>
          <w:sz w:val="22"/>
          <w:szCs w:val="22"/>
        </w:rPr>
      </w:pPr>
      <w:r>
        <w:rPr>
          <w:sz w:val="22"/>
          <w:szCs w:val="22"/>
        </w:rPr>
        <w:t>posílení řízení udržitelného rozvoje území s využitím územních plánů obcí a lepších územně analytických podkladů k odstraňování regionálních disparit.</w:t>
      </w:r>
    </w:p>
    <w:p w:rsidR="00D644B0" w:rsidRDefault="00D644B0">
      <w:pPr>
        <w:rPr>
          <w:sz w:val="22"/>
          <w:szCs w:val="22"/>
        </w:rPr>
      </w:pPr>
    </w:p>
    <w:p w:rsidR="00D644B0" w:rsidRDefault="00D644B0">
      <w:pPr>
        <w:rPr>
          <w:sz w:val="22"/>
          <w:szCs w:val="22"/>
        </w:rPr>
      </w:pPr>
      <w:r>
        <w:rPr>
          <w:sz w:val="22"/>
          <w:szCs w:val="22"/>
        </w:rPr>
        <w:t>Příjemci:</w:t>
      </w:r>
    </w:p>
    <w:p w:rsidR="00D644B0" w:rsidRDefault="00D644B0" w:rsidP="00EA7841">
      <w:pPr>
        <w:numPr>
          <w:ilvl w:val="0"/>
          <w:numId w:val="20"/>
        </w:numPr>
        <w:spacing w:before="60"/>
        <w:jc w:val="both"/>
        <w:rPr>
          <w:sz w:val="22"/>
          <w:szCs w:val="22"/>
        </w:rPr>
      </w:pPr>
      <w:r>
        <w:rPr>
          <w:sz w:val="22"/>
          <w:szCs w:val="22"/>
        </w:rPr>
        <w:t>organizační složky státu a jimi zřizované příspěvkové organizace,</w:t>
      </w:r>
    </w:p>
    <w:p w:rsidR="00D644B0" w:rsidRDefault="00D644B0" w:rsidP="00EA7841">
      <w:pPr>
        <w:numPr>
          <w:ilvl w:val="0"/>
          <w:numId w:val="20"/>
        </w:numPr>
        <w:spacing w:before="60"/>
        <w:jc w:val="both"/>
        <w:rPr>
          <w:sz w:val="22"/>
          <w:szCs w:val="22"/>
        </w:rPr>
      </w:pPr>
      <w:r>
        <w:rPr>
          <w:sz w:val="22"/>
          <w:szCs w:val="22"/>
        </w:rPr>
        <w:t>obce a jimi zřizované organizace, svazky obcí,</w:t>
      </w:r>
    </w:p>
    <w:p w:rsidR="00D644B0" w:rsidRDefault="00D644B0" w:rsidP="00EA7841">
      <w:pPr>
        <w:numPr>
          <w:ilvl w:val="0"/>
          <w:numId w:val="20"/>
        </w:numPr>
        <w:spacing w:before="60"/>
        <w:jc w:val="both"/>
        <w:rPr>
          <w:sz w:val="22"/>
          <w:szCs w:val="22"/>
        </w:rPr>
      </w:pPr>
      <w:r>
        <w:rPr>
          <w:sz w:val="22"/>
          <w:szCs w:val="22"/>
        </w:rPr>
        <w:t>nestátní neziskové organizace a zájmová sdružení právnických osob</w:t>
      </w:r>
      <w:r w:rsidR="005C44D7">
        <w:rPr>
          <w:sz w:val="22"/>
          <w:szCs w:val="22"/>
        </w:rPr>
        <w:t>,</w:t>
      </w:r>
    </w:p>
    <w:p w:rsidR="00D644B0" w:rsidRDefault="00D644B0" w:rsidP="00EA7841">
      <w:pPr>
        <w:numPr>
          <w:ilvl w:val="0"/>
          <w:numId w:val="20"/>
        </w:numPr>
        <w:spacing w:before="60"/>
        <w:jc w:val="both"/>
        <w:rPr>
          <w:sz w:val="22"/>
          <w:szCs w:val="22"/>
        </w:rPr>
      </w:pPr>
      <w:r>
        <w:rPr>
          <w:sz w:val="22"/>
          <w:szCs w:val="22"/>
        </w:rPr>
        <w:t>vlastníci bytových, popř. nebytových prostor,</w:t>
      </w:r>
    </w:p>
    <w:p w:rsidR="00D644B0" w:rsidRDefault="00D644B0" w:rsidP="00EA7841">
      <w:pPr>
        <w:numPr>
          <w:ilvl w:val="0"/>
          <w:numId w:val="20"/>
        </w:numPr>
        <w:spacing w:before="60"/>
        <w:jc w:val="both"/>
        <w:rPr>
          <w:sz w:val="22"/>
          <w:szCs w:val="22"/>
        </w:rPr>
      </w:pPr>
      <w:r>
        <w:rPr>
          <w:sz w:val="22"/>
          <w:szCs w:val="22"/>
        </w:rPr>
        <w:t>kraje.</w:t>
      </w:r>
    </w:p>
    <w:p w:rsidR="00D644B0" w:rsidRDefault="00D644B0">
      <w:pPr>
        <w:rPr>
          <w:sz w:val="22"/>
          <w:szCs w:val="22"/>
        </w:rPr>
        <w:sectPr w:rsidR="00D644B0" w:rsidSect="00356E21">
          <w:pgSz w:w="11907" w:h="16840" w:code="9"/>
          <w:pgMar w:top="1418" w:right="1418" w:bottom="1418" w:left="1418" w:header="708" w:footer="708" w:gutter="0"/>
          <w:cols w:space="708"/>
          <w:docGrid w:linePitch="360"/>
        </w:sectPr>
      </w:pPr>
    </w:p>
    <w:p w:rsidR="00D644B0" w:rsidRPr="00DD227B" w:rsidRDefault="00D644B0">
      <w:pPr>
        <w:pStyle w:val="Nadpis3"/>
        <w:rPr>
          <w:rFonts w:ascii="Times New Roman" w:hAnsi="Times New Roman"/>
          <w:sz w:val="24"/>
          <w:szCs w:val="24"/>
        </w:rPr>
      </w:pPr>
      <w:bookmarkStart w:id="120" w:name="_Toc433873512"/>
      <w:r w:rsidRPr="00B7725D">
        <w:rPr>
          <w:rFonts w:ascii="Times New Roman" w:hAnsi="Times New Roman"/>
          <w:sz w:val="24"/>
          <w:szCs w:val="24"/>
        </w:rPr>
        <w:lastRenderedPageBreak/>
        <w:t>3.5.2 Pokrok v realizaci prioritních os/oblastí intervence</w:t>
      </w:r>
      <w:bookmarkEnd w:id="120"/>
      <w:r w:rsidRPr="00DD227B">
        <w:rPr>
          <w:rFonts w:ascii="Times New Roman" w:hAnsi="Times New Roman"/>
          <w:sz w:val="24"/>
          <w:szCs w:val="24"/>
        </w:rPr>
        <w:t xml:space="preserve"> </w:t>
      </w:r>
    </w:p>
    <w:p w:rsidR="0014776F" w:rsidRDefault="006741DF" w:rsidP="008967E2">
      <w:pPr>
        <w:spacing w:after="120"/>
        <w:jc w:val="both"/>
        <w:rPr>
          <w:sz w:val="22"/>
          <w:szCs w:val="22"/>
        </w:rPr>
      </w:pPr>
      <w:r w:rsidRPr="009158F0">
        <w:rPr>
          <w:b/>
          <w:sz w:val="22"/>
          <w:szCs w:val="22"/>
        </w:rPr>
        <w:t>V oblasti intervence 5.</w:t>
      </w:r>
      <w:r w:rsidRPr="006741DF">
        <w:rPr>
          <w:b/>
          <w:sz w:val="22"/>
          <w:szCs w:val="22"/>
        </w:rPr>
        <w:t>1</w:t>
      </w:r>
      <w:r w:rsidRPr="006741DF">
        <w:rPr>
          <w:sz w:val="22"/>
          <w:szCs w:val="22"/>
        </w:rPr>
        <w:t xml:space="preserve"> </w:t>
      </w:r>
      <w:r w:rsidR="0014776F">
        <w:rPr>
          <w:sz w:val="22"/>
          <w:szCs w:val="22"/>
        </w:rPr>
        <w:t>bylo předloženo 70 projektových žádostí v celkové výši 552,85 mil. EUR</w:t>
      </w:r>
      <w:r w:rsidR="009A4B9F">
        <w:rPr>
          <w:sz w:val="22"/>
          <w:szCs w:val="22"/>
        </w:rPr>
        <w:t xml:space="preserve"> a</w:t>
      </w:r>
      <w:r w:rsidR="0014776F">
        <w:rPr>
          <w:sz w:val="22"/>
          <w:szCs w:val="22"/>
        </w:rPr>
        <w:t xml:space="preserve"> snížil</w:t>
      </w:r>
      <w:r w:rsidR="009A4B9F">
        <w:rPr>
          <w:sz w:val="22"/>
          <w:szCs w:val="22"/>
        </w:rPr>
        <w:t xml:space="preserve"> se</w:t>
      </w:r>
      <w:r w:rsidR="0014776F">
        <w:rPr>
          <w:sz w:val="22"/>
          <w:szCs w:val="22"/>
        </w:rPr>
        <w:t xml:space="preserve"> počet projektů s vydaným Rozhodnutím o poskytnutí dotace o 2 projekty a prostředky kryté rozhodnutím o 7,38 mil. EUR. Projekty s vydaným Rozhodnutím činí 99,13 % alokace oblasti intervence. Příjemcům bylo ve sledovaném období proplaceno 14,63 mil. EUR</w:t>
      </w:r>
      <w:r w:rsidR="009A4B9F">
        <w:rPr>
          <w:sz w:val="22"/>
          <w:szCs w:val="22"/>
        </w:rPr>
        <w:t>,</w:t>
      </w:r>
      <w:r w:rsidR="0014776F">
        <w:rPr>
          <w:sz w:val="22"/>
          <w:szCs w:val="22"/>
        </w:rPr>
        <w:t xml:space="preserve"> představujících růst o 7,01 % na celkových 77,10 % alokace.</w:t>
      </w:r>
    </w:p>
    <w:p w:rsidR="006741DF" w:rsidRPr="006741DF" w:rsidRDefault="006741DF" w:rsidP="006741DF">
      <w:pPr>
        <w:jc w:val="both"/>
        <w:rPr>
          <w:sz w:val="22"/>
          <w:szCs w:val="22"/>
        </w:rPr>
      </w:pPr>
    </w:p>
    <w:p w:rsidR="00C95C76" w:rsidRDefault="00C95C76" w:rsidP="00C95C76">
      <w:pPr>
        <w:jc w:val="both"/>
        <w:rPr>
          <w:sz w:val="22"/>
          <w:szCs w:val="22"/>
        </w:rPr>
      </w:pPr>
    </w:p>
    <w:p w:rsidR="00BF675C" w:rsidRDefault="00C95C76" w:rsidP="00BF675C">
      <w:pPr>
        <w:pStyle w:val="Tabulkanzev"/>
      </w:pPr>
      <w:bookmarkStart w:id="121" w:name="_Toc433873564"/>
      <w:r w:rsidRPr="00B17A5E">
        <w:rPr>
          <w:rStyle w:val="Siln"/>
        </w:rPr>
        <w:t>Kumulativní pokrok na úrovni oblastí intervence 5.1 (v</w:t>
      </w:r>
      <w:r w:rsidRPr="007A3602">
        <w:rPr>
          <w:rStyle w:val="Siln"/>
        </w:rPr>
        <w:t xml:space="preserve"> mil. CZK/EUR)</w:t>
      </w:r>
      <w:bookmarkEnd w:id="121"/>
    </w:p>
    <w:tbl>
      <w:tblPr>
        <w:tblW w:w="5000" w:type="pct"/>
        <w:tblCellMar>
          <w:left w:w="70" w:type="dxa"/>
          <w:right w:w="70" w:type="dxa"/>
        </w:tblCellMar>
        <w:tblLook w:val="04A0" w:firstRow="1" w:lastRow="0" w:firstColumn="1" w:lastColumn="0" w:noHBand="0" w:noVBand="1"/>
      </w:tblPr>
      <w:tblGrid>
        <w:gridCol w:w="718"/>
        <w:gridCol w:w="941"/>
        <w:gridCol w:w="700"/>
        <w:gridCol w:w="675"/>
        <w:gridCol w:w="514"/>
        <w:gridCol w:w="780"/>
        <w:gridCol w:w="580"/>
        <w:gridCol w:w="656"/>
        <w:gridCol w:w="514"/>
        <w:gridCol w:w="732"/>
        <w:gridCol w:w="599"/>
        <w:gridCol w:w="599"/>
        <w:gridCol w:w="732"/>
        <w:gridCol w:w="639"/>
        <w:gridCol w:w="713"/>
        <w:gridCol w:w="809"/>
        <w:gridCol w:w="599"/>
        <w:gridCol w:w="713"/>
        <w:gridCol w:w="769"/>
        <w:gridCol w:w="580"/>
        <w:gridCol w:w="582"/>
      </w:tblGrid>
      <w:tr w:rsidR="00BF675C" w:rsidRPr="00BF675C" w:rsidTr="00BF675C">
        <w:trPr>
          <w:trHeight w:val="750"/>
        </w:trPr>
        <w:tc>
          <w:tcPr>
            <w:tcW w:w="241" w:type="pct"/>
            <w:vMerge w:val="restart"/>
            <w:tcBorders>
              <w:top w:val="single" w:sz="4" w:space="0" w:color="1F497D"/>
              <w:left w:val="single" w:sz="4" w:space="0" w:color="1F497D"/>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Oblast podpory</w:t>
            </w:r>
          </w:p>
        </w:tc>
        <w:tc>
          <w:tcPr>
            <w:tcW w:w="335" w:type="pct"/>
            <w:tcBorders>
              <w:top w:val="single" w:sz="4" w:space="0" w:color="1F497D"/>
              <w:left w:val="nil"/>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Datum snímku</w:t>
            </w:r>
          </w:p>
        </w:tc>
        <w:tc>
          <w:tcPr>
            <w:tcW w:w="482" w:type="pct"/>
            <w:gridSpan w:val="2"/>
            <w:tcBorders>
              <w:top w:val="single" w:sz="4" w:space="0" w:color="1F497D"/>
              <w:left w:val="nil"/>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Celková alokace podpory 2007-2013</w:t>
            </w:r>
          </w:p>
        </w:tc>
        <w:tc>
          <w:tcPr>
            <w:tcW w:w="890" w:type="pct"/>
            <w:gridSpan w:val="4"/>
            <w:tcBorders>
              <w:top w:val="single" w:sz="4" w:space="0" w:color="1F497D"/>
              <w:left w:val="nil"/>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Podané žádosti</w:t>
            </w:r>
          </w:p>
        </w:tc>
        <w:tc>
          <w:tcPr>
            <w:tcW w:w="863" w:type="pct"/>
            <w:gridSpan w:val="4"/>
            <w:tcBorders>
              <w:top w:val="single" w:sz="4" w:space="0" w:color="1F497D"/>
              <w:left w:val="nil"/>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Prostředky kryté Rozhodnutím / Smlouvou (dodatkem)</w:t>
            </w:r>
          </w:p>
        </w:tc>
        <w:tc>
          <w:tcPr>
            <w:tcW w:w="743" w:type="pct"/>
            <w:gridSpan w:val="3"/>
            <w:tcBorders>
              <w:top w:val="single" w:sz="4" w:space="0" w:color="1F497D"/>
              <w:left w:val="nil"/>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Proplacené prostředky příjemcům (vyúčtované prostředky)</w:t>
            </w:r>
          </w:p>
        </w:tc>
        <w:tc>
          <w:tcPr>
            <w:tcW w:w="756" w:type="pct"/>
            <w:gridSpan w:val="3"/>
            <w:tcBorders>
              <w:top w:val="single" w:sz="4" w:space="0" w:color="1F497D"/>
              <w:left w:val="nil"/>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Souhrnné žádosti zaúčtované PCO</w:t>
            </w:r>
          </w:p>
        </w:tc>
        <w:tc>
          <w:tcPr>
            <w:tcW w:w="689" w:type="pct"/>
            <w:gridSpan w:val="3"/>
            <w:tcBorders>
              <w:top w:val="single" w:sz="4" w:space="0" w:color="1F497D"/>
              <w:left w:val="nil"/>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Certifikované prostředky (včetně vratek)</w:t>
            </w:r>
          </w:p>
        </w:tc>
      </w:tr>
      <w:tr w:rsidR="00BF675C" w:rsidRPr="00BF675C" w:rsidTr="00BF675C">
        <w:trPr>
          <w:trHeight w:val="465"/>
        </w:trPr>
        <w:tc>
          <w:tcPr>
            <w:tcW w:w="241" w:type="pct"/>
            <w:vMerge/>
            <w:tcBorders>
              <w:top w:val="single" w:sz="4" w:space="0" w:color="1F497D"/>
              <w:left w:val="single" w:sz="4" w:space="0" w:color="1F497D"/>
              <w:bottom w:val="single" w:sz="4" w:space="0" w:color="1F497D"/>
              <w:right w:val="single" w:sz="4" w:space="0" w:color="1F497D"/>
            </w:tcBorders>
            <w:vAlign w:val="center"/>
            <w:hideMark/>
          </w:tcPr>
          <w:p w:rsidR="00BF675C" w:rsidRPr="00BF675C" w:rsidRDefault="00BF675C" w:rsidP="00BF675C">
            <w:pPr>
              <w:rPr>
                <w:b/>
                <w:bCs/>
                <w:color w:val="000000"/>
                <w:sz w:val="16"/>
                <w:szCs w:val="16"/>
              </w:rPr>
            </w:pPr>
          </w:p>
        </w:tc>
        <w:tc>
          <w:tcPr>
            <w:tcW w:w="335" w:type="pct"/>
            <w:vMerge w:val="restart"/>
            <w:tcBorders>
              <w:top w:val="nil"/>
              <w:left w:val="single" w:sz="4" w:space="0" w:color="1F497D"/>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Den</w:t>
            </w:r>
          </w:p>
        </w:tc>
        <w:tc>
          <w:tcPr>
            <w:tcW w:w="241" w:type="pct"/>
            <w:tcBorders>
              <w:top w:val="nil"/>
              <w:left w:val="nil"/>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mil. CZK</w:t>
            </w:r>
          </w:p>
        </w:tc>
        <w:tc>
          <w:tcPr>
            <w:tcW w:w="241" w:type="pct"/>
            <w:vMerge w:val="restart"/>
            <w:tcBorders>
              <w:top w:val="nil"/>
              <w:left w:val="single" w:sz="4" w:space="0" w:color="1F497D"/>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mil. EUR</w:t>
            </w:r>
          </w:p>
        </w:tc>
        <w:tc>
          <w:tcPr>
            <w:tcW w:w="181" w:type="pct"/>
            <w:tcBorders>
              <w:top w:val="nil"/>
              <w:left w:val="nil"/>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Počet</w:t>
            </w:r>
          </w:p>
        </w:tc>
        <w:tc>
          <w:tcPr>
            <w:tcW w:w="268" w:type="pct"/>
            <w:tcBorders>
              <w:top w:val="nil"/>
              <w:left w:val="nil"/>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mil. CZK</w:t>
            </w:r>
          </w:p>
        </w:tc>
        <w:tc>
          <w:tcPr>
            <w:tcW w:w="207" w:type="pct"/>
            <w:tcBorders>
              <w:top w:val="nil"/>
              <w:left w:val="nil"/>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w:t>
            </w:r>
          </w:p>
        </w:tc>
        <w:tc>
          <w:tcPr>
            <w:tcW w:w="234" w:type="pct"/>
            <w:vMerge w:val="restart"/>
            <w:tcBorders>
              <w:top w:val="nil"/>
              <w:left w:val="single" w:sz="4" w:space="0" w:color="1F497D"/>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mil. EUR</w:t>
            </w:r>
          </w:p>
        </w:tc>
        <w:tc>
          <w:tcPr>
            <w:tcW w:w="174" w:type="pct"/>
            <w:tcBorders>
              <w:top w:val="nil"/>
              <w:left w:val="nil"/>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Počet</w:t>
            </w:r>
          </w:p>
        </w:tc>
        <w:tc>
          <w:tcPr>
            <w:tcW w:w="261" w:type="pct"/>
            <w:tcBorders>
              <w:top w:val="nil"/>
              <w:left w:val="nil"/>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mil. CZK</w:t>
            </w:r>
          </w:p>
        </w:tc>
        <w:tc>
          <w:tcPr>
            <w:tcW w:w="214" w:type="pct"/>
            <w:tcBorders>
              <w:top w:val="nil"/>
              <w:left w:val="nil"/>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w:t>
            </w:r>
          </w:p>
        </w:tc>
        <w:tc>
          <w:tcPr>
            <w:tcW w:w="214" w:type="pct"/>
            <w:vMerge w:val="restart"/>
            <w:tcBorders>
              <w:top w:val="nil"/>
              <w:left w:val="single" w:sz="4" w:space="0" w:color="1F497D"/>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mil. EUR</w:t>
            </w:r>
          </w:p>
        </w:tc>
        <w:tc>
          <w:tcPr>
            <w:tcW w:w="261" w:type="pct"/>
            <w:tcBorders>
              <w:top w:val="nil"/>
              <w:left w:val="nil"/>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mil. CZK</w:t>
            </w:r>
          </w:p>
        </w:tc>
        <w:tc>
          <w:tcPr>
            <w:tcW w:w="228" w:type="pct"/>
            <w:tcBorders>
              <w:top w:val="nil"/>
              <w:left w:val="nil"/>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w:t>
            </w:r>
          </w:p>
        </w:tc>
        <w:tc>
          <w:tcPr>
            <w:tcW w:w="254" w:type="pct"/>
            <w:vMerge w:val="restart"/>
            <w:tcBorders>
              <w:top w:val="nil"/>
              <w:left w:val="single" w:sz="4" w:space="0" w:color="1F497D"/>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mil. EUR</w:t>
            </w:r>
          </w:p>
        </w:tc>
        <w:tc>
          <w:tcPr>
            <w:tcW w:w="288" w:type="pct"/>
            <w:tcBorders>
              <w:top w:val="nil"/>
              <w:left w:val="nil"/>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mil. CZK</w:t>
            </w:r>
          </w:p>
        </w:tc>
        <w:tc>
          <w:tcPr>
            <w:tcW w:w="214" w:type="pct"/>
            <w:tcBorders>
              <w:top w:val="nil"/>
              <w:left w:val="nil"/>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w:t>
            </w:r>
          </w:p>
        </w:tc>
        <w:tc>
          <w:tcPr>
            <w:tcW w:w="254" w:type="pct"/>
            <w:vMerge w:val="restart"/>
            <w:tcBorders>
              <w:top w:val="nil"/>
              <w:left w:val="single" w:sz="4" w:space="0" w:color="1F497D"/>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mil. EUR</w:t>
            </w:r>
          </w:p>
        </w:tc>
        <w:tc>
          <w:tcPr>
            <w:tcW w:w="274" w:type="pct"/>
            <w:tcBorders>
              <w:top w:val="nil"/>
              <w:left w:val="nil"/>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mil. CZK</w:t>
            </w:r>
          </w:p>
        </w:tc>
        <w:tc>
          <w:tcPr>
            <w:tcW w:w="207" w:type="pct"/>
            <w:tcBorders>
              <w:top w:val="nil"/>
              <w:left w:val="nil"/>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w:t>
            </w:r>
          </w:p>
        </w:tc>
        <w:tc>
          <w:tcPr>
            <w:tcW w:w="207" w:type="pct"/>
            <w:vMerge w:val="restart"/>
            <w:tcBorders>
              <w:top w:val="nil"/>
              <w:left w:val="single" w:sz="4" w:space="0" w:color="1F497D"/>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mil. EUR</w:t>
            </w:r>
          </w:p>
        </w:tc>
      </w:tr>
      <w:tr w:rsidR="00BF675C" w:rsidRPr="00BF675C" w:rsidTr="00BF675C">
        <w:trPr>
          <w:trHeight w:val="225"/>
        </w:trPr>
        <w:tc>
          <w:tcPr>
            <w:tcW w:w="241" w:type="pct"/>
            <w:vMerge/>
            <w:tcBorders>
              <w:top w:val="single" w:sz="4" w:space="0" w:color="1F497D"/>
              <w:left w:val="single" w:sz="4" w:space="0" w:color="1F497D"/>
              <w:bottom w:val="single" w:sz="4" w:space="0" w:color="1F497D"/>
              <w:right w:val="single" w:sz="4" w:space="0" w:color="1F497D"/>
            </w:tcBorders>
            <w:vAlign w:val="center"/>
            <w:hideMark/>
          </w:tcPr>
          <w:p w:rsidR="00BF675C" w:rsidRPr="00BF675C" w:rsidRDefault="00BF675C" w:rsidP="00BF675C">
            <w:pPr>
              <w:rPr>
                <w:b/>
                <w:bCs/>
                <w:color w:val="000000"/>
                <w:sz w:val="16"/>
                <w:szCs w:val="16"/>
              </w:rPr>
            </w:pPr>
          </w:p>
        </w:tc>
        <w:tc>
          <w:tcPr>
            <w:tcW w:w="335" w:type="pct"/>
            <w:vMerge/>
            <w:tcBorders>
              <w:top w:val="nil"/>
              <w:left w:val="single" w:sz="4" w:space="0" w:color="1F497D"/>
              <w:bottom w:val="single" w:sz="4" w:space="0" w:color="1F497D"/>
              <w:right w:val="single" w:sz="4" w:space="0" w:color="1F497D"/>
            </w:tcBorders>
            <w:vAlign w:val="center"/>
            <w:hideMark/>
          </w:tcPr>
          <w:p w:rsidR="00BF675C" w:rsidRPr="00BF675C" w:rsidRDefault="00BF675C" w:rsidP="00BF675C">
            <w:pPr>
              <w:rPr>
                <w:b/>
                <w:bCs/>
                <w:color w:val="000000"/>
                <w:sz w:val="16"/>
                <w:szCs w:val="16"/>
              </w:rPr>
            </w:pPr>
          </w:p>
        </w:tc>
        <w:tc>
          <w:tcPr>
            <w:tcW w:w="241" w:type="pct"/>
            <w:tcBorders>
              <w:top w:val="nil"/>
              <w:left w:val="nil"/>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 xml:space="preserve">a </w:t>
            </w:r>
          </w:p>
        </w:tc>
        <w:tc>
          <w:tcPr>
            <w:tcW w:w="241" w:type="pct"/>
            <w:vMerge/>
            <w:tcBorders>
              <w:top w:val="nil"/>
              <w:left w:val="single" w:sz="4" w:space="0" w:color="1F497D"/>
              <w:bottom w:val="single" w:sz="4" w:space="0" w:color="1F497D"/>
              <w:right w:val="single" w:sz="4" w:space="0" w:color="1F497D"/>
            </w:tcBorders>
            <w:vAlign w:val="center"/>
            <w:hideMark/>
          </w:tcPr>
          <w:p w:rsidR="00BF675C" w:rsidRPr="00BF675C" w:rsidRDefault="00BF675C" w:rsidP="00BF675C">
            <w:pPr>
              <w:rPr>
                <w:b/>
                <w:bCs/>
                <w:color w:val="000000"/>
                <w:sz w:val="16"/>
                <w:szCs w:val="16"/>
              </w:rPr>
            </w:pPr>
          </w:p>
        </w:tc>
        <w:tc>
          <w:tcPr>
            <w:tcW w:w="181" w:type="pct"/>
            <w:tcBorders>
              <w:top w:val="nil"/>
              <w:left w:val="nil"/>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b</w:t>
            </w:r>
          </w:p>
        </w:tc>
        <w:tc>
          <w:tcPr>
            <w:tcW w:w="268" w:type="pct"/>
            <w:tcBorders>
              <w:top w:val="nil"/>
              <w:left w:val="nil"/>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c</w:t>
            </w:r>
          </w:p>
        </w:tc>
        <w:tc>
          <w:tcPr>
            <w:tcW w:w="207" w:type="pct"/>
            <w:tcBorders>
              <w:top w:val="nil"/>
              <w:left w:val="nil"/>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c/a</w:t>
            </w:r>
          </w:p>
        </w:tc>
        <w:tc>
          <w:tcPr>
            <w:tcW w:w="234" w:type="pct"/>
            <w:vMerge/>
            <w:tcBorders>
              <w:top w:val="nil"/>
              <w:left w:val="single" w:sz="4" w:space="0" w:color="1F497D"/>
              <w:bottom w:val="single" w:sz="4" w:space="0" w:color="1F497D"/>
              <w:right w:val="single" w:sz="4" w:space="0" w:color="1F497D"/>
            </w:tcBorders>
            <w:vAlign w:val="center"/>
            <w:hideMark/>
          </w:tcPr>
          <w:p w:rsidR="00BF675C" w:rsidRPr="00BF675C" w:rsidRDefault="00BF675C" w:rsidP="00BF675C">
            <w:pPr>
              <w:rPr>
                <w:b/>
                <w:bCs/>
                <w:color w:val="000000"/>
                <w:sz w:val="16"/>
                <w:szCs w:val="16"/>
              </w:rPr>
            </w:pPr>
          </w:p>
        </w:tc>
        <w:tc>
          <w:tcPr>
            <w:tcW w:w="174" w:type="pct"/>
            <w:tcBorders>
              <w:top w:val="nil"/>
              <w:left w:val="nil"/>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d</w:t>
            </w:r>
          </w:p>
        </w:tc>
        <w:tc>
          <w:tcPr>
            <w:tcW w:w="261" w:type="pct"/>
            <w:tcBorders>
              <w:top w:val="nil"/>
              <w:left w:val="nil"/>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e</w:t>
            </w:r>
          </w:p>
        </w:tc>
        <w:tc>
          <w:tcPr>
            <w:tcW w:w="214" w:type="pct"/>
            <w:tcBorders>
              <w:top w:val="nil"/>
              <w:left w:val="nil"/>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 xml:space="preserve">e/a </w:t>
            </w:r>
          </w:p>
        </w:tc>
        <w:tc>
          <w:tcPr>
            <w:tcW w:w="214" w:type="pct"/>
            <w:vMerge/>
            <w:tcBorders>
              <w:top w:val="nil"/>
              <w:left w:val="single" w:sz="4" w:space="0" w:color="1F497D"/>
              <w:bottom w:val="single" w:sz="4" w:space="0" w:color="1F497D"/>
              <w:right w:val="single" w:sz="4" w:space="0" w:color="1F497D"/>
            </w:tcBorders>
            <w:vAlign w:val="center"/>
            <w:hideMark/>
          </w:tcPr>
          <w:p w:rsidR="00BF675C" w:rsidRPr="00BF675C" w:rsidRDefault="00BF675C" w:rsidP="00BF675C">
            <w:pPr>
              <w:rPr>
                <w:b/>
                <w:bCs/>
                <w:color w:val="000000"/>
                <w:sz w:val="16"/>
                <w:szCs w:val="16"/>
              </w:rPr>
            </w:pPr>
          </w:p>
        </w:tc>
        <w:tc>
          <w:tcPr>
            <w:tcW w:w="261" w:type="pct"/>
            <w:tcBorders>
              <w:top w:val="nil"/>
              <w:left w:val="nil"/>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f</w:t>
            </w:r>
          </w:p>
        </w:tc>
        <w:tc>
          <w:tcPr>
            <w:tcW w:w="228" w:type="pct"/>
            <w:tcBorders>
              <w:top w:val="nil"/>
              <w:left w:val="nil"/>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 xml:space="preserve">f/a </w:t>
            </w:r>
          </w:p>
        </w:tc>
        <w:tc>
          <w:tcPr>
            <w:tcW w:w="254" w:type="pct"/>
            <w:vMerge/>
            <w:tcBorders>
              <w:top w:val="nil"/>
              <w:left w:val="single" w:sz="4" w:space="0" w:color="1F497D"/>
              <w:bottom w:val="single" w:sz="4" w:space="0" w:color="1F497D"/>
              <w:right w:val="single" w:sz="4" w:space="0" w:color="1F497D"/>
            </w:tcBorders>
            <w:vAlign w:val="center"/>
            <w:hideMark/>
          </w:tcPr>
          <w:p w:rsidR="00BF675C" w:rsidRPr="00BF675C" w:rsidRDefault="00BF675C" w:rsidP="00BF675C">
            <w:pPr>
              <w:rPr>
                <w:b/>
                <w:bCs/>
                <w:color w:val="000000"/>
                <w:sz w:val="16"/>
                <w:szCs w:val="16"/>
              </w:rPr>
            </w:pPr>
          </w:p>
        </w:tc>
        <w:tc>
          <w:tcPr>
            <w:tcW w:w="288" w:type="pct"/>
            <w:tcBorders>
              <w:top w:val="nil"/>
              <w:left w:val="nil"/>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g</w:t>
            </w:r>
          </w:p>
        </w:tc>
        <w:tc>
          <w:tcPr>
            <w:tcW w:w="214" w:type="pct"/>
            <w:tcBorders>
              <w:top w:val="nil"/>
              <w:left w:val="nil"/>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 xml:space="preserve">g/a </w:t>
            </w:r>
          </w:p>
        </w:tc>
        <w:tc>
          <w:tcPr>
            <w:tcW w:w="254" w:type="pct"/>
            <w:vMerge/>
            <w:tcBorders>
              <w:top w:val="nil"/>
              <w:left w:val="single" w:sz="4" w:space="0" w:color="1F497D"/>
              <w:bottom w:val="single" w:sz="4" w:space="0" w:color="1F497D"/>
              <w:right w:val="single" w:sz="4" w:space="0" w:color="1F497D"/>
            </w:tcBorders>
            <w:vAlign w:val="center"/>
            <w:hideMark/>
          </w:tcPr>
          <w:p w:rsidR="00BF675C" w:rsidRPr="00BF675C" w:rsidRDefault="00BF675C" w:rsidP="00BF675C">
            <w:pPr>
              <w:rPr>
                <w:b/>
                <w:bCs/>
                <w:color w:val="000000"/>
                <w:sz w:val="16"/>
                <w:szCs w:val="16"/>
              </w:rPr>
            </w:pPr>
          </w:p>
        </w:tc>
        <w:tc>
          <w:tcPr>
            <w:tcW w:w="274" w:type="pct"/>
            <w:tcBorders>
              <w:top w:val="nil"/>
              <w:left w:val="nil"/>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h</w:t>
            </w:r>
          </w:p>
        </w:tc>
        <w:tc>
          <w:tcPr>
            <w:tcW w:w="207" w:type="pct"/>
            <w:tcBorders>
              <w:top w:val="nil"/>
              <w:left w:val="nil"/>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 xml:space="preserve">h/a </w:t>
            </w:r>
          </w:p>
        </w:tc>
        <w:tc>
          <w:tcPr>
            <w:tcW w:w="207" w:type="pct"/>
            <w:vMerge/>
            <w:tcBorders>
              <w:top w:val="nil"/>
              <w:left w:val="single" w:sz="4" w:space="0" w:color="1F497D"/>
              <w:bottom w:val="single" w:sz="4" w:space="0" w:color="1F497D"/>
              <w:right w:val="single" w:sz="4" w:space="0" w:color="1F497D"/>
            </w:tcBorders>
            <w:vAlign w:val="center"/>
            <w:hideMark/>
          </w:tcPr>
          <w:p w:rsidR="00BF675C" w:rsidRPr="00BF675C" w:rsidRDefault="00BF675C" w:rsidP="00BF675C">
            <w:pPr>
              <w:rPr>
                <w:b/>
                <w:bCs/>
                <w:color w:val="000000"/>
                <w:sz w:val="16"/>
                <w:szCs w:val="16"/>
              </w:rPr>
            </w:pPr>
          </w:p>
        </w:tc>
      </w:tr>
      <w:tr w:rsidR="00BF675C" w:rsidRPr="00BF675C" w:rsidTr="00BF675C">
        <w:trPr>
          <w:trHeight w:val="225"/>
        </w:trPr>
        <w:tc>
          <w:tcPr>
            <w:tcW w:w="241" w:type="pct"/>
            <w:vMerge w:val="restart"/>
            <w:tcBorders>
              <w:top w:val="nil"/>
              <w:left w:val="single" w:sz="4" w:space="0" w:color="1F497D"/>
              <w:bottom w:val="single" w:sz="4" w:space="0" w:color="1F497D"/>
              <w:right w:val="single" w:sz="4" w:space="0" w:color="1F497D"/>
            </w:tcBorders>
            <w:shd w:val="clear" w:color="000000" w:fill="FFFFFF"/>
            <w:vAlign w:val="center"/>
            <w:hideMark/>
          </w:tcPr>
          <w:p w:rsidR="00BF675C" w:rsidRPr="00BF675C" w:rsidRDefault="00BF675C" w:rsidP="00BF675C">
            <w:pPr>
              <w:jc w:val="center"/>
              <w:rPr>
                <w:color w:val="000000"/>
                <w:sz w:val="16"/>
                <w:szCs w:val="16"/>
              </w:rPr>
            </w:pPr>
            <w:r w:rsidRPr="00BF675C">
              <w:rPr>
                <w:color w:val="000000"/>
                <w:sz w:val="16"/>
                <w:szCs w:val="16"/>
              </w:rPr>
              <w:t>5.1</w:t>
            </w:r>
          </w:p>
        </w:tc>
        <w:tc>
          <w:tcPr>
            <w:tcW w:w="335" w:type="pct"/>
            <w:tcBorders>
              <w:top w:val="nil"/>
              <w:left w:val="nil"/>
              <w:bottom w:val="single" w:sz="4" w:space="0" w:color="1F497D"/>
              <w:right w:val="single" w:sz="4" w:space="0" w:color="1F497D"/>
            </w:tcBorders>
            <w:shd w:val="clear" w:color="000000" w:fill="FFFFFF"/>
            <w:vAlign w:val="center"/>
            <w:hideMark/>
          </w:tcPr>
          <w:p w:rsidR="00BF675C" w:rsidRPr="00BF675C" w:rsidRDefault="00BF675C" w:rsidP="00BF675C">
            <w:pPr>
              <w:jc w:val="center"/>
              <w:rPr>
                <w:color w:val="000000"/>
                <w:sz w:val="16"/>
                <w:szCs w:val="16"/>
              </w:rPr>
            </w:pPr>
            <w:r w:rsidRPr="00BF675C">
              <w:rPr>
                <w:color w:val="000000"/>
                <w:sz w:val="16"/>
                <w:szCs w:val="16"/>
              </w:rPr>
              <w:t>2015/04/17</w:t>
            </w:r>
          </w:p>
        </w:tc>
        <w:tc>
          <w:tcPr>
            <w:tcW w:w="241"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5 692,73</w:t>
            </w:r>
          </w:p>
        </w:tc>
        <w:tc>
          <w:tcPr>
            <w:tcW w:w="241"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213,74</w:t>
            </w:r>
          </w:p>
        </w:tc>
        <w:tc>
          <w:tcPr>
            <w:tcW w:w="181" w:type="pct"/>
            <w:tcBorders>
              <w:top w:val="nil"/>
              <w:left w:val="nil"/>
              <w:bottom w:val="single" w:sz="4" w:space="0" w:color="1F497D"/>
              <w:right w:val="single" w:sz="4" w:space="0" w:color="1F497D"/>
            </w:tcBorders>
            <w:shd w:val="clear" w:color="000000" w:fill="FFFFFF"/>
            <w:vAlign w:val="center"/>
            <w:hideMark/>
          </w:tcPr>
          <w:p w:rsidR="00BF675C" w:rsidRPr="00BF675C" w:rsidRDefault="00BF675C" w:rsidP="00BF675C">
            <w:pPr>
              <w:jc w:val="center"/>
              <w:rPr>
                <w:color w:val="000000"/>
                <w:sz w:val="16"/>
                <w:szCs w:val="16"/>
              </w:rPr>
            </w:pPr>
            <w:r w:rsidRPr="00BF675C">
              <w:rPr>
                <w:color w:val="000000"/>
                <w:sz w:val="16"/>
                <w:szCs w:val="16"/>
              </w:rPr>
              <w:t>70</w:t>
            </w:r>
          </w:p>
        </w:tc>
        <w:tc>
          <w:tcPr>
            <w:tcW w:w="268"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14 902,98</w:t>
            </w:r>
          </w:p>
        </w:tc>
        <w:tc>
          <w:tcPr>
            <w:tcW w:w="207"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261,79</w:t>
            </w:r>
          </w:p>
        </w:tc>
        <w:tc>
          <w:tcPr>
            <w:tcW w:w="234"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548,98</w:t>
            </w:r>
          </w:p>
        </w:tc>
        <w:tc>
          <w:tcPr>
            <w:tcW w:w="174"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27</w:t>
            </w:r>
          </w:p>
        </w:tc>
        <w:tc>
          <w:tcPr>
            <w:tcW w:w="261"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5 845,92</w:t>
            </w:r>
          </w:p>
        </w:tc>
        <w:tc>
          <w:tcPr>
            <w:tcW w:w="214"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102,69</w:t>
            </w:r>
          </w:p>
        </w:tc>
        <w:tc>
          <w:tcPr>
            <w:tcW w:w="214"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219,31</w:t>
            </w:r>
          </w:p>
        </w:tc>
        <w:tc>
          <w:tcPr>
            <w:tcW w:w="261"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3 978,08</w:t>
            </w:r>
          </w:p>
        </w:tc>
        <w:tc>
          <w:tcPr>
            <w:tcW w:w="228"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69,88</w:t>
            </w:r>
          </w:p>
        </w:tc>
        <w:tc>
          <w:tcPr>
            <w:tcW w:w="254"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151,32</w:t>
            </w:r>
          </w:p>
        </w:tc>
        <w:tc>
          <w:tcPr>
            <w:tcW w:w="288"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3 775,34</w:t>
            </w:r>
          </w:p>
        </w:tc>
        <w:tc>
          <w:tcPr>
            <w:tcW w:w="214"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66,32</w:t>
            </w:r>
          </w:p>
        </w:tc>
        <w:tc>
          <w:tcPr>
            <w:tcW w:w="254"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143,94</w:t>
            </w:r>
          </w:p>
        </w:tc>
        <w:tc>
          <w:tcPr>
            <w:tcW w:w="27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3 649,16</w:t>
            </w:r>
          </w:p>
        </w:tc>
        <w:tc>
          <w:tcPr>
            <w:tcW w:w="207" w:type="pct"/>
            <w:tcBorders>
              <w:top w:val="single" w:sz="4" w:space="0" w:color="auto"/>
              <w:left w:val="nil"/>
              <w:bottom w:val="single" w:sz="4" w:space="0" w:color="auto"/>
              <w:right w:val="single" w:sz="4" w:space="0" w:color="auto"/>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64,10</w:t>
            </w:r>
          </w:p>
        </w:tc>
        <w:tc>
          <w:tcPr>
            <w:tcW w:w="207" w:type="pct"/>
            <w:tcBorders>
              <w:top w:val="single" w:sz="4" w:space="0" w:color="auto"/>
              <w:left w:val="nil"/>
              <w:bottom w:val="single" w:sz="4" w:space="0" w:color="auto"/>
              <w:right w:val="single" w:sz="4" w:space="0" w:color="auto"/>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139,33</w:t>
            </w:r>
          </w:p>
        </w:tc>
      </w:tr>
      <w:tr w:rsidR="00BF675C" w:rsidRPr="00BF675C" w:rsidTr="00BF675C">
        <w:trPr>
          <w:trHeight w:val="225"/>
        </w:trPr>
        <w:tc>
          <w:tcPr>
            <w:tcW w:w="241" w:type="pct"/>
            <w:vMerge/>
            <w:tcBorders>
              <w:top w:val="nil"/>
              <w:left w:val="single" w:sz="4" w:space="0" w:color="1F497D"/>
              <w:bottom w:val="single" w:sz="4" w:space="0" w:color="1F497D"/>
              <w:right w:val="single" w:sz="4" w:space="0" w:color="1F497D"/>
            </w:tcBorders>
            <w:vAlign w:val="center"/>
            <w:hideMark/>
          </w:tcPr>
          <w:p w:rsidR="00BF675C" w:rsidRPr="00BF675C" w:rsidRDefault="00BF675C" w:rsidP="00BF675C">
            <w:pPr>
              <w:rPr>
                <w:color w:val="000000"/>
                <w:sz w:val="16"/>
                <w:szCs w:val="16"/>
              </w:rPr>
            </w:pPr>
          </w:p>
        </w:tc>
        <w:tc>
          <w:tcPr>
            <w:tcW w:w="335" w:type="pct"/>
            <w:tcBorders>
              <w:top w:val="nil"/>
              <w:left w:val="nil"/>
              <w:bottom w:val="single" w:sz="4" w:space="0" w:color="1F497D"/>
              <w:right w:val="single" w:sz="4" w:space="0" w:color="1F497D"/>
            </w:tcBorders>
            <w:shd w:val="clear" w:color="000000" w:fill="FFFFFF"/>
            <w:vAlign w:val="center"/>
            <w:hideMark/>
          </w:tcPr>
          <w:p w:rsidR="00BF675C" w:rsidRPr="00BF675C" w:rsidRDefault="00BF675C" w:rsidP="00BF675C">
            <w:pPr>
              <w:jc w:val="center"/>
              <w:rPr>
                <w:color w:val="000000"/>
                <w:sz w:val="16"/>
                <w:szCs w:val="16"/>
              </w:rPr>
            </w:pPr>
            <w:r w:rsidRPr="00BF675C">
              <w:rPr>
                <w:color w:val="000000"/>
                <w:sz w:val="16"/>
                <w:szCs w:val="16"/>
              </w:rPr>
              <w:t>2015/10/02</w:t>
            </w:r>
          </w:p>
        </w:tc>
        <w:tc>
          <w:tcPr>
            <w:tcW w:w="241"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5 676,33</w:t>
            </w:r>
          </w:p>
        </w:tc>
        <w:tc>
          <w:tcPr>
            <w:tcW w:w="241"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213,74</w:t>
            </w:r>
          </w:p>
        </w:tc>
        <w:tc>
          <w:tcPr>
            <w:tcW w:w="181" w:type="pct"/>
            <w:tcBorders>
              <w:top w:val="nil"/>
              <w:left w:val="nil"/>
              <w:bottom w:val="single" w:sz="4" w:space="0" w:color="1F497D"/>
              <w:right w:val="single" w:sz="4" w:space="0" w:color="1F497D"/>
            </w:tcBorders>
            <w:shd w:val="clear" w:color="000000" w:fill="FFFFFF"/>
            <w:vAlign w:val="center"/>
            <w:hideMark/>
          </w:tcPr>
          <w:p w:rsidR="00BF675C" w:rsidRPr="00BF675C" w:rsidRDefault="00BF675C" w:rsidP="00BF675C">
            <w:pPr>
              <w:jc w:val="center"/>
              <w:rPr>
                <w:color w:val="000000"/>
                <w:sz w:val="16"/>
                <w:szCs w:val="16"/>
              </w:rPr>
            </w:pPr>
            <w:r w:rsidRPr="00BF675C">
              <w:rPr>
                <w:color w:val="000000"/>
                <w:sz w:val="16"/>
                <w:szCs w:val="16"/>
              </w:rPr>
              <w:t>70</w:t>
            </w:r>
          </w:p>
        </w:tc>
        <w:tc>
          <w:tcPr>
            <w:tcW w:w="268"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14 902,98</w:t>
            </w:r>
          </w:p>
        </w:tc>
        <w:tc>
          <w:tcPr>
            <w:tcW w:w="207"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262,55</w:t>
            </w:r>
          </w:p>
        </w:tc>
        <w:tc>
          <w:tcPr>
            <w:tcW w:w="234"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552,85</w:t>
            </w:r>
          </w:p>
        </w:tc>
        <w:tc>
          <w:tcPr>
            <w:tcW w:w="174"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25</w:t>
            </w:r>
          </w:p>
        </w:tc>
        <w:tc>
          <w:tcPr>
            <w:tcW w:w="261"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5 627,13</w:t>
            </w:r>
          </w:p>
        </w:tc>
        <w:tc>
          <w:tcPr>
            <w:tcW w:w="214"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99,13</w:t>
            </w:r>
          </w:p>
        </w:tc>
        <w:tc>
          <w:tcPr>
            <w:tcW w:w="214"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211,93</w:t>
            </w:r>
          </w:p>
        </w:tc>
        <w:tc>
          <w:tcPr>
            <w:tcW w:w="261"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4 376,20</w:t>
            </w:r>
          </w:p>
        </w:tc>
        <w:tc>
          <w:tcPr>
            <w:tcW w:w="228"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77,10</w:t>
            </w:r>
          </w:p>
        </w:tc>
        <w:tc>
          <w:tcPr>
            <w:tcW w:w="254"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165,95</w:t>
            </w:r>
          </w:p>
        </w:tc>
        <w:tc>
          <w:tcPr>
            <w:tcW w:w="288"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4 198,81</w:t>
            </w:r>
          </w:p>
        </w:tc>
        <w:tc>
          <w:tcPr>
            <w:tcW w:w="214"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73,97</w:t>
            </w:r>
          </w:p>
        </w:tc>
        <w:tc>
          <w:tcPr>
            <w:tcW w:w="254"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159,43</w:t>
            </w:r>
          </w:p>
        </w:tc>
        <w:tc>
          <w:tcPr>
            <w:tcW w:w="274" w:type="pct"/>
            <w:tcBorders>
              <w:top w:val="nil"/>
              <w:left w:val="single" w:sz="4" w:space="0" w:color="auto"/>
              <w:bottom w:val="single" w:sz="4" w:space="0" w:color="auto"/>
              <w:right w:val="single" w:sz="4" w:space="0" w:color="auto"/>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3 642,22</w:t>
            </w:r>
          </w:p>
        </w:tc>
        <w:tc>
          <w:tcPr>
            <w:tcW w:w="207" w:type="pct"/>
            <w:tcBorders>
              <w:top w:val="nil"/>
              <w:left w:val="nil"/>
              <w:bottom w:val="single" w:sz="4" w:space="0" w:color="auto"/>
              <w:right w:val="single" w:sz="4" w:space="0" w:color="auto"/>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64,17</w:t>
            </w:r>
          </w:p>
        </w:tc>
        <w:tc>
          <w:tcPr>
            <w:tcW w:w="207" w:type="pct"/>
            <w:tcBorders>
              <w:top w:val="nil"/>
              <w:left w:val="nil"/>
              <w:bottom w:val="single" w:sz="4" w:space="0" w:color="auto"/>
              <w:right w:val="single" w:sz="4" w:space="0" w:color="auto"/>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139,06</w:t>
            </w:r>
          </w:p>
        </w:tc>
      </w:tr>
      <w:tr w:rsidR="00BF675C" w:rsidRPr="00BF675C" w:rsidTr="00BF675C">
        <w:trPr>
          <w:trHeight w:val="225"/>
        </w:trPr>
        <w:tc>
          <w:tcPr>
            <w:tcW w:w="241" w:type="pct"/>
            <w:vMerge/>
            <w:tcBorders>
              <w:top w:val="nil"/>
              <w:left w:val="single" w:sz="4" w:space="0" w:color="1F497D"/>
              <w:bottom w:val="single" w:sz="4" w:space="0" w:color="1F497D"/>
              <w:right w:val="single" w:sz="4" w:space="0" w:color="1F497D"/>
            </w:tcBorders>
            <w:vAlign w:val="center"/>
            <w:hideMark/>
          </w:tcPr>
          <w:p w:rsidR="00BF675C" w:rsidRPr="00BF675C" w:rsidRDefault="00BF675C" w:rsidP="00BF675C">
            <w:pPr>
              <w:rPr>
                <w:color w:val="000000"/>
                <w:sz w:val="16"/>
                <w:szCs w:val="16"/>
              </w:rPr>
            </w:pPr>
          </w:p>
        </w:tc>
        <w:tc>
          <w:tcPr>
            <w:tcW w:w="335" w:type="pct"/>
            <w:tcBorders>
              <w:top w:val="nil"/>
              <w:left w:val="nil"/>
              <w:bottom w:val="single" w:sz="4" w:space="0" w:color="1F497D"/>
              <w:right w:val="single" w:sz="4" w:space="0" w:color="1F497D"/>
            </w:tcBorders>
            <w:shd w:val="clear" w:color="000000" w:fill="FFFFFF"/>
            <w:vAlign w:val="center"/>
            <w:hideMark/>
          </w:tcPr>
          <w:p w:rsidR="00BF675C" w:rsidRPr="00BF675C" w:rsidRDefault="00BF675C" w:rsidP="00BF675C">
            <w:pPr>
              <w:jc w:val="center"/>
              <w:rPr>
                <w:color w:val="000000"/>
                <w:sz w:val="16"/>
                <w:szCs w:val="16"/>
              </w:rPr>
            </w:pPr>
            <w:r w:rsidRPr="00BF675C">
              <w:rPr>
                <w:color w:val="000000"/>
                <w:sz w:val="16"/>
                <w:szCs w:val="16"/>
              </w:rPr>
              <w:t>Rozdíl</w:t>
            </w:r>
          </w:p>
        </w:tc>
        <w:tc>
          <w:tcPr>
            <w:tcW w:w="241"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p>
        </w:tc>
        <w:tc>
          <w:tcPr>
            <w:tcW w:w="241"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p>
        </w:tc>
        <w:tc>
          <w:tcPr>
            <w:tcW w:w="181" w:type="pct"/>
            <w:tcBorders>
              <w:top w:val="nil"/>
              <w:left w:val="nil"/>
              <w:bottom w:val="single" w:sz="4" w:space="0" w:color="1F497D"/>
              <w:right w:val="single" w:sz="4" w:space="0" w:color="1F497D"/>
            </w:tcBorders>
            <w:shd w:val="clear" w:color="000000" w:fill="FFFFFF"/>
            <w:vAlign w:val="center"/>
            <w:hideMark/>
          </w:tcPr>
          <w:p w:rsidR="00BF675C" w:rsidRPr="00BF675C" w:rsidRDefault="00BF675C" w:rsidP="00BF675C">
            <w:pPr>
              <w:jc w:val="center"/>
              <w:rPr>
                <w:color w:val="000000"/>
                <w:sz w:val="16"/>
                <w:szCs w:val="16"/>
              </w:rPr>
            </w:pPr>
            <w:r w:rsidRPr="00BF675C">
              <w:rPr>
                <w:color w:val="000000"/>
                <w:sz w:val="16"/>
                <w:szCs w:val="16"/>
              </w:rPr>
              <w:t>0</w:t>
            </w:r>
          </w:p>
        </w:tc>
        <w:tc>
          <w:tcPr>
            <w:tcW w:w="268"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0,00</w:t>
            </w:r>
          </w:p>
        </w:tc>
        <w:tc>
          <w:tcPr>
            <w:tcW w:w="207"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0,00</w:t>
            </w:r>
          </w:p>
        </w:tc>
        <w:tc>
          <w:tcPr>
            <w:tcW w:w="234"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3,87</w:t>
            </w:r>
          </w:p>
        </w:tc>
        <w:tc>
          <w:tcPr>
            <w:tcW w:w="174"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-2</w:t>
            </w:r>
          </w:p>
        </w:tc>
        <w:tc>
          <w:tcPr>
            <w:tcW w:w="261"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-218,79</w:t>
            </w:r>
          </w:p>
        </w:tc>
        <w:tc>
          <w:tcPr>
            <w:tcW w:w="214"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-3,85</w:t>
            </w:r>
          </w:p>
        </w:tc>
        <w:tc>
          <w:tcPr>
            <w:tcW w:w="214"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-7,38</w:t>
            </w:r>
          </w:p>
        </w:tc>
        <w:tc>
          <w:tcPr>
            <w:tcW w:w="261"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398,11</w:t>
            </w:r>
          </w:p>
        </w:tc>
        <w:tc>
          <w:tcPr>
            <w:tcW w:w="228"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7,01</w:t>
            </w:r>
          </w:p>
        </w:tc>
        <w:tc>
          <w:tcPr>
            <w:tcW w:w="254"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14,63</w:t>
            </w:r>
          </w:p>
        </w:tc>
        <w:tc>
          <w:tcPr>
            <w:tcW w:w="288"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423,46</w:t>
            </w:r>
          </w:p>
        </w:tc>
        <w:tc>
          <w:tcPr>
            <w:tcW w:w="214"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7,46</w:t>
            </w:r>
          </w:p>
        </w:tc>
        <w:tc>
          <w:tcPr>
            <w:tcW w:w="254"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15,49</w:t>
            </w:r>
          </w:p>
        </w:tc>
        <w:tc>
          <w:tcPr>
            <w:tcW w:w="274" w:type="pct"/>
            <w:tcBorders>
              <w:top w:val="nil"/>
              <w:left w:val="single" w:sz="4" w:space="0" w:color="auto"/>
              <w:bottom w:val="single" w:sz="4" w:space="0" w:color="auto"/>
              <w:right w:val="single" w:sz="4" w:space="0" w:color="auto"/>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-6,95</w:t>
            </w:r>
          </w:p>
        </w:tc>
        <w:tc>
          <w:tcPr>
            <w:tcW w:w="207" w:type="pct"/>
            <w:tcBorders>
              <w:top w:val="nil"/>
              <w:left w:val="nil"/>
              <w:bottom w:val="single" w:sz="4" w:space="0" w:color="auto"/>
              <w:right w:val="single" w:sz="4" w:space="0" w:color="auto"/>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-0,12</w:t>
            </w:r>
          </w:p>
        </w:tc>
        <w:tc>
          <w:tcPr>
            <w:tcW w:w="207" w:type="pct"/>
            <w:tcBorders>
              <w:top w:val="nil"/>
              <w:left w:val="nil"/>
              <w:bottom w:val="single" w:sz="4" w:space="0" w:color="auto"/>
              <w:right w:val="single" w:sz="4" w:space="0" w:color="auto"/>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-0,27</w:t>
            </w:r>
          </w:p>
        </w:tc>
      </w:tr>
    </w:tbl>
    <w:p w:rsidR="00BF675C" w:rsidRPr="00BF675C" w:rsidRDefault="00BF675C" w:rsidP="00BF675C"/>
    <w:p w:rsidR="007903EE" w:rsidRPr="00A55196" w:rsidRDefault="007903EE" w:rsidP="007903EE">
      <w:pPr>
        <w:spacing w:before="120"/>
        <w:rPr>
          <w:b/>
          <w:u w:val="single"/>
        </w:rPr>
      </w:pPr>
      <w:r>
        <w:rPr>
          <w:b/>
          <w:u w:val="single"/>
        </w:rPr>
        <w:t>P</w:t>
      </w:r>
      <w:r w:rsidRPr="00A55196">
        <w:rPr>
          <w:b/>
          <w:u w:val="single"/>
        </w:rPr>
        <w:t>ro všechny tabulky</w:t>
      </w:r>
      <w:r w:rsidR="00632F10">
        <w:rPr>
          <w:b/>
          <w:u w:val="single"/>
        </w:rPr>
        <w:t xml:space="preserve"> v PO 5</w:t>
      </w:r>
      <w:r w:rsidRPr="00A55196">
        <w:rPr>
          <w:b/>
          <w:u w:val="single"/>
        </w:rPr>
        <w:t xml:space="preserve"> platí:</w:t>
      </w:r>
    </w:p>
    <w:p w:rsidR="007903EE" w:rsidRPr="00F42CC8" w:rsidRDefault="007903EE" w:rsidP="009A4B9F">
      <w:pPr>
        <w:rPr>
          <w:i/>
          <w:sz w:val="18"/>
          <w:szCs w:val="18"/>
        </w:rPr>
      </w:pPr>
      <w:r w:rsidRPr="00C9059F">
        <w:rPr>
          <w:i/>
          <w:sz w:val="18"/>
          <w:szCs w:val="18"/>
        </w:rPr>
        <w:t xml:space="preserve">Zdroj: Aktuální </w:t>
      </w:r>
      <w:proofErr w:type="spellStart"/>
      <w:r w:rsidRPr="00C9059F">
        <w:rPr>
          <w:i/>
          <w:sz w:val="18"/>
          <w:szCs w:val="18"/>
        </w:rPr>
        <w:t>MoV</w:t>
      </w:r>
      <w:proofErr w:type="spellEnd"/>
      <w:r w:rsidRPr="00C9059F">
        <w:rPr>
          <w:i/>
          <w:sz w:val="18"/>
          <w:szCs w:val="18"/>
        </w:rPr>
        <w:t xml:space="preserve"> – MSC2007 ke </w:t>
      </w:r>
      <w:r w:rsidRPr="00F42CC8">
        <w:rPr>
          <w:i/>
          <w:sz w:val="18"/>
          <w:szCs w:val="18"/>
        </w:rPr>
        <w:t xml:space="preserve">dni </w:t>
      </w:r>
      <w:r w:rsidR="0015783A">
        <w:rPr>
          <w:i/>
          <w:sz w:val="18"/>
          <w:szCs w:val="18"/>
        </w:rPr>
        <w:t>30. 9. 2015</w:t>
      </w:r>
      <w:r w:rsidR="00D15C73">
        <w:rPr>
          <w:i/>
          <w:sz w:val="18"/>
          <w:szCs w:val="18"/>
        </w:rPr>
        <w:t xml:space="preserve">; Data za certifikované prostředky byla v celé zprávě generována k datu 8. 10. 2015, důvodem je technická chyba způsobena chybným přenosem dat </w:t>
      </w:r>
      <w:proofErr w:type="gramStart"/>
      <w:r w:rsidR="00D15C73">
        <w:rPr>
          <w:i/>
          <w:sz w:val="18"/>
          <w:szCs w:val="18"/>
        </w:rPr>
        <w:t>mezi</w:t>
      </w:r>
      <w:proofErr w:type="gramEnd"/>
      <w:r w:rsidR="00D15C73">
        <w:rPr>
          <w:i/>
          <w:sz w:val="18"/>
          <w:szCs w:val="18"/>
        </w:rPr>
        <w:t xml:space="preserve"> IS Viola a MSC2007</w:t>
      </w:r>
    </w:p>
    <w:p w:rsidR="007903EE" w:rsidRPr="00F42CC8" w:rsidRDefault="007903EE" w:rsidP="008967E2">
      <w:pPr>
        <w:rPr>
          <w:i/>
          <w:sz w:val="18"/>
          <w:szCs w:val="18"/>
        </w:rPr>
      </w:pPr>
      <w:r w:rsidRPr="00F42CC8">
        <w:rPr>
          <w:i/>
          <w:sz w:val="18"/>
          <w:szCs w:val="18"/>
        </w:rPr>
        <w:t xml:space="preserve">           Předchozí </w:t>
      </w:r>
      <w:proofErr w:type="spellStart"/>
      <w:r w:rsidRPr="00F42CC8">
        <w:rPr>
          <w:i/>
          <w:sz w:val="18"/>
          <w:szCs w:val="18"/>
        </w:rPr>
        <w:t>MoV</w:t>
      </w:r>
      <w:proofErr w:type="spellEnd"/>
      <w:r w:rsidRPr="00F42CC8">
        <w:rPr>
          <w:i/>
          <w:sz w:val="18"/>
          <w:szCs w:val="18"/>
        </w:rPr>
        <w:t xml:space="preserve"> – MSC2007+ ke dni.</w:t>
      </w:r>
      <w:r w:rsidR="00994584" w:rsidRPr="00994584">
        <w:rPr>
          <w:i/>
          <w:sz w:val="18"/>
          <w:szCs w:val="18"/>
        </w:rPr>
        <w:t xml:space="preserve"> </w:t>
      </w:r>
      <w:r w:rsidR="00C0652F">
        <w:rPr>
          <w:i/>
          <w:sz w:val="18"/>
          <w:szCs w:val="18"/>
        </w:rPr>
        <w:t>16. 4. 2015</w:t>
      </w:r>
    </w:p>
    <w:p w:rsidR="007903EE" w:rsidRPr="00277C9A" w:rsidRDefault="007903EE" w:rsidP="008967E2">
      <w:pPr>
        <w:rPr>
          <w:i/>
          <w:sz w:val="18"/>
          <w:szCs w:val="18"/>
        </w:rPr>
      </w:pPr>
      <w:r w:rsidRPr="00277C9A">
        <w:rPr>
          <w:i/>
          <w:sz w:val="18"/>
          <w:szCs w:val="18"/>
        </w:rPr>
        <w:t xml:space="preserve"> Kurz CZK/EUR: Aktuální </w:t>
      </w:r>
      <w:proofErr w:type="spellStart"/>
      <w:r w:rsidRPr="00277C9A">
        <w:rPr>
          <w:i/>
          <w:sz w:val="18"/>
          <w:szCs w:val="18"/>
        </w:rPr>
        <w:t>MoV</w:t>
      </w:r>
      <w:proofErr w:type="spellEnd"/>
      <w:r w:rsidRPr="00277C9A">
        <w:rPr>
          <w:i/>
          <w:sz w:val="18"/>
          <w:szCs w:val="18"/>
        </w:rPr>
        <w:t xml:space="preserve"> </w:t>
      </w:r>
      <w:r w:rsidRPr="00737479">
        <w:rPr>
          <w:i/>
          <w:sz w:val="18"/>
          <w:szCs w:val="18"/>
        </w:rPr>
        <w:t xml:space="preserve">– </w:t>
      </w:r>
      <w:r w:rsidR="00820045">
        <w:rPr>
          <w:i/>
          <w:sz w:val="18"/>
          <w:szCs w:val="18"/>
        </w:rPr>
        <w:t>27,208</w:t>
      </w:r>
    </w:p>
    <w:p w:rsidR="007903EE" w:rsidRPr="00277C9A" w:rsidRDefault="007903EE" w:rsidP="008967E2">
      <w:pPr>
        <w:rPr>
          <w:i/>
          <w:sz w:val="18"/>
          <w:szCs w:val="18"/>
        </w:rPr>
      </w:pPr>
      <w:r w:rsidRPr="00277C9A">
        <w:rPr>
          <w:i/>
          <w:sz w:val="18"/>
          <w:szCs w:val="18"/>
        </w:rPr>
        <w:t xml:space="preserve">                            Předchozí </w:t>
      </w:r>
      <w:proofErr w:type="spellStart"/>
      <w:r w:rsidRPr="00277C9A">
        <w:rPr>
          <w:i/>
          <w:sz w:val="18"/>
          <w:szCs w:val="18"/>
        </w:rPr>
        <w:t>MoV</w:t>
      </w:r>
      <w:proofErr w:type="spellEnd"/>
      <w:r>
        <w:rPr>
          <w:i/>
          <w:sz w:val="18"/>
          <w:szCs w:val="18"/>
        </w:rPr>
        <w:t xml:space="preserve"> </w:t>
      </w:r>
      <w:r w:rsidRPr="00277C9A">
        <w:rPr>
          <w:i/>
          <w:sz w:val="18"/>
          <w:szCs w:val="18"/>
        </w:rPr>
        <w:t xml:space="preserve">– </w:t>
      </w:r>
      <w:r w:rsidR="00820045">
        <w:rPr>
          <w:i/>
          <w:sz w:val="18"/>
          <w:szCs w:val="18"/>
        </w:rPr>
        <w:t>27,473</w:t>
      </w:r>
    </w:p>
    <w:p w:rsidR="007903EE" w:rsidRDefault="007903EE" w:rsidP="009A4B9F">
      <w:pPr>
        <w:rPr>
          <w:i/>
          <w:sz w:val="18"/>
          <w:szCs w:val="18"/>
        </w:rPr>
        <w:sectPr w:rsidR="007903EE" w:rsidSect="00356E21">
          <w:pgSz w:w="16840" w:h="11907" w:orient="landscape" w:code="9"/>
          <w:pgMar w:top="1418" w:right="1418" w:bottom="1418" w:left="1418" w:header="709" w:footer="709" w:gutter="0"/>
          <w:cols w:space="708"/>
          <w:docGrid w:linePitch="272"/>
        </w:sectPr>
      </w:pPr>
      <w:r w:rsidRPr="00277C9A">
        <w:rPr>
          <w:i/>
          <w:sz w:val="18"/>
          <w:szCs w:val="18"/>
        </w:rPr>
        <w:t xml:space="preserve">Zdroj financování – </w:t>
      </w:r>
      <w:r>
        <w:rPr>
          <w:i/>
          <w:sz w:val="18"/>
          <w:szCs w:val="18"/>
        </w:rPr>
        <w:t>podíl E</w:t>
      </w:r>
      <w:r w:rsidR="006F4A68">
        <w:rPr>
          <w:i/>
          <w:sz w:val="18"/>
          <w:szCs w:val="18"/>
        </w:rPr>
        <w:t>U</w:t>
      </w:r>
    </w:p>
    <w:p w:rsidR="00C95C76" w:rsidRDefault="00202966" w:rsidP="007348EC">
      <w:pPr>
        <w:jc w:val="both"/>
        <w:rPr>
          <w:sz w:val="22"/>
          <w:szCs w:val="22"/>
        </w:rPr>
      </w:pPr>
      <w:r w:rsidRPr="00202966">
        <w:rPr>
          <w:b/>
          <w:sz w:val="22"/>
          <w:szCs w:val="22"/>
        </w:rPr>
        <w:lastRenderedPageBreak/>
        <w:t xml:space="preserve">V oblasti intervence 5.2 </w:t>
      </w:r>
      <w:r w:rsidR="00B63ACF">
        <w:rPr>
          <w:sz w:val="22"/>
          <w:szCs w:val="22"/>
        </w:rPr>
        <w:t xml:space="preserve">pravidelně dochází </w:t>
      </w:r>
      <w:r w:rsidR="00B63ACF" w:rsidRPr="003B53F0">
        <w:rPr>
          <w:sz w:val="22"/>
          <w:szCs w:val="22"/>
        </w:rPr>
        <w:t>k naplňování predikcí</w:t>
      </w:r>
      <w:r w:rsidR="00E16EC6" w:rsidRPr="003B53F0">
        <w:rPr>
          <w:sz w:val="22"/>
          <w:szCs w:val="22"/>
        </w:rPr>
        <w:t xml:space="preserve"> čerpání</w:t>
      </w:r>
      <w:r w:rsidR="00B63ACF" w:rsidRPr="003B53F0">
        <w:rPr>
          <w:sz w:val="22"/>
          <w:szCs w:val="22"/>
        </w:rPr>
        <w:t>.</w:t>
      </w:r>
      <w:r w:rsidR="003C106C" w:rsidRPr="003B53F0">
        <w:rPr>
          <w:sz w:val="22"/>
          <w:szCs w:val="22"/>
        </w:rPr>
        <w:t xml:space="preserve"> V této oblasti intervence</w:t>
      </w:r>
      <w:r w:rsidR="00B63ACF" w:rsidRPr="003B53F0">
        <w:rPr>
          <w:sz w:val="22"/>
          <w:szCs w:val="22"/>
        </w:rPr>
        <w:t xml:space="preserve"> </w:t>
      </w:r>
      <w:r w:rsidR="003C106C" w:rsidRPr="003B53F0">
        <w:rPr>
          <w:sz w:val="22"/>
          <w:szCs w:val="22"/>
        </w:rPr>
        <w:t>bylo schváleno</w:t>
      </w:r>
      <w:r w:rsidR="00A118BC" w:rsidRPr="003B53F0">
        <w:rPr>
          <w:sz w:val="22"/>
          <w:szCs w:val="22"/>
        </w:rPr>
        <w:t xml:space="preserve"> </w:t>
      </w:r>
      <w:r w:rsidR="007F3EE8" w:rsidRPr="003B53F0">
        <w:rPr>
          <w:sz w:val="22"/>
          <w:szCs w:val="22"/>
        </w:rPr>
        <w:t>14</w:t>
      </w:r>
      <w:r w:rsidR="0070070E">
        <w:rPr>
          <w:sz w:val="22"/>
          <w:szCs w:val="22"/>
        </w:rPr>
        <w:t>66</w:t>
      </w:r>
      <w:r w:rsidR="003C106C" w:rsidRPr="003B53F0">
        <w:rPr>
          <w:sz w:val="22"/>
          <w:szCs w:val="22"/>
        </w:rPr>
        <w:t xml:space="preserve"> celkem projektů o objemu </w:t>
      </w:r>
      <w:r w:rsidR="0070070E">
        <w:rPr>
          <w:sz w:val="22"/>
          <w:szCs w:val="22"/>
        </w:rPr>
        <w:t>237,43</w:t>
      </w:r>
      <w:r w:rsidR="00A118BC" w:rsidRPr="003B53F0">
        <w:rPr>
          <w:sz w:val="22"/>
          <w:szCs w:val="22"/>
        </w:rPr>
        <w:t xml:space="preserve"> </w:t>
      </w:r>
      <w:r w:rsidR="003C106C" w:rsidRPr="003B53F0">
        <w:rPr>
          <w:sz w:val="22"/>
          <w:szCs w:val="22"/>
        </w:rPr>
        <w:t>mil. EUR.  Projekty s vydaným Rozhodnutím činí</w:t>
      </w:r>
      <w:r w:rsidR="0070070E">
        <w:rPr>
          <w:sz w:val="22"/>
          <w:szCs w:val="22"/>
        </w:rPr>
        <w:t xml:space="preserve"> 111,85</w:t>
      </w:r>
      <w:r w:rsidR="003C106C" w:rsidRPr="003B53F0">
        <w:rPr>
          <w:sz w:val="22"/>
          <w:szCs w:val="22"/>
        </w:rPr>
        <w:t xml:space="preserve"> % alokace této oblasti intervence. Příjemcům bylo v daném období proplaceno </w:t>
      </w:r>
      <w:r w:rsidR="0070070E">
        <w:rPr>
          <w:sz w:val="22"/>
          <w:szCs w:val="22"/>
        </w:rPr>
        <w:t xml:space="preserve">8,83 </w:t>
      </w:r>
      <w:r w:rsidR="003C106C" w:rsidRPr="003B53F0">
        <w:rPr>
          <w:sz w:val="22"/>
          <w:szCs w:val="22"/>
        </w:rPr>
        <w:t xml:space="preserve">mil. EUR </w:t>
      </w:r>
      <w:r w:rsidR="007F3EE8" w:rsidRPr="003B53F0">
        <w:rPr>
          <w:sz w:val="22"/>
          <w:szCs w:val="22"/>
        </w:rPr>
        <w:br/>
      </w:r>
      <w:r w:rsidR="003C106C" w:rsidRPr="003B53F0">
        <w:rPr>
          <w:sz w:val="22"/>
          <w:szCs w:val="22"/>
        </w:rPr>
        <w:t>(</w:t>
      </w:r>
      <w:r w:rsidR="0070070E">
        <w:rPr>
          <w:sz w:val="22"/>
          <w:szCs w:val="22"/>
        </w:rPr>
        <w:t xml:space="preserve">4,34 </w:t>
      </w:r>
      <w:r w:rsidR="003C106C" w:rsidRPr="003B53F0">
        <w:rPr>
          <w:sz w:val="22"/>
          <w:szCs w:val="22"/>
        </w:rPr>
        <w:t>% alokace) a celková proplacená částka činí</w:t>
      </w:r>
      <w:r w:rsidR="007F3EE8" w:rsidRPr="003B53F0">
        <w:rPr>
          <w:sz w:val="22"/>
          <w:szCs w:val="22"/>
        </w:rPr>
        <w:t xml:space="preserve"> </w:t>
      </w:r>
      <w:r w:rsidR="0070070E">
        <w:rPr>
          <w:sz w:val="22"/>
          <w:szCs w:val="22"/>
        </w:rPr>
        <w:t xml:space="preserve">180,99 </w:t>
      </w:r>
      <w:r w:rsidR="0070070E" w:rsidRPr="003B53F0">
        <w:rPr>
          <w:sz w:val="22"/>
          <w:szCs w:val="22"/>
        </w:rPr>
        <w:t>mil.</w:t>
      </w:r>
      <w:r w:rsidR="003C106C" w:rsidRPr="003B53F0">
        <w:rPr>
          <w:sz w:val="22"/>
          <w:szCs w:val="22"/>
        </w:rPr>
        <w:t xml:space="preserve"> EUR (</w:t>
      </w:r>
      <w:r w:rsidR="00994E38">
        <w:rPr>
          <w:sz w:val="22"/>
          <w:szCs w:val="22"/>
        </w:rPr>
        <w:t>84,04 % alokace</w:t>
      </w:r>
      <w:r w:rsidR="003C106C" w:rsidRPr="003B53F0">
        <w:rPr>
          <w:sz w:val="22"/>
          <w:szCs w:val="22"/>
        </w:rPr>
        <w:t>). Certifikované výdaje představují</w:t>
      </w:r>
      <w:r w:rsidR="007F3EE8" w:rsidRPr="003B53F0">
        <w:rPr>
          <w:sz w:val="22"/>
          <w:szCs w:val="22"/>
        </w:rPr>
        <w:t xml:space="preserve"> </w:t>
      </w:r>
      <w:r w:rsidR="0070070E">
        <w:rPr>
          <w:sz w:val="22"/>
          <w:szCs w:val="22"/>
        </w:rPr>
        <w:t>170,73</w:t>
      </w:r>
      <w:r w:rsidR="003C106C" w:rsidRPr="003B53F0">
        <w:rPr>
          <w:sz w:val="22"/>
          <w:szCs w:val="22"/>
        </w:rPr>
        <w:t xml:space="preserve"> mil. EUR, tj.</w:t>
      </w:r>
      <w:r w:rsidR="007F3EE8" w:rsidRPr="003B53F0">
        <w:rPr>
          <w:sz w:val="22"/>
          <w:szCs w:val="22"/>
        </w:rPr>
        <w:t xml:space="preserve"> </w:t>
      </w:r>
      <w:r w:rsidR="0070070E">
        <w:rPr>
          <w:sz w:val="22"/>
          <w:szCs w:val="22"/>
        </w:rPr>
        <w:t>79,14</w:t>
      </w:r>
      <w:r w:rsidR="003C106C" w:rsidRPr="003B53F0">
        <w:rPr>
          <w:sz w:val="22"/>
          <w:szCs w:val="22"/>
        </w:rPr>
        <w:t xml:space="preserve"> </w:t>
      </w:r>
      <w:r w:rsidR="009C6464" w:rsidRPr="003B53F0">
        <w:rPr>
          <w:sz w:val="22"/>
          <w:szCs w:val="22"/>
        </w:rPr>
        <w:t>% alokace této oblasti intervence.</w:t>
      </w:r>
      <w:r w:rsidR="009C6464">
        <w:rPr>
          <w:sz w:val="22"/>
          <w:szCs w:val="22"/>
        </w:rPr>
        <w:t xml:space="preserve"> </w:t>
      </w:r>
    </w:p>
    <w:p w:rsidR="007C5272" w:rsidRDefault="007C5272" w:rsidP="007348EC">
      <w:pPr>
        <w:jc w:val="both"/>
        <w:rPr>
          <w:sz w:val="22"/>
          <w:szCs w:val="22"/>
        </w:rPr>
      </w:pPr>
    </w:p>
    <w:p w:rsidR="0032787B" w:rsidRDefault="00C95C76" w:rsidP="00C65860">
      <w:pPr>
        <w:pStyle w:val="Tabulkanzev"/>
        <w:keepNext/>
        <w:keepLines/>
        <w:rPr>
          <w:rStyle w:val="Siln"/>
        </w:rPr>
      </w:pPr>
      <w:bookmarkStart w:id="122" w:name="_Toc433873565"/>
      <w:r w:rsidRPr="00B17A5E">
        <w:rPr>
          <w:rStyle w:val="Siln"/>
        </w:rPr>
        <w:t>Kumulativní pokrok na úrovni oblastí intervence 5.2 (v mil. CZK/EUR</w:t>
      </w:r>
      <w:r w:rsidRPr="007A3602">
        <w:rPr>
          <w:rStyle w:val="Siln"/>
        </w:rPr>
        <w:t>)</w:t>
      </w:r>
      <w:bookmarkEnd w:id="122"/>
    </w:p>
    <w:tbl>
      <w:tblPr>
        <w:tblW w:w="5000" w:type="pct"/>
        <w:tblCellMar>
          <w:left w:w="70" w:type="dxa"/>
          <w:right w:w="70" w:type="dxa"/>
        </w:tblCellMar>
        <w:tblLook w:val="04A0" w:firstRow="1" w:lastRow="0" w:firstColumn="1" w:lastColumn="0" w:noHBand="0" w:noVBand="1"/>
      </w:tblPr>
      <w:tblGrid>
        <w:gridCol w:w="718"/>
        <w:gridCol w:w="943"/>
        <w:gridCol w:w="700"/>
        <w:gridCol w:w="677"/>
        <w:gridCol w:w="514"/>
        <w:gridCol w:w="753"/>
        <w:gridCol w:w="581"/>
        <w:gridCol w:w="657"/>
        <w:gridCol w:w="514"/>
        <w:gridCol w:w="733"/>
        <w:gridCol w:w="600"/>
        <w:gridCol w:w="600"/>
        <w:gridCol w:w="734"/>
        <w:gridCol w:w="641"/>
        <w:gridCol w:w="715"/>
        <w:gridCol w:w="811"/>
        <w:gridCol w:w="601"/>
        <w:gridCol w:w="715"/>
        <w:gridCol w:w="771"/>
        <w:gridCol w:w="582"/>
        <w:gridCol w:w="584"/>
      </w:tblGrid>
      <w:tr w:rsidR="00BF675C" w:rsidRPr="00BF675C" w:rsidTr="00BF675C">
        <w:trPr>
          <w:trHeight w:val="675"/>
        </w:trPr>
        <w:tc>
          <w:tcPr>
            <w:tcW w:w="241" w:type="pct"/>
            <w:vMerge w:val="restart"/>
            <w:tcBorders>
              <w:top w:val="single" w:sz="4" w:space="0" w:color="1F497D"/>
              <w:left w:val="single" w:sz="4" w:space="0" w:color="1F497D"/>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Oblast podpory</w:t>
            </w:r>
          </w:p>
        </w:tc>
        <w:tc>
          <w:tcPr>
            <w:tcW w:w="335" w:type="pct"/>
            <w:tcBorders>
              <w:top w:val="single" w:sz="4" w:space="0" w:color="1F497D"/>
              <w:left w:val="nil"/>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Datum snímku</w:t>
            </w:r>
          </w:p>
        </w:tc>
        <w:tc>
          <w:tcPr>
            <w:tcW w:w="482" w:type="pct"/>
            <w:gridSpan w:val="2"/>
            <w:tcBorders>
              <w:top w:val="single" w:sz="4" w:space="0" w:color="1F497D"/>
              <w:left w:val="nil"/>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Celková alokace podpory 2007-2013</w:t>
            </w:r>
          </w:p>
        </w:tc>
        <w:tc>
          <w:tcPr>
            <w:tcW w:w="890" w:type="pct"/>
            <w:gridSpan w:val="4"/>
            <w:tcBorders>
              <w:top w:val="single" w:sz="4" w:space="0" w:color="1F497D"/>
              <w:left w:val="nil"/>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Podané žádosti</w:t>
            </w:r>
          </w:p>
        </w:tc>
        <w:tc>
          <w:tcPr>
            <w:tcW w:w="863" w:type="pct"/>
            <w:gridSpan w:val="4"/>
            <w:tcBorders>
              <w:top w:val="single" w:sz="4" w:space="0" w:color="1F497D"/>
              <w:left w:val="nil"/>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Prostředky kryté Rozhodnutím / Smlouvou (dodatkem)</w:t>
            </w:r>
          </w:p>
        </w:tc>
        <w:tc>
          <w:tcPr>
            <w:tcW w:w="743" w:type="pct"/>
            <w:gridSpan w:val="3"/>
            <w:tcBorders>
              <w:top w:val="single" w:sz="4" w:space="0" w:color="1F497D"/>
              <w:left w:val="nil"/>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Proplacené prostředky příjemcům (vyúčtované prostředky)</w:t>
            </w:r>
          </w:p>
        </w:tc>
        <w:tc>
          <w:tcPr>
            <w:tcW w:w="756" w:type="pct"/>
            <w:gridSpan w:val="3"/>
            <w:tcBorders>
              <w:top w:val="single" w:sz="4" w:space="0" w:color="1F497D"/>
              <w:left w:val="nil"/>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Souhrnné žádosti zaúčtované PCO</w:t>
            </w:r>
          </w:p>
        </w:tc>
        <w:tc>
          <w:tcPr>
            <w:tcW w:w="689" w:type="pct"/>
            <w:gridSpan w:val="3"/>
            <w:tcBorders>
              <w:top w:val="single" w:sz="4" w:space="0" w:color="1F497D"/>
              <w:left w:val="nil"/>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Certifikované prostředky (včetně vratek)</w:t>
            </w:r>
          </w:p>
        </w:tc>
      </w:tr>
      <w:tr w:rsidR="00BF675C" w:rsidRPr="00BF675C" w:rsidTr="00BF675C">
        <w:trPr>
          <w:trHeight w:val="435"/>
        </w:trPr>
        <w:tc>
          <w:tcPr>
            <w:tcW w:w="241" w:type="pct"/>
            <w:vMerge/>
            <w:tcBorders>
              <w:top w:val="single" w:sz="4" w:space="0" w:color="1F497D"/>
              <w:left w:val="single" w:sz="4" w:space="0" w:color="1F497D"/>
              <w:bottom w:val="single" w:sz="4" w:space="0" w:color="1F497D"/>
              <w:right w:val="single" w:sz="4" w:space="0" w:color="1F497D"/>
            </w:tcBorders>
            <w:vAlign w:val="center"/>
            <w:hideMark/>
          </w:tcPr>
          <w:p w:rsidR="00BF675C" w:rsidRPr="00BF675C" w:rsidRDefault="00BF675C" w:rsidP="00BF675C">
            <w:pPr>
              <w:rPr>
                <w:b/>
                <w:bCs/>
                <w:color w:val="000000"/>
                <w:sz w:val="16"/>
                <w:szCs w:val="16"/>
              </w:rPr>
            </w:pPr>
          </w:p>
        </w:tc>
        <w:tc>
          <w:tcPr>
            <w:tcW w:w="335" w:type="pct"/>
            <w:vMerge w:val="restart"/>
            <w:tcBorders>
              <w:top w:val="nil"/>
              <w:left w:val="single" w:sz="4" w:space="0" w:color="1F497D"/>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Den</w:t>
            </w:r>
          </w:p>
        </w:tc>
        <w:tc>
          <w:tcPr>
            <w:tcW w:w="241" w:type="pct"/>
            <w:tcBorders>
              <w:top w:val="nil"/>
              <w:left w:val="nil"/>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mil. CZK</w:t>
            </w:r>
          </w:p>
        </w:tc>
        <w:tc>
          <w:tcPr>
            <w:tcW w:w="241" w:type="pct"/>
            <w:vMerge w:val="restart"/>
            <w:tcBorders>
              <w:top w:val="nil"/>
              <w:left w:val="single" w:sz="4" w:space="0" w:color="1F497D"/>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mil. EUR</w:t>
            </w:r>
          </w:p>
        </w:tc>
        <w:tc>
          <w:tcPr>
            <w:tcW w:w="181" w:type="pct"/>
            <w:tcBorders>
              <w:top w:val="nil"/>
              <w:left w:val="nil"/>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Počet</w:t>
            </w:r>
          </w:p>
        </w:tc>
        <w:tc>
          <w:tcPr>
            <w:tcW w:w="268" w:type="pct"/>
            <w:tcBorders>
              <w:top w:val="nil"/>
              <w:left w:val="nil"/>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mil. CZK</w:t>
            </w:r>
          </w:p>
        </w:tc>
        <w:tc>
          <w:tcPr>
            <w:tcW w:w="207" w:type="pct"/>
            <w:tcBorders>
              <w:top w:val="nil"/>
              <w:left w:val="nil"/>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w:t>
            </w:r>
          </w:p>
        </w:tc>
        <w:tc>
          <w:tcPr>
            <w:tcW w:w="234" w:type="pct"/>
            <w:vMerge w:val="restart"/>
            <w:tcBorders>
              <w:top w:val="nil"/>
              <w:left w:val="single" w:sz="4" w:space="0" w:color="1F497D"/>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mil. EUR</w:t>
            </w:r>
          </w:p>
        </w:tc>
        <w:tc>
          <w:tcPr>
            <w:tcW w:w="174" w:type="pct"/>
            <w:tcBorders>
              <w:top w:val="nil"/>
              <w:left w:val="nil"/>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Počet</w:t>
            </w:r>
          </w:p>
        </w:tc>
        <w:tc>
          <w:tcPr>
            <w:tcW w:w="261" w:type="pct"/>
            <w:tcBorders>
              <w:top w:val="nil"/>
              <w:left w:val="nil"/>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mil. CZK</w:t>
            </w:r>
          </w:p>
        </w:tc>
        <w:tc>
          <w:tcPr>
            <w:tcW w:w="214" w:type="pct"/>
            <w:tcBorders>
              <w:top w:val="nil"/>
              <w:left w:val="nil"/>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w:t>
            </w:r>
          </w:p>
        </w:tc>
        <w:tc>
          <w:tcPr>
            <w:tcW w:w="214" w:type="pct"/>
            <w:vMerge w:val="restart"/>
            <w:tcBorders>
              <w:top w:val="nil"/>
              <w:left w:val="single" w:sz="4" w:space="0" w:color="1F497D"/>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mil. EUR</w:t>
            </w:r>
          </w:p>
        </w:tc>
        <w:tc>
          <w:tcPr>
            <w:tcW w:w="261" w:type="pct"/>
            <w:tcBorders>
              <w:top w:val="nil"/>
              <w:left w:val="nil"/>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mil. CZK</w:t>
            </w:r>
          </w:p>
        </w:tc>
        <w:tc>
          <w:tcPr>
            <w:tcW w:w="228" w:type="pct"/>
            <w:tcBorders>
              <w:top w:val="nil"/>
              <w:left w:val="nil"/>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w:t>
            </w:r>
          </w:p>
        </w:tc>
        <w:tc>
          <w:tcPr>
            <w:tcW w:w="254" w:type="pct"/>
            <w:vMerge w:val="restart"/>
            <w:tcBorders>
              <w:top w:val="nil"/>
              <w:left w:val="single" w:sz="4" w:space="0" w:color="1F497D"/>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mil. EUR</w:t>
            </w:r>
          </w:p>
        </w:tc>
        <w:tc>
          <w:tcPr>
            <w:tcW w:w="288" w:type="pct"/>
            <w:tcBorders>
              <w:top w:val="nil"/>
              <w:left w:val="nil"/>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mil. CZK</w:t>
            </w:r>
          </w:p>
        </w:tc>
        <w:tc>
          <w:tcPr>
            <w:tcW w:w="214" w:type="pct"/>
            <w:tcBorders>
              <w:top w:val="nil"/>
              <w:left w:val="nil"/>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w:t>
            </w:r>
          </w:p>
        </w:tc>
        <w:tc>
          <w:tcPr>
            <w:tcW w:w="254" w:type="pct"/>
            <w:vMerge w:val="restart"/>
            <w:tcBorders>
              <w:top w:val="nil"/>
              <w:left w:val="single" w:sz="4" w:space="0" w:color="1F497D"/>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mil. EUR</w:t>
            </w:r>
          </w:p>
        </w:tc>
        <w:tc>
          <w:tcPr>
            <w:tcW w:w="274" w:type="pct"/>
            <w:tcBorders>
              <w:top w:val="nil"/>
              <w:left w:val="nil"/>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mil. CZK</w:t>
            </w:r>
          </w:p>
        </w:tc>
        <w:tc>
          <w:tcPr>
            <w:tcW w:w="207" w:type="pct"/>
            <w:tcBorders>
              <w:top w:val="nil"/>
              <w:left w:val="nil"/>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w:t>
            </w:r>
          </w:p>
        </w:tc>
        <w:tc>
          <w:tcPr>
            <w:tcW w:w="207" w:type="pct"/>
            <w:vMerge w:val="restart"/>
            <w:tcBorders>
              <w:top w:val="nil"/>
              <w:left w:val="single" w:sz="4" w:space="0" w:color="1F497D"/>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mil. EUR</w:t>
            </w:r>
          </w:p>
        </w:tc>
      </w:tr>
      <w:tr w:rsidR="00BF675C" w:rsidRPr="00BF675C" w:rsidTr="00BF675C">
        <w:trPr>
          <w:trHeight w:val="240"/>
        </w:trPr>
        <w:tc>
          <w:tcPr>
            <w:tcW w:w="241" w:type="pct"/>
            <w:vMerge/>
            <w:tcBorders>
              <w:top w:val="single" w:sz="4" w:space="0" w:color="1F497D"/>
              <w:left w:val="single" w:sz="4" w:space="0" w:color="1F497D"/>
              <w:bottom w:val="single" w:sz="4" w:space="0" w:color="1F497D"/>
              <w:right w:val="single" w:sz="4" w:space="0" w:color="1F497D"/>
            </w:tcBorders>
            <w:vAlign w:val="center"/>
            <w:hideMark/>
          </w:tcPr>
          <w:p w:rsidR="00BF675C" w:rsidRPr="00BF675C" w:rsidRDefault="00BF675C" w:rsidP="00BF675C">
            <w:pPr>
              <w:rPr>
                <w:b/>
                <w:bCs/>
                <w:color w:val="000000"/>
                <w:sz w:val="16"/>
                <w:szCs w:val="16"/>
              </w:rPr>
            </w:pPr>
          </w:p>
        </w:tc>
        <w:tc>
          <w:tcPr>
            <w:tcW w:w="335" w:type="pct"/>
            <w:vMerge/>
            <w:tcBorders>
              <w:top w:val="nil"/>
              <w:left w:val="single" w:sz="4" w:space="0" w:color="1F497D"/>
              <w:bottom w:val="single" w:sz="4" w:space="0" w:color="1F497D"/>
              <w:right w:val="single" w:sz="4" w:space="0" w:color="1F497D"/>
            </w:tcBorders>
            <w:vAlign w:val="center"/>
            <w:hideMark/>
          </w:tcPr>
          <w:p w:rsidR="00BF675C" w:rsidRPr="00BF675C" w:rsidRDefault="00BF675C" w:rsidP="00BF675C">
            <w:pPr>
              <w:rPr>
                <w:b/>
                <w:bCs/>
                <w:color w:val="000000"/>
                <w:sz w:val="16"/>
                <w:szCs w:val="16"/>
              </w:rPr>
            </w:pPr>
          </w:p>
        </w:tc>
        <w:tc>
          <w:tcPr>
            <w:tcW w:w="241" w:type="pct"/>
            <w:tcBorders>
              <w:top w:val="nil"/>
              <w:left w:val="nil"/>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 xml:space="preserve">a </w:t>
            </w:r>
          </w:p>
        </w:tc>
        <w:tc>
          <w:tcPr>
            <w:tcW w:w="241" w:type="pct"/>
            <w:vMerge/>
            <w:tcBorders>
              <w:top w:val="nil"/>
              <w:left w:val="single" w:sz="4" w:space="0" w:color="1F497D"/>
              <w:bottom w:val="single" w:sz="4" w:space="0" w:color="1F497D"/>
              <w:right w:val="single" w:sz="4" w:space="0" w:color="1F497D"/>
            </w:tcBorders>
            <w:vAlign w:val="center"/>
            <w:hideMark/>
          </w:tcPr>
          <w:p w:rsidR="00BF675C" w:rsidRPr="00BF675C" w:rsidRDefault="00BF675C" w:rsidP="00BF675C">
            <w:pPr>
              <w:rPr>
                <w:b/>
                <w:bCs/>
                <w:color w:val="000000"/>
                <w:sz w:val="16"/>
                <w:szCs w:val="16"/>
              </w:rPr>
            </w:pPr>
          </w:p>
        </w:tc>
        <w:tc>
          <w:tcPr>
            <w:tcW w:w="181" w:type="pct"/>
            <w:tcBorders>
              <w:top w:val="nil"/>
              <w:left w:val="nil"/>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b</w:t>
            </w:r>
          </w:p>
        </w:tc>
        <w:tc>
          <w:tcPr>
            <w:tcW w:w="268" w:type="pct"/>
            <w:tcBorders>
              <w:top w:val="nil"/>
              <w:left w:val="nil"/>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c</w:t>
            </w:r>
          </w:p>
        </w:tc>
        <w:tc>
          <w:tcPr>
            <w:tcW w:w="207" w:type="pct"/>
            <w:tcBorders>
              <w:top w:val="nil"/>
              <w:left w:val="nil"/>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c/a</w:t>
            </w:r>
          </w:p>
        </w:tc>
        <w:tc>
          <w:tcPr>
            <w:tcW w:w="234" w:type="pct"/>
            <w:vMerge/>
            <w:tcBorders>
              <w:top w:val="nil"/>
              <w:left w:val="single" w:sz="4" w:space="0" w:color="1F497D"/>
              <w:bottom w:val="single" w:sz="4" w:space="0" w:color="1F497D"/>
              <w:right w:val="single" w:sz="4" w:space="0" w:color="1F497D"/>
            </w:tcBorders>
            <w:vAlign w:val="center"/>
            <w:hideMark/>
          </w:tcPr>
          <w:p w:rsidR="00BF675C" w:rsidRPr="00BF675C" w:rsidRDefault="00BF675C" w:rsidP="00BF675C">
            <w:pPr>
              <w:rPr>
                <w:b/>
                <w:bCs/>
                <w:color w:val="000000"/>
                <w:sz w:val="16"/>
                <w:szCs w:val="16"/>
              </w:rPr>
            </w:pPr>
          </w:p>
        </w:tc>
        <w:tc>
          <w:tcPr>
            <w:tcW w:w="174" w:type="pct"/>
            <w:tcBorders>
              <w:top w:val="nil"/>
              <w:left w:val="nil"/>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d</w:t>
            </w:r>
          </w:p>
        </w:tc>
        <w:tc>
          <w:tcPr>
            <w:tcW w:w="261" w:type="pct"/>
            <w:tcBorders>
              <w:top w:val="nil"/>
              <w:left w:val="nil"/>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e</w:t>
            </w:r>
          </w:p>
        </w:tc>
        <w:tc>
          <w:tcPr>
            <w:tcW w:w="214" w:type="pct"/>
            <w:tcBorders>
              <w:top w:val="nil"/>
              <w:left w:val="nil"/>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 xml:space="preserve">e/a </w:t>
            </w:r>
          </w:p>
        </w:tc>
        <w:tc>
          <w:tcPr>
            <w:tcW w:w="214" w:type="pct"/>
            <w:vMerge/>
            <w:tcBorders>
              <w:top w:val="nil"/>
              <w:left w:val="single" w:sz="4" w:space="0" w:color="1F497D"/>
              <w:bottom w:val="single" w:sz="4" w:space="0" w:color="1F497D"/>
              <w:right w:val="single" w:sz="4" w:space="0" w:color="1F497D"/>
            </w:tcBorders>
            <w:vAlign w:val="center"/>
            <w:hideMark/>
          </w:tcPr>
          <w:p w:rsidR="00BF675C" w:rsidRPr="00BF675C" w:rsidRDefault="00BF675C" w:rsidP="00BF675C">
            <w:pPr>
              <w:rPr>
                <w:b/>
                <w:bCs/>
                <w:color w:val="000000"/>
                <w:sz w:val="16"/>
                <w:szCs w:val="16"/>
              </w:rPr>
            </w:pPr>
          </w:p>
        </w:tc>
        <w:tc>
          <w:tcPr>
            <w:tcW w:w="261" w:type="pct"/>
            <w:tcBorders>
              <w:top w:val="nil"/>
              <w:left w:val="nil"/>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f</w:t>
            </w:r>
          </w:p>
        </w:tc>
        <w:tc>
          <w:tcPr>
            <w:tcW w:w="228" w:type="pct"/>
            <w:tcBorders>
              <w:top w:val="nil"/>
              <w:left w:val="nil"/>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 xml:space="preserve">f/a </w:t>
            </w:r>
          </w:p>
        </w:tc>
        <w:tc>
          <w:tcPr>
            <w:tcW w:w="254" w:type="pct"/>
            <w:vMerge/>
            <w:tcBorders>
              <w:top w:val="nil"/>
              <w:left w:val="single" w:sz="4" w:space="0" w:color="1F497D"/>
              <w:bottom w:val="single" w:sz="4" w:space="0" w:color="1F497D"/>
              <w:right w:val="single" w:sz="4" w:space="0" w:color="1F497D"/>
            </w:tcBorders>
            <w:vAlign w:val="center"/>
            <w:hideMark/>
          </w:tcPr>
          <w:p w:rsidR="00BF675C" w:rsidRPr="00BF675C" w:rsidRDefault="00BF675C" w:rsidP="00BF675C">
            <w:pPr>
              <w:rPr>
                <w:b/>
                <w:bCs/>
                <w:color w:val="000000"/>
                <w:sz w:val="16"/>
                <w:szCs w:val="16"/>
              </w:rPr>
            </w:pPr>
          </w:p>
        </w:tc>
        <w:tc>
          <w:tcPr>
            <w:tcW w:w="288" w:type="pct"/>
            <w:tcBorders>
              <w:top w:val="nil"/>
              <w:left w:val="nil"/>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g</w:t>
            </w:r>
          </w:p>
        </w:tc>
        <w:tc>
          <w:tcPr>
            <w:tcW w:w="214" w:type="pct"/>
            <w:tcBorders>
              <w:top w:val="nil"/>
              <w:left w:val="nil"/>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 xml:space="preserve">g/a </w:t>
            </w:r>
          </w:p>
        </w:tc>
        <w:tc>
          <w:tcPr>
            <w:tcW w:w="254" w:type="pct"/>
            <w:vMerge/>
            <w:tcBorders>
              <w:top w:val="nil"/>
              <w:left w:val="single" w:sz="4" w:space="0" w:color="1F497D"/>
              <w:bottom w:val="single" w:sz="4" w:space="0" w:color="1F497D"/>
              <w:right w:val="single" w:sz="4" w:space="0" w:color="1F497D"/>
            </w:tcBorders>
            <w:vAlign w:val="center"/>
            <w:hideMark/>
          </w:tcPr>
          <w:p w:rsidR="00BF675C" w:rsidRPr="00BF675C" w:rsidRDefault="00BF675C" w:rsidP="00BF675C">
            <w:pPr>
              <w:rPr>
                <w:b/>
                <w:bCs/>
                <w:color w:val="000000"/>
                <w:sz w:val="16"/>
                <w:szCs w:val="16"/>
              </w:rPr>
            </w:pPr>
          </w:p>
        </w:tc>
        <w:tc>
          <w:tcPr>
            <w:tcW w:w="274" w:type="pct"/>
            <w:tcBorders>
              <w:top w:val="nil"/>
              <w:left w:val="nil"/>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h</w:t>
            </w:r>
          </w:p>
        </w:tc>
        <w:tc>
          <w:tcPr>
            <w:tcW w:w="207" w:type="pct"/>
            <w:tcBorders>
              <w:top w:val="nil"/>
              <w:left w:val="nil"/>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 xml:space="preserve">h/a </w:t>
            </w:r>
          </w:p>
        </w:tc>
        <w:tc>
          <w:tcPr>
            <w:tcW w:w="207" w:type="pct"/>
            <w:vMerge/>
            <w:tcBorders>
              <w:top w:val="nil"/>
              <w:left w:val="single" w:sz="4" w:space="0" w:color="1F497D"/>
              <w:bottom w:val="single" w:sz="4" w:space="0" w:color="1F497D"/>
              <w:right w:val="single" w:sz="4" w:space="0" w:color="1F497D"/>
            </w:tcBorders>
            <w:vAlign w:val="center"/>
            <w:hideMark/>
          </w:tcPr>
          <w:p w:rsidR="00BF675C" w:rsidRPr="00BF675C" w:rsidRDefault="00BF675C" w:rsidP="00BF675C">
            <w:pPr>
              <w:rPr>
                <w:b/>
                <w:bCs/>
                <w:color w:val="000000"/>
                <w:sz w:val="16"/>
                <w:szCs w:val="16"/>
              </w:rPr>
            </w:pPr>
          </w:p>
        </w:tc>
      </w:tr>
      <w:tr w:rsidR="00BF675C" w:rsidRPr="00BF675C" w:rsidTr="00BF675C">
        <w:trPr>
          <w:trHeight w:val="225"/>
        </w:trPr>
        <w:tc>
          <w:tcPr>
            <w:tcW w:w="241" w:type="pct"/>
            <w:vMerge w:val="restart"/>
            <w:tcBorders>
              <w:top w:val="nil"/>
              <w:left w:val="single" w:sz="4" w:space="0" w:color="1F497D"/>
              <w:bottom w:val="single" w:sz="4" w:space="0" w:color="1F497D"/>
              <w:right w:val="single" w:sz="4" w:space="0" w:color="1F497D"/>
            </w:tcBorders>
            <w:shd w:val="clear" w:color="000000" w:fill="FFFFFF"/>
            <w:vAlign w:val="center"/>
            <w:hideMark/>
          </w:tcPr>
          <w:p w:rsidR="00BF675C" w:rsidRPr="00BF675C" w:rsidRDefault="00BF675C" w:rsidP="00BF675C">
            <w:pPr>
              <w:jc w:val="center"/>
              <w:rPr>
                <w:color w:val="000000"/>
                <w:sz w:val="16"/>
                <w:szCs w:val="16"/>
              </w:rPr>
            </w:pPr>
            <w:r w:rsidRPr="00BF675C">
              <w:rPr>
                <w:color w:val="000000"/>
                <w:sz w:val="16"/>
                <w:szCs w:val="16"/>
              </w:rPr>
              <w:t>5.2</w:t>
            </w:r>
          </w:p>
        </w:tc>
        <w:tc>
          <w:tcPr>
            <w:tcW w:w="335" w:type="pct"/>
            <w:tcBorders>
              <w:top w:val="nil"/>
              <w:left w:val="nil"/>
              <w:bottom w:val="single" w:sz="4" w:space="0" w:color="1F497D"/>
              <w:right w:val="single" w:sz="4" w:space="0" w:color="1F497D"/>
            </w:tcBorders>
            <w:shd w:val="clear" w:color="000000" w:fill="FFFFFF"/>
            <w:vAlign w:val="center"/>
            <w:hideMark/>
          </w:tcPr>
          <w:p w:rsidR="00BF675C" w:rsidRPr="00BF675C" w:rsidRDefault="00BF675C" w:rsidP="00BF675C">
            <w:pPr>
              <w:jc w:val="center"/>
              <w:rPr>
                <w:color w:val="000000"/>
                <w:sz w:val="16"/>
                <w:szCs w:val="16"/>
              </w:rPr>
            </w:pPr>
            <w:r w:rsidRPr="00BF675C">
              <w:rPr>
                <w:color w:val="000000"/>
                <w:sz w:val="16"/>
                <w:szCs w:val="16"/>
              </w:rPr>
              <w:t>2015/04/17</w:t>
            </w:r>
          </w:p>
        </w:tc>
        <w:tc>
          <w:tcPr>
            <w:tcW w:w="241"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5 533,55</w:t>
            </w:r>
          </w:p>
        </w:tc>
        <w:tc>
          <w:tcPr>
            <w:tcW w:w="241"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213,38</w:t>
            </w:r>
          </w:p>
        </w:tc>
        <w:tc>
          <w:tcPr>
            <w:tcW w:w="181" w:type="pct"/>
            <w:tcBorders>
              <w:top w:val="nil"/>
              <w:left w:val="nil"/>
              <w:bottom w:val="single" w:sz="4" w:space="0" w:color="1F497D"/>
              <w:right w:val="single" w:sz="4" w:space="0" w:color="1F497D"/>
            </w:tcBorders>
            <w:shd w:val="clear" w:color="000000" w:fill="FFFFFF"/>
            <w:vAlign w:val="center"/>
            <w:hideMark/>
          </w:tcPr>
          <w:p w:rsidR="00BF675C" w:rsidRPr="00BF675C" w:rsidRDefault="00BF675C" w:rsidP="00BF675C">
            <w:pPr>
              <w:jc w:val="center"/>
              <w:rPr>
                <w:color w:val="000000"/>
                <w:sz w:val="16"/>
                <w:szCs w:val="16"/>
              </w:rPr>
            </w:pPr>
            <w:r w:rsidRPr="00BF675C">
              <w:rPr>
                <w:color w:val="000000"/>
                <w:sz w:val="16"/>
                <w:szCs w:val="16"/>
              </w:rPr>
              <w:t>1 503</w:t>
            </w:r>
          </w:p>
        </w:tc>
        <w:tc>
          <w:tcPr>
            <w:tcW w:w="268"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6 506,48</w:t>
            </w:r>
          </w:p>
        </w:tc>
        <w:tc>
          <w:tcPr>
            <w:tcW w:w="207"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117,58</w:t>
            </w:r>
          </w:p>
        </w:tc>
        <w:tc>
          <w:tcPr>
            <w:tcW w:w="234"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248,79</w:t>
            </w:r>
          </w:p>
        </w:tc>
        <w:tc>
          <w:tcPr>
            <w:tcW w:w="174"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1 418</w:t>
            </w:r>
          </w:p>
        </w:tc>
        <w:tc>
          <w:tcPr>
            <w:tcW w:w="261"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5 755,36</w:t>
            </w:r>
          </w:p>
        </w:tc>
        <w:tc>
          <w:tcPr>
            <w:tcW w:w="214"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104,01</w:t>
            </w:r>
          </w:p>
        </w:tc>
        <w:tc>
          <w:tcPr>
            <w:tcW w:w="214"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221,45</w:t>
            </w:r>
          </w:p>
        </w:tc>
        <w:tc>
          <w:tcPr>
            <w:tcW w:w="261"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4 401,21</w:t>
            </w:r>
          </w:p>
        </w:tc>
        <w:tc>
          <w:tcPr>
            <w:tcW w:w="228"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79,54</w:t>
            </w:r>
          </w:p>
        </w:tc>
        <w:tc>
          <w:tcPr>
            <w:tcW w:w="254"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172,16</w:t>
            </w:r>
          </w:p>
        </w:tc>
        <w:tc>
          <w:tcPr>
            <w:tcW w:w="288"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4 247,36</w:t>
            </w:r>
          </w:p>
        </w:tc>
        <w:tc>
          <w:tcPr>
            <w:tcW w:w="214"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76,76</w:t>
            </w:r>
          </w:p>
        </w:tc>
        <w:tc>
          <w:tcPr>
            <w:tcW w:w="254"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166,56</w:t>
            </w:r>
          </w:p>
        </w:tc>
        <w:tc>
          <w:tcPr>
            <w:tcW w:w="27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4 180,74</w:t>
            </w:r>
          </w:p>
        </w:tc>
        <w:tc>
          <w:tcPr>
            <w:tcW w:w="207" w:type="pct"/>
            <w:tcBorders>
              <w:top w:val="single" w:sz="4" w:space="0" w:color="auto"/>
              <w:left w:val="nil"/>
              <w:bottom w:val="single" w:sz="4" w:space="0" w:color="auto"/>
              <w:right w:val="single" w:sz="4" w:space="0" w:color="auto"/>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75,55</w:t>
            </w:r>
          </w:p>
        </w:tc>
        <w:tc>
          <w:tcPr>
            <w:tcW w:w="207" w:type="pct"/>
            <w:tcBorders>
              <w:top w:val="single" w:sz="4" w:space="0" w:color="auto"/>
              <w:left w:val="nil"/>
              <w:bottom w:val="single" w:sz="4" w:space="0" w:color="auto"/>
              <w:right w:val="single" w:sz="4" w:space="0" w:color="auto"/>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164,09</w:t>
            </w:r>
          </w:p>
        </w:tc>
      </w:tr>
      <w:tr w:rsidR="00BF675C" w:rsidRPr="00BF675C" w:rsidTr="00BF675C">
        <w:trPr>
          <w:trHeight w:val="225"/>
        </w:trPr>
        <w:tc>
          <w:tcPr>
            <w:tcW w:w="241" w:type="pct"/>
            <w:vMerge/>
            <w:tcBorders>
              <w:top w:val="nil"/>
              <w:left w:val="single" w:sz="4" w:space="0" w:color="1F497D"/>
              <w:bottom w:val="single" w:sz="4" w:space="0" w:color="1F497D"/>
              <w:right w:val="single" w:sz="4" w:space="0" w:color="1F497D"/>
            </w:tcBorders>
            <w:vAlign w:val="center"/>
            <w:hideMark/>
          </w:tcPr>
          <w:p w:rsidR="00BF675C" w:rsidRPr="00BF675C" w:rsidRDefault="00BF675C" w:rsidP="00BF675C">
            <w:pPr>
              <w:rPr>
                <w:color w:val="000000"/>
                <w:sz w:val="16"/>
                <w:szCs w:val="16"/>
              </w:rPr>
            </w:pPr>
          </w:p>
        </w:tc>
        <w:tc>
          <w:tcPr>
            <w:tcW w:w="335" w:type="pct"/>
            <w:tcBorders>
              <w:top w:val="nil"/>
              <w:left w:val="nil"/>
              <w:bottom w:val="single" w:sz="4" w:space="0" w:color="1F497D"/>
              <w:right w:val="single" w:sz="4" w:space="0" w:color="1F497D"/>
            </w:tcBorders>
            <w:shd w:val="clear" w:color="000000" w:fill="FFFFFF"/>
            <w:vAlign w:val="center"/>
            <w:hideMark/>
          </w:tcPr>
          <w:p w:rsidR="00BF675C" w:rsidRPr="00BF675C" w:rsidRDefault="00BF675C" w:rsidP="00BF675C">
            <w:pPr>
              <w:jc w:val="center"/>
              <w:rPr>
                <w:color w:val="000000"/>
                <w:sz w:val="16"/>
                <w:szCs w:val="16"/>
              </w:rPr>
            </w:pPr>
            <w:r w:rsidRPr="00BF675C">
              <w:rPr>
                <w:color w:val="000000"/>
                <w:sz w:val="16"/>
                <w:szCs w:val="16"/>
              </w:rPr>
              <w:t>2015/10/02</w:t>
            </w:r>
          </w:p>
        </w:tc>
        <w:tc>
          <w:tcPr>
            <w:tcW w:w="241"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5 522,10</w:t>
            </w:r>
          </w:p>
        </w:tc>
        <w:tc>
          <w:tcPr>
            <w:tcW w:w="241"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213,38</w:t>
            </w:r>
          </w:p>
        </w:tc>
        <w:tc>
          <w:tcPr>
            <w:tcW w:w="181" w:type="pct"/>
            <w:tcBorders>
              <w:top w:val="nil"/>
              <w:left w:val="nil"/>
              <w:bottom w:val="single" w:sz="4" w:space="0" w:color="1F497D"/>
              <w:right w:val="single" w:sz="4" w:space="0" w:color="1F497D"/>
            </w:tcBorders>
            <w:shd w:val="clear" w:color="000000" w:fill="FFFFFF"/>
            <w:vAlign w:val="center"/>
            <w:hideMark/>
          </w:tcPr>
          <w:p w:rsidR="00BF675C" w:rsidRPr="00BF675C" w:rsidRDefault="00BF675C" w:rsidP="00BF675C">
            <w:pPr>
              <w:jc w:val="center"/>
              <w:rPr>
                <w:color w:val="000000"/>
                <w:sz w:val="16"/>
                <w:szCs w:val="16"/>
              </w:rPr>
            </w:pPr>
            <w:r w:rsidRPr="00BF675C">
              <w:rPr>
                <w:color w:val="000000"/>
                <w:sz w:val="16"/>
                <w:szCs w:val="16"/>
              </w:rPr>
              <w:t>1 547</w:t>
            </w:r>
          </w:p>
        </w:tc>
        <w:tc>
          <w:tcPr>
            <w:tcW w:w="268"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6 917,79</w:t>
            </w:r>
          </w:p>
        </w:tc>
        <w:tc>
          <w:tcPr>
            <w:tcW w:w="207"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125,27</w:t>
            </w:r>
          </w:p>
        </w:tc>
        <w:tc>
          <w:tcPr>
            <w:tcW w:w="234"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264,68</w:t>
            </w:r>
          </w:p>
        </w:tc>
        <w:tc>
          <w:tcPr>
            <w:tcW w:w="174"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1 466</w:t>
            </w:r>
          </w:p>
        </w:tc>
        <w:tc>
          <w:tcPr>
            <w:tcW w:w="261"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6 176,64</w:t>
            </w:r>
          </w:p>
        </w:tc>
        <w:tc>
          <w:tcPr>
            <w:tcW w:w="214"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111,85</w:t>
            </w:r>
          </w:p>
        </w:tc>
        <w:tc>
          <w:tcPr>
            <w:tcW w:w="214"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237,43</w:t>
            </w:r>
          </w:p>
        </w:tc>
        <w:tc>
          <w:tcPr>
            <w:tcW w:w="261"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4 640,95</w:t>
            </w:r>
          </w:p>
        </w:tc>
        <w:tc>
          <w:tcPr>
            <w:tcW w:w="228"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84,04</w:t>
            </w:r>
          </w:p>
        </w:tc>
        <w:tc>
          <w:tcPr>
            <w:tcW w:w="254"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180,99</w:t>
            </w:r>
          </w:p>
        </w:tc>
        <w:tc>
          <w:tcPr>
            <w:tcW w:w="288"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4 606,46</w:t>
            </w:r>
          </w:p>
        </w:tc>
        <w:tc>
          <w:tcPr>
            <w:tcW w:w="214"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83,42</w:t>
            </w:r>
          </w:p>
        </w:tc>
        <w:tc>
          <w:tcPr>
            <w:tcW w:w="254"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179,72</w:t>
            </w:r>
          </w:p>
        </w:tc>
        <w:tc>
          <w:tcPr>
            <w:tcW w:w="274" w:type="pct"/>
            <w:tcBorders>
              <w:top w:val="nil"/>
              <w:left w:val="single" w:sz="4" w:space="0" w:color="auto"/>
              <w:bottom w:val="single" w:sz="4" w:space="0" w:color="auto"/>
              <w:right w:val="single" w:sz="4" w:space="0" w:color="auto"/>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4 370,09</w:t>
            </w:r>
          </w:p>
        </w:tc>
        <w:tc>
          <w:tcPr>
            <w:tcW w:w="207" w:type="pct"/>
            <w:tcBorders>
              <w:top w:val="nil"/>
              <w:left w:val="nil"/>
              <w:bottom w:val="single" w:sz="4" w:space="0" w:color="auto"/>
              <w:right w:val="single" w:sz="4" w:space="0" w:color="auto"/>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79,14</w:t>
            </w:r>
          </w:p>
        </w:tc>
        <w:tc>
          <w:tcPr>
            <w:tcW w:w="207" w:type="pct"/>
            <w:tcBorders>
              <w:top w:val="nil"/>
              <w:left w:val="nil"/>
              <w:bottom w:val="single" w:sz="4" w:space="0" w:color="auto"/>
              <w:right w:val="single" w:sz="4" w:space="0" w:color="auto"/>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170,73</w:t>
            </w:r>
          </w:p>
        </w:tc>
      </w:tr>
      <w:tr w:rsidR="00BF675C" w:rsidRPr="00BF675C" w:rsidTr="00BF675C">
        <w:trPr>
          <w:trHeight w:val="225"/>
        </w:trPr>
        <w:tc>
          <w:tcPr>
            <w:tcW w:w="241" w:type="pct"/>
            <w:vMerge/>
            <w:tcBorders>
              <w:top w:val="nil"/>
              <w:left w:val="single" w:sz="4" w:space="0" w:color="1F497D"/>
              <w:bottom w:val="single" w:sz="4" w:space="0" w:color="1F497D"/>
              <w:right w:val="single" w:sz="4" w:space="0" w:color="1F497D"/>
            </w:tcBorders>
            <w:vAlign w:val="center"/>
            <w:hideMark/>
          </w:tcPr>
          <w:p w:rsidR="00BF675C" w:rsidRPr="00BF675C" w:rsidRDefault="00BF675C" w:rsidP="00BF675C">
            <w:pPr>
              <w:rPr>
                <w:color w:val="000000"/>
                <w:sz w:val="16"/>
                <w:szCs w:val="16"/>
              </w:rPr>
            </w:pPr>
          </w:p>
        </w:tc>
        <w:tc>
          <w:tcPr>
            <w:tcW w:w="335" w:type="pct"/>
            <w:tcBorders>
              <w:top w:val="nil"/>
              <w:left w:val="nil"/>
              <w:bottom w:val="single" w:sz="4" w:space="0" w:color="1F497D"/>
              <w:right w:val="single" w:sz="4" w:space="0" w:color="1F497D"/>
            </w:tcBorders>
            <w:shd w:val="clear" w:color="000000" w:fill="FFFFFF"/>
            <w:vAlign w:val="center"/>
            <w:hideMark/>
          </w:tcPr>
          <w:p w:rsidR="00BF675C" w:rsidRPr="00BF675C" w:rsidRDefault="00BF675C" w:rsidP="00BF675C">
            <w:pPr>
              <w:jc w:val="center"/>
              <w:rPr>
                <w:color w:val="000000"/>
                <w:sz w:val="16"/>
                <w:szCs w:val="16"/>
              </w:rPr>
            </w:pPr>
            <w:r w:rsidRPr="00BF675C">
              <w:rPr>
                <w:color w:val="000000"/>
                <w:sz w:val="16"/>
                <w:szCs w:val="16"/>
              </w:rPr>
              <w:t>Rozdíl</w:t>
            </w:r>
          </w:p>
        </w:tc>
        <w:tc>
          <w:tcPr>
            <w:tcW w:w="241"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p>
        </w:tc>
        <w:tc>
          <w:tcPr>
            <w:tcW w:w="241"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p>
        </w:tc>
        <w:tc>
          <w:tcPr>
            <w:tcW w:w="181" w:type="pct"/>
            <w:tcBorders>
              <w:top w:val="nil"/>
              <w:left w:val="nil"/>
              <w:bottom w:val="single" w:sz="4" w:space="0" w:color="1F497D"/>
              <w:right w:val="single" w:sz="4" w:space="0" w:color="1F497D"/>
            </w:tcBorders>
            <w:shd w:val="clear" w:color="000000" w:fill="FFFFFF"/>
            <w:vAlign w:val="center"/>
            <w:hideMark/>
          </w:tcPr>
          <w:p w:rsidR="00BF675C" w:rsidRPr="00BF675C" w:rsidRDefault="00BF675C" w:rsidP="00BF675C">
            <w:pPr>
              <w:jc w:val="center"/>
              <w:rPr>
                <w:color w:val="000000"/>
                <w:sz w:val="16"/>
                <w:szCs w:val="16"/>
              </w:rPr>
            </w:pPr>
            <w:r w:rsidRPr="00BF675C">
              <w:rPr>
                <w:color w:val="000000"/>
                <w:sz w:val="16"/>
                <w:szCs w:val="16"/>
              </w:rPr>
              <w:t>44</w:t>
            </w:r>
          </w:p>
        </w:tc>
        <w:tc>
          <w:tcPr>
            <w:tcW w:w="268"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411,31</w:t>
            </w:r>
          </w:p>
        </w:tc>
        <w:tc>
          <w:tcPr>
            <w:tcW w:w="207"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7,45</w:t>
            </w:r>
          </w:p>
        </w:tc>
        <w:tc>
          <w:tcPr>
            <w:tcW w:w="234"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15,88</w:t>
            </w:r>
          </w:p>
        </w:tc>
        <w:tc>
          <w:tcPr>
            <w:tcW w:w="174"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48</w:t>
            </w:r>
          </w:p>
        </w:tc>
        <w:tc>
          <w:tcPr>
            <w:tcW w:w="261"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421,28</w:t>
            </w:r>
          </w:p>
        </w:tc>
        <w:tc>
          <w:tcPr>
            <w:tcW w:w="214"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7,63</w:t>
            </w:r>
          </w:p>
        </w:tc>
        <w:tc>
          <w:tcPr>
            <w:tcW w:w="214"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15,98</w:t>
            </w:r>
          </w:p>
        </w:tc>
        <w:tc>
          <w:tcPr>
            <w:tcW w:w="261"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239,74</w:t>
            </w:r>
          </w:p>
        </w:tc>
        <w:tc>
          <w:tcPr>
            <w:tcW w:w="228"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4,34</w:t>
            </w:r>
          </w:p>
        </w:tc>
        <w:tc>
          <w:tcPr>
            <w:tcW w:w="254"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8,83</w:t>
            </w:r>
          </w:p>
        </w:tc>
        <w:tc>
          <w:tcPr>
            <w:tcW w:w="288"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359,11</w:t>
            </w:r>
          </w:p>
        </w:tc>
        <w:tc>
          <w:tcPr>
            <w:tcW w:w="214"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6,50</w:t>
            </w:r>
          </w:p>
        </w:tc>
        <w:tc>
          <w:tcPr>
            <w:tcW w:w="254"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13,16</w:t>
            </w:r>
          </w:p>
        </w:tc>
        <w:tc>
          <w:tcPr>
            <w:tcW w:w="274" w:type="pct"/>
            <w:tcBorders>
              <w:top w:val="nil"/>
              <w:left w:val="single" w:sz="4" w:space="0" w:color="auto"/>
              <w:bottom w:val="single" w:sz="4" w:space="0" w:color="auto"/>
              <w:right w:val="single" w:sz="4" w:space="0" w:color="auto"/>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189,35</w:t>
            </w:r>
          </w:p>
        </w:tc>
        <w:tc>
          <w:tcPr>
            <w:tcW w:w="207" w:type="pct"/>
            <w:tcBorders>
              <w:top w:val="nil"/>
              <w:left w:val="nil"/>
              <w:bottom w:val="single" w:sz="4" w:space="0" w:color="auto"/>
              <w:right w:val="single" w:sz="4" w:space="0" w:color="auto"/>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3,43</w:t>
            </w:r>
          </w:p>
        </w:tc>
        <w:tc>
          <w:tcPr>
            <w:tcW w:w="207" w:type="pct"/>
            <w:tcBorders>
              <w:top w:val="nil"/>
              <w:left w:val="nil"/>
              <w:bottom w:val="single" w:sz="4" w:space="0" w:color="auto"/>
              <w:right w:val="single" w:sz="4" w:space="0" w:color="auto"/>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6,64</w:t>
            </w:r>
          </w:p>
        </w:tc>
      </w:tr>
    </w:tbl>
    <w:p w:rsidR="00BF675C" w:rsidRPr="00BF675C" w:rsidRDefault="00BF675C" w:rsidP="00BF675C"/>
    <w:p w:rsidR="00113930" w:rsidRDefault="00113930" w:rsidP="00113930"/>
    <w:p w:rsidR="00C65860" w:rsidRDefault="00C65860" w:rsidP="007348EC">
      <w:pPr>
        <w:jc w:val="both"/>
        <w:rPr>
          <w:sz w:val="22"/>
          <w:szCs w:val="22"/>
        </w:rPr>
      </w:pPr>
    </w:p>
    <w:p w:rsidR="002F2C3F" w:rsidRDefault="00386C86" w:rsidP="00F14585">
      <w:pPr>
        <w:jc w:val="both"/>
        <w:rPr>
          <w:sz w:val="22"/>
          <w:szCs w:val="22"/>
        </w:rPr>
      </w:pPr>
      <w:r w:rsidRPr="00883270">
        <w:rPr>
          <w:b/>
          <w:sz w:val="22"/>
          <w:szCs w:val="22"/>
        </w:rPr>
        <w:t>V o</w:t>
      </w:r>
      <w:r w:rsidR="00B50728" w:rsidRPr="00883270">
        <w:rPr>
          <w:b/>
          <w:sz w:val="22"/>
          <w:szCs w:val="22"/>
        </w:rPr>
        <w:t>blast</w:t>
      </w:r>
      <w:r w:rsidRPr="00883270">
        <w:rPr>
          <w:b/>
          <w:sz w:val="22"/>
          <w:szCs w:val="22"/>
        </w:rPr>
        <w:t>i</w:t>
      </w:r>
      <w:r w:rsidR="00B50728" w:rsidRPr="00883270">
        <w:rPr>
          <w:b/>
          <w:sz w:val="22"/>
          <w:szCs w:val="22"/>
        </w:rPr>
        <w:t xml:space="preserve"> intervence 5.3</w:t>
      </w:r>
      <w:r w:rsidR="00B50728" w:rsidRPr="00883270">
        <w:rPr>
          <w:sz w:val="22"/>
          <w:szCs w:val="22"/>
        </w:rPr>
        <w:t xml:space="preserve"> </w:t>
      </w:r>
      <w:r w:rsidRPr="00883270">
        <w:rPr>
          <w:sz w:val="22"/>
          <w:szCs w:val="22"/>
        </w:rPr>
        <w:t xml:space="preserve">byla ukončena administrace všech projektů a nepředpokládá se žádná další výzva. Celkem </w:t>
      </w:r>
      <w:r w:rsidR="00492CDF" w:rsidRPr="00883270">
        <w:rPr>
          <w:sz w:val="22"/>
          <w:szCs w:val="22"/>
        </w:rPr>
        <w:t>bylo schváleno</w:t>
      </w:r>
      <w:r w:rsidRPr="00883270">
        <w:rPr>
          <w:sz w:val="22"/>
          <w:szCs w:val="22"/>
        </w:rPr>
        <w:t xml:space="preserve"> 591</w:t>
      </w:r>
      <w:r w:rsidR="007C5272" w:rsidRPr="00883270">
        <w:rPr>
          <w:sz w:val="22"/>
          <w:szCs w:val="22"/>
        </w:rPr>
        <w:t xml:space="preserve"> </w:t>
      </w:r>
      <w:r w:rsidR="00210187" w:rsidRPr="00883270">
        <w:rPr>
          <w:sz w:val="22"/>
          <w:szCs w:val="22"/>
        </w:rPr>
        <w:t xml:space="preserve">projektů s alokací </w:t>
      </w:r>
      <w:r w:rsidRPr="00883270">
        <w:rPr>
          <w:sz w:val="22"/>
          <w:szCs w:val="22"/>
        </w:rPr>
        <w:t xml:space="preserve">15,7 </w:t>
      </w:r>
      <w:r w:rsidR="00210187" w:rsidRPr="00883270">
        <w:rPr>
          <w:sz w:val="22"/>
          <w:szCs w:val="22"/>
        </w:rPr>
        <w:t>mil. EUR. Proplaceno příjemcům bylo</w:t>
      </w:r>
      <w:r w:rsidRPr="00883270">
        <w:rPr>
          <w:sz w:val="22"/>
          <w:szCs w:val="22"/>
        </w:rPr>
        <w:t xml:space="preserve"> 15,62</w:t>
      </w:r>
      <w:r w:rsidR="00210187" w:rsidRPr="00883270">
        <w:rPr>
          <w:sz w:val="22"/>
          <w:szCs w:val="22"/>
        </w:rPr>
        <w:t xml:space="preserve"> mil. EUR. V této oblasti intervence je certifikováno </w:t>
      </w:r>
      <w:r w:rsidRPr="00883270">
        <w:rPr>
          <w:sz w:val="22"/>
          <w:szCs w:val="22"/>
        </w:rPr>
        <w:t>99,</w:t>
      </w:r>
      <w:r w:rsidR="00883270">
        <w:rPr>
          <w:sz w:val="22"/>
          <w:szCs w:val="22"/>
        </w:rPr>
        <w:t>3</w:t>
      </w:r>
      <w:r w:rsidRPr="00883270">
        <w:rPr>
          <w:sz w:val="22"/>
          <w:szCs w:val="22"/>
        </w:rPr>
        <w:t xml:space="preserve">7 </w:t>
      </w:r>
      <w:r w:rsidR="00210187" w:rsidRPr="00883270">
        <w:rPr>
          <w:sz w:val="22"/>
          <w:szCs w:val="22"/>
        </w:rPr>
        <w:t>% alokace</w:t>
      </w:r>
      <w:r w:rsidR="00210187">
        <w:rPr>
          <w:sz w:val="22"/>
          <w:szCs w:val="22"/>
        </w:rPr>
        <w:t xml:space="preserve">. </w:t>
      </w:r>
    </w:p>
    <w:p w:rsidR="00BE6D18" w:rsidRDefault="00BE6D18" w:rsidP="00F14585">
      <w:pPr>
        <w:jc w:val="both"/>
        <w:rPr>
          <w:sz w:val="22"/>
          <w:szCs w:val="22"/>
        </w:rPr>
      </w:pPr>
    </w:p>
    <w:p w:rsidR="004006DF" w:rsidRPr="00BF675C" w:rsidRDefault="00BE6D18" w:rsidP="00BF675C">
      <w:pPr>
        <w:pStyle w:val="Tabulkanzev"/>
        <w:keepNext/>
        <w:keepLines/>
        <w:rPr>
          <w:sz w:val="22"/>
          <w:szCs w:val="22"/>
        </w:rPr>
      </w:pPr>
      <w:bookmarkStart w:id="123" w:name="_Toc433873566"/>
      <w:r w:rsidRPr="00B17A5E">
        <w:rPr>
          <w:rStyle w:val="Siln"/>
        </w:rPr>
        <w:t>Kumulativní pokrok na úrovni oblastí intervence 5.3 (v mil. CZK/EUR</w:t>
      </w:r>
      <w:bookmarkEnd w:id="123"/>
    </w:p>
    <w:tbl>
      <w:tblPr>
        <w:tblW w:w="5000" w:type="pct"/>
        <w:tblCellMar>
          <w:left w:w="70" w:type="dxa"/>
          <w:right w:w="70" w:type="dxa"/>
        </w:tblCellMar>
        <w:tblLook w:val="04A0" w:firstRow="1" w:lastRow="0" w:firstColumn="1" w:lastColumn="0" w:noHBand="0" w:noVBand="1"/>
      </w:tblPr>
      <w:tblGrid>
        <w:gridCol w:w="718"/>
        <w:gridCol w:w="944"/>
        <w:gridCol w:w="678"/>
        <w:gridCol w:w="678"/>
        <w:gridCol w:w="514"/>
        <w:gridCol w:w="754"/>
        <w:gridCol w:w="583"/>
        <w:gridCol w:w="659"/>
        <w:gridCol w:w="514"/>
        <w:gridCol w:w="735"/>
        <w:gridCol w:w="602"/>
        <w:gridCol w:w="602"/>
        <w:gridCol w:w="735"/>
        <w:gridCol w:w="642"/>
        <w:gridCol w:w="716"/>
        <w:gridCol w:w="812"/>
        <w:gridCol w:w="602"/>
        <w:gridCol w:w="716"/>
        <w:gridCol w:w="772"/>
        <w:gridCol w:w="583"/>
        <w:gridCol w:w="585"/>
      </w:tblGrid>
      <w:tr w:rsidR="00BF675C" w:rsidRPr="00BF675C" w:rsidTr="00BF675C">
        <w:trPr>
          <w:trHeight w:val="675"/>
        </w:trPr>
        <w:tc>
          <w:tcPr>
            <w:tcW w:w="241" w:type="pct"/>
            <w:vMerge w:val="restart"/>
            <w:tcBorders>
              <w:top w:val="single" w:sz="4" w:space="0" w:color="1F497D"/>
              <w:left w:val="single" w:sz="4" w:space="0" w:color="1F497D"/>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Oblast podpory</w:t>
            </w:r>
          </w:p>
        </w:tc>
        <w:tc>
          <w:tcPr>
            <w:tcW w:w="335" w:type="pct"/>
            <w:tcBorders>
              <w:top w:val="single" w:sz="4" w:space="0" w:color="1F497D"/>
              <w:left w:val="nil"/>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Datum snímku</w:t>
            </w:r>
          </w:p>
        </w:tc>
        <w:tc>
          <w:tcPr>
            <w:tcW w:w="482" w:type="pct"/>
            <w:gridSpan w:val="2"/>
            <w:tcBorders>
              <w:top w:val="single" w:sz="4" w:space="0" w:color="1F497D"/>
              <w:left w:val="nil"/>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Celková alokace podpory 2007-2013</w:t>
            </w:r>
          </w:p>
        </w:tc>
        <w:tc>
          <w:tcPr>
            <w:tcW w:w="890" w:type="pct"/>
            <w:gridSpan w:val="4"/>
            <w:tcBorders>
              <w:top w:val="single" w:sz="4" w:space="0" w:color="1F497D"/>
              <w:left w:val="nil"/>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Podané žádosti</w:t>
            </w:r>
          </w:p>
        </w:tc>
        <w:tc>
          <w:tcPr>
            <w:tcW w:w="863" w:type="pct"/>
            <w:gridSpan w:val="4"/>
            <w:tcBorders>
              <w:top w:val="single" w:sz="4" w:space="0" w:color="1F497D"/>
              <w:left w:val="nil"/>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Prostředky kryté Rozhodnutím / Smlouvou (dodatkem)</w:t>
            </w:r>
          </w:p>
        </w:tc>
        <w:tc>
          <w:tcPr>
            <w:tcW w:w="743" w:type="pct"/>
            <w:gridSpan w:val="3"/>
            <w:tcBorders>
              <w:top w:val="single" w:sz="4" w:space="0" w:color="1F497D"/>
              <w:left w:val="nil"/>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Proplacené prostředky příjemcům (vyúčtované prostředky)</w:t>
            </w:r>
          </w:p>
        </w:tc>
        <w:tc>
          <w:tcPr>
            <w:tcW w:w="756" w:type="pct"/>
            <w:gridSpan w:val="3"/>
            <w:tcBorders>
              <w:top w:val="single" w:sz="4" w:space="0" w:color="1F497D"/>
              <w:left w:val="nil"/>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Souhrnné žádosti zaúčtované PCO</w:t>
            </w:r>
          </w:p>
        </w:tc>
        <w:tc>
          <w:tcPr>
            <w:tcW w:w="689" w:type="pct"/>
            <w:gridSpan w:val="3"/>
            <w:tcBorders>
              <w:top w:val="single" w:sz="4" w:space="0" w:color="1F497D"/>
              <w:left w:val="nil"/>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Certifikované prostředky (včetně vratek)</w:t>
            </w:r>
          </w:p>
        </w:tc>
      </w:tr>
      <w:tr w:rsidR="00BF675C" w:rsidRPr="00BF675C" w:rsidTr="00BF675C">
        <w:trPr>
          <w:trHeight w:val="420"/>
        </w:trPr>
        <w:tc>
          <w:tcPr>
            <w:tcW w:w="241" w:type="pct"/>
            <w:vMerge/>
            <w:tcBorders>
              <w:top w:val="single" w:sz="4" w:space="0" w:color="1F497D"/>
              <w:left w:val="single" w:sz="4" w:space="0" w:color="1F497D"/>
              <w:bottom w:val="single" w:sz="4" w:space="0" w:color="1F497D"/>
              <w:right w:val="single" w:sz="4" w:space="0" w:color="1F497D"/>
            </w:tcBorders>
            <w:vAlign w:val="center"/>
            <w:hideMark/>
          </w:tcPr>
          <w:p w:rsidR="00BF675C" w:rsidRPr="00BF675C" w:rsidRDefault="00BF675C" w:rsidP="00BF675C">
            <w:pPr>
              <w:rPr>
                <w:b/>
                <w:bCs/>
                <w:color w:val="000000"/>
                <w:sz w:val="16"/>
                <w:szCs w:val="16"/>
              </w:rPr>
            </w:pPr>
          </w:p>
        </w:tc>
        <w:tc>
          <w:tcPr>
            <w:tcW w:w="335" w:type="pct"/>
            <w:vMerge w:val="restart"/>
            <w:tcBorders>
              <w:top w:val="nil"/>
              <w:left w:val="single" w:sz="4" w:space="0" w:color="1F497D"/>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Den</w:t>
            </w:r>
          </w:p>
        </w:tc>
        <w:tc>
          <w:tcPr>
            <w:tcW w:w="241" w:type="pct"/>
            <w:tcBorders>
              <w:top w:val="nil"/>
              <w:left w:val="nil"/>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mil. CZK</w:t>
            </w:r>
          </w:p>
        </w:tc>
        <w:tc>
          <w:tcPr>
            <w:tcW w:w="241" w:type="pct"/>
            <w:vMerge w:val="restart"/>
            <w:tcBorders>
              <w:top w:val="nil"/>
              <w:left w:val="single" w:sz="4" w:space="0" w:color="1F497D"/>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mil. EUR</w:t>
            </w:r>
          </w:p>
        </w:tc>
        <w:tc>
          <w:tcPr>
            <w:tcW w:w="181" w:type="pct"/>
            <w:tcBorders>
              <w:top w:val="nil"/>
              <w:left w:val="nil"/>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Počet</w:t>
            </w:r>
          </w:p>
        </w:tc>
        <w:tc>
          <w:tcPr>
            <w:tcW w:w="268" w:type="pct"/>
            <w:tcBorders>
              <w:top w:val="nil"/>
              <w:left w:val="nil"/>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mil. CZK</w:t>
            </w:r>
          </w:p>
        </w:tc>
        <w:tc>
          <w:tcPr>
            <w:tcW w:w="207" w:type="pct"/>
            <w:tcBorders>
              <w:top w:val="nil"/>
              <w:left w:val="nil"/>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w:t>
            </w:r>
          </w:p>
        </w:tc>
        <w:tc>
          <w:tcPr>
            <w:tcW w:w="234" w:type="pct"/>
            <w:vMerge w:val="restart"/>
            <w:tcBorders>
              <w:top w:val="nil"/>
              <w:left w:val="single" w:sz="4" w:space="0" w:color="1F497D"/>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mil. EUR</w:t>
            </w:r>
          </w:p>
        </w:tc>
        <w:tc>
          <w:tcPr>
            <w:tcW w:w="174" w:type="pct"/>
            <w:tcBorders>
              <w:top w:val="nil"/>
              <w:left w:val="nil"/>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Počet</w:t>
            </w:r>
          </w:p>
        </w:tc>
        <w:tc>
          <w:tcPr>
            <w:tcW w:w="261" w:type="pct"/>
            <w:tcBorders>
              <w:top w:val="nil"/>
              <w:left w:val="nil"/>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mil. CZK</w:t>
            </w:r>
          </w:p>
        </w:tc>
        <w:tc>
          <w:tcPr>
            <w:tcW w:w="214" w:type="pct"/>
            <w:tcBorders>
              <w:top w:val="nil"/>
              <w:left w:val="nil"/>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w:t>
            </w:r>
          </w:p>
        </w:tc>
        <w:tc>
          <w:tcPr>
            <w:tcW w:w="214" w:type="pct"/>
            <w:vMerge w:val="restart"/>
            <w:tcBorders>
              <w:top w:val="nil"/>
              <w:left w:val="single" w:sz="4" w:space="0" w:color="1F497D"/>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mil. EUR</w:t>
            </w:r>
          </w:p>
        </w:tc>
        <w:tc>
          <w:tcPr>
            <w:tcW w:w="261" w:type="pct"/>
            <w:tcBorders>
              <w:top w:val="nil"/>
              <w:left w:val="nil"/>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mil. CZK</w:t>
            </w:r>
          </w:p>
        </w:tc>
        <w:tc>
          <w:tcPr>
            <w:tcW w:w="228" w:type="pct"/>
            <w:tcBorders>
              <w:top w:val="nil"/>
              <w:left w:val="nil"/>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w:t>
            </w:r>
          </w:p>
        </w:tc>
        <w:tc>
          <w:tcPr>
            <w:tcW w:w="254" w:type="pct"/>
            <w:vMerge w:val="restart"/>
            <w:tcBorders>
              <w:top w:val="nil"/>
              <w:left w:val="single" w:sz="4" w:space="0" w:color="1F497D"/>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mil. EUR</w:t>
            </w:r>
          </w:p>
        </w:tc>
        <w:tc>
          <w:tcPr>
            <w:tcW w:w="288" w:type="pct"/>
            <w:tcBorders>
              <w:top w:val="nil"/>
              <w:left w:val="nil"/>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mil. CZK</w:t>
            </w:r>
          </w:p>
        </w:tc>
        <w:tc>
          <w:tcPr>
            <w:tcW w:w="214" w:type="pct"/>
            <w:tcBorders>
              <w:top w:val="nil"/>
              <w:left w:val="nil"/>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w:t>
            </w:r>
          </w:p>
        </w:tc>
        <w:tc>
          <w:tcPr>
            <w:tcW w:w="254" w:type="pct"/>
            <w:vMerge w:val="restart"/>
            <w:tcBorders>
              <w:top w:val="nil"/>
              <w:left w:val="single" w:sz="4" w:space="0" w:color="1F497D"/>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mil. EUR</w:t>
            </w:r>
          </w:p>
        </w:tc>
        <w:tc>
          <w:tcPr>
            <w:tcW w:w="274" w:type="pct"/>
            <w:tcBorders>
              <w:top w:val="nil"/>
              <w:left w:val="nil"/>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mil. CZK</w:t>
            </w:r>
          </w:p>
        </w:tc>
        <w:tc>
          <w:tcPr>
            <w:tcW w:w="207" w:type="pct"/>
            <w:tcBorders>
              <w:top w:val="nil"/>
              <w:left w:val="nil"/>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w:t>
            </w:r>
          </w:p>
        </w:tc>
        <w:tc>
          <w:tcPr>
            <w:tcW w:w="207" w:type="pct"/>
            <w:vMerge w:val="restart"/>
            <w:tcBorders>
              <w:top w:val="nil"/>
              <w:left w:val="single" w:sz="4" w:space="0" w:color="1F497D"/>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mil. EUR</w:t>
            </w:r>
          </w:p>
        </w:tc>
      </w:tr>
      <w:tr w:rsidR="00BF675C" w:rsidRPr="00BF675C" w:rsidTr="00BF675C">
        <w:trPr>
          <w:trHeight w:val="240"/>
        </w:trPr>
        <w:tc>
          <w:tcPr>
            <w:tcW w:w="241" w:type="pct"/>
            <w:vMerge/>
            <w:tcBorders>
              <w:top w:val="single" w:sz="4" w:space="0" w:color="1F497D"/>
              <w:left w:val="single" w:sz="4" w:space="0" w:color="1F497D"/>
              <w:bottom w:val="single" w:sz="4" w:space="0" w:color="1F497D"/>
              <w:right w:val="single" w:sz="4" w:space="0" w:color="1F497D"/>
            </w:tcBorders>
            <w:vAlign w:val="center"/>
            <w:hideMark/>
          </w:tcPr>
          <w:p w:rsidR="00BF675C" w:rsidRPr="00BF675C" w:rsidRDefault="00BF675C" w:rsidP="00BF675C">
            <w:pPr>
              <w:rPr>
                <w:b/>
                <w:bCs/>
                <w:color w:val="000000"/>
                <w:sz w:val="16"/>
                <w:szCs w:val="16"/>
              </w:rPr>
            </w:pPr>
          </w:p>
        </w:tc>
        <w:tc>
          <w:tcPr>
            <w:tcW w:w="335" w:type="pct"/>
            <w:vMerge/>
            <w:tcBorders>
              <w:top w:val="nil"/>
              <w:left w:val="single" w:sz="4" w:space="0" w:color="1F497D"/>
              <w:bottom w:val="single" w:sz="4" w:space="0" w:color="1F497D"/>
              <w:right w:val="single" w:sz="4" w:space="0" w:color="1F497D"/>
            </w:tcBorders>
            <w:vAlign w:val="center"/>
            <w:hideMark/>
          </w:tcPr>
          <w:p w:rsidR="00BF675C" w:rsidRPr="00BF675C" w:rsidRDefault="00BF675C" w:rsidP="00BF675C">
            <w:pPr>
              <w:rPr>
                <w:b/>
                <w:bCs/>
                <w:color w:val="000000"/>
                <w:sz w:val="16"/>
                <w:szCs w:val="16"/>
              </w:rPr>
            </w:pPr>
          </w:p>
        </w:tc>
        <w:tc>
          <w:tcPr>
            <w:tcW w:w="241" w:type="pct"/>
            <w:tcBorders>
              <w:top w:val="nil"/>
              <w:left w:val="nil"/>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 xml:space="preserve">a </w:t>
            </w:r>
          </w:p>
        </w:tc>
        <w:tc>
          <w:tcPr>
            <w:tcW w:w="241" w:type="pct"/>
            <w:vMerge/>
            <w:tcBorders>
              <w:top w:val="nil"/>
              <w:left w:val="single" w:sz="4" w:space="0" w:color="1F497D"/>
              <w:bottom w:val="single" w:sz="4" w:space="0" w:color="1F497D"/>
              <w:right w:val="single" w:sz="4" w:space="0" w:color="1F497D"/>
            </w:tcBorders>
            <w:vAlign w:val="center"/>
            <w:hideMark/>
          </w:tcPr>
          <w:p w:rsidR="00BF675C" w:rsidRPr="00BF675C" w:rsidRDefault="00BF675C" w:rsidP="00BF675C">
            <w:pPr>
              <w:rPr>
                <w:b/>
                <w:bCs/>
                <w:color w:val="000000"/>
                <w:sz w:val="16"/>
                <w:szCs w:val="16"/>
              </w:rPr>
            </w:pPr>
          </w:p>
        </w:tc>
        <w:tc>
          <w:tcPr>
            <w:tcW w:w="181" w:type="pct"/>
            <w:tcBorders>
              <w:top w:val="nil"/>
              <w:left w:val="nil"/>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b</w:t>
            </w:r>
          </w:p>
        </w:tc>
        <w:tc>
          <w:tcPr>
            <w:tcW w:w="268" w:type="pct"/>
            <w:tcBorders>
              <w:top w:val="nil"/>
              <w:left w:val="nil"/>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c</w:t>
            </w:r>
          </w:p>
        </w:tc>
        <w:tc>
          <w:tcPr>
            <w:tcW w:w="207" w:type="pct"/>
            <w:tcBorders>
              <w:top w:val="nil"/>
              <w:left w:val="nil"/>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c/a</w:t>
            </w:r>
          </w:p>
        </w:tc>
        <w:tc>
          <w:tcPr>
            <w:tcW w:w="234" w:type="pct"/>
            <w:vMerge/>
            <w:tcBorders>
              <w:top w:val="nil"/>
              <w:left w:val="single" w:sz="4" w:space="0" w:color="1F497D"/>
              <w:bottom w:val="single" w:sz="4" w:space="0" w:color="1F497D"/>
              <w:right w:val="single" w:sz="4" w:space="0" w:color="1F497D"/>
            </w:tcBorders>
            <w:vAlign w:val="center"/>
            <w:hideMark/>
          </w:tcPr>
          <w:p w:rsidR="00BF675C" w:rsidRPr="00BF675C" w:rsidRDefault="00BF675C" w:rsidP="00BF675C">
            <w:pPr>
              <w:rPr>
                <w:b/>
                <w:bCs/>
                <w:color w:val="000000"/>
                <w:sz w:val="16"/>
                <w:szCs w:val="16"/>
              </w:rPr>
            </w:pPr>
          </w:p>
        </w:tc>
        <w:tc>
          <w:tcPr>
            <w:tcW w:w="174" w:type="pct"/>
            <w:tcBorders>
              <w:top w:val="nil"/>
              <w:left w:val="nil"/>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d</w:t>
            </w:r>
          </w:p>
        </w:tc>
        <w:tc>
          <w:tcPr>
            <w:tcW w:w="261" w:type="pct"/>
            <w:tcBorders>
              <w:top w:val="nil"/>
              <w:left w:val="nil"/>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e</w:t>
            </w:r>
          </w:p>
        </w:tc>
        <w:tc>
          <w:tcPr>
            <w:tcW w:w="214" w:type="pct"/>
            <w:tcBorders>
              <w:top w:val="nil"/>
              <w:left w:val="nil"/>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 xml:space="preserve">e/a </w:t>
            </w:r>
          </w:p>
        </w:tc>
        <w:tc>
          <w:tcPr>
            <w:tcW w:w="214" w:type="pct"/>
            <w:vMerge/>
            <w:tcBorders>
              <w:top w:val="nil"/>
              <w:left w:val="single" w:sz="4" w:space="0" w:color="1F497D"/>
              <w:bottom w:val="single" w:sz="4" w:space="0" w:color="1F497D"/>
              <w:right w:val="single" w:sz="4" w:space="0" w:color="1F497D"/>
            </w:tcBorders>
            <w:vAlign w:val="center"/>
            <w:hideMark/>
          </w:tcPr>
          <w:p w:rsidR="00BF675C" w:rsidRPr="00BF675C" w:rsidRDefault="00BF675C" w:rsidP="00BF675C">
            <w:pPr>
              <w:rPr>
                <w:b/>
                <w:bCs/>
                <w:color w:val="000000"/>
                <w:sz w:val="16"/>
                <w:szCs w:val="16"/>
              </w:rPr>
            </w:pPr>
          </w:p>
        </w:tc>
        <w:tc>
          <w:tcPr>
            <w:tcW w:w="261" w:type="pct"/>
            <w:tcBorders>
              <w:top w:val="nil"/>
              <w:left w:val="nil"/>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f</w:t>
            </w:r>
          </w:p>
        </w:tc>
        <w:tc>
          <w:tcPr>
            <w:tcW w:w="228" w:type="pct"/>
            <w:tcBorders>
              <w:top w:val="nil"/>
              <w:left w:val="nil"/>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 xml:space="preserve">f/a </w:t>
            </w:r>
          </w:p>
        </w:tc>
        <w:tc>
          <w:tcPr>
            <w:tcW w:w="254" w:type="pct"/>
            <w:vMerge/>
            <w:tcBorders>
              <w:top w:val="nil"/>
              <w:left w:val="single" w:sz="4" w:space="0" w:color="1F497D"/>
              <w:bottom w:val="single" w:sz="4" w:space="0" w:color="1F497D"/>
              <w:right w:val="single" w:sz="4" w:space="0" w:color="1F497D"/>
            </w:tcBorders>
            <w:vAlign w:val="center"/>
            <w:hideMark/>
          </w:tcPr>
          <w:p w:rsidR="00BF675C" w:rsidRPr="00BF675C" w:rsidRDefault="00BF675C" w:rsidP="00BF675C">
            <w:pPr>
              <w:rPr>
                <w:b/>
                <w:bCs/>
                <w:color w:val="000000"/>
                <w:sz w:val="16"/>
                <w:szCs w:val="16"/>
              </w:rPr>
            </w:pPr>
          </w:p>
        </w:tc>
        <w:tc>
          <w:tcPr>
            <w:tcW w:w="288" w:type="pct"/>
            <w:tcBorders>
              <w:top w:val="nil"/>
              <w:left w:val="nil"/>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g</w:t>
            </w:r>
          </w:p>
        </w:tc>
        <w:tc>
          <w:tcPr>
            <w:tcW w:w="214" w:type="pct"/>
            <w:tcBorders>
              <w:top w:val="nil"/>
              <w:left w:val="nil"/>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 xml:space="preserve">g/a </w:t>
            </w:r>
          </w:p>
        </w:tc>
        <w:tc>
          <w:tcPr>
            <w:tcW w:w="254" w:type="pct"/>
            <w:vMerge/>
            <w:tcBorders>
              <w:top w:val="nil"/>
              <w:left w:val="single" w:sz="4" w:space="0" w:color="1F497D"/>
              <w:bottom w:val="single" w:sz="4" w:space="0" w:color="1F497D"/>
              <w:right w:val="single" w:sz="4" w:space="0" w:color="1F497D"/>
            </w:tcBorders>
            <w:vAlign w:val="center"/>
            <w:hideMark/>
          </w:tcPr>
          <w:p w:rsidR="00BF675C" w:rsidRPr="00BF675C" w:rsidRDefault="00BF675C" w:rsidP="00BF675C">
            <w:pPr>
              <w:rPr>
                <w:b/>
                <w:bCs/>
                <w:color w:val="000000"/>
                <w:sz w:val="16"/>
                <w:szCs w:val="16"/>
              </w:rPr>
            </w:pPr>
          </w:p>
        </w:tc>
        <w:tc>
          <w:tcPr>
            <w:tcW w:w="274" w:type="pct"/>
            <w:tcBorders>
              <w:top w:val="nil"/>
              <w:left w:val="nil"/>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h</w:t>
            </w:r>
          </w:p>
        </w:tc>
        <w:tc>
          <w:tcPr>
            <w:tcW w:w="207" w:type="pct"/>
            <w:tcBorders>
              <w:top w:val="nil"/>
              <w:left w:val="nil"/>
              <w:bottom w:val="single" w:sz="4" w:space="0" w:color="1F497D"/>
              <w:right w:val="single" w:sz="4" w:space="0" w:color="1F497D"/>
            </w:tcBorders>
            <w:shd w:val="clear" w:color="000000" w:fill="DCE6F1"/>
            <w:vAlign w:val="center"/>
            <w:hideMark/>
          </w:tcPr>
          <w:p w:rsidR="00BF675C" w:rsidRPr="00BF675C" w:rsidRDefault="00BF675C" w:rsidP="00BF675C">
            <w:pPr>
              <w:jc w:val="center"/>
              <w:rPr>
                <w:b/>
                <w:bCs/>
                <w:color w:val="000000"/>
                <w:sz w:val="16"/>
                <w:szCs w:val="16"/>
              </w:rPr>
            </w:pPr>
            <w:r w:rsidRPr="00BF675C">
              <w:rPr>
                <w:b/>
                <w:bCs/>
                <w:color w:val="000000"/>
                <w:sz w:val="16"/>
                <w:szCs w:val="16"/>
              </w:rPr>
              <w:t xml:space="preserve">h/a </w:t>
            </w:r>
          </w:p>
        </w:tc>
        <w:tc>
          <w:tcPr>
            <w:tcW w:w="207" w:type="pct"/>
            <w:vMerge/>
            <w:tcBorders>
              <w:top w:val="nil"/>
              <w:left w:val="single" w:sz="4" w:space="0" w:color="1F497D"/>
              <w:bottom w:val="single" w:sz="4" w:space="0" w:color="1F497D"/>
              <w:right w:val="single" w:sz="4" w:space="0" w:color="1F497D"/>
            </w:tcBorders>
            <w:vAlign w:val="center"/>
            <w:hideMark/>
          </w:tcPr>
          <w:p w:rsidR="00BF675C" w:rsidRPr="00BF675C" w:rsidRDefault="00BF675C" w:rsidP="00BF675C">
            <w:pPr>
              <w:rPr>
                <w:b/>
                <w:bCs/>
                <w:color w:val="000000"/>
                <w:sz w:val="16"/>
                <w:szCs w:val="16"/>
              </w:rPr>
            </w:pPr>
          </w:p>
        </w:tc>
      </w:tr>
      <w:tr w:rsidR="00BF675C" w:rsidRPr="00BF675C" w:rsidTr="00BF675C">
        <w:trPr>
          <w:trHeight w:val="240"/>
        </w:trPr>
        <w:tc>
          <w:tcPr>
            <w:tcW w:w="241" w:type="pct"/>
            <w:vMerge w:val="restart"/>
            <w:tcBorders>
              <w:top w:val="nil"/>
              <w:left w:val="single" w:sz="4" w:space="0" w:color="1F497D"/>
              <w:bottom w:val="single" w:sz="4" w:space="0" w:color="1F497D"/>
              <w:right w:val="single" w:sz="4" w:space="0" w:color="1F497D"/>
            </w:tcBorders>
            <w:shd w:val="clear" w:color="000000" w:fill="FFFFFF"/>
            <w:vAlign w:val="center"/>
            <w:hideMark/>
          </w:tcPr>
          <w:p w:rsidR="00BF675C" w:rsidRPr="00BF675C" w:rsidRDefault="00BF675C" w:rsidP="00BF675C">
            <w:pPr>
              <w:jc w:val="center"/>
              <w:rPr>
                <w:color w:val="000000"/>
                <w:sz w:val="16"/>
                <w:szCs w:val="16"/>
              </w:rPr>
            </w:pPr>
            <w:r w:rsidRPr="00BF675C">
              <w:rPr>
                <w:color w:val="000000"/>
                <w:sz w:val="16"/>
                <w:szCs w:val="16"/>
              </w:rPr>
              <w:t>5.3</w:t>
            </w:r>
          </w:p>
        </w:tc>
        <w:tc>
          <w:tcPr>
            <w:tcW w:w="335" w:type="pct"/>
            <w:tcBorders>
              <w:top w:val="nil"/>
              <w:left w:val="nil"/>
              <w:bottom w:val="single" w:sz="4" w:space="0" w:color="1F497D"/>
              <w:right w:val="single" w:sz="4" w:space="0" w:color="1F497D"/>
            </w:tcBorders>
            <w:shd w:val="clear" w:color="000000" w:fill="FFFFFF"/>
            <w:vAlign w:val="center"/>
            <w:hideMark/>
          </w:tcPr>
          <w:p w:rsidR="00BF675C" w:rsidRPr="00BF675C" w:rsidRDefault="00BF675C" w:rsidP="00BF675C">
            <w:pPr>
              <w:jc w:val="center"/>
              <w:rPr>
                <w:color w:val="000000"/>
                <w:sz w:val="16"/>
                <w:szCs w:val="16"/>
              </w:rPr>
            </w:pPr>
            <w:r w:rsidRPr="00BF675C">
              <w:rPr>
                <w:color w:val="000000"/>
                <w:sz w:val="16"/>
                <w:szCs w:val="16"/>
              </w:rPr>
              <w:t>2015/04/17</w:t>
            </w:r>
          </w:p>
        </w:tc>
        <w:tc>
          <w:tcPr>
            <w:tcW w:w="241"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399,98</w:t>
            </w:r>
          </w:p>
        </w:tc>
        <w:tc>
          <w:tcPr>
            <w:tcW w:w="241"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15,53</w:t>
            </w:r>
          </w:p>
        </w:tc>
        <w:tc>
          <w:tcPr>
            <w:tcW w:w="181" w:type="pct"/>
            <w:tcBorders>
              <w:top w:val="nil"/>
              <w:left w:val="nil"/>
              <w:bottom w:val="single" w:sz="4" w:space="0" w:color="1F497D"/>
              <w:right w:val="single" w:sz="4" w:space="0" w:color="1F497D"/>
            </w:tcBorders>
            <w:shd w:val="clear" w:color="000000" w:fill="FFFFFF"/>
            <w:vAlign w:val="center"/>
            <w:hideMark/>
          </w:tcPr>
          <w:p w:rsidR="00BF675C" w:rsidRPr="00BF675C" w:rsidRDefault="00BF675C" w:rsidP="00BF675C">
            <w:pPr>
              <w:jc w:val="center"/>
              <w:rPr>
                <w:color w:val="000000"/>
                <w:sz w:val="16"/>
                <w:szCs w:val="16"/>
              </w:rPr>
            </w:pPr>
            <w:r w:rsidRPr="00BF675C">
              <w:rPr>
                <w:color w:val="000000"/>
                <w:sz w:val="16"/>
                <w:szCs w:val="16"/>
              </w:rPr>
              <w:t>700</w:t>
            </w:r>
          </w:p>
        </w:tc>
        <w:tc>
          <w:tcPr>
            <w:tcW w:w="268"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498,69</w:t>
            </w:r>
          </w:p>
        </w:tc>
        <w:tc>
          <w:tcPr>
            <w:tcW w:w="207"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124,68</w:t>
            </w:r>
          </w:p>
        </w:tc>
        <w:tc>
          <w:tcPr>
            <w:tcW w:w="234"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19,12</w:t>
            </w:r>
          </w:p>
        </w:tc>
        <w:tc>
          <w:tcPr>
            <w:tcW w:w="174"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591</w:t>
            </w:r>
          </w:p>
        </w:tc>
        <w:tc>
          <w:tcPr>
            <w:tcW w:w="261"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404,61</w:t>
            </w:r>
          </w:p>
        </w:tc>
        <w:tc>
          <w:tcPr>
            <w:tcW w:w="214"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101,16</w:t>
            </w:r>
          </w:p>
        </w:tc>
        <w:tc>
          <w:tcPr>
            <w:tcW w:w="214"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15,70</w:t>
            </w:r>
          </w:p>
        </w:tc>
        <w:tc>
          <w:tcPr>
            <w:tcW w:w="261"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402,50</w:t>
            </w:r>
          </w:p>
        </w:tc>
        <w:tc>
          <w:tcPr>
            <w:tcW w:w="228"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100,63</w:t>
            </w:r>
          </w:p>
        </w:tc>
        <w:tc>
          <w:tcPr>
            <w:tcW w:w="254"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15,62</w:t>
            </w:r>
          </w:p>
        </w:tc>
        <w:tc>
          <w:tcPr>
            <w:tcW w:w="288"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402,50</w:t>
            </w:r>
          </w:p>
        </w:tc>
        <w:tc>
          <w:tcPr>
            <w:tcW w:w="214"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100,63</w:t>
            </w:r>
          </w:p>
        </w:tc>
        <w:tc>
          <w:tcPr>
            <w:tcW w:w="254"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15,62</w:t>
            </w:r>
          </w:p>
        </w:tc>
        <w:tc>
          <w:tcPr>
            <w:tcW w:w="27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398,67</w:t>
            </w:r>
          </w:p>
        </w:tc>
        <w:tc>
          <w:tcPr>
            <w:tcW w:w="207" w:type="pct"/>
            <w:tcBorders>
              <w:top w:val="single" w:sz="4" w:space="0" w:color="auto"/>
              <w:left w:val="nil"/>
              <w:bottom w:val="single" w:sz="4" w:space="0" w:color="auto"/>
              <w:right w:val="single" w:sz="4" w:space="0" w:color="auto"/>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99,67</w:t>
            </w:r>
          </w:p>
        </w:tc>
        <w:tc>
          <w:tcPr>
            <w:tcW w:w="207" w:type="pct"/>
            <w:tcBorders>
              <w:top w:val="single" w:sz="4" w:space="0" w:color="auto"/>
              <w:left w:val="nil"/>
              <w:bottom w:val="single" w:sz="4" w:space="0" w:color="auto"/>
              <w:right w:val="single" w:sz="4" w:space="0" w:color="auto"/>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15,47</w:t>
            </w:r>
          </w:p>
        </w:tc>
      </w:tr>
      <w:tr w:rsidR="00BF675C" w:rsidRPr="00BF675C" w:rsidTr="00BF675C">
        <w:trPr>
          <w:trHeight w:val="225"/>
        </w:trPr>
        <w:tc>
          <w:tcPr>
            <w:tcW w:w="241" w:type="pct"/>
            <w:vMerge/>
            <w:tcBorders>
              <w:top w:val="nil"/>
              <w:left w:val="single" w:sz="4" w:space="0" w:color="1F497D"/>
              <w:bottom w:val="single" w:sz="4" w:space="0" w:color="1F497D"/>
              <w:right w:val="single" w:sz="4" w:space="0" w:color="1F497D"/>
            </w:tcBorders>
            <w:vAlign w:val="center"/>
            <w:hideMark/>
          </w:tcPr>
          <w:p w:rsidR="00BF675C" w:rsidRPr="00BF675C" w:rsidRDefault="00BF675C" w:rsidP="00BF675C">
            <w:pPr>
              <w:rPr>
                <w:color w:val="000000"/>
                <w:sz w:val="16"/>
                <w:szCs w:val="16"/>
              </w:rPr>
            </w:pPr>
          </w:p>
        </w:tc>
        <w:tc>
          <w:tcPr>
            <w:tcW w:w="335" w:type="pct"/>
            <w:tcBorders>
              <w:top w:val="nil"/>
              <w:left w:val="nil"/>
              <w:bottom w:val="single" w:sz="4" w:space="0" w:color="1F497D"/>
              <w:right w:val="single" w:sz="4" w:space="0" w:color="1F497D"/>
            </w:tcBorders>
            <w:shd w:val="clear" w:color="000000" w:fill="FFFFFF"/>
            <w:vAlign w:val="center"/>
            <w:hideMark/>
          </w:tcPr>
          <w:p w:rsidR="00BF675C" w:rsidRPr="00BF675C" w:rsidRDefault="00BF675C" w:rsidP="00BF675C">
            <w:pPr>
              <w:jc w:val="center"/>
              <w:rPr>
                <w:color w:val="000000"/>
                <w:sz w:val="16"/>
                <w:szCs w:val="16"/>
              </w:rPr>
            </w:pPr>
            <w:r w:rsidRPr="00BF675C">
              <w:rPr>
                <w:color w:val="000000"/>
                <w:sz w:val="16"/>
                <w:szCs w:val="16"/>
              </w:rPr>
              <w:t>2015/10/02</w:t>
            </w:r>
          </w:p>
        </w:tc>
        <w:tc>
          <w:tcPr>
            <w:tcW w:w="241"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400,01</w:t>
            </w:r>
          </w:p>
        </w:tc>
        <w:tc>
          <w:tcPr>
            <w:tcW w:w="241"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15,53</w:t>
            </w:r>
          </w:p>
        </w:tc>
        <w:tc>
          <w:tcPr>
            <w:tcW w:w="181" w:type="pct"/>
            <w:tcBorders>
              <w:top w:val="nil"/>
              <w:left w:val="nil"/>
              <w:bottom w:val="single" w:sz="4" w:space="0" w:color="1F497D"/>
              <w:right w:val="single" w:sz="4" w:space="0" w:color="1F497D"/>
            </w:tcBorders>
            <w:shd w:val="clear" w:color="000000" w:fill="FFFFFF"/>
            <w:vAlign w:val="center"/>
            <w:hideMark/>
          </w:tcPr>
          <w:p w:rsidR="00BF675C" w:rsidRPr="00BF675C" w:rsidRDefault="00BF675C" w:rsidP="00BF675C">
            <w:pPr>
              <w:jc w:val="center"/>
              <w:rPr>
                <w:color w:val="000000"/>
                <w:sz w:val="16"/>
                <w:szCs w:val="16"/>
              </w:rPr>
            </w:pPr>
            <w:r w:rsidRPr="00BF675C">
              <w:rPr>
                <w:color w:val="000000"/>
                <w:sz w:val="16"/>
                <w:szCs w:val="16"/>
              </w:rPr>
              <w:t>700</w:t>
            </w:r>
          </w:p>
        </w:tc>
        <w:tc>
          <w:tcPr>
            <w:tcW w:w="268"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498,69</w:t>
            </w:r>
          </w:p>
        </w:tc>
        <w:tc>
          <w:tcPr>
            <w:tcW w:w="207"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124,67</w:t>
            </w:r>
          </w:p>
        </w:tc>
        <w:tc>
          <w:tcPr>
            <w:tcW w:w="234"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19,16</w:t>
            </w:r>
          </w:p>
        </w:tc>
        <w:tc>
          <w:tcPr>
            <w:tcW w:w="174"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591</w:t>
            </w:r>
          </w:p>
        </w:tc>
        <w:tc>
          <w:tcPr>
            <w:tcW w:w="261"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404,61</w:t>
            </w:r>
          </w:p>
        </w:tc>
        <w:tc>
          <w:tcPr>
            <w:tcW w:w="214"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101,15</w:t>
            </w:r>
          </w:p>
        </w:tc>
        <w:tc>
          <w:tcPr>
            <w:tcW w:w="214"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15,70</w:t>
            </w:r>
          </w:p>
        </w:tc>
        <w:tc>
          <w:tcPr>
            <w:tcW w:w="261"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402,50</w:t>
            </w:r>
          </w:p>
        </w:tc>
        <w:tc>
          <w:tcPr>
            <w:tcW w:w="228"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100,62</w:t>
            </w:r>
          </w:p>
        </w:tc>
        <w:tc>
          <w:tcPr>
            <w:tcW w:w="254"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15,62</w:t>
            </w:r>
          </w:p>
        </w:tc>
        <w:tc>
          <w:tcPr>
            <w:tcW w:w="288"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402,50</w:t>
            </w:r>
          </w:p>
        </w:tc>
        <w:tc>
          <w:tcPr>
            <w:tcW w:w="214"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100,62</w:t>
            </w:r>
          </w:p>
        </w:tc>
        <w:tc>
          <w:tcPr>
            <w:tcW w:w="254"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15,62</w:t>
            </w:r>
          </w:p>
        </w:tc>
        <w:tc>
          <w:tcPr>
            <w:tcW w:w="274" w:type="pct"/>
            <w:tcBorders>
              <w:top w:val="nil"/>
              <w:left w:val="single" w:sz="4" w:space="0" w:color="auto"/>
              <w:bottom w:val="single" w:sz="4" w:space="0" w:color="auto"/>
              <w:right w:val="single" w:sz="4" w:space="0" w:color="auto"/>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397,48</w:t>
            </w:r>
          </w:p>
        </w:tc>
        <w:tc>
          <w:tcPr>
            <w:tcW w:w="207" w:type="pct"/>
            <w:tcBorders>
              <w:top w:val="nil"/>
              <w:left w:val="nil"/>
              <w:bottom w:val="single" w:sz="4" w:space="0" w:color="auto"/>
              <w:right w:val="single" w:sz="4" w:space="0" w:color="auto"/>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99,37</w:t>
            </w:r>
          </w:p>
        </w:tc>
        <w:tc>
          <w:tcPr>
            <w:tcW w:w="207" w:type="pct"/>
            <w:tcBorders>
              <w:top w:val="nil"/>
              <w:left w:val="nil"/>
              <w:bottom w:val="single" w:sz="4" w:space="0" w:color="auto"/>
              <w:right w:val="single" w:sz="4" w:space="0" w:color="auto"/>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15,42</w:t>
            </w:r>
          </w:p>
        </w:tc>
      </w:tr>
      <w:tr w:rsidR="00BF675C" w:rsidRPr="00BF675C" w:rsidTr="00BF675C">
        <w:trPr>
          <w:trHeight w:val="225"/>
        </w:trPr>
        <w:tc>
          <w:tcPr>
            <w:tcW w:w="241" w:type="pct"/>
            <w:vMerge/>
            <w:tcBorders>
              <w:top w:val="nil"/>
              <w:left w:val="single" w:sz="4" w:space="0" w:color="1F497D"/>
              <w:bottom w:val="single" w:sz="4" w:space="0" w:color="1F497D"/>
              <w:right w:val="single" w:sz="4" w:space="0" w:color="1F497D"/>
            </w:tcBorders>
            <w:vAlign w:val="center"/>
            <w:hideMark/>
          </w:tcPr>
          <w:p w:rsidR="00BF675C" w:rsidRPr="00BF675C" w:rsidRDefault="00BF675C" w:rsidP="00BF675C">
            <w:pPr>
              <w:rPr>
                <w:color w:val="000000"/>
                <w:sz w:val="16"/>
                <w:szCs w:val="16"/>
              </w:rPr>
            </w:pPr>
          </w:p>
        </w:tc>
        <w:tc>
          <w:tcPr>
            <w:tcW w:w="335" w:type="pct"/>
            <w:tcBorders>
              <w:top w:val="nil"/>
              <w:left w:val="nil"/>
              <w:bottom w:val="single" w:sz="4" w:space="0" w:color="1F497D"/>
              <w:right w:val="single" w:sz="4" w:space="0" w:color="1F497D"/>
            </w:tcBorders>
            <w:shd w:val="clear" w:color="000000" w:fill="FFFFFF"/>
            <w:vAlign w:val="center"/>
            <w:hideMark/>
          </w:tcPr>
          <w:p w:rsidR="00BF675C" w:rsidRPr="00BF675C" w:rsidRDefault="00BF675C" w:rsidP="00BF675C">
            <w:pPr>
              <w:jc w:val="center"/>
              <w:rPr>
                <w:color w:val="000000"/>
                <w:sz w:val="16"/>
                <w:szCs w:val="16"/>
              </w:rPr>
            </w:pPr>
            <w:r w:rsidRPr="00BF675C">
              <w:rPr>
                <w:color w:val="000000"/>
                <w:sz w:val="16"/>
                <w:szCs w:val="16"/>
              </w:rPr>
              <w:t>Rozdíl</w:t>
            </w:r>
          </w:p>
        </w:tc>
        <w:tc>
          <w:tcPr>
            <w:tcW w:w="241"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p>
        </w:tc>
        <w:tc>
          <w:tcPr>
            <w:tcW w:w="241"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p>
        </w:tc>
        <w:tc>
          <w:tcPr>
            <w:tcW w:w="181" w:type="pct"/>
            <w:tcBorders>
              <w:top w:val="nil"/>
              <w:left w:val="nil"/>
              <w:bottom w:val="single" w:sz="4" w:space="0" w:color="1F497D"/>
              <w:right w:val="single" w:sz="4" w:space="0" w:color="1F497D"/>
            </w:tcBorders>
            <w:shd w:val="clear" w:color="000000" w:fill="FFFFFF"/>
            <w:vAlign w:val="center"/>
            <w:hideMark/>
          </w:tcPr>
          <w:p w:rsidR="00BF675C" w:rsidRPr="00BF675C" w:rsidRDefault="00BF675C" w:rsidP="00BF675C">
            <w:pPr>
              <w:jc w:val="center"/>
              <w:rPr>
                <w:color w:val="000000"/>
                <w:sz w:val="16"/>
                <w:szCs w:val="16"/>
              </w:rPr>
            </w:pPr>
            <w:r w:rsidRPr="00BF675C">
              <w:rPr>
                <w:color w:val="000000"/>
                <w:sz w:val="16"/>
                <w:szCs w:val="16"/>
              </w:rPr>
              <w:t>0</w:t>
            </w:r>
          </w:p>
        </w:tc>
        <w:tc>
          <w:tcPr>
            <w:tcW w:w="268"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0,00</w:t>
            </w:r>
          </w:p>
        </w:tc>
        <w:tc>
          <w:tcPr>
            <w:tcW w:w="207"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0,00</w:t>
            </w:r>
          </w:p>
        </w:tc>
        <w:tc>
          <w:tcPr>
            <w:tcW w:w="234"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0,03</w:t>
            </w:r>
          </w:p>
        </w:tc>
        <w:tc>
          <w:tcPr>
            <w:tcW w:w="174"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0</w:t>
            </w:r>
          </w:p>
        </w:tc>
        <w:tc>
          <w:tcPr>
            <w:tcW w:w="261"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0,00</w:t>
            </w:r>
          </w:p>
        </w:tc>
        <w:tc>
          <w:tcPr>
            <w:tcW w:w="214"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0,00</w:t>
            </w:r>
          </w:p>
        </w:tc>
        <w:tc>
          <w:tcPr>
            <w:tcW w:w="214"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0,00</w:t>
            </w:r>
          </w:p>
        </w:tc>
        <w:tc>
          <w:tcPr>
            <w:tcW w:w="261"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0,00</w:t>
            </w:r>
          </w:p>
        </w:tc>
        <w:tc>
          <w:tcPr>
            <w:tcW w:w="228"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0,00</w:t>
            </w:r>
          </w:p>
        </w:tc>
        <w:tc>
          <w:tcPr>
            <w:tcW w:w="254"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0,00</w:t>
            </w:r>
          </w:p>
        </w:tc>
        <w:tc>
          <w:tcPr>
            <w:tcW w:w="288"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0,00</w:t>
            </w:r>
          </w:p>
        </w:tc>
        <w:tc>
          <w:tcPr>
            <w:tcW w:w="214"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0,00</w:t>
            </w:r>
          </w:p>
        </w:tc>
        <w:tc>
          <w:tcPr>
            <w:tcW w:w="254" w:type="pct"/>
            <w:tcBorders>
              <w:top w:val="nil"/>
              <w:left w:val="nil"/>
              <w:bottom w:val="single" w:sz="4" w:space="0" w:color="1F497D"/>
              <w:right w:val="single" w:sz="4" w:space="0" w:color="1F497D"/>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0,00</w:t>
            </w:r>
          </w:p>
        </w:tc>
        <w:tc>
          <w:tcPr>
            <w:tcW w:w="274" w:type="pct"/>
            <w:tcBorders>
              <w:top w:val="nil"/>
              <w:left w:val="single" w:sz="4" w:space="0" w:color="auto"/>
              <w:bottom w:val="single" w:sz="4" w:space="0" w:color="auto"/>
              <w:right w:val="single" w:sz="4" w:space="0" w:color="auto"/>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-1,19</w:t>
            </w:r>
          </w:p>
        </w:tc>
        <w:tc>
          <w:tcPr>
            <w:tcW w:w="207" w:type="pct"/>
            <w:tcBorders>
              <w:top w:val="nil"/>
              <w:left w:val="nil"/>
              <w:bottom w:val="single" w:sz="4" w:space="0" w:color="auto"/>
              <w:right w:val="single" w:sz="4" w:space="0" w:color="auto"/>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-0,30</w:t>
            </w:r>
          </w:p>
        </w:tc>
        <w:tc>
          <w:tcPr>
            <w:tcW w:w="207" w:type="pct"/>
            <w:tcBorders>
              <w:top w:val="nil"/>
              <w:left w:val="nil"/>
              <w:bottom w:val="single" w:sz="4" w:space="0" w:color="auto"/>
              <w:right w:val="single" w:sz="4" w:space="0" w:color="auto"/>
            </w:tcBorders>
            <w:shd w:val="clear" w:color="000000" w:fill="FFFFFF"/>
            <w:noWrap/>
            <w:vAlign w:val="center"/>
            <w:hideMark/>
          </w:tcPr>
          <w:p w:rsidR="00BF675C" w:rsidRPr="00BF675C" w:rsidRDefault="00BF675C" w:rsidP="00BF675C">
            <w:pPr>
              <w:jc w:val="center"/>
              <w:rPr>
                <w:color w:val="000000"/>
                <w:sz w:val="16"/>
                <w:szCs w:val="16"/>
              </w:rPr>
            </w:pPr>
            <w:r w:rsidRPr="00BF675C">
              <w:rPr>
                <w:color w:val="000000"/>
                <w:sz w:val="16"/>
                <w:szCs w:val="16"/>
              </w:rPr>
              <w:t>-0,05</w:t>
            </w:r>
          </w:p>
        </w:tc>
      </w:tr>
    </w:tbl>
    <w:p w:rsidR="00BF675C" w:rsidRDefault="00BF675C" w:rsidP="00F14585">
      <w:pPr>
        <w:jc w:val="both"/>
        <w:rPr>
          <w:sz w:val="22"/>
          <w:szCs w:val="22"/>
        </w:rPr>
        <w:sectPr w:rsidR="00BF675C" w:rsidSect="00356E21">
          <w:pgSz w:w="16840" w:h="11907" w:orient="landscape" w:code="9"/>
          <w:pgMar w:top="1418" w:right="1418" w:bottom="1418" w:left="1418" w:header="709" w:footer="709" w:gutter="0"/>
          <w:cols w:space="708"/>
          <w:docGrid w:linePitch="360"/>
        </w:sectPr>
      </w:pPr>
    </w:p>
    <w:p w:rsidR="004006DF" w:rsidRPr="00824834" w:rsidRDefault="004006DF" w:rsidP="004006DF">
      <w:pPr>
        <w:rPr>
          <w:b/>
          <w:sz w:val="22"/>
          <w:szCs w:val="22"/>
        </w:rPr>
      </w:pPr>
      <w:r w:rsidRPr="00824834">
        <w:rPr>
          <w:b/>
          <w:sz w:val="22"/>
          <w:szCs w:val="22"/>
        </w:rPr>
        <w:lastRenderedPageBreak/>
        <w:t xml:space="preserve">Přehled probíhajících výzev </w:t>
      </w:r>
    </w:p>
    <w:p w:rsidR="004006DF" w:rsidRDefault="004006DF" w:rsidP="00F14585">
      <w:pPr>
        <w:jc w:val="both"/>
        <w:rPr>
          <w:sz w:val="22"/>
          <w:szCs w:val="22"/>
        </w:rPr>
      </w:pPr>
      <w:r w:rsidRPr="00441C01">
        <w:rPr>
          <w:sz w:val="22"/>
          <w:szCs w:val="22"/>
        </w:rPr>
        <w:t xml:space="preserve">V prioritní ose 5 pokračovalo předkládání projektových žádostí do 7. výzvy v oblasti intervence </w:t>
      </w:r>
      <w:r w:rsidRPr="00441C01">
        <w:rPr>
          <w:sz w:val="22"/>
          <w:szCs w:val="22"/>
        </w:rPr>
        <w:br/>
        <w:t xml:space="preserve">5.2. </w:t>
      </w:r>
      <w:r w:rsidR="00441C01">
        <w:rPr>
          <w:sz w:val="22"/>
          <w:szCs w:val="22"/>
        </w:rPr>
        <w:t xml:space="preserve">Výzva byla ukončena ke dni </w:t>
      </w:r>
      <w:r w:rsidR="002B1255">
        <w:rPr>
          <w:sz w:val="22"/>
          <w:szCs w:val="22"/>
        </w:rPr>
        <w:t>15. 7. 2015</w:t>
      </w:r>
      <w:r w:rsidR="00441C01">
        <w:rPr>
          <w:sz w:val="22"/>
          <w:szCs w:val="22"/>
        </w:rPr>
        <w:t>.</w:t>
      </w:r>
    </w:p>
    <w:p w:rsidR="004006DF" w:rsidRDefault="004006DF" w:rsidP="00F14585">
      <w:pPr>
        <w:jc w:val="both"/>
        <w:rPr>
          <w:sz w:val="22"/>
          <w:szCs w:val="22"/>
        </w:rPr>
      </w:pPr>
    </w:p>
    <w:p w:rsidR="003A5131" w:rsidRDefault="00B66326" w:rsidP="003F6BCC">
      <w:pPr>
        <w:pStyle w:val="Tabulkanzev"/>
        <w:keepNext/>
        <w:keepLines/>
        <w:rPr>
          <w:rStyle w:val="Siln"/>
        </w:rPr>
      </w:pPr>
      <w:bookmarkStart w:id="124" w:name="_Toc433873567"/>
      <w:r w:rsidRPr="00E61F52">
        <w:rPr>
          <w:rStyle w:val="Siln"/>
        </w:rPr>
        <w:t xml:space="preserve">Přehled probíhajících </w:t>
      </w:r>
      <w:r w:rsidR="002F2C3F" w:rsidRPr="00E61F52">
        <w:rPr>
          <w:rStyle w:val="Siln"/>
        </w:rPr>
        <w:t xml:space="preserve">výzev </w:t>
      </w:r>
      <w:r w:rsidR="003F6BCC" w:rsidRPr="00E61F52">
        <w:rPr>
          <w:rStyle w:val="Siln"/>
        </w:rPr>
        <w:t>v PO 5</w:t>
      </w:r>
      <w:bookmarkEnd w:id="124"/>
    </w:p>
    <w:tbl>
      <w:tblPr>
        <w:tblW w:w="5000" w:type="pct"/>
        <w:tblBorders>
          <w:top w:val="single" w:sz="8" w:space="0" w:color="1F497D" w:themeColor="text2"/>
          <w:left w:val="single" w:sz="8" w:space="0" w:color="1F497D" w:themeColor="text2"/>
          <w:bottom w:val="single" w:sz="8" w:space="0" w:color="1F497D" w:themeColor="text2"/>
          <w:right w:val="single" w:sz="8" w:space="0" w:color="1F497D" w:themeColor="text2"/>
          <w:insideH w:val="single" w:sz="8" w:space="0" w:color="1F497D" w:themeColor="text2"/>
          <w:insideV w:val="single" w:sz="8" w:space="0" w:color="1F497D" w:themeColor="text2"/>
        </w:tblBorders>
        <w:tblCellMar>
          <w:left w:w="70" w:type="dxa"/>
          <w:right w:w="70" w:type="dxa"/>
        </w:tblCellMar>
        <w:tblLook w:val="04A0" w:firstRow="1" w:lastRow="0" w:firstColumn="1" w:lastColumn="0" w:noHBand="0" w:noVBand="1"/>
      </w:tblPr>
      <w:tblGrid>
        <w:gridCol w:w="694"/>
        <w:gridCol w:w="694"/>
        <w:gridCol w:w="1047"/>
        <w:gridCol w:w="780"/>
        <w:gridCol w:w="869"/>
        <w:gridCol w:w="695"/>
        <w:gridCol w:w="940"/>
        <w:gridCol w:w="615"/>
        <w:gridCol w:w="940"/>
        <w:gridCol w:w="623"/>
        <w:gridCol w:w="1314"/>
      </w:tblGrid>
      <w:tr w:rsidR="00B7584C" w:rsidRPr="00B7584C" w:rsidTr="00666610">
        <w:trPr>
          <w:trHeight w:val="315"/>
        </w:trPr>
        <w:tc>
          <w:tcPr>
            <w:tcW w:w="433" w:type="pct"/>
            <w:vMerge w:val="restart"/>
            <w:shd w:val="clear" w:color="000000" w:fill="B8CCE4"/>
            <w:vAlign w:val="center"/>
            <w:hideMark/>
          </w:tcPr>
          <w:p w:rsidR="00B7584C" w:rsidRPr="00B7584C" w:rsidRDefault="00B7584C" w:rsidP="00B7584C">
            <w:pPr>
              <w:jc w:val="center"/>
              <w:rPr>
                <w:b/>
                <w:bCs/>
                <w:color w:val="000000"/>
                <w:sz w:val="16"/>
                <w:szCs w:val="16"/>
              </w:rPr>
            </w:pPr>
            <w:r w:rsidRPr="00B7584C">
              <w:rPr>
                <w:b/>
                <w:bCs/>
                <w:color w:val="000000"/>
                <w:sz w:val="16"/>
                <w:szCs w:val="16"/>
              </w:rPr>
              <w:t>Pořadí výzvy</w:t>
            </w:r>
          </w:p>
        </w:tc>
        <w:tc>
          <w:tcPr>
            <w:tcW w:w="433" w:type="pct"/>
            <w:vMerge w:val="restart"/>
            <w:shd w:val="clear" w:color="000000" w:fill="B8CCE4"/>
            <w:vAlign w:val="center"/>
            <w:hideMark/>
          </w:tcPr>
          <w:p w:rsidR="00B7584C" w:rsidRPr="00B7584C" w:rsidRDefault="00B7584C" w:rsidP="00B7584C">
            <w:pPr>
              <w:jc w:val="center"/>
              <w:rPr>
                <w:b/>
                <w:bCs/>
                <w:color w:val="000000"/>
                <w:sz w:val="16"/>
                <w:szCs w:val="16"/>
              </w:rPr>
            </w:pPr>
            <w:r w:rsidRPr="00B7584C">
              <w:rPr>
                <w:b/>
                <w:bCs/>
                <w:color w:val="000000"/>
                <w:sz w:val="16"/>
                <w:szCs w:val="16"/>
              </w:rPr>
              <w:t>Číslo výzvy</w:t>
            </w:r>
          </w:p>
        </w:tc>
        <w:tc>
          <w:tcPr>
            <w:tcW w:w="866" w:type="pct"/>
            <w:gridSpan w:val="2"/>
            <w:vMerge w:val="restart"/>
            <w:shd w:val="clear" w:color="000000" w:fill="B8CCE4"/>
            <w:vAlign w:val="center"/>
            <w:hideMark/>
          </w:tcPr>
          <w:p w:rsidR="00B7584C" w:rsidRPr="00B7584C" w:rsidRDefault="00B7584C" w:rsidP="00B7584C">
            <w:pPr>
              <w:jc w:val="center"/>
              <w:rPr>
                <w:b/>
                <w:bCs/>
                <w:color w:val="000000"/>
                <w:sz w:val="16"/>
                <w:szCs w:val="16"/>
              </w:rPr>
            </w:pPr>
            <w:r w:rsidRPr="00B7584C">
              <w:rPr>
                <w:b/>
                <w:bCs/>
                <w:color w:val="000000"/>
                <w:sz w:val="16"/>
                <w:szCs w:val="16"/>
              </w:rPr>
              <w:t>Podání projektových žádostí</w:t>
            </w:r>
          </w:p>
        </w:tc>
        <w:tc>
          <w:tcPr>
            <w:tcW w:w="433" w:type="pct"/>
            <w:vMerge w:val="restart"/>
            <w:shd w:val="clear" w:color="000000" w:fill="B8CCE4"/>
            <w:vAlign w:val="center"/>
            <w:hideMark/>
          </w:tcPr>
          <w:p w:rsidR="00B7584C" w:rsidRPr="00B7584C" w:rsidRDefault="00B7584C" w:rsidP="00B7584C">
            <w:pPr>
              <w:jc w:val="center"/>
              <w:rPr>
                <w:b/>
                <w:bCs/>
                <w:color w:val="000000"/>
                <w:sz w:val="16"/>
                <w:szCs w:val="16"/>
              </w:rPr>
            </w:pPr>
            <w:r w:rsidRPr="00B7584C">
              <w:rPr>
                <w:b/>
                <w:bCs/>
                <w:color w:val="000000"/>
                <w:sz w:val="16"/>
                <w:szCs w:val="16"/>
              </w:rPr>
              <w:t>Druh výzvy</w:t>
            </w:r>
          </w:p>
        </w:tc>
        <w:tc>
          <w:tcPr>
            <w:tcW w:w="433" w:type="pct"/>
            <w:vMerge w:val="restart"/>
            <w:shd w:val="clear" w:color="000000" w:fill="B8CCE4"/>
            <w:vAlign w:val="center"/>
            <w:hideMark/>
          </w:tcPr>
          <w:p w:rsidR="00B7584C" w:rsidRPr="00B7584C" w:rsidRDefault="00B7584C" w:rsidP="00B7584C">
            <w:pPr>
              <w:jc w:val="center"/>
              <w:rPr>
                <w:b/>
                <w:bCs/>
                <w:color w:val="000000"/>
                <w:sz w:val="16"/>
                <w:szCs w:val="16"/>
              </w:rPr>
            </w:pPr>
            <w:r w:rsidRPr="00B7584C">
              <w:rPr>
                <w:b/>
                <w:bCs/>
                <w:color w:val="000000"/>
                <w:sz w:val="16"/>
                <w:szCs w:val="16"/>
              </w:rPr>
              <w:t>OI</w:t>
            </w:r>
          </w:p>
        </w:tc>
        <w:tc>
          <w:tcPr>
            <w:tcW w:w="523" w:type="pct"/>
            <w:vMerge w:val="restart"/>
            <w:shd w:val="clear" w:color="000000" w:fill="B8CCE4"/>
            <w:vAlign w:val="center"/>
            <w:hideMark/>
          </w:tcPr>
          <w:p w:rsidR="00B7584C" w:rsidRPr="00B7584C" w:rsidRDefault="00B7584C" w:rsidP="00B7584C">
            <w:pPr>
              <w:jc w:val="center"/>
              <w:rPr>
                <w:b/>
                <w:bCs/>
                <w:color w:val="000000"/>
                <w:sz w:val="16"/>
                <w:szCs w:val="16"/>
              </w:rPr>
            </w:pPr>
            <w:r w:rsidRPr="00B7584C">
              <w:rPr>
                <w:b/>
                <w:bCs/>
                <w:color w:val="000000"/>
                <w:sz w:val="16"/>
                <w:szCs w:val="16"/>
              </w:rPr>
              <w:t>Alokace na výzvu</w:t>
            </w:r>
          </w:p>
        </w:tc>
        <w:tc>
          <w:tcPr>
            <w:tcW w:w="939" w:type="pct"/>
            <w:gridSpan w:val="2"/>
            <w:vMerge w:val="restart"/>
            <w:shd w:val="clear" w:color="000000" w:fill="B8CCE4"/>
            <w:vAlign w:val="center"/>
            <w:hideMark/>
          </w:tcPr>
          <w:p w:rsidR="00B7584C" w:rsidRPr="00B7584C" w:rsidRDefault="00B7584C" w:rsidP="00B7584C">
            <w:pPr>
              <w:jc w:val="center"/>
              <w:rPr>
                <w:b/>
                <w:bCs/>
                <w:color w:val="000000"/>
                <w:sz w:val="16"/>
                <w:szCs w:val="16"/>
              </w:rPr>
            </w:pPr>
            <w:r w:rsidRPr="00B7584C">
              <w:rPr>
                <w:b/>
                <w:bCs/>
                <w:color w:val="000000"/>
                <w:sz w:val="16"/>
                <w:szCs w:val="16"/>
              </w:rPr>
              <w:t>Předložené žádosti o podporu</w:t>
            </w:r>
          </w:p>
        </w:tc>
        <w:tc>
          <w:tcPr>
            <w:tcW w:w="939" w:type="pct"/>
            <w:gridSpan w:val="2"/>
            <w:vMerge w:val="restart"/>
            <w:shd w:val="clear" w:color="000000" w:fill="B8CCE4"/>
            <w:vAlign w:val="center"/>
            <w:hideMark/>
          </w:tcPr>
          <w:p w:rsidR="00B7584C" w:rsidRPr="00B7584C" w:rsidRDefault="00B7584C" w:rsidP="00B7584C">
            <w:pPr>
              <w:jc w:val="center"/>
              <w:rPr>
                <w:b/>
                <w:bCs/>
                <w:color w:val="000000"/>
                <w:sz w:val="16"/>
                <w:szCs w:val="16"/>
              </w:rPr>
            </w:pPr>
            <w:r w:rsidRPr="00B7584C">
              <w:rPr>
                <w:b/>
                <w:bCs/>
                <w:color w:val="000000"/>
                <w:sz w:val="16"/>
                <w:szCs w:val="16"/>
              </w:rPr>
              <w:t>Projekty s vydaným Rozhodnutím/podepsanou Smlouvou</w:t>
            </w:r>
          </w:p>
        </w:tc>
      </w:tr>
      <w:tr w:rsidR="00B7584C" w:rsidRPr="00B7584C" w:rsidTr="00666610">
        <w:trPr>
          <w:trHeight w:val="315"/>
        </w:trPr>
        <w:tc>
          <w:tcPr>
            <w:tcW w:w="433" w:type="pct"/>
            <w:vMerge/>
            <w:vAlign w:val="center"/>
            <w:hideMark/>
          </w:tcPr>
          <w:p w:rsidR="00B7584C" w:rsidRPr="00B7584C" w:rsidRDefault="00B7584C" w:rsidP="00B7584C">
            <w:pPr>
              <w:rPr>
                <w:b/>
                <w:bCs/>
                <w:color w:val="000000"/>
                <w:sz w:val="16"/>
                <w:szCs w:val="16"/>
              </w:rPr>
            </w:pPr>
          </w:p>
        </w:tc>
        <w:tc>
          <w:tcPr>
            <w:tcW w:w="433" w:type="pct"/>
            <w:vMerge/>
            <w:vAlign w:val="center"/>
            <w:hideMark/>
          </w:tcPr>
          <w:p w:rsidR="00B7584C" w:rsidRPr="00B7584C" w:rsidRDefault="00B7584C" w:rsidP="00B7584C">
            <w:pPr>
              <w:rPr>
                <w:b/>
                <w:bCs/>
                <w:color w:val="000000"/>
                <w:sz w:val="16"/>
                <w:szCs w:val="16"/>
              </w:rPr>
            </w:pPr>
          </w:p>
        </w:tc>
        <w:tc>
          <w:tcPr>
            <w:tcW w:w="866" w:type="pct"/>
            <w:gridSpan w:val="2"/>
            <w:vMerge/>
            <w:vAlign w:val="center"/>
            <w:hideMark/>
          </w:tcPr>
          <w:p w:rsidR="00B7584C" w:rsidRPr="00B7584C" w:rsidRDefault="00B7584C" w:rsidP="00B7584C">
            <w:pPr>
              <w:rPr>
                <w:b/>
                <w:bCs/>
                <w:color w:val="000000"/>
                <w:sz w:val="16"/>
                <w:szCs w:val="16"/>
              </w:rPr>
            </w:pPr>
          </w:p>
        </w:tc>
        <w:tc>
          <w:tcPr>
            <w:tcW w:w="433" w:type="pct"/>
            <w:vMerge/>
            <w:vAlign w:val="center"/>
            <w:hideMark/>
          </w:tcPr>
          <w:p w:rsidR="00B7584C" w:rsidRPr="00B7584C" w:rsidRDefault="00B7584C" w:rsidP="00B7584C">
            <w:pPr>
              <w:rPr>
                <w:b/>
                <w:bCs/>
                <w:color w:val="000000"/>
                <w:sz w:val="16"/>
                <w:szCs w:val="16"/>
              </w:rPr>
            </w:pPr>
          </w:p>
        </w:tc>
        <w:tc>
          <w:tcPr>
            <w:tcW w:w="433" w:type="pct"/>
            <w:vMerge/>
            <w:vAlign w:val="center"/>
            <w:hideMark/>
          </w:tcPr>
          <w:p w:rsidR="00B7584C" w:rsidRPr="00B7584C" w:rsidRDefault="00B7584C" w:rsidP="00B7584C">
            <w:pPr>
              <w:rPr>
                <w:b/>
                <w:bCs/>
                <w:color w:val="000000"/>
                <w:sz w:val="16"/>
                <w:szCs w:val="16"/>
              </w:rPr>
            </w:pPr>
          </w:p>
        </w:tc>
        <w:tc>
          <w:tcPr>
            <w:tcW w:w="523" w:type="pct"/>
            <w:vMerge/>
            <w:vAlign w:val="center"/>
            <w:hideMark/>
          </w:tcPr>
          <w:p w:rsidR="00B7584C" w:rsidRPr="00B7584C" w:rsidRDefault="00B7584C" w:rsidP="00B7584C">
            <w:pPr>
              <w:rPr>
                <w:b/>
                <w:bCs/>
                <w:color w:val="000000"/>
                <w:sz w:val="16"/>
                <w:szCs w:val="16"/>
              </w:rPr>
            </w:pPr>
          </w:p>
        </w:tc>
        <w:tc>
          <w:tcPr>
            <w:tcW w:w="939" w:type="pct"/>
            <w:gridSpan w:val="2"/>
            <w:vMerge/>
            <w:vAlign w:val="center"/>
            <w:hideMark/>
          </w:tcPr>
          <w:p w:rsidR="00B7584C" w:rsidRPr="00B7584C" w:rsidRDefault="00B7584C" w:rsidP="00B7584C">
            <w:pPr>
              <w:rPr>
                <w:b/>
                <w:bCs/>
                <w:color w:val="000000"/>
                <w:sz w:val="16"/>
                <w:szCs w:val="16"/>
              </w:rPr>
            </w:pPr>
          </w:p>
        </w:tc>
        <w:tc>
          <w:tcPr>
            <w:tcW w:w="939" w:type="pct"/>
            <w:gridSpan w:val="2"/>
            <w:vMerge/>
            <w:vAlign w:val="center"/>
            <w:hideMark/>
          </w:tcPr>
          <w:p w:rsidR="00B7584C" w:rsidRPr="00B7584C" w:rsidRDefault="00B7584C" w:rsidP="00B7584C">
            <w:pPr>
              <w:rPr>
                <w:b/>
                <w:bCs/>
                <w:color w:val="000000"/>
                <w:sz w:val="16"/>
                <w:szCs w:val="16"/>
              </w:rPr>
            </w:pPr>
          </w:p>
        </w:tc>
      </w:tr>
      <w:tr w:rsidR="00B7584C" w:rsidRPr="00B7584C" w:rsidTr="00666610">
        <w:trPr>
          <w:trHeight w:val="1065"/>
        </w:trPr>
        <w:tc>
          <w:tcPr>
            <w:tcW w:w="433" w:type="pct"/>
            <w:vMerge/>
            <w:vAlign w:val="center"/>
            <w:hideMark/>
          </w:tcPr>
          <w:p w:rsidR="00B7584C" w:rsidRPr="00B7584C" w:rsidRDefault="00B7584C" w:rsidP="00B7584C">
            <w:pPr>
              <w:rPr>
                <w:b/>
                <w:bCs/>
                <w:color w:val="000000"/>
                <w:sz w:val="16"/>
                <w:szCs w:val="16"/>
              </w:rPr>
            </w:pPr>
          </w:p>
        </w:tc>
        <w:tc>
          <w:tcPr>
            <w:tcW w:w="433" w:type="pct"/>
            <w:vMerge/>
            <w:vAlign w:val="center"/>
            <w:hideMark/>
          </w:tcPr>
          <w:p w:rsidR="00B7584C" w:rsidRPr="00B7584C" w:rsidRDefault="00B7584C" w:rsidP="00B7584C">
            <w:pPr>
              <w:rPr>
                <w:b/>
                <w:bCs/>
                <w:color w:val="000000"/>
                <w:sz w:val="16"/>
                <w:szCs w:val="16"/>
              </w:rPr>
            </w:pPr>
          </w:p>
        </w:tc>
        <w:tc>
          <w:tcPr>
            <w:tcW w:w="472" w:type="pct"/>
            <w:shd w:val="clear" w:color="000000" w:fill="B8CCE4"/>
            <w:vAlign w:val="center"/>
            <w:hideMark/>
          </w:tcPr>
          <w:p w:rsidR="00B7584C" w:rsidRPr="00B7584C" w:rsidRDefault="00B7584C" w:rsidP="00B7584C">
            <w:pPr>
              <w:jc w:val="center"/>
              <w:rPr>
                <w:b/>
                <w:bCs/>
                <w:color w:val="000000"/>
                <w:sz w:val="16"/>
                <w:szCs w:val="16"/>
              </w:rPr>
            </w:pPr>
            <w:r w:rsidRPr="00B7584C">
              <w:rPr>
                <w:b/>
                <w:bCs/>
                <w:color w:val="000000"/>
                <w:sz w:val="16"/>
                <w:szCs w:val="16"/>
              </w:rPr>
              <w:t>Datum zahájení příjmu projektových žádostí</w:t>
            </w:r>
          </w:p>
        </w:tc>
        <w:tc>
          <w:tcPr>
            <w:tcW w:w="394" w:type="pct"/>
            <w:shd w:val="clear" w:color="000000" w:fill="B8CCE4"/>
            <w:vAlign w:val="center"/>
            <w:hideMark/>
          </w:tcPr>
          <w:p w:rsidR="00B7584C" w:rsidRPr="00B7584C" w:rsidRDefault="00B7584C" w:rsidP="00B7584C">
            <w:pPr>
              <w:jc w:val="center"/>
              <w:rPr>
                <w:b/>
                <w:bCs/>
                <w:color w:val="000000"/>
                <w:sz w:val="16"/>
                <w:szCs w:val="16"/>
              </w:rPr>
            </w:pPr>
            <w:r w:rsidRPr="00B7584C">
              <w:rPr>
                <w:b/>
                <w:bCs/>
                <w:color w:val="000000"/>
                <w:sz w:val="16"/>
                <w:szCs w:val="16"/>
              </w:rPr>
              <w:t>Datum ukončení výzvy</w:t>
            </w:r>
          </w:p>
        </w:tc>
        <w:tc>
          <w:tcPr>
            <w:tcW w:w="433" w:type="pct"/>
            <w:vMerge/>
            <w:vAlign w:val="center"/>
            <w:hideMark/>
          </w:tcPr>
          <w:p w:rsidR="00B7584C" w:rsidRPr="00B7584C" w:rsidRDefault="00B7584C" w:rsidP="00B7584C">
            <w:pPr>
              <w:rPr>
                <w:b/>
                <w:bCs/>
                <w:color w:val="000000"/>
                <w:sz w:val="16"/>
                <w:szCs w:val="16"/>
              </w:rPr>
            </w:pPr>
          </w:p>
        </w:tc>
        <w:tc>
          <w:tcPr>
            <w:tcW w:w="433" w:type="pct"/>
            <w:vMerge/>
            <w:vAlign w:val="center"/>
            <w:hideMark/>
          </w:tcPr>
          <w:p w:rsidR="00B7584C" w:rsidRPr="00B7584C" w:rsidRDefault="00B7584C" w:rsidP="00B7584C">
            <w:pPr>
              <w:rPr>
                <w:b/>
                <w:bCs/>
                <w:color w:val="000000"/>
                <w:sz w:val="16"/>
                <w:szCs w:val="16"/>
              </w:rPr>
            </w:pPr>
          </w:p>
        </w:tc>
        <w:tc>
          <w:tcPr>
            <w:tcW w:w="523" w:type="pct"/>
            <w:shd w:val="clear" w:color="000000" w:fill="B8CCE4"/>
            <w:vAlign w:val="center"/>
            <w:hideMark/>
          </w:tcPr>
          <w:p w:rsidR="00B7584C" w:rsidRPr="00B7584C" w:rsidRDefault="00B7584C" w:rsidP="00B7584C">
            <w:pPr>
              <w:jc w:val="center"/>
              <w:rPr>
                <w:b/>
                <w:bCs/>
                <w:color w:val="000000"/>
                <w:sz w:val="16"/>
                <w:szCs w:val="16"/>
              </w:rPr>
            </w:pPr>
            <w:r w:rsidRPr="00B7584C">
              <w:rPr>
                <w:b/>
                <w:bCs/>
                <w:color w:val="000000"/>
                <w:sz w:val="16"/>
                <w:szCs w:val="16"/>
              </w:rPr>
              <w:t xml:space="preserve">v </w:t>
            </w:r>
            <w:proofErr w:type="gramStart"/>
            <w:r w:rsidRPr="00B7584C">
              <w:rPr>
                <w:b/>
                <w:bCs/>
                <w:color w:val="000000"/>
                <w:sz w:val="16"/>
                <w:szCs w:val="16"/>
              </w:rPr>
              <w:t>EUR</w:t>
            </w:r>
            <w:proofErr w:type="gramEnd"/>
          </w:p>
        </w:tc>
        <w:tc>
          <w:tcPr>
            <w:tcW w:w="433" w:type="pct"/>
            <w:shd w:val="clear" w:color="000000" w:fill="B8CCE4"/>
            <w:vAlign w:val="center"/>
            <w:hideMark/>
          </w:tcPr>
          <w:p w:rsidR="00B7584C" w:rsidRPr="00B7584C" w:rsidRDefault="00B7584C" w:rsidP="00B7584C">
            <w:pPr>
              <w:jc w:val="center"/>
              <w:rPr>
                <w:b/>
                <w:bCs/>
                <w:color w:val="000000"/>
                <w:sz w:val="16"/>
                <w:szCs w:val="16"/>
              </w:rPr>
            </w:pPr>
            <w:r w:rsidRPr="00B7584C">
              <w:rPr>
                <w:b/>
                <w:bCs/>
                <w:color w:val="000000"/>
                <w:sz w:val="16"/>
                <w:szCs w:val="16"/>
              </w:rPr>
              <w:t>počet</w:t>
            </w:r>
          </w:p>
        </w:tc>
        <w:tc>
          <w:tcPr>
            <w:tcW w:w="505" w:type="pct"/>
            <w:shd w:val="clear" w:color="000000" w:fill="B8CCE4"/>
            <w:vAlign w:val="center"/>
            <w:hideMark/>
          </w:tcPr>
          <w:p w:rsidR="00B7584C" w:rsidRPr="00B7584C" w:rsidRDefault="00B7584C" w:rsidP="00B7584C">
            <w:pPr>
              <w:jc w:val="center"/>
              <w:rPr>
                <w:b/>
                <w:bCs/>
                <w:color w:val="000000"/>
                <w:sz w:val="16"/>
                <w:szCs w:val="16"/>
              </w:rPr>
            </w:pPr>
            <w:r w:rsidRPr="00B7584C">
              <w:rPr>
                <w:b/>
                <w:bCs/>
                <w:color w:val="000000"/>
                <w:sz w:val="16"/>
                <w:szCs w:val="16"/>
              </w:rPr>
              <w:t xml:space="preserve">v </w:t>
            </w:r>
            <w:proofErr w:type="gramStart"/>
            <w:r w:rsidRPr="00B7584C">
              <w:rPr>
                <w:b/>
                <w:bCs/>
                <w:color w:val="000000"/>
                <w:sz w:val="16"/>
                <w:szCs w:val="16"/>
              </w:rPr>
              <w:t>EUR</w:t>
            </w:r>
            <w:proofErr w:type="gramEnd"/>
          </w:p>
        </w:tc>
        <w:tc>
          <w:tcPr>
            <w:tcW w:w="302" w:type="pct"/>
            <w:shd w:val="clear" w:color="000000" w:fill="B8CCE4"/>
            <w:noWrap/>
            <w:vAlign w:val="center"/>
            <w:hideMark/>
          </w:tcPr>
          <w:p w:rsidR="00B7584C" w:rsidRPr="00B7584C" w:rsidRDefault="00B7584C" w:rsidP="00B7584C">
            <w:pPr>
              <w:jc w:val="center"/>
              <w:rPr>
                <w:b/>
                <w:bCs/>
                <w:color w:val="000000"/>
                <w:sz w:val="16"/>
                <w:szCs w:val="16"/>
              </w:rPr>
            </w:pPr>
            <w:r w:rsidRPr="00B7584C">
              <w:rPr>
                <w:b/>
                <w:bCs/>
                <w:color w:val="000000"/>
                <w:sz w:val="16"/>
                <w:szCs w:val="16"/>
              </w:rPr>
              <w:t xml:space="preserve">počet </w:t>
            </w:r>
          </w:p>
        </w:tc>
        <w:tc>
          <w:tcPr>
            <w:tcW w:w="637" w:type="pct"/>
            <w:shd w:val="clear" w:color="000000" w:fill="B8CCE4"/>
            <w:noWrap/>
            <w:vAlign w:val="center"/>
            <w:hideMark/>
          </w:tcPr>
          <w:p w:rsidR="00B7584C" w:rsidRPr="00B7584C" w:rsidRDefault="00B7584C" w:rsidP="00B7584C">
            <w:pPr>
              <w:jc w:val="center"/>
              <w:rPr>
                <w:b/>
                <w:bCs/>
                <w:color w:val="000000"/>
                <w:sz w:val="16"/>
                <w:szCs w:val="16"/>
              </w:rPr>
            </w:pPr>
            <w:r w:rsidRPr="00B7584C">
              <w:rPr>
                <w:b/>
                <w:bCs/>
                <w:color w:val="000000"/>
                <w:sz w:val="16"/>
                <w:szCs w:val="16"/>
              </w:rPr>
              <w:t xml:space="preserve">v </w:t>
            </w:r>
            <w:proofErr w:type="gramStart"/>
            <w:r w:rsidRPr="00B7584C">
              <w:rPr>
                <w:b/>
                <w:bCs/>
                <w:color w:val="000000"/>
                <w:sz w:val="16"/>
                <w:szCs w:val="16"/>
              </w:rPr>
              <w:t>EUR</w:t>
            </w:r>
            <w:proofErr w:type="gramEnd"/>
          </w:p>
        </w:tc>
      </w:tr>
      <w:tr w:rsidR="00B7584C" w:rsidRPr="00B7584C" w:rsidTr="00666610">
        <w:trPr>
          <w:trHeight w:val="315"/>
        </w:trPr>
        <w:tc>
          <w:tcPr>
            <w:tcW w:w="433" w:type="pct"/>
            <w:shd w:val="clear" w:color="000000" w:fill="FFFFFF"/>
            <w:noWrap/>
            <w:vAlign w:val="center"/>
            <w:hideMark/>
          </w:tcPr>
          <w:p w:rsidR="00B7584C" w:rsidRPr="00B7584C" w:rsidRDefault="00B7584C" w:rsidP="00B7584C">
            <w:pPr>
              <w:jc w:val="right"/>
              <w:rPr>
                <w:color w:val="000000"/>
                <w:sz w:val="16"/>
                <w:szCs w:val="16"/>
              </w:rPr>
            </w:pPr>
            <w:r w:rsidRPr="00B7584C">
              <w:rPr>
                <w:color w:val="000000"/>
                <w:sz w:val="16"/>
                <w:szCs w:val="16"/>
              </w:rPr>
              <w:t>16</w:t>
            </w:r>
          </w:p>
        </w:tc>
        <w:tc>
          <w:tcPr>
            <w:tcW w:w="433" w:type="pct"/>
            <w:shd w:val="clear" w:color="000000" w:fill="FFFFFF"/>
            <w:noWrap/>
            <w:vAlign w:val="center"/>
            <w:hideMark/>
          </w:tcPr>
          <w:p w:rsidR="00B7584C" w:rsidRPr="00B7584C" w:rsidRDefault="00B7584C" w:rsidP="00B7584C">
            <w:pPr>
              <w:jc w:val="right"/>
              <w:rPr>
                <w:color w:val="000000"/>
                <w:sz w:val="16"/>
                <w:szCs w:val="16"/>
              </w:rPr>
            </w:pPr>
            <w:r w:rsidRPr="00B7584C">
              <w:rPr>
                <w:color w:val="000000"/>
                <w:sz w:val="16"/>
                <w:szCs w:val="16"/>
              </w:rPr>
              <w:t>7</w:t>
            </w:r>
          </w:p>
        </w:tc>
        <w:tc>
          <w:tcPr>
            <w:tcW w:w="472" w:type="pct"/>
            <w:shd w:val="clear" w:color="000000" w:fill="FFFFFF"/>
            <w:vAlign w:val="center"/>
            <w:hideMark/>
          </w:tcPr>
          <w:p w:rsidR="00B7584C" w:rsidRPr="00B7584C" w:rsidRDefault="00360359" w:rsidP="00B7584C">
            <w:pPr>
              <w:jc w:val="right"/>
              <w:rPr>
                <w:color w:val="000000"/>
                <w:sz w:val="16"/>
                <w:szCs w:val="16"/>
              </w:rPr>
            </w:pPr>
            <w:r w:rsidRPr="00B7584C">
              <w:rPr>
                <w:color w:val="000000"/>
                <w:sz w:val="16"/>
                <w:szCs w:val="16"/>
              </w:rPr>
              <w:t>22. 5. 2009</w:t>
            </w:r>
          </w:p>
        </w:tc>
        <w:tc>
          <w:tcPr>
            <w:tcW w:w="394" w:type="pct"/>
            <w:shd w:val="clear" w:color="000000" w:fill="FFFFFF"/>
            <w:vAlign w:val="center"/>
            <w:hideMark/>
          </w:tcPr>
          <w:p w:rsidR="00B7584C" w:rsidRPr="00B7584C" w:rsidRDefault="00624C2E" w:rsidP="00B7584C">
            <w:pPr>
              <w:jc w:val="right"/>
              <w:rPr>
                <w:color w:val="000000"/>
                <w:sz w:val="16"/>
                <w:szCs w:val="16"/>
              </w:rPr>
            </w:pPr>
            <w:proofErr w:type="gramStart"/>
            <w:r>
              <w:rPr>
                <w:color w:val="000000"/>
                <w:sz w:val="16"/>
                <w:szCs w:val="16"/>
              </w:rPr>
              <w:t>15.7.2015</w:t>
            </w:r>
            <w:proofErr w:type="gramEnd"/>
          </w:p>
        </w:tc>
        <w:tc>
          <w:tcPr>
            <w:tcW w:w="433" w:type="pct"/>
            <w:shd w:val="clear" w:color="000000" w:fill="FFFFFF"/>
            <w:noWrap/>
            <w:vAlign w:val="center"/>
            <w:hideMark/>
          </w:tcPr>
          <w:p w:rsidR="00B7584C" w:rsidRPr="00B7584C" w:rsidRDefault="00B7584C" w:rsidP="00B7584C">
            <w:pPr>
              <w:rPr>
                <w:color w:val="000000"/>
                <w:sz w:val="16"/>
                <w:szCs w:val="16"/>
              </w:rPr>
            </w:pPr>
            <w:r w:rsidRPr="00B7584C">
              <w:rPr>
                <w:color w:val="000000"/>
                <w:sz w:val="16"/>
                <w:szCs w:val="16"/>
              </w:rPr>
              <w:t>kontinuální</w:t>
            </w:r>
          </w:p>
        </w:tc>
        <w:tc>
          <w:tcPr>
            <w:tcW w:w="433" w:type="pct"/>
            <w:shd w:val="clear" w:color="000000" w:fill="FFFFFF"/>
            <w:noWrap/>
            <w:vAlign w:val="center"/>
            <w:hideMark/>
          </w:tcPr>
          <w:p w:rsidR="00B7584C" w:rsidRPr="00B7584C" w:rsidRDefault="00B7584C" w:rsidP="00B7584C">
            <w:pPr>
              <w:jc w:val="center"/>
              <w:rPr>
                <w:color w:val="000000"/>
                <w:sz w:val="16"/>
                <w:szCs w:val="16"/>
              </w:rPr>
            </w:pPr>
            <w:r w:rsidRPr="00B7584C">
              <w:rPr>
                <w:color w:val="000000"/>
                <w:sz w:val="16"/>
                <w:szCs w:val="16"/>
              </w:rPr>
              <w:t>5.2</w:t>
            </w:r>
          </w:p>
        </w:tc>
        <w:tc>
          <w:tcPr>
            <w:tcW w:w="523" w:type="pct"/>
            <w:shd w:val="clear" w:color="000000" w:fill="FFFFFF"/>
            <w:noWrap/>
            <w:vAlign w:val="center"/>
            <w:hideMark/>
          </w:tcPr>
          <w:p w:rsidR="00B7584C" w:rsidRPr="00B7584C" w:rsidRDefault="00B7584C" w:rsidP="00B7584C">
            <w:pPr>
              <w:jc w:val="right"/>
              <w:rPr>
                <w:color w:val="000000"/>
                <w:sz w:val="16"/>
                <w:szCs w:val="16"/>
              </w:rPr>
            </w:pPr>
            <w:r w:rsidRPr="00B7584C">
              <w:rPr>
                <w:color w:val="000000"/>
                <w:sz w:val="16"/>
                <w:szCs w:val="16"/>
              </w:rPr>
              <w:t>192 573 322</w:t>
            </w:r>
          </w:p>
        </w:tc>
        <w:tc>
          <w:tcPr>
            <w:tcW w:w="433" w:type="pct"/>
            <w:shd w:val="clear" w:color="000000" w:fill="FFFFFF"/>
            <w:noWrap/>
            <w:vAlign w:val="center"/>
            <w:hideMark/>
          </w:tcPr>
          <w:p w:rsidR="00B7584C" w:rsidRPr="00B7584C" w:rsidRDefault="00B7584C" w:rsidP="00B7584C">
            <w:pPr>
              <w:jc w:val="right"/>
              <w:rPr>
                <w:color w:val="000000"/>
                <w:sz w:val="16"/>
                <w:szCs w:val="16"/>
              </w:rPr>
            </w:pPr>
            <w:r w:rsidRPr="00B7584C">
              <w:rPr>
                <w:color w:val="000000"/>
                <w:sz w:val="16"/>
                <w:szCs w:val="16"/>
              </w:rPr>
              <w:t>1546</w:t>
            </w:r>
          </w:p>
        </w:tc>
        <w:tc>
          <w:tcPr>
            <w:tcW w:w="505" w:type="pct"/>
            <w:shd w:val="clear" w:color="000000" w:fill="FFFFFF"/>
            <w:noWrap/>
            <w:vAlign w:val="center"/>
            <w:hideMark/>
          </w:tcPr>
          <w:p w:rsidR="00B7584C" w:rsidRPr="00B7584C" w:rsidRDefault="00B7584C" w:rsidP="00B7584C">
            <w:pPr>
              <w:jc w:val="right"/>
              <w:rPr>
                <w:color w:val="000000"/>
                <w:sz w:val="16"/>
                <w:szCs w:val="16"/>
              </w:rPr>
            </w:pPr>
            <w:r w:rsidRPr="00B7584C">
              <w:rPr>
                <w:color w:val="000000"/>
                <w:sz w:val="16"/>
                <w:szCs w:val="16"/>
              </w:rPr>
              <w:t>423 488 271</w:t>
            </w:r>
          </w:p>
        </w:tc>
        <w:tc>
          <w:tcPr>
            <w:tcW w:w="302" w:type="pct"/>
            <w:shd w:val="clear" w:color="000000" w:fill="FFFFFF"/>
            <w:noWrap/>
            <w:vAlign w:val="center"/>
            <w:hideMark/>
          </w:tcPr>
          <w:p w:rsidR="00B7584C" w:rsidRPr="00B7584C" w:rsidRDefault="00B7584C" w:rsidP="00B7584C">
            <w:pPr>
              <w:jc w:val="right"/>
              <w:rPr>
                <w:color w:val="000000"/>
                <w:sz w:val="16"/>
                <w:szCs w:val="16"/>
              </w:rPr>
            </w:pPr>
            <w:r w:rsidRPr="00B7584C">
              <w:rPr>
                <w:color w:val="000000"/>
                <w:sz w:val="16"/>
                <w:szCs w:val="16"/>
              </w:rPr>
              <w:t>1507</w:t>
            </w:r>
          </w:p>
        </w:tc>
        <w:tc>
          <w:tcPr>
            <w:tcW w:w="637" w:type="pct"/>
            <w:shd w:val="clear" w:color="000000" w:fill="FFFFFF"/>
            <w:noWrap/>
            <w:vAlign w:val="center"/>
            <w:hideMark/>
          </w:tcPr>
          <w:p w:rsidR="00B7584C" w:rsidRPr="00B7584C" w:rsidRDefault="00B7584C" w:rsidP="00B7584C">
            <w:pPr>
              <w:jc w:val="right"/>
              <w:rPr>
                <w:color w:val="000000"/>
                <w:sz w:val="16"/>
                <w:szCs w:val="16"/>
              </w:rPr>
            </w:pPr>
            <w:r w:rsidRPr="00B7584C">
              <w:rPr>
                <w:color w:val="000000"/>
                <w:sz w:val="16"/>
                <w:szCs w:val="16"/>
              </w:rPr>
              <w:t>184 668 573</w:t>
            </w:r>
          </w:p>
        </w:tc>
      </w:tr>
    </w:tbl>
    <w:p w:rsidR="003E0926" w:rsidRPr="005F749B" w:rsidRDefault="003E0926" w:rsidP="003E0926">
      <w:pPr>
        <w:rPr>
          <w:i/>
          <w:sz w:val="18"/>
          <w:szCs w:val="18"/>
        </w:rPr>
      </w:pPr>
      <w:r>
        <w:rPr>
          <w:i/>
          <w:sz w:val="18"/>
          <w:szCs w:val="18"/>
        </w:rPr>
        <w:t xml:space="preserve">Zdroj: IS Monit7+ ke dni </w:t>
      </w:r>
      <w:r w:rsidR="0015783A">
        <w:rPr>
          <w:i/>
          <w:sz w:val="18"/>
          <w:szCs w:val="18"/>
        </w:rPr>
        <w:t>30. 9. 2015</w:t>
      </w:r>
    </w:p>
    <w:p w:rsidR="003E0926" w:rsidRDefault="003E0926" w:rsidP="003E0926">
      <w:pPr>
        <w:rPr>
          <w:sz w:val="22"/>
          <w:szCs w:val="22"/>
        </w:rPr>
      </w:pPr>
      <w:r w:rsidRPr="005F749B">
        <w:rPr>
          <w:i/>
          <w:sz w:val="18"/>
          <w:szCs w:val="18"/>
        </w:rPr>
        <w:t xml:space="preserve">Zdroj financování – </w:t>
      </w:r>
      <w:r>
        <w:rPr>
          <w:i/>
          <w:sz w:val="18"/>
          <w:szCs w:val="18"/>
        </w:rPr>
        <w:t>veřejné prostředky celkem</w:t>
      </w:r>
    </w:p>
    <w:p w:rsidR="004063E4" w:rsidRDefault="004063E4" w:rsidP="00592986">
      <w:pPr>
        <w:rPr>
          <w:i/>
          <w:sz w:val="18"/>
          <w:szCs w:val="18"/>
        </w:rPr>
      </w:pPr>
    </w:p>
    <w:p w:rsidR="009E7855" w:rsidRDefault="009E7855" w:rsidP="003A5131">
      <w:pPr>
        <w:spacing w:after="120"/>
        <w:rPr>
          <w:rStyle w:val="Siln"/>
          <w:b w:val="0"/>
        </w:rPr>
      </w:pPr>
    </w:p>
    <w:p w:rsidR="00FA7F29" w:rsidRDefault="00D644B0" w:rsidP="00FA7F29">
      <w:pPr>
        <w:spacing w:after="120"/>
        <w:rPr>
          <w:b/>
          <w:sz w:val="28"/>
          <w:szCs w:val="28"/>
        </w:rPr>
      </w:pPr>
      <w:r w:rsidRPr="00B7725D">
        <w:rPr>
          <w:b/>
          <w:sz w:val="28"/>
          <w:szCs w:val="28"/>
        </w:rPr>
        <w:t>Realizace IPRM</w:t>
      </w:r>
      <w:r w:rsidR="004B6F8B" w:rsidRPr="00B17A5E">
        <w:rPr>
          <w:b/>
          <w:sz w:val="28"/>
          <w:szCs w:val="28"/>
        </w:rPr>
        <w:tab/>
      </w:r>
    </w:p>
    <w:p w:rsidR="00192327" w:rsidRPr="00FA7F29" w:rsidRDefault="00192327" w:rsidP="006234BA">
      <w:pPr>
        <w:rPr>
          <w:b/>
          <w:sz w:val="28"/>
          <w:szCs w:val="28"/>
        </w:rPr>
      </w:pPr>
      <w:r w:rsidRPr="00B17A5E">
        <w:rPr>
          <w:b/>
          <w:sz w:val="22"/>
          <w:szCs w:val="22"/>
        </w:rPr>
        <w:t>Stav realizace IPRM</w:t>
      </w:r>
      <w:r w:rsidRPr="003978EE">
        <w:rPr>
          <w:b/>
          <w:sz w:val="22"/>
          <w:szCs w:val="22"/>
        </w:rPr>
        <w:t xml:space="preserve"> </w:t>
      </w:r>
    </w:p>
    <w:p w:rsidR="00367EDA" w:rsidRDefault="00367EDA" w:rsidP="006234BA">
      <w:pPr>
        <w:jc w:val="both"/>
        <w:rPr>
          <w:sz w:val="22"/>
          <w:szCs w:val="22"/>
        </w:rPr>
      </w:pPr>
      <w:r w:rsidRPr="008E1F4C">
        <w:rPr>
          <w:sz w:val="22"/>
          <w:szCs w:val="22"/>
        </w:rPr>
        <w:t xml:space="preserve">Realizace Integrovaných plánů rozvoje měst probíhá ve 41 městech. Do </w:t>
      </w:r>
      <w:r w:rsidR="0015783A" w:rsidRPr="008E1F4C">
        <w:rPr>
          <w:sz w:val="22"/>
          <w:szCs w:val="22"/>
        </w:rPr>
        <w:t>30. 9. 2015</w:t>
      </w:r>
      <w:r w:rsidRPr="008E1F4C">
        <w:rPr>
          <w:sz w:val="22"/>
          <w:szCs w:val="22"/>
        </w:rPr>
        <w:t xml:space="preserve"> bylo ve všech městech vyhlášeno celkem 2</w:t>
      </w:r>
      <w:r w:rsidR="009F406A" w:rsidRPr="008E1F4C">
        <w:rPr>
          <w:sz w:val="22"/>
          <w:szCs w:val="22"/>
        </w:rPr>
        <w:t>6</w:t>
      </w:r>
      <w:r w:rsidR="008E1F4C" w:rsidRPr="008E1F4C">
        <w:rPr>
          <w:sz w:val="22"/>
          <w:szCs w:val="22"/>
        </w:rPr>
        <w:t>9</w:t>
      </w:r>
      <w:r w:rsidR="009F406A" w:rsidRPr="008E1F4C">
        <w:rPr>
          <w:sz w:val="22"/>
          <w:szCs w:val="22"/>
        </w:rPr>
        <w:t xml:space="preserve"> </w:t>
      </w:r>
      <w:r w:rsidR="008E1F4C" w:rsidRPr="008E1F4C">
        <w:rPr>
          <w:sz w:val="22"/>
          <w:szCs w:val="22"/>
        </w:rPr>
        <w:t>výzev, které již ukonč</w:t>
      </w:r>
      <w:r w:rsidR="009A4B9F">
        <w:rPr>
          <w:sz w:val="22"/>
          <w:szCs w:val="22"/>
        </w:rPr>
        <w:t>il</w:t>
      </w:r>
      <w:r w:rsidR="008E1F4C" w:rsidRPr="008E1F4C">
        <w:rPr>
          <w:sz w:val="22"/>
          <w:szCs w:val="22"/>
        </w:rPr>
        <w:t>y</w:t>
      </w:r>
      <w:r w:rsidR="009A4B9F">
        <w:rPr>
          <w:sz w:val="22"/>
          <w:szCs w:val="22"/>
        </w:rPr>
        <w:t xml:space="preserve"> příjem žádostí o dotaci</w:t>
      </w:r>
      <w:r w:rsidR="008E1F4C" w:rsidRPr="008E1F4C">
        <w:rPr>
          <w:sz w:val="22"/>
          <w:szCs w:val="22"/>
        </w:rPr>
        <w:t xml:space="preserve">. </w:t>
      </w:r>
    </w:p>
    <w:p w:rsidR="003F6BCC" w:rsidRDefault="003F6BCC" w:rsidP="00367EDA">
      <w:pPr>
        <w:jc w:val="both"/>
        <w:rPr>
          <w:sz w:val="22"/>
          <w:szCs w:val="22"/>
        </w:rPr>
      </w:pPr>
    </w:p>
    <w:p w:rsidR="003F6BCC" w:rsidRDefault="003F6BCC" w:rsidP="001D0167">
      <w:pPr>
        <w:pStyle w:val="Tabulkanzev"/>
        <w:keepNext/>
        <w:keepLines/>
        <w:rPr>
          <w:rStyle w:val="Siln"/>
          <w:bCs w:val="0"/>
        </w:rPr>
      </w:pPr>
      <w:bookmarkStart w:id="125" w:name="_Toc357003760"/>
      <w:bookmarkStart w:id="126" w:name="_Toc433873568"/>
      <w:r w:rsidRPr="001D0167">
        <w:rPr>
          <w:rStyle w:val="Siln"/>
          <w:bCs w:val="0"/>
        </w:rPr>
        <w:t>Počet výzev realizovaných v</w:t>
      </w:r>
      <w:r w:rsidR="00D714AA">
        <w:rPr>
          <w:rStyle w:val="Siln"/>
          <w:bCs w:val="0"/>
        </w:rPr>
        <w:t> </w:t>
      </w:r>
      <w:r w:rsidRPr="001D0167">
        <w:rPr>
          <w:rStyle w:val="Siln"/>
          <w:bCs w:val="0"/>
        </w:rPr>
        <w:t>IPRM</w:t>
      </w:r>
      <w:bookmarkEnd w:id="125"/>
      <w:bookmarkEnd w:id="126"/>
    </w:p>
    <w:tbl>
      <w:tblPr>
        <w:tblW w:w="8955" w:type="dxa"/>
        <w:tblInd w:w="47" w:type="dxa"/>
        <w:tblBorders>
          <w:top w:val="double" w:sz="6" w:space="0" w:color="1F497D" w:themeColor="text2"/>
          <w:left w:val="double" w:sz="6" w:space="0" w:color="1F497D" w:themeColor="text2"/>
          <w:bottom w:val="double" w:sz="6" w:space="0" w:color="1F497D" w:themeColor="text2"/>
          <w:right w:val="double" w:sz="6" w:space="0" w:color="1F497D" w:themeColor="text2"/>
          <w:insideH w:val="single" w:sz="8" w:space="0" w:color="1F497D" w:themeColor="text2"/>
          <w:insideV w:val="single" w:sz="8" w:space="0" w:color="1F497D" w:themeColor="text2"/>
        </w:tblBorders>
        <w:tblCellMar>
          <w:left w:w="70" w:type="dxa"/>
          <w:right w:w="70" w:type="dxa"/>
        </w:tblCellMar>
        <w:tblLook w:val="04A0" w:firstRow="1" w:lastRow="0" w:firstColumn="1" w:lastColumn="0" w:noHBand="0" w:noVBand="1"/>
      </w:tblPr>
      <w:tblGrid>
        <w:gridCol w:w="1791"/>
        <w:gridCol w:w="1194"/>
        <w:gridCol w:w="1194"/>
        <w:gridCol w:w="1194"/>
        <w:gridCol w:w="1194"/>
        <w:gridCol w:w="1194"/>
        <w:gridCol w:w="1194"/>
      </w:tblGrid>
      <w:tr w:rsidR="00D714AA" w:rsidRPr="00D714AA" w:rsidTr="009046D6">
        <w:trPr>
          <w:trHeight w:val="537"/>
          <w:tblHeader/>
        </w:trPr>
        <w:tc>
          <w:tcPr>
            <w:tcW w:w="1791" w:type="dxa"/>
            <w:vMerge w:val="restart"/>
            <w:shd w:val="clear" w:color="auto" w:fill="C6D9F1" w:themeFill="text2" w:themeFillTint="33"/>
            <w:vAlign w:val="center"/>
            <w:hideMark/>
          </w:tcPr>
          <w:p w:rsidR="00D714AA" w:rsidRPr="00D714AA" w:rsidRDefault="00D714AA" w:rsidP="005E5C1C">
            <w:pPr>
              <w:jc w:val="center"/>
              <w:rPr>
                <w:b/>
                <w:bCs/>
                <w:color w:val="000000"/>
                <w:sz w:val="18"/>
                <w:szCs w:val="18"/>
              </w:rPr>
            </w:pPr>
            <w:r w:rsidRPr="00D714AA">
              <w:rPr>
                <w:b/>
                <w:bCs/>
                <w:color w:val="000000"/>
                <w:sz w:val="18"/>
                <w:szCs w:val="18"/>
              </w:rPr>
              <w:t>Název žadatele</w:t>
            </w:r>
          </w:p>
        </w:tc>
        <w:tc>
          <w:tcPr>
            <w:tcW w:w="1194" w:type="dxa"/>
            <w:shd w:val="clear" w:color="auto" w:fill="C6D9F1" w:themeFill="text2" w:themeFillTint="33"/>
            <w:vAlign w:val="center"/>
            <w:hideMark/>
          </w:tcPr>
          <w:p w:rsidR="00D714AA" w:rsidRPr="00D714AA" w:rsidRDefault="00D714AA" w:rsidP="005E5C1C">
            <w:pPr>
              <w:jc w:val="center"/>
              <w:rPr>
                <w:b/>
                <w:bCs/>
                <w:color w:val="000000"/>
                <w:sz w:val="18"/>
                <w:szCs w:val="18"/>
              </w:rPr>
            </w:pPr>
            <w:r w:rsidRPr="00D714AA">
              <w:rPr>
                <w:b/>
                <w:bCs/>
                <w:color w:val="000000"/>
                <w:sz w:val="18"/>
                <w:szCs w:val="18"/>
              </w:rPr>
              <w:t>Schválená dotace z IOP</w:t>
            </w:r>
          </w:p>
        </w:tc>
        <w:tc>
          <w:tcPr>
            <w:tcW w:w="1194" w:type="dxa"/>
            <w:shd w:val="clear" w:color="auto" w:fill="C6D9F1" w:themeFill="text2" w:themeFillTint="33"/>
            <w:vAlign w:val="center"/>
            <w:hideMark/>
          </w:tcPr>
          <w:p w:rsidR="00D714AA" w:rsidRPr="00D714AA" w:rsidRDefault="00D714AA" w:rsidP="005E5C1C">
            <w:pPr>
              <w:jc w:val="center"/>
              <w:rPr>
                <w:b/>
                <w:bCs/>
                <w:color w:val="000000"/>
                <w:sz w:val="18"/>
                <w:szCs w:val="18"/>
              </w:rPr>
            </w:pPr>
            <w:r w:rsidRPr="00D714AA">
              <w:rPr>
                <w:b/>
                <w:bCs/>
                <w:color w:val="000000"/>
                <w:sz w:val="18"/>
                <w:szCs w:val="18"/>
              </w:rPr>
              <w:t>Předložené projekty</w:t>
            </w:r>
          </w:p>
        </w:tc>
        <w:tc>
          <w:tcPr>
            <w:tcW w:w="1194" w:type="dxa"/>
            <w:vMerge w:val="restart"/>
            <w:shd w:val="clear" w:color="auto" w:fill="C6D9F1" w:themeFill="text2" w:themeFillTint="33"/>
            <w:vAlign w:val="center"/>
            <w:hideMark/>
          </w:tcPr>
          <w:p w:rsidR="00D714AA" w:rsidRPr="00D714AA" w:rsidRDefault="00D714AA" w:rsidP="005E5C1C">
            <w:pPr>
              <w:jc w:val="center"/>
              <w:rPr>
                <w:b/>
                <w:bCs/>
                <w:color w:val="000000"/>
                <w:sz w:val="18"/>
                <w:szCs w:val="18"/>
              </w:rPr>
            </w:pPr>
            <w:r w:rsidRPr="00D714AA">
              <w:rPr>
                <w:b/>
                <w:bCs/>
                <w:color w:val="000000"/>
                <w:sz w:val="18"/>
                <w:szCs w:val="18"/>
              </w:rPr>
              <w:t>Stav čerpání ke konci roku 2013</w:t>
            </w:r>
          </w:p>
        </w:tc>
        <w:tc>
          <w:tcPr>
            <w:tcW w:w="1194" w:type="dxa"/>
            <w:vMerge w:val="restart"/>
            <w:shd w:val="clear" w:color="auto" w:fill="C6D9F1" w:themeFill="text2" w:themeFillTint="33"/>
            <w:vAlign w:val="center"/>
            <w:hideMark/>
          </w:tcPr>
          <w:p w:rsidR="00D714AA" w:rsidRPr="00D714AA" w:rsidRDefault="00D714AA" w:rsidP="005E5C1C">
            <w:pPr>
              <w:jc w:val="center"/>
              <w:rPr>
                <w:b/>
                <w:bCs/>
                <w:color w:val="000000"/>
                <w:sz w:val="18"/>
                <w:szCs w:val="18"/>
              </w:rPr>
            </w:pPr>
            <w:r w:rsidRPr="00D714AA">
              <w:rPr>
                <w:b/>
                <w:bCs/>
                <w:color w:val="000000"/>
                <w:sz w:val="18"/>
                <w:szCs w:val="18"/>
              </w:rPr>
              <w:t>Stav čerpání ke konci roku 2014</w:t>
            </w:r>
          </w:p>
        </w:tc>
        <w:tc>
          <w:tcPr>
            <w:tcW w:w="1194" w:type="dxa"/>
            <w:vMerge w:val="restart"/>
            <w:shd w:val="clear" w:color="auto" w:fill="C6D9F1" w:themeFill="text2" w:themeFillTint="33"/>
            <w:vAlign w:val="center"/>
            <w:hideMark/>
          </w:tcPr>
          <w:p w:rsidR="00D714AA" w:rsidRPr="00D714AA" w:rsidRDefault="00D714AA" w:rsidP="005E5C1C">
            <w:pPr>
              <w:jc w:val="center"/>
              <w:rPr>
                <w:b/>
                <w:bCs/>
                <w:color w:val="000000"/>
                <w:sz w:val="18"/>
                <w:szCs w:val="18"/>
              </w:rPr>
            </w:pPr>
            <w:r w:rsidRPr="00D714AA">
              <w:rPr>
                <w:b/>
                <w:bCs/>
                <w:color w:val="000000"/>
                <w:sz w:val="18"/>
                <w:szCs w:val="18"/>
              </w:rPr>
              <w:t>Stav čerpání k 1. 10. 2015</w:t>
            </w:r>
          </w:p>
        </w:tc>
        <w:tc>
          <w:tcPr>
            <w:tcW w:w="1194" w:type="dxa"/>
            <w:vMerge w:val="restart"/>
            <w:shd w:val="clear" w:color="auto" w:fill="C6D9F1" w:themeFill="text2" w:themeFillTint="33"/>
            <w:vAlign w:val="center"/>
            <w:hideMark/>
          </w:tcPr>
          <w:p w:rsidR="00D714AA" w:rsidRPr="00D714AA" w:rsidRDefault="00D714AA" w:rsidP="005E5C1C">
            <w:pPr>
              <w:jc w:val="center"/>
              <w:rPr>
                <w:b/>
                <w:bCs/>
                <w:color w:val="000000"/>
                <w:sz w:val="18"/>
                <w:szCs w:val="18"/>
              </w:rPr>
            </w:pPr>
            <w:r w:rsidRPr="00D714AA">
              <w:rPr>
                <w:b/>
                <w:bCs/>
                <w:color w:val="000000"/>
                <w:sz w:val="18"/>
                <w:szCs w:val="18"/>
              </w:rPr>
              <w:t>Stav čerpání k 1. 10. 2015</w:t>
            </w:r>
          </w:p>
        </w:tc>
      </w:tr>
      <w:tr w:rsidR="00D714AA" w:rsidRPr="00D714AA" w:rsidTr="009046D6">
        <w:trPr>
          <w:trHeight w:val="262"/>
          <w:tblHeader/>
        </w:trPr>
        <w:tc>
          <w:tcPr>
            <w:tcW w:w="1791" w:type="dxa"/>
            <w:vMerge/>
            <w:shd w:val="clear" w:color="auto" w:fill="C6D9F1" w:themeFill="text2" w:themeFillTint="33"/>
            <w:vAlign w:val="center"/>
            <w:hideMark/>
          </w:tcPr>
          <w:p w:rsidR="00D714AA" w:rsidRPr="00D714AA" w:rsidRDefault="00D714AA" w:rsidP="005E5C1C">
            <w:pPr>
              <w:jc w:val="center"/>
              <w:rPr>
                <w:b/>
                <w:bCs/>
                <w:color w:val="000000"/>
                <w:sz w:val="18"/>
                <w:szCs w:val="18"/>
              </w:rPr>
            </w:pPr>
          </w:p>
        </w:tc>
        <w:tc>
          <w:tcPr>
            <w:tcW w:w="1194" w:type="dxa"/>
            <w:shd w:val="clear" w:color="auto" w:fill="C6D9F1" w:themeFill="text2" w:themeFillTint="33"/>
            <w:vAlign w:val="center"/>
            <w:hideMark/>
          </w:tcPr>
          <w:p w:rsidR="00D714AA" w:rsidRPr="00D714AA" w:rsidRDefault="00D714AA" w:rsidP="005E5C1C">
            <w:pPr>
              <w:jc w:val="center"/>
              <w:rPr>
                <w:b/>
                <w:bCs/>
                <w:color w:val="000000"/>
                <w:sz w:val="18"/>
                <w:szCs w:val="18"/>
              </w:rPr>
            </w:pPr>
            <w:r w:rsidRPr="00D714AA">
              <w:rPr>
                <w:b/>
                <w:bCs/>
                <w:color w:val="000000"/>
                <w:sz w:val="18"/>
                <w:szCs w:val="18"/>
              </w:rPr>
              <w:t>(z ERDF)</w:t>
            </w:r>
          </w:p>
        </w:tc>
        <w:tc>
          <w:tcPr>
            <w:tcW w:w="1194" w:type="dxa"/>
            <w:shd w:val="clear" w:color="auto" w:fill="C6D9F1" w:themeFill="text2" w:themeFillTint="33"/>
            <w:vAlign w:val="center"/>
            <w:hideMark/>
          </w:tcPr>
          <w:p w:rsidR="00D714AA" w:rsidRPr="00D714AA" w:rsidRDefault="00D714AA" w:rsidP="005E5C1C">
            <w:pPr>
              <w:jc w:val="center"/>
              <w:rPr>
                <w:b/>
                <w:bCs/>
                <w:color w:val="000000"/>
                <w:sz w:val="18"/>
                <w:szCs w:val="18"/>
              </w:rPr>
            </w:pPr>
            <w:r w:rsidRPr="00D714AA">
              <w:rPr>
                <w:b/>
                <w:bCs/>
                <w:color w:val="000000"/>
                <w:sz w:val="18"/>
                <w:szCs w:val="18"/>
              </w:rPr>
              <w:t>(ERDF)</w:t>
            </w:r>
          </w:p>
        </w:tc>
        <w:tc>
          <w:tcPr>
            <w:tcW w:w="1194" w:type="dxa"/>
            <w:vMerge/>
            <w:shd w:val="clear" w:color="auto" w:fill="C6D9F1" w:themeFill="text2" w:themeFillTint="33"/>
            <w:vAlign w:val="center"/>
            <w:hideMark/>
          </w:tcPr>
          <w:p w:rsidR="00D714AA" w:rsidRPr="00D714AA" w:rsidRDefault="00D714AA" w:rsidP="005E5C1C">
            <w:pPr>
              <w:jc w:val="center"/>
              <w:rPr>
                <w:b/>
                <w:bCs/>
                <w:color w:val="000000"/>
                <w:sz w:val="18"/>
                <w:szCs w:val="18"/>
              </w:rPr>
            </w:pPr>
          </w:p>
        </w:tc>
        <w:tc>
          <w:tcPr>
            <w:tcW w:w="1194" w:type="dxa"/>
            <w:vMerge/>
            <w:shd w:val="clear" w:color="auto" w:fill="C6D9F1" w:themeFill="text2" w:themeFillTint="33"/>
            <w:vAlign w:val="center"/>
            <w:hideMark/>
          </w:tcPr>
          <w:p w:rsidR="00D714AA" w:rsidRPr="00D714AA" w:rsidRDefault="00D714AA" w:rsidP="005E5C1C">
            <w:pPr>
              <w:jc w:val="center"/>
              <w:rPr>
                <w:b/>
                <w:bCs/>
                <w:color w:val="000000"/>
                <w:sz w:val="18"/>
                <w:szCs w:val="18"/>
              </w:rPr>
            </w:pPr>
          </w:p>
        </w:tc>
        <w:tc>
          <w:tcPr>
            <w:tcW w:w="1194" w:type="dxa"/>
            <w:vMerge/>
            <w:shd w:val="clear" w:color="auto" w:fill="C6D9F1" w:themeFill="text2" w:themeFillTint="33"/>
            <w:vAlign w:val="center"/>
            <w:hideMark/>
          </w:tcPr>
          <w:p w:rsidR="00D714AA" w:rsidRPr="00D714AA" w:rsidRDefault="00D714AA" w:rsidP="005E5C1C">
            <w:pPr>
              <w:jc w:val="center"/>
              <w:rPr>
                <w:b/>
                <w:bCs/>
                <w:color w:val="000000"/>
                <w:sz w:val="18"/>
                <w:szCs w:val="18"/>
              </w:rPr>
            </w:pPr>
          </w:p>
        </w:tc>
        <w:tc>
          <w:tcPr>
            <w:tcW w:w="1194" w:type="dxa"/>
            <w:vMerge/>
            <w:shd w:val="clear" w:color="auto" w:fill="C6D9F1" w:themeFill="text2" w:themeFillTint="33"/>
            <w:vAlign w:val="center"/>
            <w:hideMark/>
          </w:tcPr>
          <w:p w:rsidR="00D714AA" w:rsidRPr="00D714AA" w:rsidRDefault="00D714AA" w:rsidP="005E5C1C">
            <w:pPr>
              <w:jc w:val="center"/>
              <w:rPr>
                <w:b/>
                <w:bCs/>
                <w:color w:val="000000"/>
                <w:sz w:val="18"/>
                <w:szCs w:val="18"/>
              </w:rPr>
            </w:pPr>
          </w:p>
        </w:tc>
      </w:tr>
      <w:tr w:rsidR="00D714AA" w:rsidRPr="00D714AA" w:rsidTr="009046D6">
        <w:trPr>
          <w:trHeight w:val="262"/>
          <w:tblHeader/>
        </w:trPr>
        <w:tc>
          <w:tcPr>
            <w:tcW w:w="1791" w:type="dxa"/>
            <w:vMerge/>
            <w:shd w:val="clear" w:color="auto" w:fill="C6D9F1" w:themeFill="text2" w:themeFillTint="33"/>
            <w:vAlign w:val="center"/>
            <w:hideMark/>
          </w:tcPr>
          <w:p w:rsidR="00D714AA" w:rsidRPr="00D714AA" w:rsidRDefault="00D714AA" w:rsidP="005E5C1C">
            <w:pPr>
              <w:jc w:val="center"/>
              <w:rPr>
                <w:b/>
                <w:bCs/>
                <w:color w:val="000000"/>
                <w:sz w:val="18"/>
                <w:szCs w:val="18"/>
              </w:rPr>
            </w:pPr>
          </w:p>
        </w:tc>
        <w:tc>
          <w:tcPr>
            <w:tcW w:w="1194" w:type="dxa"/>
            <w:shd w:val="clear" w:color="auto" w:fill="C6D9F1" w:themeFill="text2" w:themeFillTint="33"/>
            <w:noWrap/>
            <w:vAlign w:val="center"/>
            <w:hideMark/>
          </w:tcPr>
          <w:p w:rsidR="00D714AA" w:rsidRPr="00D714AA" w:rsidRDefault="00D714AA" w:rsidP="005E5C1C">
            <w:pPr>
              <w:jc w:val="center"/>
              <w:rPr>
                <w:b/>
                <w:bCs/>
                <w:color w:val="000000"/>
                <w:sz w:val="18"/>
                <w:szCs w:val="18"/>
              </w:rPr>
            </w:pPr>
            <w:r w:rsidRPr="00D714AA">
              <w:rPr>
                <w:b/>
                <w:bCs/>
                <w:color w:val="000000"/>
                <w:sz w:val="18"/>
                <w:szCs w:val="18"/>
              </w:rPr>
              <w:t xml:space="preserve">v </w:t>
            </w:r>
            <w:proofErr w:type="gramStart"/>
            <w:r w:rsidRPr="00D714AA">
              <w:rPr>
                <w:b/>
                <w:bCs/>
                <w:color w:val="000000"/>
                <w:sz w:val="18"/>
                <w:szCs w:val="18"/>
              </w:rPr>
              <w:t>EUR</w:t>
            </w:r>
            <w:proofErr w:type="gramEnd"/>
          </w:p>
        </w:tc>
        <w:tc>
          <w:tcPr>
            <w:tcW w:w="1194" w:type="dxa"/>
            <w:shd w:val="clear" w:color="auto" w:fill="C6D9F1" w:themeFill="text2" w:themeFillTint="33"/>
            <w:noWrap/>
            <w:vAlign w:val="center"/>
            <w:hideMark/>
          </w:tcPr>
          <w:p w:rsidR="00D714AA" w:rsidRPr="00D714AA" w:rsidRDefault="00D714AA" w:rsidP="005E5C1C">
            <w:pPr>
              <w:jc w:val="center"/>
              <w:rPr>
                <w:b/>
                <w:bCs/>
                <w:color w:val="000000"/>
                <w:sz w:val="18"/>
                <w:szCs w:val="18"/>
              </w:rPr>
            </w:pPr>
            <w:r w:rsidRPr="00D714AA">
              <w:rPr>
                <w:b/>
                <w:bCs/>
                <w:color w:val="000000"/>
                <w:sz w:val="18"/>
                <w:szCs w:val="18"/>
              </w:rPr>
              <w:t xml:space="preserve">V </w:t>
            </w:r>
            <w:proofErr w:type="gramStart"/>
            <w:r w:rsidRPr="00D714AA">
              <w:rPr>
                <w:b/>
                <w:bCs/>
                <w:color w:val="000000"/>
                <w:sz w:val="18"/>
                <w:szCs w:val="18"/>
              </w:rPr>
              <w:t>EUR</w:t>
            </w:r>
            <w:proofErr w:type="gramEnd"/>
          </w:p>
        </w:tc>
        <w:tc>
          <w:tcPr>
            <w:tcW w:w="1194" w:type="dxa"/>
            <w:shd w:val="clear" w:color="auto" w:fill="C6D9F1" w:themeFill="text2" w:themeFillTint="33"/>
            <w:noWrap/>
            <w:vAlign w:val="center"/>
            <w:hideMark/>
          </w:tcPr>
          <w:p w:rsidR="00D714AA" w:rsidRPr="00D714AA" w:rsidRDefault="00D714AA" w:rsidP="005E5C1C">
            <w:pPr>
              <w:jc w:val="center"/>
              <w:rPr>
                <w:b/>
                <w:bCs/>
                <w:color w:val="000000"/>
                <w:sz w:val="18"/>
                <w:szCs w:val="18"/>
              </w:rPr>
            </w:pPr>
            <w:r w:rsidRPr="00D714AA">
              <w:rPr>
                <w:b/>
                <w:bCs/>
                <w:color w:val="000000"/>
                <w:sz w:val="18"/>
                <w:szCs w:val="18"/>
              </w:rPr>
              <w:t>(v %)</w:t>
            </w:r>
          </w:p>
        </w:tc>
        <w:tc>
          <w:tcPr>
            <w:tcW w:w="1194" w:type="dxa"/>
            <w:shd w:val="clear" w:color="auto" w:fill="C6D9F1" w:themeFill="text2" w:themeFillTint="33"/>
            <w:vAlign w:val="center"/>
            <w:hideMark/>
          </w:tcPr>
          <w:p w:rsidR="00D714AA" w:rsidRPr="00D714AA" w:rsidRDefault="00D714AA" w:rsidP="005E5C1C">
            <w:pPr>
              <w:jc w:val="center"/>
              <w:rPr>
                <w:b/>
                <w:bCs/>
                <w:color w:val="000000"/>
                <w:sz w:val="18"/>
                <w:szCs w:val="18"/>
              </w:rPr>
            </w:pPr>
            <w:r w:rsidRPr="00D714AA">
              <w:rPr>
                <w:b/>
                <w:bCs/>
                <w:color w:val="000000"/>
                <w:sz w:val="18"/>
                <w:szCs w:val="18"/>
              </w:rPr>
              <w:t>(v %)</w:t>
            </w:r>
          </w:p>
        </w:tc>
        <w:tc>
          <w:tcPr>
            <w:tcW w:w="1194" w:type="dxa"/>
            <w:shd w:val="clear" w:color="auto" w:fill="C6D9F1" w:themeFill="text2" w:themeFillTint="33"/>
            <w:vAlign w:val="center"/>
            <w:hideMark/>
          </w:tcPr>
          <w:p w:rsidR="00D714AA" w:rsidRPr="00D714AA" w:rsidRDefault="00D714AA" w:rsidP="005E5C1C">
            <w:pPr>
              <w:jc w:val="center"/>
              <w:rPr>
                <w:b/>
                <w:bCs/>
                <w:color w:val="000000"/>
                <w:sz w:val="18"/>
                <w:szCs w:val="18"/>
              </w:rPr>
            </w:pPr>
            <w:r w:rsidRPr="00D714AA">
              <w:rPr>
                <w:b/>
                <w:bCs/>
                <w:color w:val="000000"/>
                <w:sz w:val="18"/>
                <w:szCs w:val="18"/>
              </w:rPr>
              <w:t>(v %)</w:t>
            </w:r>
          </w:p>
        </w:tc>
        <w:tc>
          <w:tcPr>
            <w:tcW w:w="1194" w:type="dxa"/>
            <w:shd w:val="clear" w:color="auto" w:fill="C6D9F1" w:themeFill="text2" w:themeFillTint="33"/>
            <w:vAlign w:val="center"/>
            <w:hideMark/>
          </w:tcPr>
          <w:p w:rsidR="00D714AA" w:rsidRPr="00D714AA" w:rsidRDefault="00D714AA" w:rsidP="005E5C1C">
            <w:pPr>
              <w:jc w:val="center"/>
              <w:rPr>
                <w:b/>
                <w:bCs/>
                <w:color w:val="000000"/>
                <w:sz w:val="18"/>
                <w:szCs w:val="18"/>
              </w:rPr>
            </w:pPr>
            <w:r w:rsidRPr="00D714AA">
              <w:rPr>
                <w:b/>
                <w:bCs/>
                <w:color w:val="000000"/>
                <w:sz w:val="18"/>
                <w:szCs w:val="18"/>
              </w:rPr>
              <w:t xml:space="preserve">v </w:t>
            </w:r>
            <w:proofErr w:type="gramStart"/>
            <w:r w:rsidRPr="00D714AA">
              <w:rPr>
                <w:b/>
                <w:bCs/>
                <w:color w:val="000000"/>
                <w:sz w:val="18"/>
                <w:szCs w:val="18"/>
              </w:rPr>
              <w:t>EUR</w:t>
            </w:r>
            <w:proofErr w:type="gramEnd"/>
          </w:p>
        </w:tc>
      </w:tr>
      <w:tr w:rsidR="00D714AA" w:rsidRPr="00D714AA" w:rsidTr="009046D6">
        <w:trPr>
          <w:trHeight w:val="262"/>
        </w:trPr>
        <w:tc>
          <w:tcPr>
            <w:tcW w:w="1791" w:type="dxa"/>
            <w:shd w:val="clear" w:color="auto" w:fill="FFFFFF" w:themeFill="background1"/>
            <w:noWrap/>
            <w:vAlign w:val="center"/>
            <w:hideMark/>
          </w:tcPr>
          <w:p w:rsidR="00D714AA" w:rsidRPr="00D714AA" w:rsidRDefault="00D714AA" w:rsidP="00D714AA">
            <w:pPr>
              <w:rPr>
                <w:color w:val="000000"/>
                <w:sz w:val="18"/>
                <w:szCs w:val="18"/>
              </w:rPr>
            </w:pPr>
            <w:r w:rsidRPr="00D714AA">
              <w:rPr>
                <w:color w:val="000000"/>
                <w:sz w:val="18"/>
                <w:szCs w:val="18"/>
              </w:rPr>
              <w:t xml:space="preserve"> Bohumín</w:t>
            </w:r>
          </w:p>
        </w:tc>
        <w:tc>
          <w:tcPr>
            <w:tcW w:w="1194" w:type="dxa"/>
            <w:shd w:val="clear" w:color="auto" w:fill="auto"/>
            <w:noWrap/>
            <w:vAlign w:val="center"/>
            <w:hideMark/>
          </w:tcPr>
          <w:p w:rsidR="00D714AA" w:rsidRPr="00D714AA" w:rsidRDefault="00D714AA" w:rsidP="00D714AA">
            <w:pPr>
              <w:jc w:val="right"/>
              <w:rPr>
                <w:color w:val="000000"/>
                <w:sz w:val="18"/>
                <w:szCs w:val="18"/>
              </w:rPr>
            </w:pPr>
            <w:r w:rsidRPr="00D714AA">
              <w:rPr>
                <w:color w:val="000000"/>
                <w:sz w:val="18"/>
                <w:szCs w:val="18"/>
              </w:rPr>
              <w:t>3 257 030</w:t>
            </w:r>
          </w:p>
        </w:tc>
        <w:tc>
          <w:tcPr>
            <w:tcW w:w="1194" w:type="dxa"/>
            <w:shd w:val="clear" w:color="auto" w:fill="auto"/>
            <w:noWrap/>
            <w:vAlign w:val="center"/>
            <w:hideMark/>
          </w:tcPr>
          <w:p w:rsidR="00D714AA" w:rsidRPr="00D714AA" w:rsidRDefault="00D714AA" w:rsidP="00D714AA">
            <w:pPr>
              <w:jc w:val="right"/>
              <w:rPr>
                <w:color w:val="000000"/>
                <w:sz w:val="18"/>
                <w:szCs w:val="18"/>
              </w:rPr>
            </w:pPr>
            <w:r w:rsidRPr="00D714AA">
              <w:rPr>
                <w:color w:val="000000"/>
                <w:sz w:val="18"/>
                <w:szCs w:val="18"/>
              </w:rPr>
              <w:t>4 038 390</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83,96</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74,33</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91,60</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4 467 003</w:t>
            </w:r>
          </w:p>
        </w:tc>
      </w:tr>
      <w:tr w:rsidR="00D714AA" w:rsidRPr="00D714AA" w:rsidTr="009046D6">
        <w:trPr>
          <w:trHeight w:val="262"/>
        </w:trPr>
        <w:tc>
          <w:tcPr>
            <w:tcW w:w="1791" w:type="dxa"/>
            <w:shd w:val="clear" w:color="auto" w:fill="FFFFFF" w:themeFill="background1"/>
            <w:noWrap/>
            <w:vAlign w:val="center"/>
            <w:hideMark/>
          </w:tcPr>
          <w:p w:rsidR="00D714AA" w:rsidRPr="00D714AA" w:rsidRDefault="00D714AA" w:rsidP="00D714AA">
            <w:pPr>
              <w:rPr>
                <w:color w:val="000000"/>
                <w:sz w:val="18"/>
                <w:szCs w:val="18"/>
              </w:rPr>
            </w:pPr>
            <w:r w:rsidRPr="00D714AA">
              <w:rPr>
                <w:color w:val="000000"/>
                <w:sz w:val="18"/>
                <w:szCs w:val="18"/>
              </w:rPr>
              <w:t xml:space="preserve"> Brno</w:t>
            </w:r>
          </w:p>
        </w:tc>
        <w:tc>
          <w:tcPr>
            <w:tcW w:w="1194" w:type="dxa"/>
            <w:shd w:val="clear" w:color="auto" w:fill="auto"/>
            <w:noWrap/>
            <w:vAlign w:val="center"/>
            <w:hideMark/>
          </w:tcPr>
          <w:p w:rsidR="00D714AA" w:rsidRPr="00D714AA" w:rsidRDefault="00D714AA" w:rsidP="00D714AA">
            <w:pPr>
              <w:jc w:val="right"/>
              <w:rPr>
                <w:color w:val="000000"/>
                <w:sz w:val="18"/>
                <w:szCs w:val="18"/>
              </w:rPr>
            </w:pPr>
            <w:r w:rsidRPr="00D714AA">
              <w:rPr>
                <w:color w:val="000000"/>
                <w:sz w:val="18"/>
                <w:szCs w:val="18"/>
              </w:rPr>
              <w:t>4 925 263</w:t>
            </w:r>
          </w:p>
        </w:tc>
        <w:tc>
          <w:tcPr>
            <w:tcW w:w="1194" w:type="dxa"/>
            <w:shd w:val="clear" w:color="auto" w:fill="auto"/>
            <w:noWrap/>
            <w:vAlign w:val="center"/>
            <w:hideMark/>
          </w:tcPr>
          <w:p w:rsidR="00D714AA" w:rsidRPr="00D714AA" w:rsidRDefault="00D714AA" w:rsidP="00D714AA">
            <w:pPr>
              <w:jc w:val="right"/>
              <w:rPr>
                <w:color w:val="000000"/>
                <w:sz w:val="18"/>
                <w:szCs w:val="18"/>
              </w:rPr>
            </w:pPr>
            <w:r w:rsidRPr="00D714AA">
              <w:rPr>
                <w:color w:val="000000"/>
                <w:sz w:val="18"/>
                <w:szCs w:val="18"/>
              </w:rPr>
              <w:t>5 235 752</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58,12</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58,65</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77,11</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9 495 355</w:t>
            </w:r>
          </w:p>
        </w:tc>
      </w:tr>
      <w:tr w:rsidR="00D714AA" w:rsidRPr="00D714AA" w:rsidTr="009046D6">
        <w:trPr>
          <w:trHeight w:val="262"/>
        </w:trPr>
        <w:tc>
          <w:tcPr>
            <w:tcW w:w="1791" w:type="dxa"/>
            <w:shd w:val="clear" w:color="auto" w:fill="FFFFFF" w:themeFill="background1"/>
            <w:noWrap/>
            <w:vAlign w:val="center"/>
            <w:hideMark/>
          </w:tcPr>
          <w:p w:rsidR="00D714AA" w:rsidRPr="00D714AA" w:rsidRDefault="00D714AA" w:rsidP="00D714AA">
            <w:pPr>
              <w:rPr>
                <w:color w:val="000000"/>
                <w:sz w:val="18"/>
                <w:szCs w:val="18"/>
              </w:rPr>
            </w:pPr>
            <w:r w:rsidRPr="00D714AA">
              <w:rPr>
                <w:color w:val="000000"/>
                <w:sz w:val="18"/>
                <w:szCs w:val="18"/>
              </w:rPr>
              <w:t xml:space="preserve"> Břeclav</w:t>
            </w:r>
          </w:p>
        </w:tc>
        <w:tc>
          <w:tcPr>
            <w:tcW w:w="1194" w:type="dxa"/>
            <w:shd w:val="clear" w:color="auto" w:fill="auto"/>
            <w:noWrap/>
            <w:vAlign w:val="center"/>
            <w:hideMark/>
          </w:tcPr>
          <w:p w:rsidR="00D714AA" w:rsidRPr="00D714AA" w:rsidRDefault="00D714AA" w:rsidP="00D714AA">
            <w:pPr>
              <w:jc w:val="right"/>
              <w:rPr>
                <w:color w:val="000000"/>
                <w:sz w:val="18"/>
                <w:szCs w:val="18"/>
              </w:rPr>
            </w:pPr>
            <w:r w:rsidRPr="00D714AA">
              <w:rPr>
                <w:color w:val="000000"/>
                <w:sz w:val="18"/>
                <w:szCs w:val="18"/>
              </w:rPr>
              <w:t>2 090 289</w:t>
            </w:r>
          </w:p>
        </w:tc>
        <w:tc>
          <w:tcPr>
            <w:tcW w:w="1194" w:type="dxa"/>
            <w:shd w:val="clear" w:color="auto" w:fill="auto"/>
            <w:noWrap/>
            <w:vAlign w:val="center"/>
            <w:hideMark/>
          </w:tcPr>
          <w:p w:rsidR="00D714AA" w:rsidRPr="00D714AA" w:rsidRDefault="00D714AA" w:rsidP="00D714AA">
            <w:pPr>
              <w:jc w:val="right"/>
              <w:rPr>
                <w:color w:val="000000"/>
                <w:sz w:val="18"/>
                <w:szCs w:val="18"/>
              </w:rPr>
            </w:pPr>
            <w:r w:rsidRPr="00D714AA">
              <w:rPr>
                <w:color w:val="000000"/>
                <w:sz w:val="18"/>
                <w:szCs w:val="18"/>
              </w:rPr>
              <w:t>2 230 507</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54,22</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87,69</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98,41</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4 120 630</w:t>
            </w:r>
          </w:p>
        </w:tc>
      </w:tr>
      <w:tr w:rsidR="00D714AA" w:rsidRPr="00D714AA" w:rsidTr="009046D6">
        <w:trPr>
          <w:trHeight w:val="262"/>
        </w:trPr>
        <w:tc>
          <w:tcPr>
            <w:tcW w:w="1791" w:type="dxa"/>
            <w:shd w:val="clear" w:color="auto" w:fill="FFFFFF" w:themeFill="background1"/>
            <w:noWrap/>
            <w:vAlign w:val="center"/>
            <w:hideMark/>
          </w:tcPr>
          <w:p w:rsidR="00D714AA" w:rsidRPr="00D714AA" w:rsidRDefault="00D714AA" w:rsidP="00D714AA">
            <w:pPr>
              <w:rPr>
                <w:color w:val="000000"/>
                <w:sz w:val="18"/>
                <w:szCs w:val="18"/>
              </w:rPr>
            </w:pPr>
            <w:r w:rsidRPr="00D714AA">
              <w:rPr>
                <w:color w:val="000000"/>
                <w:sz w:val="18"/>
                <w:szCs w:val="18"/>
              </w:rPr>
              <w:t xml:space="preserve"> České Budějovice</w:t>
            </w:r>
          </w:p>
        </w:tc>
        <w:tc>
          <w:tcPr>
            <w:tcW w:w="1194" w:type="dxa"/>
            <w:shd w:val="clear" w:color="auto" w:fill="auto"/>
            <w:noWrap/>
            <w:vAlign w:val="center"/>
            <w:hideMark/>
          </w:tcPr>
          <w:p w:rsidR="00D714AA" w:rsidRPr="00D714AA" w:rsidRDefault="00D714AA" w:rsidP="00D714AA">
            <w:pPr>
              <w:jc w:val="right"/>
              <w:rPr>
                <w:color w:val="000000"/>
                <w:sz w:val="18"/>
                <w:szCs w:val="18"/>
              </w:rPr>
            </w:pPr>
            <w:r w:rsidRPr="00D714AA">
              <w:rPr>
                <w:color w:val="000000"/>
                <w:sz w:val="18"/>
                <w:szCs w:val="18"/>
              </w:rPr>
              <w:t>6 849 922</w:t>
            </w:r>
          </w:p>
        </w:tc>
        <w:tc>
          <w:tcPr>
            <w:tcW w:w="1194" w:type="dxa"/>
            <w:shd w:val="clear" w:color="auto" w:fill="auto"/>
            <w:noWrap/>
            <w:vAlign w:val="center"/>
            <w:hideMark/>
          </w:tcPr>
          <w:p w:rsidR="00D714AA" w:rsidRPr="00D714AA" w:rsidRDefault="00D714AA" w:rsidP="00D714AA">
            <w:pPr>
              <w:jc w:val="right"/>
              <w:rPr>
                <w:color w:val="000000"/>
                <w:sz w:val="18"/>
                <w:szCs w:val="18"/>
              </w:rPr>
            </w:pPr>
            <w:r w:rsidRPr="00D714AA">
              <w:rPr>
                <w:color w:val="000000"/>
                <w:sz w:val="18"/>
                <w:szCs w:val="18"/>
              </w:rPr>
              <w:t>8 114 119</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64,05</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82,83</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92,80</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9 059 701</w:t>
            </w:r>
          </w:p>
        </w:tc>
      </w:tr>
      <w:tr w:rsidR="00D714AA" w:rsidRPr="00D714AA" w:rsidTr="009046D6">
        <w:trPr>
          <w:trHeight w:val="262"/>
        </w:trPr>
        <w:tc>
          <w:tcPr>
            <w:tcW w:w="1791" w:type="dxa"/>
            <w:shd w:val="clear" w:color="auto" w:fill="FFFFFF" w:themeFill="background1"/>
            <w:noWrap/>
            <w:vAlign w:val="center"/>
            <w:hideMark/>
          </w:tcPr>
          <w:p w:rsidR="00D714AA" w:rsidRPr="00D714AA" w:rsidRDefault="00D714AA" w:rsidP="00D714AA">
            <w:pPr>
              <w:rPr>
                <w:color w:val="000000"/>
                <w:sz w:val="18"/>
                <w:szCs w:val="18"/>
              </w:rPr>
            </w:pPr>
            <w:r w:rsidRPr="00D714AA">
              <w:rPr>
                <w:color w:val="000000"/>
                <w:sz w:val="18"/>
                <w:szCs w:val="18"/>
              </w:rPr>
              <w:t xml:space="preserve"> Český Těšín</w:t>
            </w:r>
          </w:p>
        </w:tc>
        <w:tc>
          <w:tcPr>
            <w:tcW w:w="1194" w:type="dxa"/>
            <w:shd w:val="clear" w:color="auto" w:fill="auto"/>
            <w:noWrap/>
            <w:vAlign w:val="center"/>
            <w:hideMark/>
          </w:tcPr>
          <w:p w:rsidR="00D714AA" w:rsidRPr="00D714AA" w:rsidRDefault="00D714AA" w:rsidP="00D714AA">
            <w:pPr>
              <w:jc w:val="right"/>
              <w:rPr>
                <w:color w:val="000000"/>
                <w:sz w:val="18"/>
                <w:szCs w:val="18"/>
              </w:rPr>
            </w:pPr>
            <w:r w:rsidRPr="00D714AA">
              <w:rPr>
                <w:color w:val="000000"/>
                <w:sz w:val="18"/>
                <w:szCs w:val="18"/>
              </w:rPr>
              <w:t>3 956 535</w:t>
            </w:r>
          </w:p>
        </w:tc>
        <w:tc>
          <w:tcPr>
            <w:tcW w:w="1194" w:type="dxa"/>
            <w:shd w:val="clear" w:color="auto" w:fill="auto"/>
            <w:noWrap/>
            <w:vAlign w:val="center"/>
            <w:hideMark/>
          </w:tcPr>
          <w:p w:rsidR="00D714AA" w:rsidRPr="00D714AA" w:rsidRDefault="00D714AA" w:rsidP="00D714AA">
            <w:pPr>
              <w:jc w:val="right"/>
              <w:rPr>
                <w:color w:val="000000"/>
                <w:sz w:val="18"/>
                <w:szCs w:val="18"/>
              </w:rPr>
            </w:pPr>
            <w:r w:rsidRPr="00D714AA">
              <w:rPr>
                <w:color w:val="000000"/>
                <w:sz w:val="18"/>
                <w:szCs w:val="18"/>
              </w:rPr>
              <w:t>4 016 899</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78,50</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95,07</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99,94</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6 211 045</w:t>
            </w:r>
          </w:p>
        </w:tc>
      </w:tr>
      <w:tr w:rsidR="00D714AA" w:rsidRPr="00D714AA" w:rsidTr="009046D6">
        <w:trPr>
          <w:trHeight w:val="262"/>
        </w:trPr>
        <w:tc>
          <w:tcPr>
            <w:tcW w:w="1791" w:type="dxa"/>
            <w:shd w:val="clear" w:color="auto" w:fill="FFFFFF" w:themeFill="background1"/>
            <w:noWrap/>
            <w:vAlign w:val="center"/>
            <w:hideMark/>
          </w:tcPr>
          <w:p w:rsidR="00D714AA" w:rsidRPr="00D714AA" w:rsidRDefault="00D714AA" w:rsidP="00D714AA">
            <w:pPr>
              <w:rPr>
                <w:color w:val="000000"/>
                <w:sz w:val="18"/>
                <w:szCs w:val="18"/>
              </w:rPr>
            </w:pPr>
            <w:r w:rsidRPr="00D714AA">
              <w:rPr>
                <w:color w:val="000000"/>
                <w:sz w:val="18"/>
                <w:szCs w:val="18"/>
              </w:rPr>
              <w:t xml:space="preserve"> Děčín</w:t>
            </w:r>
          </w:p>
        </w:tc>
        <w:tc>
          <w:tcPr>
            <w:tcW w:w="1194" w:type="dxa"/>
            <w:shd w:val="clear" w:color="auto" w:fill="auto"/>
            <w:noWrap/>
            <w:vAlign w:val="center"/>
            <w:hideMark/>
          </w:tcPr>
          <w:p w:rsidR="00D714AA" w:rsidRPr="00D714AA" w:rsidRDefault="00D714AA" w:rsidP="00D714AA">
            <w:pPr>
              <w:jc w:val="right"/>
              <w:rPr>
                <w:color w:val="000000"/>
                <w:sz w:val="18"/>
                <w:szCs w:val="18"/>
              </w:rPr>
            </w:pPr>
            <w:r w:rsidRPr="00D714AA">
              <w:rPr>
                <w:color w:val="000000"/>
                <w:sz w:val="18"/>
                <w:szCs w:val="18"/>
              </w:rPr>
              <w:t>2 948 794</w:t>
            </w:r>
          </w:p>
        </w:tc>
        <w:tc>
          <w:tcPr>
            <w:tcW w:w="1194" w:type="dxa"/>
            <w:shd w:val="clear" w:color="auto" w:fill="auto"/>
            <w:noWrap/>
            <w:vAlign w:val="center"/>
            <w:hideMark/>
          </w:tcPr>
          <w:p w:rsidR="00D714AA" w:rsidRPr="00D714AA" w:rsidRDefault="00D714AA" w:rsidP="00D714AA">
            <w:pPr>
              <w:jc w:val="right"/>
              <w:rPr>
                <w:color w:val="000000"/>
                <w:sz w:val="18"/>
                <w:szCs w:val="18"/>
              </w:rPr>
            </w:pPr>
            <w:r w:rsidRPr="00D714AA">
              <w:rPr>
                <w:color w:val="000000"/>
                <w:sz w:val="18"/>
                <w:szCs w:val="18"/>
              </w:rPr>
              <w:t>3 743 916</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36,70</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64,08</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75,26</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3 783 123</w:t>
            </w:r>
          </w:p>
        </w:tc>
      </w:tr>
      <w:tr w:rsidR="00D714AA" w:rsidRPr="00D714AA" w:rsidTr="009046D6">
        <w:trPr>
          <w:trHeight w:val="262"/>
        </w:trPr>
        <w:tc>
          <w:tcPr>
            <w:tcW w:w="1791" w:type="dxa"/>
            <w:shd w:val="clear" w:color="auto" w:fill="FFFFFF" w:themeFill="background1"/>
            <w:noWrap/>
            <w:vAlign w:val="center"/>
            <w:hideMark/>
          </w:tcPr>
          <w:p w:rsidR="00D714AA" w:rsidRPr="00D714AA" w:rsidRDefault="00D714AA" w:rsidP="00D714AA">
            <w:pPr>
              <w:rPr>
                <w:color w:val="000000"/>
                <w:sz w:val="18"/>
                <w:szCs w:val="18"/>
              </w:rPr>
            </w:pPr>
            <w:r w:rsidRPr="00D714AA">
              <w:rPr>
                <w:color w:val="000000"/>
                <w:sz w:val="18"/>
                <w:szCs w:val="18"/>
              </w:rPr>
              <w:t xml:space="preserve"> Frýdek-Místek</w:t>
            </w:r>
          </w:p>
        </w:tc>
        <w:tc>
          <w:tcPr>
            <w:tcW w:w="1194" w:type="dxa"/>
            <w:shd w:val="clear" w:color="auto" w:fill="auto"/>
            <w:noWrap/>
            <w:vAlign w:val="center"/>
            <w:hideMark/>
          </w:tcPr>
          <w:p w:rsidR="00D714AA" w:rsidRPr="00D714AA" w:rsidRDefault="00D714AA" w:rsidP="00D714AA">
            <w:pPr>
              <w:jc w:val="right"/>
              <w:rPr>
                <w:color w:val="000000"/>
                <w:sz w:val="18"/>
                <w:szCs w:val="18"/>
              </w:rPr>
            </w:pPr>
            <w:r w:rsidRPr="00D714AA">
              <w:rPr>
                <w:color w:val="000000"/>
                <w:sz w:val="18"/>
                <w:szCs w:val="18"/>
              </w:rPr>
              <w:t>6 138 173</w:t>
            </w:r>
          </w:p>
        </w:tc>
        <w:tc>
          <w:tcPr>
            <w:tcW w:w="1194" w:type="dxa"/>
            <w:shd w:val="clear" w:color="auto" w:fill="auto"/>
            <w:noWrap/>
            <w:vAlign w:val="center"/>
            <w:hideMark/>
          </w:tcPr>
          <w:p w:rsidR="00D714AA" w:rsidRPr="00D714AA" w:rsidRDefault="00D714AA" w:rsidP="00D714AA">
            <w:pPr>
              <w:jc w:val="right"/>
              <w:rPr>
                <w:color w:val="000000"/>
                <w:sz w:val="18"/>
                <w:szCs w:val="18"/>
              </w:rPr>
            </w:pPr>
            <w:r w:rsidRPr="00D714AA">
              <w:rPr>
                <w:color w:val="000000"/>
                <w:sz w:val="18"/>
                <w:szCs w:val="18"/>
              </w:rPr>
              <w:t>6 863 253</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66,11</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69,70</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71,53</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6 766 414</w:t>
            </w:r>
          </w:p>
        </w:tc>
      </w:tr>
      <w:tr w:rsidR="00D714AA" w:rsidRPr="00D714AA" w:rsidTr="009046D6">
        <w:trPr>
          <w:trHeight w:val="262"/>
        </w:trPr>
        <w:tc>
          <w:tcPr>
            <w:tcW w:w="1791" w:type="dxa"/>
            <w:shd w:val="clear" w:color="auto" w:fill="FFFFFF" w:themeFill="background1"/>
            <w:noWrap/>
            <w:vAlign w:val="center"/>
            <w:hideMark/>
          </w:tcPr>
          <w:p w:rsidR="00D714AA" w:rsidRPr="00D714AA" w:rsidRDefault="00D714AA" w:rsidP="00D714AA">
            <w:pPr>
              <w:rPr>
                <w:color w:val="000000"/>
                <w:sz w:val="18"/>
                <w:szCs w:val="18"/>
              </w:rPr>
            </w:pPr>
            <w:r w:rsidRPr="00D714AA">
              <w:rPr>
                <w:color w:val="000000"/>
                <w:sz w:val="18"/>
                <w:szCs w:val="18"/>
              </w:rPr>
              <w:t xml:space="preserve"> Havířov</w:t>
            </w:r>
          </w:p>
        </w:tc>
        <w:tc>
          <w:tcPr>
            <w:tcW w:w="1194" w:type="dxa"/>
            <w:shd w:val="clear" w:color="auto" w:fill="auto"/>
            <w:noWrap/>
            <w:vAlign w:val="center"/>
            <w:hideMark/>
          </w:tcPr>
          <w:p w:rsidR="00D714AA" w:rsidRPr="00D714AA" w:rsidRDefault="00D714AA" w:rsidP="00D714AA">
            <w:pPr>
              <w:jc w:val="right"/>
              <w:rPr>
                <w:color w:val="000000"/>
                <w:sz w:val="18"/>
                <w:szCs w:val="18"/>
              </w:rPr>
            </w:pPr>
            <w:r w:rsidRPr="00D714AA">
              <w:rPr>
                <w:color w:val="000000"/>
                <w:sz w:val="18"/>
                <w:szCs w:val="18"/>
              </w:rPr>
              <w:t>6 909 677</w:t>
            </w:r>
          </w:p>
        </w:tc>
        <w:tc>
          <w:tcPr>
            <w:tcW w:w="1194" w:type="dxa"/>
            <w:shd w:val="clear" w:color="auto" w:fill="auto"/>
            <w:noWrap/>
            <w:vAlign w:val="center"/>
            <w:hideMark/>
          </w:tcPr>
          <w:p w:rsidR="00D714AA" w:rsidRPr="00D714AA" w:rsidRDefault="00D714AA" w:rsidP="00D714AA">
            <w:pPr>
              <w:jc w:val="right"/>
              <w:rPr>
                <w:color w:val="000000"/>
                <w:sz w:val="18"/>
                <w:szCs w:val="18"/>
              </w:rPr>
            </w:pPr>
            <w:r w:rsidRPr="00D714AA">
              <w:rPr>
                <w:color w:val="000000"/>
                <w:sz w:val="18"/>
                <w:szCs w:val="18"/>
              </w:rPr>
              <w:t>7 513 172</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65,38</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82,81</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89,23</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9 457 007</w:t>
            </w:r>
          </w:p>
        </w:tc>
      </w:tr>
      <w:tr w:rsidR="00D714AA" w:rsidRPr="00D714AA" w:rsidTr="009046D6">
        <w:trPr>
          <w:trHeight w:val="262"/>
        </w:trPr>
        <w:tc>
          <w:tcPr>
            <w:tcW w:w="1791" w:type="dxa"/>
            <w:shd w:val="clear" w:color="auto" w:fill="FFFFFF" w:themeFill="background1"/>
            <w:noWrap/>
            <w:vAlign w:val="center"/>
            <w:hideMark/>
          </w:tcPr>
          <w:p w:rsidR="00D714AA" w:rsidRPr="00D714AA" w:rsidRDefault="00D714AA" w:rsidP="00D714AA">
            <w:pPr>
              <w:rPr>
                <w:color w:val="000000"/>
                <w:sz w:val="18"/>
                <w:szCs w:val="18"/>
              </w:rPr>
            </w:pPr>
            <w:r w:rsidRPr="00D714AA">
              <w:rPr>
                <w:color w:val="000000"/>
                <w:sz w:val="18"/>
                <w:szCs w:val="18"/>
              </w:rPr>
              <w:t xml:space="preserve"> Hodonín</w:t>
            </w:r>
          </w:p>
        </w:tc>
        <w:tc>
          <w:tcPr>
            <w:tcW w:w="1194" w:type="dxa"/>
            <w:shd w:val="clear" w:color="auto" w:fill="auto"/>
            <w:noWrap/>
            <w:vAlign w:val="center"/>
            <w:hideMark/>
          </w:tcPr>
          <w:p w:rsidR="00D714AA" w:rsidRPr="00D714AA" w:rsidRDefault="00D714AA" w:rsidP="00D714AA">
            <w:pPr>
              <w:jc w:val="right"/>
              <w:rPr>
                <w:color w:val="000000"/>
                <w:sz w:val="18"/>
                <w:szCs w:val="18"/>
              </w:rPr>
            </w:pPr>
            <w:r w:rsidRPr="00D714AA">
              <w:rPr>
                <w:color w:val="000000"/>
                <w:sz w:val="18"/>
                <w:szCs w:val="18"/>
              </w:rPr>
              <w:t>3 449 189</w:t>
            </w:r>
          </w:p>
        </w:tc>
        <w:tc>
          <w:tcPr>
            <w:tcW w:w="1194" w:type="dxa"/>
            <w:shd w:val="clear" w:color="auto" w:fill="auto"/>
            <w:noWrap/>
            <w:vAlign w:val="center"/>
            <w:hideMark/>
          </w:tcPr>
          <w:p w:rsidR="00D714AA" w:rsidRPr="00D714AA" w:rsidRDefault="00D714AA" w:rsidP="00D714AA">
            <w:pPr>
              <w:jc w:val="right"/>
              <w:rPr>
                <w:color w:val="000000"/>
                <w:sz w:val="18"/>
                <w:szCs w:val="18"/>
              </w:rPr>
            </w:pPr>
            <w:r w:rsidRPr="00D714AA">
              <w:rPr>
                <w:color w:val="000000"/>
                <w:sz w:val="18"/>
                <w:szCs w:val="18"/>
              </w:rPr>
              <w:t>3 768 582</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64,22</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70,00</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85,75</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5 989 976</w:t>
            </w:r>
          </w:p>
        </w:tc>
      </w:tr>
      <w:tr w:rsidR="00D714AA" w:rsidRPr="00D714AA" w:rsidTr="009046D6">
        <w:trPr>
          <w:trHeight w:val="262"/>
        </w:trPr>
        <w:tc>
          <w:tcPr>
            <w:tcW w:w="1791" w:type="dxa"/>
            <w:shd w:val="clear" w:color="auto" w:fill="FFFFFF" w:themeFill="background1"/>
            <w:noWrap/>
            <w:vAlign w:val="center"/>
            <w:hideMark/>
          </w:tcPr>
          <w:p w:rsidR="00D714AA" w:rsidRPr="00D714AA" w:rsidRDefault="00D714AA" w:rsidP="00D714AA">
            <w:pPr>
              <w:rPr>
                <w:color w:val="000000"/>
                <w:sz w:val="18"/>
                <w:szCs w:val="18"/>
              </w:rPr>
            </w:pPr>
            <w:r w:rsidRPr="00D714AA">
              <w:rPr>
                <w:color w:val="000000"/>
                <w:sz w:val="18"/>
                <w:szCs w:val="18"/>
              </w:rPr>
              <w:t xml:space="preserve"> Hradec Králové</w:t>
            </w:r>
          </w:p>
        </w:tc>
        <w:tc>
          <w:tcPr>
            <w:tcW w:w="1194" w:type="dxa"/>
            <w:shd w:val="clear" w:color="auto" w:fill="auto"/>
            <w:noWrap/>
            <w:vAlign w:val="center"/>
            <w:hideMark/>
          </w:tcPr>
          <w:p w:rsidR="00D714AA" w:rsidRPr="00D714AA" w:rsidRDefault="00D714AA" w:rsidP="00D714AA">
            <w:pPr>
              <w:jc w:val="right"/>
              <w:rPr>
                <w:color w:val="000000"/>
                <w:sz w:val="18"/>
                <w:szCs w:val="18"/>
              </w:rPr>
            </w:pPr>
            <w:r w:rsidRPr="00D714AA">
              <w:rPr>
                <w:color w:val="000000"/>
                <w:sz w:val="18"/>
                <w:szCs w:val="18"/>
              </w:rPr>
              <w:t>4 410 418</w:t>
            </w:r>
          </w:p>
        </w:tc>
        <w:tc>
          <w:tcPr>
            <w:tcW w:w="1194" w:type="dxa"/>
            <w:shd w:val="clear" w:color="auto" w:fill="auto"/>
            <w:noWrap/>
            <w:vAlign w:val="center"/>
            <w:hideMark/>
          </w:tcPr>
          <w:p w:rsidR="00D714AA" w:rsidRPr="00D714AA" w:rsidRDefault="00D714AA" w:rsidP="00D714AA">
            <w:pPr>
              <w:jc w:val="right"/>
              <w:rPr>
                <w:color w:val="000000"/>
                <w:sz w:val="18"/>
                <w:szCs w:val="18"/>
              </w:rPr>
            </w:pPr>
            <w:r w:rsidRPr="00D714AA">
              <w:rPr>
                <w:color w:val="000000"/>
                <w:sz w:val="18"/>
                <w:szCs w:val="18"/>
              </w:rPr>
              <w:t>5 312 245</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54,05</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82,59</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101,65</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8 528 432</w:t>
            </w:r>
          </w:p>
        </w:tc>
      </w:tr>
      <w:tr w:rsidR="00D714AA" w:rsidRPr="00D714AA" w:rsidTr="009046D6">
        <w:trPr>
          <w:trHeight w:val="262"/>
        </w:trPr>
        <w:tc>
          <w:tcPr>
            <w:tcW w:w="1791" w:type="dxa"/>
            <w:shd w:val="clear" w:color="auto" w:fill="FFFFFF" w:themeFill="background1"/>
            <w:noWrap/>
            <w:vAlign w:val="center"/>
            <w:hideMark/>
          </w:tcPr>
          <w:p w:rsidR="00D714AA" w:rsidRPr="00D714AA" w:rsidRDefault="00D714AA" w:rsidP="00D714AA">
            <w:pPr>
              <w:rPr>
                <w:color w:val="000000"/>
                <w:sz w:val="18"/>
                <w:szCs w:val="18"/>
              </w:rPr>
            </w:pPr>
            <w:r w:rsidRPr="00D714AA">
              <w:rPr>
                <w:color w:val="000000"/>
                <w:sz w:val="18"/>
                <w:szCs w:val="18"/>
              </w:rPr>
              <w:t xml:space="preserve"> Cheb</w:t>
            </w:r>
          </w:p>
        </w:tc>
        <w:tc>
          <w:tcPr>
            <w:tcW w:w="1194" w:type="dxa"/>
            <w:shd w:val="clear" w:color="auto" w:fill="auto"/>
            <w:noWrap/>
            <w:vAlign w:val="center"/>
            <w:hideMark/>
          </w:tcPr>
          <w:p w:rsidR="00D714AA" w:rsidRPr="00D714AA" w:rsidRDefault="00D714AA" w:rsidP="00D714AA">
            <w:pPr>
              <w:jc w:val="right"/>
              <w:rPr>
                <w:color w:val="000000"/>
                <w:sz w:val="18"/>
                <w:szCs w:val="18"/>
              </w:rPr>
            </w:pPr>
            <w:r w:rsidRPr="00D714AA">
              <w:rPr>
                <w:color w:val="000000"/>
                <w:sz w:val="18"/>
                <w:szCs w:val="18"/>
              </w:rPr>
              <w:t>2 600 750</w:t>
            </w:r>
          </w:p>
        </w:tc>
        <w:tc>
          <w:tcPr>
            <w:tcW w:w="1194" w:type="dxa"/>
            <w:shd w:val="clear" w:color="auto" w:fill="auto"/>
            <w:noWrap/>
            <w:vAlign w:val="center"/>
            <w:hideMark/>
          </w:tcPr>
          <w:p w:rsidR="00D714AA" w:rsidRPr="00D714AA" w:rsidRDefault="00D714AA" w:rsidP="00D714AA">
            <w:pPr>
              <w:jc w:val="right"/>
              <w:rPr>
                <w:color w:val="000000"/>
                <w:sz w:val="18"/>
                <w:szCs w:val="18"/>
              </w:rPr>
            </w:pPr>
            <w:r w:rsidRPr="00D714AA">
              <w:rPr>
                <w:color w:val="000000"/>
                <w:sz w:val="18"/>
                <w:szCs w:val="18"/>
              </w:rPr>
              <w:t>2 822 007</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33,44</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60,85</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65,48</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3 084 103</w:t>
            </w:r>
          </w:p>
        </w:tc>
      </w:tr>
      <w:tr w:rsidR="00D714AA" w:rsidRPr="00D714AA" w:rsidTr="009046D6">
        <w:trPr>
          <w:trHeight w:val="262"/>
        </w:trPr>
        <w:tc>
          <w:tcPr>
            <w:tcW w:w="1791" w:type="dxa"/>
            <w:shd w:val="clear" w:color="auto" w:fill="FFFFFF" w:themeFill="background1"/>
            <w:noWrap/>
            <w:vAlign w:val="center"/>
            <w:hideMark/>
          </w:tcPr>
          <w:p w:rsidR="00D714AA" w:rsidRPr="00D714AA" w:rsidRDefault="00D714AA" w:rsidP="00D714AA">
            <w:pPr>
              <w:rPr>
                <w:color w:val="000000"/>
                <w:sz w:val="18"/>
                <w:szCs w:val="18"/>
              </w:rPr>
            </w:pPr>
            <w:r w:rsidRPr="00D714AA">
              <w:rPr>
                <w:color w:val="000000"/>
                <w:sz w:val="18"/>
                <w:szCs w:val="18"/>
              </w:rPr>
              <w:t xml:space="preserve"> Chomutov</w:t>
            </w:r>
          </w:p>
        </w:tc>
        <w:tc>
          <w:tcPr>
            <w:tcW w:w="1194" w:type="dxa"/>
            <w:shd w:val="clear" w:color="auto" w:fill="auto"/>
            <w:noWrap/>
            <w:vAlign w:val="center"/>
            <w:hideMark/>
          </w:tcPr>
          <w:p w:rsidR="00D714AA" w:rsidRPr="00D714AA" w:rsidRDefault="00D714AA" w:rsidP="00D714AA">
            <w:pPr>
              <w:jc w:val="right"/>
              <w:rPr>
                <w:color w:val="000000"/>
                <w:sz w:val="18"/>
                <w:szCs w:val="18"/>
              </w:rPr>
            </w:pPr>
            <w:r w:rsidRPr="00D714AA">
              <w:rPr>
                <w:color w:val="000000"/>
                <w:sz w:val="18"/>
                <w:szCs w:val="18"/>
              </w:rPr>
              <w:t>7 341 464</w:t>
            </w:r>
          </w:p>
        </w:tc>
        <w:tc>
          <w:tcPr>
            <w:tcW w:w="1194" w:type="dxa"/>
            <w:shd w:val="clear" w:color="auto" w:fill="auto"/>
            <w:noWrap/>
            <w:vAlign w:val="center"/>
            <w:hideMark/>
          </w:tcPr>
          <w:p w:rsidR="00D714AA" w:rsidRPr="00D714AA" w:rsidRDefault="00D714AA" w:rsidP="00D714AA">
            <w:pPr>
              <w:jc w:val="right"/>
              <w:rPr>
                <w:color w:val="000000"/>
                <w:sz w:val="18"/>
                <w:szCs w:val="18"/>
              </w:rPr>
            </w:pPr>
            <w:r w:rsidRPr="00D714AA">
              <w:rPr>
                <w:color w:val="000000"/>
                <w:sz w:val="18"/>
                <w:szCs w:val="18"/>
              </w:rPr>
              <w:t>7 931 641</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54,63</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62,57</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67,17</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7 522 033</w:t>
            </w:r>
          </w:p>
        </w:tc>
      </w:tr>
      <w:tr w:rsidR="00D714AA" w:rsidRPr="00D714AA" w:rsidTr="009046D6">
        <w:trPr>
          <w:trHeight w:val="262"/>
        </w:trPr>
        <w:tc>
          <w:tcPr>
            <w:tcW w:w="1791" w:type="dxa"/>
            <w:shd w:val="clear" w:color="auto" w:fill="FFFFFF" w:themeFill="background1"/>
            <w:noWrap/>
            <w:vAlign w:val="center"/>
            <w:hideMark/>
          </w:tcPr>
          <w:p w:rsidR="00D714AA" w:rsidRPr="00D714AA" w:rsidRDefault="00D714AA" w:rsidP="00D714AA">
            <w:pPr>
              <w:rPr>
                <w:color w:val="000000"/>
                <w:sz w:val="18"/>
                <w:szCs w:val="18"/>
              </w:rPr>
            </w:pPr>
            <w:r w:rsidRPr="00D714AA">
              <w:rPr>
                <w:color w:val="000000"/>
                <w:sz w:val="18"/>
                <w:szCs w:val="18"/>
              </w:rPr>
              <w:t xml:space="preserve"> Chrudim</w:t>
            </w:r>
          </w:p>
        </w:tc>
        <w:tc>
          <w:tcPr>
            <w:tcW w:w="1194" w:type="dxa"/>
            <w:shd w:val="clear" w:color="auto" w:fill="auto"/>
            <w:noWrap/>
            <w:vAlign w:val="center"/>
            <w:hideMark/>
          </w:tcPr>
          <w:p w:rsidR="00D714AA" w:rsidRPr="00D714AA" w:rsidRDefault="00D714AA" w:rsidP="00D714AA">
            <w:pPr>
              <w:jc w:val="right"/>
              <w:rPr>
                <w:color w:val="000000"/>
                <w:sz w:val="18"/>
                <w:szCs w:val="18"/>
              </w:rPr>
            </w:pPr>
            <w:r w:rsidRPr="00D714AA">
              <w:rPr>
                <w:color w:val="000000"/>
                <w:sz w:val="18"/>
                <w:szCs w:val="18"/>
              </w:rPr>
              <w:t>3 772 944</w:t>
            </w:r>
          </w:p>
        </w:tc>
        <w:tc>
          <w:tcPr>
            <w:tcW w:w="1194" w:type="dxa"/>
            <w:shd w:val="clear" w:color="auto" w:fill="auto"/>
            <w:noWrap/>
            <w:vAlign w:val="center"/>
            <w:hideMark/>
          </w:tcPr>
          <w:p w:rsidR="00D714AA" w:rsidRPr="00D714AA" w:rsidRDefault="00D714AA" w:rsidP="00D714AA">
            <w:pPr>
              <w:jc w:val="right"/>
              <w:rPr>
                <w:color w:val="000000"/>
                <w:sz w:val="18"/>
                <w:szCs w:val="18"/>
              </w:rPr>
            </w:pPr>
            <w:r w:rsidRPr="00D714AA">
              <w:rPr>
                <w:color w:val="000000"/>
                <w:sz w:val="18"/>
                <w:szCs w:val="18"/>
              </w:rPr>
              <w:t>4 500 788</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72,18</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75,54</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85,39</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6 082 656</w:t>
            </w:r>
          </w:p>
        </w:tc>
      </w:tr>
      <w:tr w:rsidR="00D714AA" w:rsidRPr="00D714AA" w:rsidTr="009046D6">
        <w:trPr>
          <w:trHeight w:val="262"/>
        </w:trPr>
        <w:tc>
          <w:tcPr>
            <w:tcW w:w="1791" w:type="dxa"/>
            <w:shd w:val="clear" w:color="auto" w:fill="FFFFFF" w:themeFill="background1"/>
            <w:noWrap/>
            <w:vAlign w:val="center"/>
            <w:hideMark/>
          </w:tcPr>
          <w:p w:rsidR="00D714AA" w:rsidRPr="00D714AA" w:rsidRDefault="00D714AA" w:rsidP="00D714AA">
            <w:pPr>
              <w:rPr>
                <w:color w:val="000000"/>
                <w:sz w:val="18"/>
                <w:szCs w:val="18"/>
              </w:rPr>
            </w:pPr>
            <w:r w:rsidRPr="00D714AA">
              <w:rPr>
                <w:color w:val="000000"/>
                <w:sz w:val="18"/>
                <w:szCs w:val="18"/>
              </w:rPr>
              <w:t xml:space="preserve"> Jablonec nad Nisou</w:t>
            </w:r>
          </w:p>
        </w:tc>
        <w:tc>
          <w:tcPr>
            <w:tcW w:w="1194" w:type="dxa"/>
            <w:shd w:val="clear" w:color="auto" w:fill="auto"/>
            <w:noWrap/>
            <w:vAlign w:val="center"/>
            <w:hideMark/>
          </w:tcPr>
          <w:p w:rsidR="00D714AA" w:rsidRPr="00D714AA" w:rsidRDefault="00D714AA" w:rsidP="00D714AA">
            <w:pPr>
              <w:jc w:val="right"/>
              <w:rPr>
                <w:color w:val="000000"/>
                <w:sz w:val="18"/>
                <w:szCs w:val="18"/>
              </w:rPr>
            </w:pPr>
            <w:r w:rsidRPr="00D714AA">
              <w:rPr>
                <w:color w:val="000000"/>
                <w:sz w:val="18"/>
                <w:szCs w:val="18"/>
              </w:rPr>
              <w:t>4 393 360</w:t>
            </w:r>
          </w:p>
        </w:tc>
        <w:tc>
          <w:tcPr>
            <w:tcW w:w="1194" w:type="dxa"/>
            <w:shd w:val="clear" w:color="auto" w:fill="auto"/>
            <w:noWrap/>
            <w:vAlign w:val="center"/>
            <w:hideMark/>
          </w:tcPr>
          <w:p w:rsidR="00D714AA" w:rsidRPr="00D714AA" w:rsidRDefault="00D714AA" w:rsidP="00D714AA">
            <w:pPr>
              <w:jc w:val="right"/>
              <w:rPr>
                <w:color w:val="000000"/>
                <w:sz w:val="18"/>
                <w:szCs w:val="18"/>
              </w:rPr>
            </w:pPr>
            <w:r w:rsidRPr="00D714AA">
              <w:rPr>
                <w:color w:val="000000"/>
                <w:sz w:val="18"/>
                <w:szCs w:val="18"/>
              </w:rPr>
              <w:t>5 287 562</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57,79</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64,51</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71,95</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4 839 366</w:t>
            </w:r>
          </w:p>
        </w:tc>
      </w:tr>
      <w:tr w:rsidR="00D714AA" w:rsidRPr="00D714AA" w:rsidTr="009046D6">
        <w:trPr>
          <w:trHeight w:val="262"/>
        </w:trPr>
        <w:tc>
          <w:tcPr>
            <w:tcW w:w="1791" w:type="dxa"/>
            <w:shd w:val="clear" w:color="auto" w:fill="FFFFFF" w:themeFill="background1"/>
            <w:noWrap/>
            <w:vAlign w:val="center"/>
            <w:hideMark/>
          </w:tcPr>
          <w:p w:rsidR="00D714AA" w:rsidRPr="00D714AA" w:rsidRDefault="00D714AA" w:rsidP="00D714AA">
            <w:pPr>
              <w:rPr>
                <w:color w:val="000000"/>
                <w:sz w:val="18"/>
                <w:szCs w:val="18"/>
              </w:rPr>
            </w:pPr>
            <w:r w:rsidRPr="00D714AA">
              <w:rPr>
                <w:color w:val="000000"/>
                <w:sz w:val="18"/>
                <w:szCs w:val="18"/>
              </w:rPr>
              <w:t xml:space="preserve"> Jirkov</w:t>
            </w:r>
          </w:p>
        </w:tc>
        <w:tc>
          <w:tcPr>
            <w:tcW w:w="1194" w:type="dxa"/>
            <w:shd w:val="clear" w:color="auto" w:fill="auto"/>
            <w:noWrap/>
            <w:vAlign w:val="center"/>
            <w:hideMark/>
          </w:tcPr>
          <w:p w:rsidR="00D714AA" w:rsidRPr="00D714AA" w:rsidRDefault="00D714AA" w:rsidP="00D714AA">
            <w:pPr>
              <w:jc w:val="right"/>
              <w:rPr>
                <w:color w:val="000000"/>
                <w:sz w:val="18"/>
                <w:szCs w:val="18"/>
              </w:rPr>
            </w:pPr>
            <w:r w:rsidRPr="00D714AA">
              <w:rPr>
                <w:color w:val="000000"/>
                <w:sz w:val="18"/>
                <w:szCs w:val="18"/>
              </w:rPr>
              <w:t>4 561 885</w:t>
            </w:r>
          </w:p>
        </w:tc>
        <w:tc>
          <w:tcPr>
            <w:tcW w:w="1194" w:type="dxa"/>
            <w:shd w:val="clear" w:color="auto" w:fill="auto"/>
            <w:noWrap/>
            <w:vAlign w:val="center"/>
            <w:hideMark/>
          </w:tcPr>
          <w:p w:rsidR="00D714AA" w:rsidRPr="00D714AA" w:rsidRDefault="00D714AA" w:rsidP="00D714AA">
            <w:pPr>
              <w:jc w:val="right"/>
              <w:rPr>
                <w:color w:val="000000"/>
                <w:sz w:val="18"/>
                <w:szCs w:val="18"/>
              </w:rPr>
            </w:pPr>
            <w:r w:rsidRPr="00D714AA">
              <w:rPr>
                <w:color w:val="000000"/>
                <w:sz w:val="18"/>
                <w:szCs w:val="18"/>
              </w:rPr>
              <w:t>5 007 452</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94,83</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81,21</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89,50</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7 752 515</w:t>
            </w:r>
          </w:p>
        </w:tc>
      </w:tr>
      <w:tr w:rsidR="00D714AA" w:rsidRPr="00D714AA" w:rsidTr="009046D6">
        <w:trPr>
          <w:trHeight w:val="262"/>
        </w:trPr>
        <w:tc>
          <w:tcPr>
            <w:tcW w:w="1791" w:type="dxa"/>
            <w:shd w:val="clear" w:color="auto" w:fill="FFFFFF" w:themeFill="background1"/>
            <w:noWrap/>
            <w:vAlign w:val="center"/>
            <w:hideMark/>
          </w:tcPr>
          <w:p w:rsidR="00D714AA" w:rsidRPr="00D714AA" w:rsidRDefault="00D714AA" w:rsidP="00D714AA">
            <w:pPr>
              <w:rPr>
                <w:color w:val="000000"/>
                <w:sz w:val="18"/>
                <w:szCs w:val="18"/>
              </w:rPr>
            </w:pPr>
            <w:r w:rsidRPr="00D714AA">
              <w:rPr>
                <w:color w:val="000000"/>
                <w:sz w:val="18"/>
                <w:szCs w:val="18"/>
              </w:rPr>
              <w:t xml:space="preserve"> Karlovy Vary</w:t>
            </w:r>
          </w:p>
        </w:tc>
        <w:tc>
          <w:tcPr>
            <w:tcW w:w="1194" w:type="dxa"/>
            <w:shd w:val="clear" w:color="auto" w:fill="auto"/>
            <w:noWrap/>
            <w:vAlign w:val="center"/>
            <w:hideMark/>
          </w:tcPr>
          <w:p w:rsidR="00D714AA" w:rsidRPr="00D714AA" w:rsidRDefault="00D714AA" w:rsidP="00D714AA">
            <w:pPr>
              <w:jc w:val="right"/>
              <w:rPr>
                <w:color w:val="000000"/>
                <w:sz w:val="18"/>
                <w:szCs w:val="18"/>
              </w:rPr>
            </w:pPr>
            <w:r w:rsidRPr="00D714AA">
              <w:rPr>
                <w:color w:val="000000"/>
                <w:sz w:val="18"/>
                <w:szCs w:val="18"/>
              </w:rPr>
              <w:t>4 539 585</w:t>
            </w:r>
          </w:p>
        </w:tc>
        <w:tc>
          <w:tcPr>
            <w:tcW w:w="1194" w:type="dxa"/>
            <w:shd w:val="clear" w:color="auto" w:fill="auto"/>
            <w:noWrap/>
            <w:vAlign w:val="center"/>
            <w:hideMark/>
          </w:tcPr>
          <w:p w:rsidR="00D714AA" w:rsidRPr="00D714AA" w:rsidRDefault="00D714AA" w:rsidP="00D714AA">
            <w:pPr>
              <w:jc w:val="right"/>
              <w:rPr>
                <w:color w:val="000000"/>
                <w:sz w:val="18"/>
                <w:szCs w:val="18"/>
              </w:rPr>
            </w:pPr>
            <w:r w:rsidRPr="00D714AA">
              <w:rPr>
                <w:color w:val="000000"/>
                <w:sz w:val="18"/>
                <w:szCs w:val="18"/>
              </w:rPr>
              <w:t>4 382 714</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57,08</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58,97</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63,66</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4 836 159</w:t>
            </w:r>
          </w:p>
        </w:tc>
      </w:tr>
      <w:tr w:rsidR="00D714AA" w:rsidRPr="00D714AA" w:rsidTr="009046D6">
        <w:trPr>
          <w:trHeight w:val="262"/>
        </w:trPr>
        <w:tc>
          <w:tcPr>
            <w:tcW w:w="1791" w:type="dxa"/>
            <w:shd w:val="clear" w:color="auto" w:fill="FFFFFF" w:themeFill="background1"/>
            <w:noWrap/>
            <w:vAlign w:val="center"/>
            <w:hideMark/>
          </w:tcPr>
          <w:p w:rsidR="00D714AA" w:rsidRPr="00D714AA" w:rsidRDefault="00D714AA" w:rsidP="00D714AA">
            <w:pPr>
              <w:rPr>
                <w:color w:val="000000"/>
                <w:sz w:val="18"/>
                <w:szCs w:val="18"/>
              </w:rPr>
            </w:pPr>
            <w:r w:rsidRPr="00D714AA">
              <w:rPr>
                <w:color w:val="000000"/>
                <w:sz w:val="18"/>
                <w:szCs w:val="18"/>
              </w:rPr>
              <w:t xml:space="preserve"> Karviná</w:t>
            </w:r>
          </w:p>
        </w:tc>
        <w:tc>
          <w:tcPr>
            <w:tcW w:w="1194" w:type="dxa"/>
            <w:shd w:val="clear" w:color="auto" w:fill="auto"/>
            <w:noWrap/>
            <w:vAlign w:val="center"/>
            <w:hideMark/>
          </w:tcPr>
          <w:p w:rsidR="00D714AA" w:rsidRPr="00D714AA" w:rsidRDefault="00D714AA" w:rsidP="00D714AA">
            <w:pPr>
              <w:jc w:val="right"/>
              <w:rPr>
                <w:color w:val="000000"/>
                <w:sz w:val="18"/>
                <w:szCs w:val="18"/>
              </w:rPr>
            </w:pPr>
            <w:r w:rsidRPr="00D714AA">
              <w:rPr>
                <w:color w:val="000000"/>
                <w:sz w:val="18"/>
                <w:szCs w:val="18"/>
              </w:rPr>
              <w:t>5 750 823</w:t>
            </w:r>
          </w:p>
        </w:tc>
        <w:tc>
          <w:tcPr>
            <w:tcW w:w="1194" w:type="dxa"/>
            <w:shd w:val="clear" w:color="auto" w:fill="auto"/>
            <w:noWrap/>
            <w:vAlign w:val="center"/>
            <w:hideMark/>
          </w:tcPr>
          <w:p w:rsidR="00D714AA" w:rsidRPr="00D714AA" w:rsidRDefault="00D714AA" w:rsidP="00D714AA">
            <w:pPr>
              <w:jc w:val="right"/>
              <w:rPr>
                <w:color w:val="000000"/>
                <w:sz w:val="18"/>
                <w:szCs w:val="18"/>
              </w:rPr>
            </w:pPr>
            <w:r w:rsidRPr="00D714AA">
              <w:rPr>
                <w:color w:val="000000"/>
                <w:sz w:val="18"/>
                <w:szCs w:val="18"/>
              </w:rPr>
              <w:t>5 458 205</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71,17</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85,88</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96,43</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9 526 912</w:t>
            </w:r>
          </w:p>
        </w:tc>
      </w:tr>
      <w:tr w:rsidR="00D714AA" w:rsidRPr="00D714AA" w:rsidTr="009046D6">
        <w:trPr>
          <w:trHeight w:val="262"/>
        </w:trPr>
        <w:tc>
          <w:tcPr>
            <w:tcW w:w="1791" w:type="dxa"/>
            <w:shd w:val="clear" w:color="auto" w:fill="FFFFFF" w:themeFill="background1"/>
            <w:noWrap/>
            <w:vAlign w:val="center"/>
            <w:hideMark/>
          </w:tcPr>
          <w:p w:rsidR="00D714AA" w:rsidRPr="00D714AA" w:rsidRDefault="00D714AA" w:rsidP="00D714AA">
            <w:pPr>
              <w:rPr>
                <w:color w:val="000000"/>
                <w:sz w:val="18"/>
                <w:szCs w:val="18"/>
              </w:rPr>
            </w:pPr>
            <w:r w:rsidRPr="00D714AA">
              <w:rPr>
                <w:color w:val="000000"/>
                <w:sz w:val="18"/>
                <w:szCs w:val="18"/>
              </w:rPr>
              <w:t xml:space="preserve"> Kladno</w:t>
            </w:r>
          </w:p>
        </w:tc>
        <w:tc>
          <w:tcPr>
            <w:tcW w:w="1194" w:type="dxa"/>
            <w:shd w:val="clear" w:color="auto" w:fill="auto"/>
            <w:noWrap/>
            <w:vAlign w:val="center"/>
            <w:hideMark/>
          </w:tcPr>
          <w:p w:rsidR="00D714AA" w:rsidRPr="00D714AA" w:rsidRDefault="00D714AA" w:rsidP="00D714AA">
            <w:pPr>
              <w:jc w:val="right"/>
              <w:rPr>
                <w:color w:val="000000"/>
                <w:sz w:val="18"/>
                <w:szCs w:val="18"/>
              </w:rPr>
            </w:pPr>
            <w:r w:rsidRPr="00D714AA">
              <w:rPr>
                <w:color w:val="000000"/>
                <w:sz w:val="18"/>
                <w:szCs w:val="18"/>
              </w:rPr>
              <w:t>5 660 028</w:t>
            </w:r>
          </w:p>
        </w:tc>
        <w:tc>
          <w:tcPr>
            <w:tcW w:w="1194" w:type="dxa"/>
            <w:shd w:val="clear" w:color="auto" w:fill="auto"/>
            <w:noWrap/>
            <w:vAlign w:val="center"/>
            <w:hideMark/>
          </w:tcPr>
          <w:p w:rsidR="00D714AA" w:rsidRPr="00D714AA" w:rsidRDefault="00D714AA" w:rsidP="00D714AA">
            <w:pPr>
              <w:jc w:val="right"/>
              <w:rPr>
                <w:color w:val="000000"/>
                <w:sz w:val="18"/>
                <w:szCs w:val="18"/>
              </w:rPr>
            </w:pPr>
            <w:r w:rsidRPr="00D714AA">
              <w:rPr>
                <w:color w:val="000000"/>
                <w:sz w:val="18"/>
                <w:szCs w:val="18"/>
              </w:rPr>
              <w:t>5 947 492</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73,00</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95,60</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99,10</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9 230 989</w:t>
            </w:r>
          </w:p>
        </w:tc>
      </w:tr>
      <w:tr w:rsidR="00D714AA" w:rsidRPr="00D714AA" w:rsidTr="009046D6">
        <w:trPr>
          <w:trHeight w:val="262"/>
        </w:trPr>
        <w:tc>
          <w:tcPr>
            <w:tcW w:w="1791" w:type="dxa"/>
            <w:shd w:val="clear" w:color="auto" w:fill="FFFFFF" w:themeFill="background1"/>
            <w:noWrap/>
            <w:vAlign w:val="center"/>
            <w:hideMark/>
          </w:tcPr>
          <w:p w:rsidR="00D714AA" w:rsidRPr="00D714AA" w:rsidRDefault="00D714AA" w:rsidP="00D714AA">
            <w:pPr>
              <w:rPr>
                <w:color w:val="000000"/>
                <w:sz w:val="18"/>
                <w:szCs w:val="18"/>
              </w:rPr>
            </w:pPr>
            <w:r w:rsidRPr="00D714AA">
              <w:rPr>
                <w:color w:val="000000"/>
                <w:sz w:val="18"/>
                <w:szCs w:val="18"/>
              </w:rPr>
              <w:t xml:space="preserve"> Kopřivnice</w:t>
            </w:r>
          </w:p>
        </w:tc>
        <w:tc>
          <w:tcPr>
            <w:tcW w:w="1194" w:type="dxa"/>
            <w:shd w:val="clear" w:color="auto" w:fill="auto"/>
            <w:noWrap/>
            <w:vAlign w:val="center"/>
            <w:hideMark/>
          </w:tcPr>
          <w:p w:rsidR="00D714AA" w:rsidRPr="00D714AA" w:rsidRDefault="00D714AA" w:rsidP="00D714AA">
            <w:pPr>
              <w:jc w:val="right"/>
              <w:rPr>
                <w:color w:val="000000"/>
                <w:sz w:val="18"/>
                <w:szCs w:val="18"/>
              </w:rPr>
            </w:pPr>
            <w:r w:rsidRPr="00D714AA">
              <w:rPr>
                <w:color w:val="000000"/>
                <w:sz w:val="18"/>
                <w:szCs w:val="18"/>
              </w:rPr>
              <w:t>3 799 948</w:t>
            </w:r>
          </w:p>
        </w:tc>
        <w:tc>
          <w:tcPr>
            <w:tcW w:w="1194" w:type="dxa"/>
            <w:shd w:val="clear" w:color="auto" w:fill="auto"/>
            <w:noWrap/>
            <w:vAlign w:val="center"/>
            <w:hideMark/>
          </w:tcPr>
          <w:p w:rsidR="00D714AA" w:rsidRPr="00D714AA" w:rsidRDefault="00D714AA" w:rsidP="00D714AA">
            <w:pPr>
              <w:jc w:val="right"/>
              <w:rPr>
                <w:color w:val="000000"/>
                <w:sz w:val="18"/>
                <w:szCs w:val="18"/>
              </w:rPr>
            </w:pPr>
            <w:r w:rsidRPr="00D714AA">
              <w:rPr>
                <w:color w:val="000000"/>
                <w:sz w:val="18"/>
                <w:szCs w:val="18"/>
              </w:rPr>
              <w:t>4 223 136</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60,84</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81,06</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88,48</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6 257 787</w:t>
            </w:r>
          </w:p>
        </w:tc>
      </w:tr>
      <w:tr w:rsidR="00D714AA" w:rsidRPr="00D714AA" w:rsidTr="009046D6">
        <w:trPr>
          <w:trHeight w:val="262"/>
        </w:trPr>
        <w:tc>
          <w:tcPr>
            <w:tcW w:w="1791" w:type="dxa"/>
            <w:shd w:val="clear" w:color="auto" w:fill="FFFFFF" w:themeFill="background1"/>
            <w:noWrap/>
            <w:vAlign w:val="center"/>
            <w:hideMark/>
          </w:tcPr>
          <w:p w:rsidR="00D714AA" w:rsidRPr="00D714AA" w:rsidRDefault="00D714AA" w:rsidP="00D714AA">
            <w:pPr>
              <w:rPr>
                <w:color w:val="000000"/>
                <w:sz w:val="18"/>
                <w:szCs w:val="18"/>
              </w:rPr>
            </w:pPr>
            <w:r w:rsidRPr="00D714AA">
              <w:rPr>
                <w:color w:val="000000"/>
                <w:sz w:val="18"/>
                <w:szCs w:val="18"/>
              </w:rPr>
              <w:t xml:space="preserve"> Kroměříž</w:t>
            </w:r>
          </w:p>
        </w:tc>
        <w:tc>
          <w:tcPr>
            <w:tcW w:w="1194" w:type="dxa"/>
            <w:shd w:val="clear" w:color="auto" w:fill="auto"/>
            <w:noWrap/>
            <w:vAlign w:val="center"/>
            <w:hideMark/>
          </w:tcPr>
          <w:p w:rsidR="00D714AA" w:rsidRPr="00D714AA" w:rsidRDefault="00D714AA" w:rsidP="00D714AA">
            <w:pPr>
              <w:jc w:val="right"/>
              <w:rPr>
                <w:color w:val="000000"/>
                <w:sz w:val="18"/>
                <w:szCs w:val="18"/>
              </w:rPr>
            </w:pPr>
            <w:r w:rsidRPr="00D714AA">
              <w:rPr>
                <w:color w:val="000000"/>
                <w:sz w:val="18"/>
                <w:szCs w:val="18"/>
              </w:rPr>
              <w:t>3 972 531</w:t>
            </w:r>
          </w:p>
        </w:tc>
        <w:tc>
          <w:tcPr>
            <w:tcW w:w="1194" w:type="dxa"/>
            <w:shd w:val="clear" w:color="auto" w:fill="auto"/>
            <w:noWrap/>
            <w:vAlign w:val="center"/>
            <w:hideMark/>
          </w:tcPr>
          <w:p w:rsidR="00D714AA" w:rsidRPr="00D714AA" w:rsidRDefault="00D714AA" w:rsidP="00D714AA">
            <w:pPr>
              <w:jc w:val="right"/>
              <w:rPr>
                <w:color w:val="000000"/>
                <w:sz w:val="18"/>
                <w:szCs w:val="18"/>
              </w:rPr>
            </w:pPr>
            <w:r w:rsidRPr="00D714AA">
              <w:rPr>
                <w:color w:val="000000"/>
                <w:sz w:val="18"/>
                <w:szCs w:val="18"/>
              </w:rPr>
              <w:t>4 928 308</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77,38</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86,52</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87,79</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6 322 503</w:t>
            </w:r>
          </w:p>
        </w:tc>
      </w:tr>
      <w:tr w:rsidR="00D714AA" w:rsidRPr="00D714AA" w:rsidTr="009046D6">
        <w:trPr>
          <w:trHeight w:val="262"/>
        </w:trPr>
        <w:tc>
          <w:tcPr>
            <w:tcW w:w="1791" w:type="dxa"/>
            <w:shd w:val="clear" w:color="auto" w:fill="FFFFFF" w:themeFill="background1"/>
            <w:noWrap/>
            <w:vAlign w:val="center"/>
            <w:hideMark/>
          </w:tcPr>
          <w:p w:rsidR="00D714AA" w:rsidRPr="00D714AA" w:rsidRDefault="00D714AA" w:rsidP="00D714AA">
            <w:pPr>
              <w:rPr>
                <w:color w:val="000000"/>
                <w:sz w:val="18"/>
                <w:szCs w:val="18"/>
              </w:rPr>
            </w:pPr>
            <w:r w:rsidRPr="00D714AA">
              <w:rPr>
                <w:color w:val="000000"/>
                <w:sz w:val="18"/>
                <w:szCs w:val="18"/>
              </w:rPr>
              <w:t xml:space="preserve"> Liberec</w:t>
            </w:r>
          </w:p>
        </w:tc>
        <w:tc>
          <w:tcPr>
            <w:tcW w:w="1194" w:type="dxa"/>
            <w:shd w:val="clear" w:color="auto" w:fill="auto"/>
            <w:noWrap/>
            <w:vAlign w:val="center"/>
            <w:hideMark/>
          </w:tcPr>
          <w:p w:rsidR="00D714AA" w:rsidRPr="00D714AA" w:rsidRDefault="00D714AA" w:rsidP="00D714AA">
            <w:pPr>
              <w:jc w:val="right"/>
              <w:rPr>
                <w:color w:val="000000"/>
                <w:sz w:val="18"/>
                <w:szCs w:val="18"/>
              </w:rPr>
            </w:pPr>
            <w:r w:rsidRPr="00D714AA">
              <w:rPr>
                <w:color w:val="000000"/>
                <w:sz w:val="18"/>
                <w:szCs w:val="18"/>
              </w:rPr>
              <w:t>8 057 591</w:t>
            </w:r>
          </w:p>
        </w:tc>
        <w:tc>
          <w:tcPr>
            <w:tcW w:w="1194" w:type="dxa"/>
            <w:shd w:val="clear" w:color="auto" w:fill="auto"/>
            <w:noWrap/>
            <w:vAlign w:val="center"/>
            <w:hideMark/>
          </w:tcPr>
          <w:p w:rsidR="00D714AA" w:rsidRPr="00D714AA" w:rsidRDefault="00D714AA" w:rsidP="00D714AA">
            <w:pPr>
              <w:jc w:val="right"/>
              <w:rPr>
                <w:color w:val="000000"/>
                <w:sz w:val="18"/>
                <w:szCs w:val="18"/>
              </w:rPr>
            </w:pPr>
            <w:r w:rsidRPr="00D714AA">
              <w:rPr>
                <w:color w:val="000000"/>
                <w:sz w:val="18"/>
                <w:szCs w:val="18"/>
              </w:rPr>
              <w:t>8 285 343</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67,01</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62,60</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82,44</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11 242 650</w:t>
            </w:r>
          </w:p>
        </w:tc>
      </w:tr>
      <w:tr w:rsidR="00D714AA" w:rsidRPr="00D714AA" w:rsidTr="009046D6">
        <w:trPr>
          <w:trHeight w:val="262"/>
        </w:trPr>
        <w:tc>
          <w:tcPr>
            <w:tcW w:w="1791" w:type="dxa"/>
            <w:shd w:val="clear" w:color="auto" w:fill="FFFFFF" w:themeFill="background1"/>
            <w:noWrap/>
            <w:vAlign w:val="center"/>
            <w:hideMark/>
          </w:tcPr>
          <w:p w:rsidR="00D714AA" w:rsidRPr="00D714AA" w:rsidRDefault="00D714AA" w:rsidP="00D714AA">
            <w:pPr>
              <w:rPr>
                <w:color w:val="000000"/>
                <w:sz w:val="18"/>
                <w:szCs w:val="18"/>
              </w:rPr>
            </w:pPr>
            <w:r w:rsidRPr="00D714AA">
              <w:rPr>
                <w:color w:val="000000"/>
                <w:sz w:val="18"/>
                <w:szCs w:val="18"/>
              </w:rPr>
              <w:t xml:space="preserve"> Litvínov</w:t>
            </w:r>
          </w:p>
        </w:tc>
        <w:tc>
          <w:tcPr>
            <w:tcW w:w="1194" w:type="dxa"/>
            <w:shd w:val="clear" w:color="auto" w:fill="auto"/>
            <w:noWrap/>
            <w:vAlign w:val="center"/>
            <w:hideMark/>
          </w:tcPr>
          <w:p w:rsidR="00D714AA" w:rsidRPr="00D714AA" w:rsidRDefault="00D714AA" w:rsidP="00D714AA">
            <w:pPr>
              <w:jc w:val="right"/>
              <w:rPr>
                <w:color w:val="000000"/>
                <w:sz w:val="18"/>
                <w:szCs w:val="18"/>
              </w:rPr>
            </w:pPr>
            <w:r w:rsidRPr="00D714AA">
              <w:rPr>
                <w:color w:val="000000"/>
                <w:sz w:val="18"/>
                <w:szCs w:val="18"/>
              </w:rPr>
              <w:t>4 262 583</w:t>
            </w:r>
          </w:p>
        </w:tc>
        <w:tc>
          <w:tcPr>
            <w:tcW w:w="1194" w:type="dxa"/>
            <w:shd w:val="clear" w:color="auto" w:fill="auto"/>
            <w:noWrap/>
            <w:vAlign w:val="center"/>
            <w:hideMark/>
          </w:tcPr>
          <w:p w:rsidR="00D714AA" w:rsidRPr="00D714AA" w:rsidRDefault="00D714AA" w:rsidP="00D714AA">
            <w:pPr>
              <w:jc w:val="right"/>
              <w:rPr>
                <w:color w:val="000000"/>
                <w:sz w:val="18"/>
                <w:szCs w:val="18"/>
              </w:rPr>
            </w:pPr>
            <w:r w:rsidRPr="00D714AA">
              <w:rPr>
                <w:color w:val="000000"/>
                <w:sz w:val="18"/>
                <w:szCs w:val="18"/>
              </w:rPr>
              <w:t>4 241 762</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75,10</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74,76</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80,35</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6 429 236</w:t>
            </w:r>
          </w:p>
        </w:tc>
      </w:tr>
      <w:tr w:rsidR="00D714AA" w:rsidRPr="00D714AA" w:rsidTr="009046D6">
        <w:trPr>
          <w:trHeight w:val="262"/>
        </w:trPr>
        <w:tc>
          <w:tcPr>
            <w:tcW w:w="1791" w:type="dxa"/>
            <w:shd w:val="clear" w:color="auto" w:fill="FFFFFF" w:themeFill="background1"/>
            <w:noWrap/>
            <w:vAlign w:val="center"/>
            <w:hideMark/>
          </w:tcPr>
          <w:p w:rsidR="00D714AA" w:rsidRPr="00D714AA" w:rsidRDefault="00D714AA" w:rsidP="00D714AA">
            <w:pPr>
              <w:rPr>
                <w:color w:val="000000"/>
                <w:sz w:val="18"/>
                <w:szCs w:val="18"/>
              </w:rPr>
            </w:pPr>
            <w:r w:rsidRPr="00D714AA">
              <w:rPr>
                <w:color w:val="000000"/>
                <w:sz w:val="18"/>
                <w:szCs w:val="18"/>
              </w:rPr>
              <w:t xml:space="preserve"> Mladá Boleslav</w:t>
            </w:r>
          </w:p>
        </w:tc>
        <w:tc>
          <w:tcPr>
            <w:tcW w:w="1194" w:type="dxa"/>
            <w:shd w:val="clear" w:color="auto" w:fill="auto"/>
            <w:noWrap/>
            <w:vAlign w:val="center"/>
            <w:hideMark/>
          </w:tcPr>
          <w:p w:rsidR="00D714AA" w:rsidRPr="00D714AA" w:rsidRDefault="00D714AA" w:rsidP="00D714AA">
            <w:pPr>
              <w:jc w:val="right"/>
              <w:rPr>
                <w:color w:val="000000"/>
                <w:sz w:val="18"/>
                <w:szCs w:val="18"/>
              </w:rPr>
            </w:pPr>
            <w:r w:rsidRPr="00D714AA">
              <w:rPr>
                <w:color w:val="000000"/>
                <w:sz w:val="18"/>
                <w:szCs w:val="18"/>
              </w:rPr>
              <w:t>6 301 013</w:t>
            </w:r>
          </w:p>
        </w:tc>
        <w:tc>
          <w:tcPr>
            <w:tcW w:w="1194" w:type="dxa"/>
            <w:shd w:val="clear" w:color="auto" w:fill="auto"/>
            <w:noWrap/>
            <w:vAlign w:val="center"/>
            <w:hideMark/>
          </w:tcPr>
          <w:p w:rsidR="00D714AA" w:rsidRPr="00D714AA" w:rsidRDefault="00D714AA" w:rsidP="00D714AA">
            <w:pPr>
              <w:jc w:val="right"/>
              <w:rPr>
                <w:color w:val="000000"/>
                <w:sz w:val="18"/>
                <w:szCs w:val="18"/>
              </w:rPr>
            </w:pPr>
            <w:r w:rsidRPr="00D714AA">
              <w:rPr>
                <w:color w:val="000000"/>
                <w:sz w:val="18"/>
                <w:szCs w:val="18"/>
              </w:rPr>
              <w:t>7 608 360</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79,61</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69,11</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95,56</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10 908 989</w:t>
            </w:r>
          </w:p>
        </w:tc>
      </w:tr>
      <w:tr w:rsidR="00D714AA" w:rsidRPr="00D714AA" w:rsidTr="009046D6">
        <w:trPr>
          <w:trHeight w:val="262"/>
        </w:trPr>
        <w:tc>
          <w:tcPr>
            <w:tcW w:w="1791" w:type="dxa"/>
            <w:shd w:val="clear" w:color="auto" w:fill="FFFFFF" w:themeFill="background1"/>
            <w:noWrap/>
            <w:vAlign w:val="center"/>
            <w:hideMark/>
          </w:tcPr>
          <w:p w:rsidR="00D714AA" w:rsidRPr="00D714AA" w:rsidRDefault="00D714AA" w:rsidP="00D714AA">
            <w:pPr>
              <w:rPr>
                <w:color w:val="000000"/>
                <w:sz w:val="18"/>
                <w:szCs w:val="18"/>
              </w:rPr>
            </w:pPr>
            <w:r w:rsidRPr="00D714AA">
              <w:rPr>
                <w:color w:val="000000"/>
                <w:sz w:val="18"/>
                <w:szCs w:val="18"/>
              </w:rPr>
              <w:t xml:space="preserve"> Most</w:t>
            </w:r>
          </w:p>
        </w:tc>
        <w:tc>
          <w:tcPr>
            <w:tcW w:w="1194" w:type="dxa"/>
            <w:shd w:val="clear" w:color="auto" w:fill="auto"/>
            <w:noWrap/>
            <w:vAlign w:val="center"/>
            <w:hideMark/>
          </w:tcPr>
          <w:p w:rsidR="00D714AA" w:rsidRPr="00D714AA" w:rsidRDefault="00D714AA" w:rsidP="00D714AA">
            <w:pPr>
              <w:jc w:val="right"/>
              <w:rPr>
                <w:color w:val="000000"/>
                <w:sz w:val="18"/>
                <w:szCs w:val="18"/>
              </w:rPr>
            </w:pPr>
            <w:r w:rsidRPr="00D714AA">
              <w:rPr>
                <w:color w:val="000000"/>
                <w:sz w:val="18"/>
                <w:szCs w:val="18"/>
              </w:rPr>
              <w:t>4 954 049</w:t>
            </w:r>
          </w:p>
        </w:tc>
        <w:tc>
          <w:tcPr>
            <w:tcW w:w="1194" w:type="dxa"/>
            <w:shd w:val="clear" w:color="auto" w:fill="auto"/>
            <w:noWrap/>
            <w:vAlign w:val="center"/>
            <w:hideMark/>
          </w:tcPr>
          <w:p w:rsidR="00D714AA" w:rsidRPr="00D714AA" w:rsidRDefault="00D714AA" w:rsidP="00D714AA">
            <w:pPr>
              <w:jc w:val="right"/>
              <w:rPr>
                <w:color w:val="000000"/>
                <w:sz w:val="18"/>
                <w:szCs w:val="18"/>
              </w:rPr>
            </w:pPr>
            <w:r w:rsidRPr="00D714AA">
              <w:rPr>
                <w:color w:val="000000"/>
                <w:sz w:val="18"/>
                <w:szCs w:val="18"/>
              </w:rPr>
              <w:t>4 614 312</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58,98</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74,00</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75,09</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6 194 568</w:t>
            </w:r>
          </w:p>
        </w:tc>
      </w:tr>
      <w:tr w:rsidR="00D714AA" w:rsidRPr="00D714AA" w:rsidTr="009046D6">
        <w:trPr>
          <w:trHeight w:val="262"/>
        </w:trPr>
        <w:tc>
          <w:tcPr>
            <w:tcW w:w="1791" w:type="dxa"/>
            <w:shd w:val="clear" w:color="auto" w:fill="FFFFFF" w:themeFill="background1"/>
            <w:noWrap/>
            <w:vAlign w:val="center"/>
            <w:hideMark/>
          </w:tcPr>
          <w:p w:rsidR="00D714AA" w:rsidRPr="00D714AA" w:rsidRDefault="00D714AA" w:rsidP="00D714AA">
            <w:pPr>
              <w:rPr>
                <w:color w:val="000000"/>
                <w:sz w:val="18"/>
                <w:szCs w:val="18"/>
              </w:rPr>
            </w:pPr>
            <w:r w:rsidRPr="00D714AA">
              <w:rPr>
                <w:color w:val="000000"/>
                <w:sz w:val="18"/>
                <w:szCs w:val="18"/>
              </w:rPr>
              <w:lastRenderedPageBreak/>
              <w:t xml:space="preserve"> Náchod</w:t>
            </w:r>
          </w:p>
        </w:tc>
        <w:tc>
          <w:tcPr>
            <w:tcW w:w="1194" w:type="dxa"/>
            <w:shd w:val="clear" w:color="auto" w:fill="auto"/>
            <w:noWrap/>
            <w:vAlign w:val="center"/>
            <w:hideMark/>
          </w:tcPr>
          <w:p w:rsidR="00D714AA" w:rsidRPr="00D714AA" w:rsidRDefault="00D714AA" w:rsidP="00D714AA">
            <w:pPr>
              <w:jc w:val="right"/>
              <w:rPr>
                <w:color w:val="000000"/>
                <w:sz w:val="18"/>
                <w:szCs w:val="18"/>
              </w:rPr>
            </w:pPr>
            <w:r w:rsidRPr="00D714AA">
              <w:rPr>
                <w:color w:val="000000"/>
                <w:sz w:val="18"/>
                <w:szCs w:val="18"/>
              </w:rPr>
              <w:t>3 750 977</w:t>
            </w:r>
          </w:p>
        </w:tc>
        <w:tc>
          <w:tcPr>
            <w:tcW w:w="1194" w:type="dxa"/>
            <w:shd w:val="clear" w:color="auto" w:fill="auto"/>
            <w:noWrap/>
            <w:vAlign w:val="center"/>
            <w:hideMark/>
          </w:tcPr>
          <w:p w:rsidR="00D714AA" w:rsidRPr="00D714AA" w:rsidRDefault="00D714AA" w:rsidP="00D714AA">
            <w:pPr>
              <w:jc w:val="right"/>
              <w:rPr>
                <w:color w:val="000000"/>
                <w:sz w:val="18"/>
                <w:szCs w:val="18"/>
              </w:rPr>
            </w:pPr>
            <w:r w:rsidRPr="00D714AA">
              <w:rPr>
                <w:color w:val="000000"/>
                <w:sz w:val="18"/>
                <w:szCs w:val="18"/>
              </w:rPr>
              <w:t>4 794 342</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66,09</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82,30</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97,63</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5 919 288</w:t>
            </w:r>
          </w:p>
        </w:tc>
      </w:tr>
      <w:tr w:rsidR="00D714AA" w:rsidRPr="00D714AA" w:rsidTr="009046D6">
        <w:trPr>
          <w:trHeight w:val="262"/>
        </w:trPr>
        <w:tc>
          <w:tcPr>
            <w:tcW w:w="1791" w:type="dxa"/>
            <w:shd w:val="clear" w:color="auto" w:fill="FFFFFF" w:themeFill="background1"/>
            <w:noWrap/>
            <w:vAlign w:val="center"/>
            <w:hideMark/>
          </w:tcPr>
          <w:p w:rsidR="00D714AA" w:rsidRPr="00D714AA" w:rsidRDefault="00D714AA" w:rsidP="00D714AA">
            <w:pPr>
              <w:rPr>
                <w:color w:val="000000"/>
                <w:sz w:val="18"/>
                <w:szCs w:val="18"/>
              </w:rPr>
            </w:pPr>
            <w:r w:rsidRPr="00D714AA">
              <w:rPr>
                <w:color w:val="000000"/>
                <w:sz w:val="18"/>
                <w:szCs w:val="18"/>
              </w:rPr>
              <w:t xml:space="preserve"> Nový Jičín</w:t>
            </w:r>
          </w:p>
        </w:tc>
        <w:tc>
          <w:tcPr>
            <w:tcW w:w="1194" w:type="dxa"/>
            <w:shd w:val="clear" w:color="auto" w:fill="auto"/>
            <w:noWrap/>
            <w:vAlign w:val="center"/>
            <w:hideMark/>
          </w:tcPr>
          <w:p w:rsidR="00D714AA" w:rsidRPr="00D714AA" w:rsidRDefault="00D714AA" w:rsidP="00D714AA">
            <w:pPr>
              <w:jc w:val="right"/>
              <w:rPr>
                <w:color w:val="000000"/>
                <w:sz w:val="18"/>
                <w:szCs w:val="18"/>
              </w:rPr>
            </w:pPr>
            <w:r w:rsidRPr="00D714AA">
              <w:rPr>
                <w:color w:val="000000"/>
                <w:sz w:val="18"/>
                <w:szCs w:val="18"/>
              </w:rPr>
              <w:t>3 507 776</w:t>
            </w:r>
          </w:p>
        </w:tc>
        <w:tc>
          <w:tcPr>
            <w:tcW w:w="1194" w:type="dxa"/>
            <w:shd w:val="clear" w:color="auto" w:fill="auto"/>
            <w:noWrap/>
            <w:vAlign w:val="center"/>
            <w:hideMark/>
          </w:tcPr>
          <w:p w:rsidR="00D714AA" w:rsidRPr="00D714AA" w:rsidRDefault="00D714AA" w:rsidP="00D714AA">
            <w:pPr>
              <w:jc w:val="right"/>
              <w:rPr>
                <w:color w:val="000000"/>
                <w:sz w:val="18"/>
                <w:szCs w:val="18"/>
              </w:rPr>
            </w:pPr>
            <w:r w:rsidRPr="00D714AA">
              <w:rPr>
                <w:color w:val="000000"/>
                <w:sz w:val="18"/>
                <w:szCs w:val="18"/>
              </w:rPr>
              <w:t>4 659 498</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86,53</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91,92</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96,78</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6 322 124</w:t>
            </w:r>
          </w:p>
        </w:tc>
      </w:tr>
      <w:tr w:rsidR="00D714AA" w:rsidRPr="00D714AA" w:rsidTr="009046D6">
        <w:trPr>
          <w:trHeight w:val="262"/>
        </w:trPr>
        <w:tc>
          <w:tcPr>
            <w:tcW w:w="1791" w:type="dxa"/>
            <w:shd w:val="clear" w:color="auto" w:fill="FFFFFF" w:themeFill="background1"/>
            <w:noWrap/>
            <w:vAlign w:val="center"/>
            <w:hideMark/>
          </w:tcPr>
          <w:p w:rsidR="00D714AA" w:rsidRPr="00D714AA" w:rsidRDefault="00D714AA" w:rsidP="00D714AA">
            <w:pPr>
              <w:rPr>
                <w:color w:val="000000"/>
                <w:sz w:val="18"/>
                <w:szCs w:val="18"/>
              </w:rPr>
            </w:pPr>
            <w:r w:rsidRPr="00D714AA">
              <w:rPr>
                <w:color w:val="000000"/>
                <w:sz w:val="18"/>
                <w:szCs w:val="18"/>
              </w:rPr>
              <w:t xml:space="preserve"> Olomouc</w:t>
            </w:r>
          </w:p>
        </w:tc>
        <w:tc>
          <w:tcPr>
            <w:tcW w:w="1194" w:type="dxa"/>
            <w:shd w:val="clear" w:color="auto" w:fill="auto"/>
            <w:noWrap/>
            <w:vAlign w:val="center"/>
            <w:hideMark/>
          </w:tcPr>
          <w:p w:rsidR="00D714AA" w:rsidRPr="00D714AA" w:rsidRDefault="00D714AA" w:rsidP="00D714AA">
            <w:pPr>
              <w:jc w:val="right"/>
              <w:rPr>
                <w:color w:val="000000"/>
                <w:sz w:val="18"/>
                <w:szCs w:val="18"/>
              </w:rPr>
            </w:pPr>
            <w:r w:rsidRPr="00D714AA">
              <w:rPr>
                <w:color w:val="000000"/>
                <w:sz w:val="18"/>
                <w:szCs w:val="18"/>
              </w:rPr>
              <w:t>6 419 918</w:t>
            </w:r>
          </w:p>
        </w:tc>
        <w:tc>
          <w:tcPr>
            <w:tcW w:w="1194" w:type="dxa"/>
            <w:shd w:val="clear" w:color="auto" w:fill="auto"/>
            <w:noWrap/>
            <w:vAlign w:val="center"/>
            <w:hideMark/>
          </w:tcPr>
          <w:p w:rsidR="00D714AA" w:rsidRPr="00D714AA" w:rsidRDefault="00D714AA" w:rsidP="00D714AA">
            <w:pPr>
              <w:jc w:val="right"/>
              <w:rPr>
                <w:color w:val="000000"/>
                <w:sz w:val="18"/>
                <w:szCs w:val="18"/>
              </w:rPr>
            </w:pPr>
            <w:r w:rsidRPr="00D714AA">
              <w:rPr>
                <w:color w:val="000000"/>
                <w:sz w:val="18"/>
                <w:szCs w:val="18"/>
              </w:rPr>
              <w:t>6 290 216</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65,81</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83,76</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87,46</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8 528 698</w:t>
            </w:r>
          </w:p>
        </w:tc>
      </w:tr>
      <w:tr w:rsidR="00D714AA" w:rsidRPr="00D714AA" w:rsidTr="009046D6">
        <w:trPr>
          <w:trHeight w:val="262"/>
        </w:trPr>
        <w:tc>
          <w:tcPr>
            <w:tcW w:w="1791" w:type="dxa"/>
            <w:shd w:val="clear" w:color="auto" w:fill="FFFFFF" w:themeFill="background1"/>
            <w:noWrap/>
            <w:vAlign w:val="center"/>
            <w:hideMark/>
          </w:tcPr>
          <w:p w:rsidR="00D714AA" w:rsidRPr="00D714AA" w:rsidRDefault="00D714AA" w:rsidP="00D714AA">
            <w:pPr>
              <w:rPr>
                <w:color w:val="000000"/>
                <w:sz w:val="18"/>
                <w:szCs w:val="18"/>
              </w:rPr>
            </w:pPr>
            <w:r w:rsidRPr="00D714AA">
              <w:rPr>
                <w:color w:val="000000"/>
                <w:sz w:val="18"/>
                <w:szCs w:val="18"/>
              </w:rPr>
              <w:t xml:space="preserve"> Opava</w:t>
            </w:r>
          </w:p>
        </w:tc>
        <w:tc>
          <w:tcPr>
            <w:tcW w:w="1194" w:type="dxa"/>
            <w:shd w:val="clear" w:color="auto" w:fill="auto"/>
            <w:noWrap/>
            <w:vAlign w:val="center"/>
            <w:hideMark/>
          </w:tcPr>
          <w:p w:rsidR="00D714AA" w:rsidRPr="00D714AA" w:rsidRDefault="00D714AA" w:rsidP="00D714AA">
            <w:pPr>
              <w:jc w:val="right"/>
              <w:rPr>
                <w:color w:val="000000"/>
                <w:sz w:val="18"/>
                <w:szCs w:val="18"/>
              </w:rPr>
            </w:pPr>
            <w:r w:rsidRPr="00D714AA">
              <w:rPr>
                <w:color w:val="000000"/>
                <w:sz w:val="18"/>
                <w:szCs w:val="18"/>
              </w:rPr>
              <w:t>6 440 187</w:t>
            </w:r>
          </w:p>
        </w:tc>
        <w:tc>
          <w:tcPr>
            <w:tcW w:w="1194" w:type="dxa"/>
            <w:shd w:val="clear" w:color="auto" w:fill="auto"/>
            <w:noWrap/>
            <w:vAlign w:val="center"/>
            <w:hideMark/>
          </w:tcPr>
          <w:p w:rsidR="00D714AA" w:rsidRPr="00D714AA" w:rsidRDefault="00D714AA" w:rsidP="00D714AA">
            <w:pPr>
              <w:jc w:val="right"/>
              <w:rPr>
                <w:color w:val="000000"/>
                <w:sz w:val="18"/>
                <w:szCs w:val="18"/>
              </w:rPr>
            </w:pPr>
            <w:r w:rsidRPr="00D714AA">
              <w:rPr>
                <w:color w:val="000000"/>
                <w:sz w:val="18"/>
                <w:szCs w:val="18"/>
              </w:rPr>
              <w:t>6 887 876</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79,75</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87,17</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88,45</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8 724 483</w:t>
            </w:r>
          </w:p>
        </w:tc>
      </w:tr>
      <w:tr w:rsidR="00D714AA" w:rsidRPr="00D714AA" w:rsidTr="009046D6">
        <w:trPr>
          <w:trHeight w:val="262"/>
        </w:trPr>
        <w:tc>
          <w:tcPr>
            <w:tcW w:w="1791" w:type="dxa"/>
            <w:shd w:val="clear" w:color="auto" w:fill="FFFFFF" w:themeFill="background1"/>
            <w:noWrap/>
            <w:vAlign w:val="center"/>
            <w:hideMark/>
          </w:tcPr>
          <w:p w:rsidR="00D714AA" w:rsidRPr="00D714AA" w:rsidRDefault="00D714AA" w:rsidP="00D714AA">
            <w:pPr>
              <w:rPr>
                <w:color w:val="000000"/>
                <w:sz w:val="18"/>
                <w:szCs w:val="18"/>
              </w:rPr>
            </w:pPr>
            <w:r w:rsidRPr="00D714AA">
              <w:rPr>
                <w:color w:val="000000"/>
                <w:sz w:val="18"/>
                <w:szCs w:val="18"/>
              </w:rPr>
              <w:t xml:space="preserve"> Orlová</w:t>
            </w:r>
          </w:p>
        </w:tc>
        <w:tc>
          <w:tcPr>
            <w:tcW w:w="1194" w:type="dxa"/>
            <w:shd w:val="clear" w:color="auto" w:fill="auto"/>
            <w:noWrap/>
            <w:vAlign w:val="center"/>
            <w:hideMark/>
          </w:tcPr>
          <w:p w:rsidR="00D714AA" w:rsidRPr="00D714AA" w:rsidRDefault="00D714AA" w:rsidP="00D714AA">
            <w:pPr>
              <w:jc w:val="right"/>
              <w:rPr>
                <w:color w:val="000000"/>
                <w:sz w:val="18"/>
                <w:szCs w:val="18"/>
              </w:rPr>
            </w:pPr>
            <w:r w:rsidRPr="00D714AA">
              <w:rPr>
                <w:color w:val="000000"/>
                <w:sz w:val="18"/>
                <w:szCs w:val="18"/>
              </w:rPr>
              <w:t>3 197 484</w:t>
            </w:r>
          </w:p>
        </w:tc>
        <w:tc>
          <w:tcPr>
            <w:tcW w:w="1194" w:type="dxa"/>
            <w:shd w:val="clear" w:color="auto" w:fill="auto"/>
            <w:noWrap/>
            <w:vAlign w:val="center"/>
            <w:hideMark/>
          </w:tcPr>
          <w:p w:rsidR="00D714AA" w:rsidRPr="00D714AA" w:rsidRDefault="00D714AA" w:rsidP="00D714AA">
            <w:pPr>
              <w:jc w:val="right"/>
              <w:rPr>
                <w:color w:val="000000"/>
                <w:sz w:val="18"/>
                <w:szCs w:val="18"/>
              </w:rPr>
            </w:pPr>
            <w:r w:rsidRPr="00D714AA">
              <w:rPr>
                <w:color w:val="000000"/>
                <w:sz w:val="18"/>
                <w:szCs w:val="18"/>
              </w:rPr>
              <w:t>3 443 684</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61,08</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71,42</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74,01</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3 944 316</w:t>
            </w:r>
          </w:p>
        </w:tc>
      </w:tr>
      <w:tr w:rsidR="00D714AA" w:rsidRPr="00D714AA" w:rsidTr="009046D6">
        <w:trPr>
          <w:trHeight w:val="262"/>
        </w:trPr>
        <w:tc>
          <w:tcPr>
            <w:tcW w:w="1791" w:type="dxa"/>
            <w:shd w:val="clear" w:color="auto" w:fill="FFFFFF" w:themeFill="background1"/>
            <w:noWrap/>
            <w:vAlign w:val="center"/>
            <w:hideMark/>
          </w:tcPr>
          <w:p w:rsidR="00D714AA" w:rsidRPr="00D714AA" w:rsidRDefault="00D714AA" w:rsidP="00D714AA">
            <w:pPr>
              <w:rPr>
                <w:color w:val="000000"/>
                <w:sz w:val="18"/>
                <w:szCs w:val="18"/>
              </w:rPr>
            </w:pPr>
            <w:r w:rsidRPr="00D714AA">
              <w:rPr>
                <w:color w:val="000000"/>
                <w:sz w:val="18"/>
                <w:szCs w:val="18"/>
              </w:rPr>
              <w:t xml:space="preserve"> Ostrava</w:t>
            </w:r>
          </w:p>
        </w:tc>
        <w:tc>
          <w:tcPr>
            <w:tcW w:w="1194" w:type="dxa"/>
            <w:shd w:val="clear" w:color="auto" w:fill="auto"/>
            <w:noWrap/>
            <w:vAlign w:val="center"/>
            <w:hideMark/>
          </w:tcPr>
          <w:p w:rsidR="00D714AA" w:rsidRPr="00D714AA" w:rsidRDefault="00D714AA" w:rsidP="00D714AA">
            <w:pPr>
              <w:jc w:val="right"/>
              <w:rPr>
                <w:color w:val="000000"/>
                <w:sz w:val="18"/>
                <w:szCs w:val="18"/>
              </w:rPr>
            </w:pPr>
            <w:r w:rsidRPr="00D714AA">
              <w:rPr>
                <w:color w:val="000000"/>
                <w:sz w:val="18"/>
                <w:szCs w:val="18"/>
              </w:rPr>
              <w:t>5 290 560</w:t>
            </w:r>
          </w:p>
        </w:tc>
        <w:tc>
          <w:tcPr>
            <w:tcW w:w="1194" w:type="dxa"/>
            <w:shd w:val="clear" w:color="auto" w:fill="auto"/>
            <w:noWrap/>
            <w:vAlign w:val="center"/>
            <w:hideMark/>
          </w:tcPr>
          <w:p w:rsidR="00D714AA" w:rsidRPr="00D714AA" w:rsidRDefault="00D714AA" w:rsidP="00D714AA">
            <w:pPr>
              <w:jc w:val="right"/>
              <w:rPr>
                <w:color w:val="000000"/>
                <w:sz w:val="18"/>
                <w:szCs w:val="18"/>
              </w:rPr>
            </w:pPr>
            <w:r w:rsidRPr="00D714AA">
              <w:rPr>
                <w:color w:val="000000"/>
                <w:sz w:val="18"/>
                <w:szCs w:val="18"/>
              </w:rPr>
              <w:t>5 959 039</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60,71</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82,36</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88,15</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7 902 202</w:t>
            </w:r>
          </w:p>
        </w:tc>
      </w:tr>
      <w:tr w:rsidR="00D714AA" w:rsidRPr="00D714AA" w:rsidTr="009046D6">
        <w:trPr>
          <w:trHeight w:val="262"/>
        </w:trPr>
        <w:tc>
          <w:tcPr>
            <w:tcW w:w="1791" w:type="dxa"/>
            <w:shd w:val="clear" w:color="auto" w:fill="FFFFFF" w:themeFill="background1"/>
            <w:noWrap/>
            <w:vAlign w:val="center"/>
            <w:hideMark/>
          </w:tcPr>
          <w:p w:rsidR="00D714AA" w:rsidRPr="00D714AA" w:rsidRDefault="00D714AA" w:rsidP="00D714AA">
            <w:pPr>
              <w:rPr>
                <w:color w:val="000000"/>
                <w:sz w:val="18"/>
                <w:szCs w:val="18"/>
              </w:rPr>
            </w:pPr>
            <w:r w:rsidRPr="00D714AA">
              <w:rPr>
                <w:color w:val="000000"/>
                <w:sz w:val="18"/>
                <w:szCs w:val="18"/>
              </w:rPr>
              <w:t xml:space="preserve"> Pardubice</w:t>
            </w:r>
          </w:p>
        </w:tc>
        <w:tc>
          <w:tcPr>
            <w:tcW w:w="1194" w:type="dxa"/>
            <w:shd w:val="clear" w:color="auto" w:fill="auto"/>
            <w:noWrap/>
            <w:vAlign w:val="center"/>
            <w:hideMark/>
          </w:tcPr>
          <w:p w:rsidR="00D714AA" w:rsidRPr="00D714AA" w:rsidRDefault="00D714AA" w:rsidP="00D714AA">
            <w:pPr>
              <w:jc w:val="right"/>
              <w:rPr>
                <w:color w:val="000000"/>
                <w:sz w:val="18"/>
                <w:szCs w:val="18"/>
              </w:rPr>
            </w:pPr>
            <w:r w:rsidRPr="00D714AA">
              <w:rPr>
                <w:color w:val="000000"/>
                <w:sz w:val="18"/>
                <w:szCs w:val="18"/>
              </w:rPr>
              <w:t>6 792 570</w:t>
            </w:r>
          </w:p>
        </w:tc>
        <w:tc>
          <w:tcPr>
            <w:tcW w:w="1194" w:type="dxa"/>
            <w:shd w:val="clear" w:color="auto" w:fill="auto"/>
            <w:noWrap/>
            <w:vAlign w:val="center"/>
            <w:hideMark/>
          </w:tcPr>
          <w:p w:rsidR="00D714AA" w:rsidRPr="00D714AA" w:rsidRDefault="00D714AA" w:rsidP="00D714AA">
            <w:pPr>
              <w:jc w:val="right"/>
              <w:rPr>
                <w:color w:val="000000"/>
                <w:sz w:val="18"/>
                <w:szCs w:val="18"/>
              </w:rPr>
            </w:pPr>
            <w:r w:rsidRPr="00D714AA">
              <w:rPr>
                <w:color w:val="000000"/>
                <w:sz w:val="18"/>
                <w:szCs w:val="18"/>
              </w:rPr>
              <w:t>6 886 633</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61,22</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70,26</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76,90</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8 403 169</w:t>
            </w:r>
          </w:p>
        </w:tc>
      </w:tr>
      <w:tr w:rsidR="00D714AA" w:rsidRPr="00D714AA" w:rsidTr="009046D6">
        <w:trPr>
          <w:trHeight w:val="262"/>
        </w:trPr>
        <w:tc>
          <w:tcPr>
            <w:tcW w:w="1791" w:type="dxa"/>
            <w:shd w:val="clear" w:color="auto" w:fill="FFFFFF" w:themeFill="background1"/>
            <w:noWrap/>
            <w:vAlign w:val="center"/>
            <w:hideMark/>
          </w:tcPr>
          <w:p w:rsidR="00D714AA" w:rsidRPr="00D714AA" w:rsidRDefault="00D714AA" w:rsidP="00D714AA">
            <w:pPr>
              <w:rPr>
                <w:color w:val="000000"/>
                <w:sz w:val="18"/>
                <w:szCs w:val="18"/>
              </w:rPr>
            </w:pPr>
            <w:r w:rsidRPr="00D714AA">
              <w:rPr>
                <w:color w:val="000000"/>
                <w:sz w:val="18"/>
                <w:szCs w:val="18"/>
              </w:rPr>
              <w:t xml:space="preserve"> Písek</w:t>
            </w:r>
          </w:p>
        </w:tc>
        <w:tc>
          <w:tcPr>
            <w:tcW w:w="1194" w:type="dxa"/>
            <w:shd w:val="clear" w:color="auto" w:fill="auto"/>
            <w:noWrap/>
            <w:vAlign w:val="center"/>
            <w:hideMark/>
          </w:tcPr>
          <w:p w:rsidR="00D714AA" w:rsidRPr="00D714AA" w:rsidRDefault="00D714AA" w:rsidP="00D714AA">
            <w:pPr>
              <w:jc w:val="right"/>
              <w:rPr>
                <w:color w:val="000000"/>
                <w:sz w:val="18"/>
                <w:szCs w:val="18"/>
              </w:rPr>
            </w:pPr>
            <w:r w:rsidRPr="00D714AA">
              <w:rPr>
                <w:color w:val="000000"/>
                <w:sz w:val="18"/>
                <w:szCs w:val="18"/>
              </w:rPr>
              <w:t>3 381 371</w:t>
            </w:r>
          </w:p>
        </w:tc>
        <w:tc>
          <w:tcPr>
            <w:tcW w:w="1194" w:type="dxa"/>
            <w:shd w:val="clear" w:color="auto" w:fill="auto"/>
            <w:noWrap/>
            <w:vAlign w:val="center"/>
            <w:hideMark/>
          </w:tcPr>
          <w:p w:rsidR="00D714AA" w:rsidRPr="00D714AA" w:rsidRDefault="00D714AA" w:rsidP="00D714AA">
            <w:pPr>
              <w:jc w:val="right"/>
              <w:rPr>
                <w:color w:val="000000"/>
                <w:sz w:val="18"/>
                <w:szCs w:val="18"/>
              </w:rPr>
            </w:pPr>
            <w:r w:rsidRPr="00D714AA">
              <w:rPr>
                <w:color w:val="000000"/>
                <w:sz w:val="18"/>
                <w:szCs w:val="18"/>
              </w:rPr>
              <w:t>3 659 687</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45,42</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63,44</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95,48</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5 096 635</w:t>
            </w:r>
          </w:p>
        </w:tc>
      </w:tr>
      <w:tr w:rsidR="00D714AA" w:rsidRPr="00D714AA" w:rsidTr="009046D6">
        <w:trPr>
          <w:trHeight w:val="262"/>
        </w:trPr>
        <w:tc>
          <w:tcPr>
            <w:tcW w:w="1791" w:type="dxa"/>
            <w:shd w:val="clear" w:color="auto" w:fill="FFFFFF" w:themeFill="background1"/>
            <w:noWrap/>
            <w:vAlign w:val="center"/>
            <w:hideMark/>
          </w:tcPr>
          <w:p w:rsidR="00D714AA" w:rsidRPr="00D714AA" w:rsidRDefault="00D714AA" w:rsidP="00D714AA">
            <w:pPr>
              <w:rPr>
                <w:color w:val="000000"/>
                <w:sz w:val="18"/>
                <w:szCs w:val="18"/>
              </w:rPr>
            </w:pPr>
            <w:r w:rsidRPr="00D714AA">
              <w:rPr>
                <w:color w:val="000000"/>
                <w:sz w:val="18"/>
                <w:szCs w:val="18"/>
              </w:rPr>
              <w:t xml:space="preserve"> Přerov</w:t>
            </w:r>
          </w:p>
        </w:tc>
        <w:tc>
          <w:tcPr>
            <w:tcW w:w="1194" w:type="dxa"/>
            <w:shd w:val="clear" w:color="auto" w:fill="auto"/>
            <w:noWrap/>
            <w:vAlign w:val="center"/>
            <w:hideMark/>
          </w:tcPr>
          <w:p w:rsidR="00D714AA" w:rsidRPr="00D714AA" w:rsidRDefault="00D714AA" w:rsidP="00D714AA">
            <w:pPr>
              <w:jc w:val="right"/>
              <w:rPr>
                <w:color w:val="000000"/>
                <w:sz w:val="18"/>
                <w:szCs w:val="18"/>
              </w:rPr>
            </w:pPr>
            <w:r w:rsidRPr="00D714AA">
              <w:rPr>
                <w:color w:val="000000"/>
                <w:sz w:val="18"/>
                <w:szCs w:val="18"/>
              </w:rPr>
              <w:t>3 315 901</w:t>
            </w:r>
          </w:p>
        </w:tc>
        <w:tc>
          <w:tcPr>
            <w:tcW w:w="1194" w:type="dxa"/>
            <w:shd w:val="clear" w:color="auto" w:fill="auto"/>
            <w:noWrap/>
            <w:vAlign w:val="center"/>
            <w:hideMark/>
          </w:tcPr>
          <w:p w:rsidR="00D714AA" w:rsidRPr="00D714AA" w:rsidRDefault="00D714AA" w:rsidP="00D714AA">
            <w:pPr>
              <w:jc w:val="right"/>
              <w:rPr>
                <w:color w:val="000000"/>
                <w:sz w:val="18"/>
                <w:szCs w:val="18"/>
              </w:rPr>
            </w:pPr>
            <w:r w:rsidRPr="00D714AA">
              <w:rPr>
                <w:color w:val="000000"/>
                <w:sz w:val="18"/>
                <w:szCs w:val="18"/>
              </w:rPr>
              <w:t>3 609 173</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59,91</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68,94</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74,37</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4 988 706</w:t>
            </w:r>
          </w:p>
        </w:tc>
      </w:tr>
      <w:tr w:rsidR="00D714AA" w:rsidRPr="00D714AA" w:rsidTr="009046D6">
        <w:trPr>
          <w:trHeight w:val="262"/>
        </w:trPr>
        <w:tc>
          <w:tcPr>
            <w:tcW w:w="1791" w:type="dxa"/>
            <w:shd w:val="clear" w:color="auto" w:fill="FFFFFF" w:themeFill="background1"/>
            <w:noWrap/>
            <w:vAlign w:val="center"/>
            <w:hideMark/>
          </w:tcPr>
          <w:p w:rsidR="00D714AA" w:rsidRPr="00D714AA" w:rsidRDefault="00D714AA" w:rsidP="00D714AA">
            <w:pPr>
              <w:rPr>
                <w:color w:val="000000"/>
                <w:sz w:val="18"/>
                <w:szCs w:val="18"/>
              </w:rPr>
            </w:pPr>
            <w:r w:rsidRPr="00D714AA">
              <w:rPr>
                <w:color w:val="000000"/>
                <w:sz w:val="18"/>
                <w:szCs w:val="18"/>
              </w:rPr>
              <w:t xml:space="preserve"> Příbram</w:t>
            </w:r>
          </w:p>
        </w:tc>
        <w:tc>
          <w:tcPr>
            <w:tcW w:w="1194" w:type="dxa"/>
            <w:shd w:val="clear" w:color="auto" w:fill="auto"/>
            <w:noWrap/>
            <w:vAlign w:val="center"/>
            <w:hideMark/>
          </w:tcPr>
          <w:p w:rsidR="00D714AA" w:rsidRPr="00D714AA" w:rsidRDefault="00D714AA" w:rsidP="00D714AA">
            <w:pPr>
              <w:jc w:val="right"/>
              <w:rPr>
                <w:color w:val="000000"/>
                <w:sz w:val="18"/>
                <w:szCs w:val="18"/>
              </w:rPr>
            </w:pPr>
            <w:r w:rsidRPr="00D714AA">
              <w:rPr>
                <w:color w:val="000000"/>
                <w:sz w:val="18"/>
                <w:szCs w:val="18"/>
              </w:rPr>
              <w:t>6 385 946</w:t>
            </w:r>
          </w:p>
        </w:tc>
        <w:tc>
          <w:tcPr>
            <w:tcW w:w="1194" w:type="dxa"/>
            <w:shd w:val="clear" w:color="auto" w:fill="auto"/>
            <w:noWrap/>
            <w:vAlign w:val="center"/>
            <w:hideMark/>
          </w:tcPr>
          <w:p w:rsidR="00D714AA" w:rsidRPr="00D714AA" w:rsidRDefault="00D714AA" w:rsidP="00D714AA">
            <w:pPr>
              <w:jc w:val="right"/>
              <w:rPr>
                <w:color w:val="000000"/>
                <w:sz w:val="18"/>
                <w:szCs w:val="18"/>
              </w:rPr>
            </w:pPr>
            <w:r w:rsidRPr="00D714AA">
              <w:rPr>
                <w:color w:val="000000"/>
                <w:sz w:val="18"/>
                <w:szCs w:val="18"/>
              </w:rPr>
              <w:t>7 330 964</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75,10</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69,82</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81,80</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7 245 128</w:t>
            </w:r>
          </w:p>
        </w:tc>
      </w:tr>
      <w:tr w:rsidR="00D714AA" w:rsidRPr="00D714AA" w:rsidTr="009046D6">
        <w:trPr>
          <w:trHeight w:val="262"/>
        </w:trPr>
        <w:tc>
          <w:tcPr>
            <w:tcW w:w="1791" w:type="dxa"/>
            <w:shd w:val="clear" w:color="auto" w:fill="FFFFFF" w:themeFill="background1"/>
            <w:noWrap/>
            <w:vAlign w:val="center"/>
            <w:hideMark/>
          </w:tcPr>
          <w:p w:rsidR="00D714AA" w:rsidRPr="00D714AA" w:rsidRDefault="00D714AA" w:rsidP="00D714AA">
            <w:pPr>
              <w:rPr>
                <w:color w:val="000000"/>
                <w:sz w:val="18"/>
                <w:szCs w:val="18"/>
              </w:rPr>
            </w:pPr>
            <w:r w:rsidRPr="00D714AA">
              <w:rPr>
                <w:color w:val="000000"/>
                <w:sz w:val="18"/>
                <w:szCs w:val="18"/>
              </w:rPr>
              <w:t xml:space="preserve"> Strakonice</w:t>
            </w:r>
          </w:p>
        </w:tc>
        <w:tc>
          <w:tcPr>
            <w:tcW w:w="1194" w:type="dxa"/>
            <w:shd w:val="clear" w:color="auto" w:fill="auto"/>
            <w:noWrap/>
            <w:vAlign w:val="center"/>
            <w:hideMark/>
          </w:tcPr>
          <w:p w:rsidR="00D714AA" w:rsidRPr="00D714AA" w:rsidRDefault="00D714AA" w:rsidP="00D714AA">
            <w:pPr>
              <w:jc w:val="right"/>
              <w:rPr>
                <w:color w:val="000000"/>
                <w:sz w:val="18"/>
                <w:szCs w:val="18"/>
              </w:rPr>
            </w:pPr>
            <w:r w:rsidRPr="00D714AA">
              <w:rPr>
                <w:color w:val="000000"/>
                <w:sz w:val="18"/>
                <w:szCs w:val="18"/>
              </w:rPr>
              <w:t>5 331 992</w:t>
            </w:r>
          </w:p>
        </w:tc>
        <w:tc>
          <w:tcPr>
            <w:tcW w:w="1194" w:type="dxa"/>
            <w:shd w:val="clear" w:color="auto" w:fill="auto"/>
            <w:noWrap/>
            <w:vAlign w:val="center"/>
            <w:hideMark/>
          </w:tcPr>
          <w:p w:rsidR="00D714AA" w:rsidRPr="00D714AA" w:rsidRDefault="00D714AA" w:rsidP="00D714AA">
            <w:pPr>
              <w:jc w:val="right"/>
              <w:rPr>
                <w:color w:val="000000"/>
                <w:sz w:val="18"/>
                <w:szCs w:val="18"/>
              </w:rPr>
            </w:pPr>
            <w:r w:rsidRPr="00D714AA">
              <w:rPr>
                <w:color w:val="000000"/>
                <w:sz w:val="18"/>
                <w:szCs w:val="18"/>
              </w:rPr>
              <w:t>4 801 177</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78,56</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68,55</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75,49</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6 486 980</w:t>
            </w:r>
          </w:p>
        </w:tc>
      </w:tr>
      <w:tr w:rsidR="00D714AA" w:rsidRPr="00D714AA" w:rsidTr="009046D6">
        <w:trPr>
          <w:trHeight w:val="262"/>
        </w:trPr>
        <w:tc>
          <w:tcPr>
            <w:tcW w:w="1791" w:type="dxa"/>
            <w:shd w:val="clear" w:color="auto" w:fill="FFFFFF" w:themeFill="background1"/>
            <w:noWrap/>
            <w:vAlign w:val="center"/>
            <w:hideMark/>
          </w:tcPr>
          <w:p w:rsidR="00D714AA" w:rsidRPr="00D714AA" w:rsidRDefault="00D714AA" w:rsidP="00D714AA">
            <w:pPr>
              <w:rPr>
                <w:color w:val="000000"/>
                <w:sz w:val="18"/>
                <w:szCs w:val="18"/>
              </w:rPr>
            </w:pPr>
            <w:r w:rsidRPr="00D714AA">
              <w:rPr>
                <w:color w:val="000000"/>
                <w:sz w:val="18"/>
                <w:szCs w:val="18"/>
              </w:rPr>
              <w:t xml:space="preserve"> Tábor</w:t>
            </w:r>
          </w:p>
        </w:tc>
        <w:tc>
          <w:tcPr>
            <w:tcW w:w="1194" w:type="dxa"/>
            <w:shd w:val="clear" w:color="auto" w:fill="auto"/>
            <w:noWrap/>
            <w:vAlign w:val="center"/>
            <w:hideMark/>
          </w:tcPr>
          <w:p w:rsidR="00D714AA" w:rsidRPr="00D714AA" w:rsidRDefault="00D714AA" w:rsidP="00D714AA">
            <w:pPr>
              <w:jc w:val="right"/>
              <w:rPr>
                <w:color w:val="000000"/>
                <w:sz w:val="18"/>
                <w:szCs w:val="18"/>
              </w:rPr>
            </w:pPr>
            <w:r w:rsidRPr="00D714AA">
              <w:rPr>
                <w:color w:val="000000"/>
                <w:sz w:val="18"/>
                <w:szCs w:val="18"/>
              </w:rPr>
              <w:t>3 948 030</w:t>
            </w:r>
          </w:p>
        </w:tc>
        <w:tc>
          <w:tcPr>
            <w:tcW w:w="1194" w:type="dxa"/>
            <w:shd w:val="clear" w:color="auto" w:fill="auto"/>
            <w:noWrap/>
            <w:vAlign w:val="center"/>
            <w:hideMark/>
          </w:tcPr>
          <w:p w:rsidR="00D714AA" w:rsidRPr="00D714AA" w:rsidRDefault="00D714AA" w:rsidP="00D714AA">
            <w:pPr>
              <w:jc w:val="right"/>
              <w:rPr>
                <w:color w:val="000000"/>
                <w:sz w:val="18"/>
                <w:szCs w:val="18"/>
              </w:rPr>
            </w:pPr>
            <w:r w:rsidRPr="00D714AA">
              <w:rPr>
                <w:color w:val="000000"/>
                <w:sz w:val="18"/>
                <w:szCs w:val="18"/>
              </w:rPr>
              <w:t>6 678 385</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70,30</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90,96</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104,39</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7 896 680</w:t>
            </w:r>
          </w:p>
        </w:tc>
      </w:tr>
      <w:tr w:rsidR="00D714AA" w:rsidRPr="00D714AA" w:rsidTr="009046D6">
        <w:trPr>
          <w:trHeight w:val="262"/>
        </w:trPr>
        <w:tc>
          <w:tcPr>
            <w:tcW w:w="1791" w:type="dxa"/>
            <w:shd w:val="clear" w:color="auto" w:fill="FFFFFF" w:themeFill="background1"/>
            <w:noWrap/>
            <w:vAlign w:val="center"/>
            <w:hideMark/>
          </w:tcPr>
          <w:p w:rsidR="00D714AA" w:rsidRPr="00D714AA" w:rsidRDefault="00D714AA" w:rsidP="00D714AA">
            <w:pPr>
              <w:rPr>
                <w:color w:val="000000"/>
                <w:sz w:val="18"/>
                <w:szCs w:val="18"/>
              </w:rPr>
            </w:pPr>
            <w:r w:rsidRPr="00D714AA">
              <w:rPr>
                <w:color w:val="000000"/>
                <w:sz w:val="18"/>
                <w:szCs w:val="18"/>
              </w:rPr>
              <w:t xml:space="preserve"> Třebíč</w:t>
            </w:r>
          </w:p>
        </w:tc>
        <w:tc>
          <w:tcPr>
            <w:tcW w:w="1194" w:type="dxa"/>
            <w:shd w:val="clear" w:color="auto" w:fill="auto"/>
            <w:noWrap/>
            <w:vAlign w:val="center"/>
            <w:hideMark/>
          </w:tcPr>
          <w:p w:rsidR="00D714AA" w:rsidRPr="00D714AA" w:rsidRDefault="00D714AA" w:rsidP="00D714AA">
            <w:pPr>
              <w:jc w:val="right"/>
              <w:rPr>
                <w:color w:val="000000"/>
                <w:sz w:val="18"/>
                <w:szCs w:val="18"/>
              </w:rPr>
            </w:pPr>
            <w:r w:rsidRPr="00D714AA">
              <w:rPr>
                <w:color w:val="000000"/>
                <w:sz w:val="18"/>
                <w:szCs w:val="18"/>
              </w:rPr>
              <w:t>3 902 239</w:t>
            </w:r>
          </w:p>
        </w:tc>
        <w:tc>
          <w:tcPr>
            <w:tcW w:w="1194" w:type="dxa"/>
            <w:shd w:val="clear" w:color="auto" w:fill="auto"/>
            <w:noWrap/>
            <w:vAlign w:val="center"/>
            <w:hideMark/>
          </w:tcPr>
          <w:p w:rsidR="00D714AA" w:rsidRPr="00D714AA" w:rsidRDefault="00D714AA" w:rsidP="00D714AA">
            <w:pPr>
              <w:jc w:val="right"/>
              <w:rPr>
                <w:color w:val="000000"/>
                <w:sz w:val="18"/>
                <w:szCs w:val="18"/>
              </w:rPr>
            </w:pPr>
            <w:r w:rsidRPr="00D714AA">
              <w:rPr>
                <w:color w:val="000000"/>
                <w:sz w:val="18"/>
                <w:szCs w:val="18"/>
              </w:rPr>
              <w:t>4 333 678</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76,04</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86,50</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89,67</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6 340 663</w:t>
            </w:r>
          </w:p>
        </w:tc>
      </w:tr>
      <w:tr w:rsidR="00D714AA" w:rsidRPr="00D714AA" w:rsidTr="009046D6">
        <w:trPr>
          <w:trHeight w:val="262"/>
        </w:trPr>
        <w:tc>
          <w:tcPr>
            <w:tcW w:w="1791" w:type="dxa"/>
            <w:shd w:val="clear" w:color="auto" w:fill="FFFFFF" w:themeFill="background1"/>
            <w:noWrap/>
            <w:vAlign w:val="center"/>
            <w:hideMark/>
          </w:tcPr>
          <w:p w:rsidR="00D714AA" w:rsidRPr="00D714AA" w:rsidRDefault="00D714AA" w:rsidP="00D714AA">
            <w:pPr>
              <w:rPr>
                <w:color w:val="000000"/>
                <w:sz w:val="18"/>
                <w:szCs w:val="18"/>
              </w:rPr>
            </w:pPr>
            <w:r w:rsidRPr="00D714AA">
              <w:rPr>
                <w:color w:val="000000"/>
                <w:sz w:val="18"/>
                <w:szCs w:val="18"/>
              </w:rPr>
              <w:t xml:space="preserve"> Uherské Hradiště</w:t>
            </w:r>
          </w:p>
        </w:tc>
        <w:tc>
          <w:tcPr>
            <w:tcW w:w="1194" w:type="dxa"/>
            <w:shd w:val="clear" w:color="auto" w:fill="auto"/>
            <w:noWrap/>
            <w:vAlign w:val="center"/>
            <w:hideMark/>
          </w:tcPr>
          <w:p w:rsidR="00D714AA" w:rsidRPr="00D714AA" w:rsidRDefault="00D714AA" w:rsidP="00D714AA">
            <w:pPr>
              <w:jc w:val="right"/>
              <w:rPr>
                <w:color w:val="000000"/>
                <w:sz w:val="18"/>
                <w:szCs w:val="18"/>
              </w:rPr>
            </w:pPr>
            <w:r w:rsidRPr="00D714AA">
              <w:rPr>
                <w:color w:val="000000"/>
                <w:sz w:val="18"/>
                <w:szCs w:val="18"/>
              </w:rPr>
              <w:t>3 508 529</w:t>
            </w:r>
          </w:p>
        </w:tc>
        <w:tc>
          <w:tcPr>
            <w:tcW w:w="1194" w:type="dxa"/>
            <w:shd w:val="clear" w:color="auto" w:fill="auto"/>
            <w:noWrap/>
            <w:vAlign w:val="center"/>
            <w:hideMark/>
          </w:tcPr>
          <w:p w:rsidR="00D714AA" w:rsidRPr="00D714AA" w:rsidRDefault="00D714AA" w:rsidP="00D714AA">
            <w:pPr>
              <w:jc w:val="right"/>
              <w:rPr>
                <w:color w:val="000000"/>
                <w:sz w:val="18"/>
                <w:szCs w:val="18"/>
              </w:rPr>
            </w:pPr>
            <w:r w:rsidRPr="00D714AA">
              <w:rPr>
                <w:color w:val="000000"/>
                <w:sz w:val="18"/>
                <w:szCs w:val="18"/>
              </w:rPr>
              <w:t>3 787 588</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68,94</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89,42</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90,73</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5 699 711</w:t>
            </w:r>
          </w:p>
        </w:tc>
      </w:tr>
      <w:tr w:rsidR="00D714AA" w:rsidRPr="00D714AA" w:rsidTr="009046D6">
        <w:trPr>
          <w:trHeight w:val="262"/>
        </w:trPr>
        <w:tc>
          <w:tcPr>
            <w:tcW w:w="1791" w:type="dxa"/>
            <w:shd w:val="clear" w:color="auto" w:fill="FFFFFF" w:themeFill="background1"/>
            <w:noWrap/>
            <w:vAlign w:val="center"/>
            <w:hideMark/>
          </w:tcPr>
          <w:p w:rsidR="00D714AA" w:rsidRPr="00D714AA" w:rsidRDefault="00D714AA" w:rsidP="00D714AA">
            <w:pPr>
              <w:rPr>
                <w:color w:val="000000"/>
                <w:sz w:val="18"/>
                <w:szCs w:val="18"/>
              </w:rPr>
            </w:pPr>
            <w:r w:rsidRPr="00D714AA">
              <w:rPr>
                <w:color w:val="000000"/>
                <w:sz w:val="18"/>
                <w:szCs w:val="18"/>
              </w:rPr>
              <w:t xml:space="preserve"> Ústí nad Labem</w:t>
            </w:r>
          </w:p>
        </w:tc>
        <w:tc>
          <w:tcPr>
            <w:tcW w:w="1194" w:type="dxa"/>
            <w:shd w:val="clear" w:color="auto" w:fill="auto"/>
            <w:noWrap/>
            <w:vAlign w:val="center"/>
            <w:hideMark/>
          </w:tcPr>
          <w:p w:rsidR="00D714AA" w:rsidRPr="00D714AA" w:rsidRDefault="00D714AA" w:rsidP="00D714AA">
            <w:pPr>
              <w:jc w:val="right"/>
              <w:rPr>
                <w:color w:val="000000"/>
                <w:sz w:val="18"/>
                <w:szCs w:val="18"/>
              </w:rPr>
            </w:pPr>
            <w:r w:rsidRPr="00D714AA">
              <w:rPr>
                <w:color w:val="000000"/>
                <w:sz w:val="18"/>
                <w:szCs w:val="18"/>
              </w:rPr>
              <w:t>2 761 112</w:t>
            </w:r>
          </w:p>
        </w:tc>
        <w:tc>
          <w:tcPr>
            <w:tcW w:w="1194" w:type="dxa"/>
            <w:shd w:val="clear" w:color="auto" w:fill="auto"/>
            <w:noWrap/>
            <w:vAlign w:val="center"/>
            <w:hideMark/>
          </w:tcPr>
          <w:p w:rsidR="00D714AA" w:rsidRPr="00D714AA" w:rsidRDefault="00D714AA" w:rsidP="00D714AA">
            <w:pPr>
              <w:jc w:val="right"/>
              <w:rPr>
                <w:color w:val="000000"/>
                <w:sz w:val="18"/>
                <w:szCs w:val="18"/>
              </w:rPr>
            </w:pPr>
            <w:r w:rsidRPr="00D714AA">
              <w:rPr>
                <w:color w:val="000000"/>
                <w:sz w:val="18"/>
                <w:szCs w:val="18"/>
              </w:rPr>
              <w:t>2 801 765</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41,96</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99,38</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100,85</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3 609 430</w:t>
            </w:r>
          </w:p>
        </w:tc>
      </w:tr>
      <w:tr w:rsidR="00D714AA" w:rsidRPr="00D714AA" w:rsidTr="009046D6">
        <w:trPr>
          <w:trHeight w:val="262"/>
        </w:trPr>
        <w:tc>
          <w:tcPr>
            <w:tcW w:w="1791" w:type="dxa"/>
            <w:shd w:val="clear" w:color="auto" w:fill="FFFFFF" w:themeFill="background1"/>
            <w:noWrap/>
            <w:vAlign w:val="center"/>
            <w:hideMark/>
          </w:tcPr>
          <w:p w:rsidR="00D714AA" w:rsidRPr="00D714AA" w:rsidRDefault="00D714AA" w:rsidP="00D714AA">
            <w:pPr>
              <w:rPr>
                <w:color w:val="000000"/>
                <w:sz w:val="18"/>
                <w:szCs w:val="18"/>
              </w:rPr>
            </w:pPr>
            <w:r w:rsidRPr="00D714AA">
              <w:rPr>
                <w:color w:val="000000"/>
                <w:sz w:val="18"/>
                <w:szCs w:val="18"/>
              </w:rPr>
              <w:t xml:space="preserve"> Vsetín</w:t>
            </w:r>
          </w:p>
        </w:tc>
        <w:tc>
          <w:tcPr>
            <w:tcW w:w="1194" w:type="dxa"/>
            <w:shd w:val="clear" w:color="auto" w:fill="auto"/>
            <w:noWrap/>
            <w:vAlign w:val="center"/>
            <w:hideMark/>
          </w:tcPr>
          <w:p w:rsidR="00D714AA" w:rsidRPr="00D714AA" w:rsidRDefault="00D714AA" w:rsidP="00D714AA">
            <w:pPr>
              <w:jc w:val="right"/>
              <w:rPr>
                <w:color w:val="000000"/>
                <w:sz w:val="18"/>
                <w:szCs w:val="18"/>
              </w:rPr>
            </w:pPr>
            <w:r w:rsidRPr="00D714AA">
              <w:rPr>
                <w:color w:val="000000"/>
                <w:sz w:val="18"/>
                <w:szCs w:val="18"/>
              </w:rPr>
              <w:t>4 938 967</w:t>
            </w:r>
          </w:p>
        </w:tc>
        <w:tc>
          <w:tcPr>
            <w:tcW w:w="1194" w:type="dxa"/>
            <w:shd w:val="clear" w:color="auto" w:fill="auto"/>
            <w:noWrap/>
            <w:vAlign w:val="center"/>
            <w:hideMark/>
          </w:tcPr>
          <w:p w:rsidR="00D714AA" w:rsidRPr="00D714AA" w:rsidRDefault="00D714AA" w:rsidP="00D714AA">
            <w:pPr>
              <w:jc w:val="right"/>
              <w:rPr>
                <w:color w:val="000000"/>
                <w:sz w:val="18"/>
                <w:szCs w:val="18"/>
              </w:rPr>
            </w:pPr>
            <w:r w:rsidRPr="00D714AA">
              <w:rPr>
                <w:color w:val="000000"/>
                <w:sz w:val="18"/>
                <w:szCs w:val="18"/>
              </w:rPr>
              <w:t>5 666 394</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69,55</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78,23</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79,38</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7 088 462</w:t>
            </w:r>
          </w:p>
        </w:tc>
      </w:tr>
      <w:tr w:rsidR="00D714AA" w:rsidRPr="00D714AA" w:rsidTr="009046D6">
        <w:trPr>
          <w:trHeight w:val="262"/>
        </w:trPr>
        <w:tc>
          <w:tcPr>
            <w:tcW w:w="1791" w:type="dxa"/>
            <w:shd w:val="clear" w:color="auto" w:fill="FFFFFF" w:themeFill="background1"/>
            <w:noWrap/>
            <w:vAlign w:val="center"/>
            <w:hideMark/>
          </w:tcPr>
          <w:p w:rsidR="00D714AA" w:rsidRPr="00D714AA" w:rsidRDefault="00D714AA" w:rsidP="00D714AA">
            <w:pPr>
              <w:rPr>
                <w:color w:val="000000"/>
                <w:sz w:val="18"/>
                <w:szCs w:val="18"/>
              </w:rPr>
            </w:pPr>
            <w:r w:rsidRPr="00D714AA">
              <w:rPr>
                <w:color w:val="000000"/>
                <w:sz w:val="18"/>
                <w:szCs w:val="18"/>
              </w:rPr>
              <w:t xml:space="preserve"> Znojmo</w:t>
            </w:r>
          </w:p>
        </w:tc>
        <w:tc>
          <w:tcPr>
            <w:tcW w:w="1194" w:type="dxa"/>
            <w:shd w:val="clear" w:color="auto" w:fill="auto"/>
            <w:noWrap/>
            <w:vAlign w:val="center"/>
            <w:hideMark/>
          </w:tcPr>
          <w:p w:rsidR="00D714AA" w:rsidRPr="00D714AA" w:rsidRDefault="00D714AA" w:rsidP="00D714AA">
            <w:pPr>
              <w:jc w:val="right"/>
              <w:rPr>
                <w:color w:val="000000"/>
                <w:sz w:val="18"/>
                <w:szCs w:val="18"/>
              </w:rPr>
            </w:pPr>
            <w:r w:rsidRPr="00D714AA">
              <w:rPr>
                <w:color w:val="000000"/>
                <w:sz w:val="18"/>
                <w:szCs w:val="18"/>
              </w:rPr>
              <w:t>3 065 410</w:t>
            </w:r>
          </w:p>
        </w:tc>
        <w:tc>
          <w:tcPr>
            <w:tcW w:w="1194" w:type="dxa"/>
            <w:shd w:val="clear" w:color="auto" w:fill="auto"/>
            <w:noWrap/>
            <w:vAlign w:val="center"/>
            <w:hideMark/>
          </w:tcPr>
          <w:p w:rsidR="00D714AA" w:rsidRPr="00D714AA" w:rsidRDefault="00D714AA" w:rsidP="00D714AA">
            <w:pPr>
              <w:jc w:val="right"/>
              <w:rPr>
                <w:color w:val="000000"/>
                <w:sz w:val="18"/>
                <w:szCs w:val="18"/>
              </w:rPr>
            </w:pPr>
            <w:r w:rsidRPr="00D714AA">
              <w:rPr>
                <w:color w:val="000000"/>
                <w:sz w:val="18"/>
                <w:szCs w:val="18"/>
              </w:rPr>
              <w:t>2 512 908</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43,47</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56,92</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57,75</w:t>
            </w:r>
          </w:p>
        </w:tc>
        <w:tc>
          <w:tcPr>
            <w:tcW w:w="1194" w:type="dxa"/>
            <w:shd w:val="clear" w:color="auto" w:fill="auto"/>
            <w:vAlign w:val="center"/>
            <w:hideMark/>
          </w:tcPr>
          <w:p w:rsidR="00D714AA" w:rsidRPr="00D714AA" w:rsidRDefault="00D714AA" w:rsidP="00D714AA">
            <w:pPr>
              <w:jc w:val="right"/>
              <w:rPr>
                <w:color w:val="000000"/>
                <w:sz w:val="18"/>
                <w:szCs w:val="18"/>
              </w:rPr>
            </w:pPr>
            <w:r w:rsidRPr="00D714AA">
              <w:rPr>
                <w:color w:val="000000"/>
                <w:sz w:val="18"/>
                <w:szCs w:val="18"/>
              </w:rPr>
              <w:t>2 885 240</w:t>
            </w:r>
          </w:p>
        </w:tc>
      </w:tr>
      <w:tr w:rsidR="00D714AA" w:rsidRPr="00D714AA" w:rsidTr="009046D6">
        <w:trPr>
          <w:trHeight w:val="262"/>
        </w:trPr>
        <w:tc>
          <w:tcPr>
            <w:tcW w:w="1791" w:type="dxa"/>
            <w:shd w:val="clear" w:color="auto" w:fill="B8CCE4" w:themeFill="accent1" w:themeFillTint="66"/>
            <w:noWrap/>
            <w:vAlign w:val="center"/>
            <w:hideMark/>
          </w:tcPr>
          <w:p w:rsidR="00D714AA" w:rsidRPr="00D714AA" w:rsidRDefault="00D714AA" w:rsidP="00D714AA">
            <w:pPr>
              <w:rPr>
                <w:b/>
                <w:bCs/>
                <w:color w:val="000000"/>
                <w:sz w:val="18"/>
                <w:szCs w:val="18"/>
              </w:rPr>
            </w:pPr>
            <w:r w:rsidRPr="00D714AA">
              <w:rPr>
                <w:b/>
                <w:bCs/>
                <w:color w:val="000000"/>
                <w:sz w:val="18"/>
                <w:szCs w:val="18"/>
              </w:rPr>
              <w:t>Celkem</w:t>
            </w:r>
          </w:p>
        </w:tc>
        <w:tc>
          <w:tcPr>
            <w:tcW w:w="1194" w:type="dxa"/>
            <w:shd w:val="clear" w:color="auto" w:fill="B8CCE4" w:themeFill="accent1" w:themeFillTint="66"/>
            <w:noWrap/>
            <w:vAlign w:val="center"/>
            <w:hideMark/>
          </w:tcPr>
          <w:p w:rsidR="00D714AA" w:rsidRPr="00D714AA" w:rsidRDefault="00D714AA" w:rsidP="00D714AA">
            <w:pPr>
              <w:jc w:val="right"/>
              <w:rPr>
                <w:b/>
                <w:bCs/>
                <w:color w:val="000000"/>
                <w:sz w:val="18"/>
                <w:szCs w:val="18"/>
              </w:rPr>
            </w:pPr>
            <w:r w:rsidRPr="00D714AA">
              <w:rPr>
                <w:b/>
                <w:bCs/>
                <w:color w:val="000000"/>
                <w:sz w:val="18"/>
                <w:szCs w:val="18"/>
              </w:rPr>
              <w:t>190 842 813</w:t>
            </w:r>
          </w:p>
        </w:tc>
        <w:tc>
          <w:tcPr>
            <w:tcW w:w="1194" w:type="dxa"/>
            <w:shd w:val="clear" w:color="auto" w:fill="B8CCE4" w:themeFill="accent1" w:themeFillTint="66"/>
            <w:noWrap/>
            <w:vAlign w:val="center"/>
            <w:hideMark/>
          </w:tcPr>
          <w:p w:rsidR="00D714AA" w:rsidRPr="00D714AA" w:rsidRDefault="00D714AA" w:rsidP="00D714AA">
            <w:pPr>
              <w:jc w:val="right"/>
              <w:rPr>
                <w:b/>
                <w:bCs/>
                <w:color w:val="000000"/>
                <w:sz w:val="18"/>
                <w:szCs w:val="18"/>
              </w:rPr>
            </w:pPr>
            <w:r w:rsidRPr="00D714AA">
              <w:rPr>
                <w:b/>
                <w:bCs/>
                <w:color w:val="000000"/>
                <w:sz w:val="18"/>
                <w:szCs w:val="18"/>
              </w:rPr>
              <w:t>210 178 949</w:t>
            </w:r>
          </w:p>
        </w:tc>
        <w:tc>
          <w:tcPr>
            <w:tcW w:w="1194" w:type="dxa"/>
            <w:shd w:val="clear" w:color="auto" w:fill="B8CCE4" w:themeFill="accent1" w:themeFillTint="66"/>
            <w:vAlign w:val="center"/>
            <w:hideMark/>
          </w:tcPr>
          <w:p w:rsidR="00D714AA" w:rsidRPr="00D714AA" w:rsidRDefault="00D714AA" w:rsidP="00D714AA">
            <w:pPr>
              <w:jc w:val="right"/>
              <w:rPr>
                <w:b/>
                <w:bCs/>
                <w:color w:val="000000"/>
                <w:sz w:val="18"/>
                <w:szCs w:val="18"/>
              </w:rPr>
            </w:pPr>
            <w:r w:rsidRPr="00D714AA">
              <w:rPr>
                <w:b/>
                <w:bCs/>
                <w:color w:val="000000"/>
                <w:sz w:val="18"/>
                <w:szCs w:val="18"/>
              </w:rPr>
              <w:t>65,27</w:t>
            </w:r>
          </w:p>
        </w:tc>
        <w:tc>
          <w:tcPr>
            <w:tcW w:w="1194" w:type="dxa"/>
            <w:shd w:val="clear" w:color="auto" w:fill="B8CCE4" w:themeFill="accent1" w:themeFillTint="66"/>
            <w:vAlign w:val="center"/>
            <w:hideMark/>
          </w:tcPr>
          <w:p w:rsidR="00D714AA" w:rsidRPr="00D714AA" w:rsidRDefault="00D714AA" w:rsidP="00D714AA">
            <w:pPr>
              <w:jc w:val="right"/>
              <w:rPr>
                <w:b/>
                <w:bCs/>
                <w:color w:val="000000"/>
                <w:sz w:val="18"/>
                <w:szCs w:val="18"/>
              </w:rPr>
            </w:pPr>
            <w:r w:rsidRPr="00D714AA">
              <w:rPr>
                <w:b/>
                <w:bCs/>
                <w:color w:val="000000"/>
                <w:sz w:val="18"/>
                <w:szCs w:val="18"/>
              </w:rPr>
              <w:t>76,12</w:t>
            </w:r>
          </w:p>
        </w:tc>
        <w:tc>
          <w:tcPr>
            <w:tcW w:w="1194" w:type="dxa"/>
            <w:shd w:val="clear" w:color="auto" w:fill="B8CCE4" w:themeFill="accent1" w:themeFillTint="66"/>
            <w:vAlign w:val="center"/>
            <w:hideMark/>
          </w:tcPr>
          <w:p w:rsidR="00D714AA" w:rsidRPr="00D714AA" w:rsidRDefault="00D714AA" w:rsidP="00D714AA">
            <w:pPr>
              <w:jc w:val="right"/>
              <w:rPr>
                <w:b/>
                <w:bCs/>
                <w:color w:val="000000"/>
                <w:sz w:val="18"/>
                <w:szCs w:val="18"/>
              </w:rPr>
            </w:pPr>
            <w:r w:rsidRPr="00D714AA">
              <w:rPr>
                <w:b/>
                <w:bCs/>
                <w:color w:val="000000"/>
                <w:sz w:val="18"/>
                <w:szCs w:val="18"/>
              </w:rPr>
              <w:t>84,96</w:t>
            </w:r>
          </w:p>
        </w:tc>
        <w:tc>
          <w:tcPr>
            <w:tcW w:w="1194" w:type="dxa"/>
            <w:shd w:val="clear" w:color="auto" w:fill="B8CCE4" w:themeFill="accent1" w:themeFillTint="66"/>
            <w:vAlign w:val="center"/>
            <w:hideMark/>
          </w:tcPr>
          <w:p w:rsidR="00D714AA" w:rsidRPr="00D714AA" w:rsidRDefault="00D714AA" w:rsidP="00D714AA">
            <w:pPr>
              <w:jc w:val="right"/>
              <w:rPr>
                <w:b/>
                <w:bCs/>
                <w:color w:val="000000"/>
                <w:sz w:val="18"/>
                <w:szCs w:val="18"/>
              </w:rPr>
            </w:pPr>
            <w:r w:rsidRPr="00D714AA">
              <w:rPr>
                <w:b/>
                <w:bCs/>
                <w:color w:val="000000"/>
                <w:sz w:val="18"/>
                <w:szCs w:val="18"/>
              </w:rPr>
              <w:t>275 740 899</w:t>
            </w:r>
          </w:p>
        </w:tc>
      </w:tr>
    </w:tbl>
    <w:p w:rsidR="003F6BCC" w:rsidRPr="002B3E54" w:rsidRDefault="003F6BCC" w:rsidP="003F6BCC">
      <w:pPr>
        <w:rPr>
          <w:i/>
          <w:sz w:val="18"/>
          <w:szCs w:val="18"/>
        </w:rPr>
      </w:pPr>
      <w:r w:rsidRPr="002B3E54">
        <w:rPr>
          <w:i/>
          <w:sz w:val="18"/>
          <w:szCs w:val="18"/>
        </w:rPr>
        <w:t xml:space="preserve">Zdroj: ŘO IOP </w:t>
      </w:r>
      <w:r w:rsidR="00914BC7">
        <w:rPr>
          <w:i/>
          <w:sz w:val="18"/>
          <w:szCs w:val="18"/>
        </w:rPr>
        <w:t>k 30. 9. 2015</w:t>
      </w:r>
    </w:p>
    <w:p w:rsidR="001D0167" w:rsidRDefault="001D0167" w:rsidP="003F6BCC">
      <w:pPr>
        <w:rPr>
          <w:i/>
        </w:rPr>
      </w:pPr>
    </w:p>
    <w:p w:rsidR="003F6BCC" w:rsidRDefault="003F6BCC" w:rsidP="003F6BCC">
      <w:pPr>
        <w:rPr>
          <w:i/>
        </w:rPr>
      </w:pPr>
    </w:p>
    <w:p w:rsidR="003F6BCC" w:rsidRPr="001D0167" w:rsidRDefault="003F6BCC" w:rsidP="001D0167">
      <w:pPr>
        <w:pStyle w:val="Tabulkanzev"/>
        <w:keepNext/>
        <w:keepLines/>
        <w:rPr>
          <w:rStyle w:val="Siln"/>
        </w:rPr>
      </w:pPr>
      <w:bookmarkStart w:id="127" w:name="_Toc433873569"/>
      <w:r w:rsidRPr="001D0167">
        <w:rPr>
          <w:rStyle w:val="Siln"/>
          <w:bCs w:val="0"/>
        </w:rPr>
        <w:t>Informace o stavu čerpání alokace IPRM pro oblast intervence 5.2</w:t>
      </w:r>
      <w:bookmarkEnd w:id="127"/>
    </w:p>
    <w:tbl>
      <w:tblPr>
        <w:tblW w:w="0" w:type="auto"/>
        <w:jc w:val="center"/>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Look w:val="01E0" w:firstRow="1" w:lastRow="1" w:firstColumn="1" w:lastColumn="1" w:noHBand="0" w:noVBand="0"/>
      </w:tblPr>
      <w:tblGrid>
        <w:gridCol w:w="4225"/>
        <w:gridCol w:w="1644"/>
        <w:gridCol w:w="1590"/>
        <w:gridCol w:w="1504"/>
      </w:tblGrid>
      <w:tr w:rsidR="005E5C1C" w:rsidRPr="000A10DA" w:rsidTr="005E5C1C">
        <w:trPr>
          <w:trHeight w:val="367"/>
          <w:tblHeader/>
          <w:jc w:val="center"/>
        </w:trPr>
        <w:tc>
          <w:tcPr>
            <w:tcW w:w="4225" w:type="dxa"/>
            <w:vMerge w:val="restart"/>
            <w:shd w:val="clear" w:color="auto" w:fill="B8CCE4" w:themeFill="accent1" w:themeFillTint="66"/>
            <w:vAlign w:val="center"/>
            <w:hideMark/>
          </w:tcPr>
          <w:p w:rsidR="005E5C1C" w:rsidRPr="000A10DA" w:rsidRDefault="005E5C1C" w:rsidP="005E5C1C">
            <w:pPr>
              <w:jc w:val="center"/>
              <w:rPr>
                <w:b/>
              </w:rPr>
            </w:pPr>
            <w:r w:rsidRPr="000A10DA">
              <w:rPr>
                <w:b/>
              </w:rPr>
              <w:t>Aktivita 5.2</w:t>
            </w:r>
          </w:p>
        </w:tc>
        <w:tc>
          <w:tcPr>
            <w:tcW w:w="4738" w:type="dxa"/>
            <w:gridSpan w:val="3"/>
            <w:shd w:val="clear" w:color="auto" w:fill="B8CCE4" w:themeFill="accent1" w:themeFillTint="66"/>
            <w:vAlign w:val="center"/>
            <w:hideMark/>
          </w:tcPr>
          <w:p w:rsidR="005E5C1C" w:rsidRPr="000A10DA" w:rsidRDefault="005E5C1C" w:rsidP="005E5C1C">
            <w:pPr>
              <w:jc w:val="center"/>
              <w:rPr>
                <w:b/>
              </w:rPr>
            </w:pPr>
            <w:r>
              <w:rPr>
                <w:b/>
              </w:rPr>
              <w:t>Počet výzev</w:t>
            </w:r>
          </w:p>
        </w:tc>
      </w:tr>
      <w:tr w:rsidR="005E5C1C" w:rsidRPr="000A10DA" w:rsidTr="005E5C1C">
        <w:trPr>
          <w:trHeight w:val="408"/>
          <w:tblHeader/>
          <w:jc w:val="center"/>
        </w:trPr>
        <w:tc>
          <w:tcPr>
            <w:tcW w:w="0" w:type="auto"/>
            <w:vMerge/>
            <w:shd w:val="clear" w:color="auto" w:fill="B8CCE4" w:themeFill="accent1" w:themeFillTint="66"/>
            <w:vAlign w:val="center"/>
            <w:hideMark/>
          </w:tcPr>
          <w:p w:rsidR="005E5C1C" w:rsidRPr="000A10DA" w:rsidRDefault="005E5C1C" w:rsidP="005E5C1C">
            <w:pPr>
              <w:jc w:val="center"/>
              <w:rPr>
                <w:b/>
              </w:rPr>
            </w:pPr>
          </w:p>
        </w:tc>
        <w:tc>
          <w:tcPr>
            <w:tcW w:w="1644" w:type="dxa"/>
            <w:shd w:val="clear" w:color="auto" w:fill="B8CCE4" w:themeFill="accent1" w:themeFillTint="66"/>
            <w:vAlign w:val="center"/>
            <w:hideMark/>
          </w:tcPr>
          <w:p w:rsidR="005E5C1C" w:rsidRPr="000A10DA" w:rsidRDefault="005E5C1C" w:rsidP="005E5C1C">
            <w:pPr>
              <w:jc w:val="center"/>
              <w:rPr>
                <w:b/>
              </w:rPr>
            </w:pPr>
            <w:r w:rsidRPr="000A10DA">
              <w:rPr>
                <w:b/>
              </w:rPr>
              <w:t>Výzvy celkem</w:t>
            </w:r>
          </w:p>
        </w:tc>
        <w:tc>
          <w:tcPr>
            <w:tcW w:w="1590" w:type="dxa"/>
            <w:shd w:val="clear" w:color="auto" w:fill="B8CCE4" w:themeFill="accent1" w:themeFillTint="66"/>
            <w:vAlign w:val="center"/>
            <w:hideMark/>
          </w:tcPr>
          <w:p w:rsidR="005E5C1C" w:rsidRPr="000A10DA" w:rsidRDefault="005E5C1C" w:rsidP="005E5C1C">
            <w:pPr>
              <w:jc w:val="center"/>
              <w:rPr>
                <w:b/>
              </w:rPr>
            </w:pPr>
            <w:r w:rsidRPr="000A10DA">
              <w:rPr>
                <w:b/>
              </w:rPr>
              <w:t>Z toho výzvy ukončené</w:t>
            </w:r>
          </w:p>
        </w:tc>
        <w:tc>
          <w:tcPr>
            <w:tcW w:w="1504" w:type="dxa"/>
            <w:shd w:val="clear" w:color="auto" w:fill="B8CCE4" w:themeFill="accent1" w:themeFillTint="66"/>
            <w:vAlign w:val="center"/>
            <w:hideMark/>
          </w:tcPr>
          <w:p w:rsidR="005E5C1C" w:rsidRPr="000A10DA" w:rsidRDefault="005E5C1C" w:rsidP="005E5C1C">
            <w:pPr>
              <w:jc w:val="center"/>
              <w:rPr>
                <w:b/>
              </w:rPr>
            </w:pPr>
            <w:r w:rsidRPr="000A10DA">
              <w:rPr>
                <w:b/>
              </w:rPr>
              <w:t>Z toho výzvy aktivní</w:t>
            </w:r>
          </w:p>
        </w:tc>
      </w:tr>
      <w:tr w:rsidR="005E5C1C" w:rsidRPr="000A10DA" w:rsidTr="005E5C1C">
        <w:trPr>
          <w:trHeight w:val="546"/>
          <w:jc w:val="center"/>
        </w:trPr>
        <w:tc>
          <w:tcPr>
            <w:tcW w:w="4225" w:type="dxa"/>
            <w:shd w:val="clear" w:color="auto" w:fill="FFFFFF" w:themeFill="background1"/>
            <w:vAlign w:val="center"/>
            <w:hideMark/>
          </w:tcPr>
          <w:p w:rsidR="005E5C1C" w:rsidRPr="000A10DA" w:rsidRDefault="005E5C1C" w:rsidP="00F77AD7">
            <w:r w:rsidRPr="000A10DA">
              <w:t xml:space="preserve">a) revitalizace veřejného prostranství </w:t>
            </w:r>
          </w:p>
        </w:tc>
        <w:tc>
          <w:tcPr>
            <w:tcW w:w="1644" w:type="dxa"/>
            <w:vAlign w:val="center"/>
            <w:hideMark/>
          </w:tcPr>
          <w:p w:rsidR="005E5C1C" w:rsidRPr="000A10DA" w:rsidRDefault="005E5C1C" w:rsidP="005E5C1C">
            <w:pPr>
              <w:jc w:val="center"/>
            </w:pPr>
            <w:r>
              <w:t>73</w:t>
            </w:r>
          </w:p>
        </w:tc>
        <w:tc>
          <w:tcPr>
            <w:tcW w:w="1590" w:type="dxa"/>
            <w:vAlign w:val="center"/>
            <w:hideMark/>
          </w:tcPr>
          <w:p w:rsidR="005E5C1C" w:rsidRPr="000A10DA" w:rsidRDefault="005E5C1C" w:rsidP="005E5C1C">
            <w:pPr>
              <w:jc w:val="center"/>
            </w:pPr>
            <w:r>
              <w:t>73</w:t>
            </w:r>
          </w:p>
        </w:tc>
        <w:tc>
          <w:tcPr>
            <w:tcW w:w="1504" w:type="dxa"/>
            <w:vAlign w:val="center"/>
            <w:hideMark/>
          </w:tcPr>
          <w:p w:rsidR="005E5C1C" w:rsidRPr="000A10DA" w:rsidRDefault="005E5C1C" w:rsidP="005E5C1C">
            <w:pPr>
              <w:jc w:val="center"/>
            </w:pPr>
            <w:r>
              <w:t>0</w:t>
            </w:r>
          </w:p>
        </w:tc>
      </w:tr>
      <w:tr w:rsidR="005E5C1C" w:rsidRPr="000A10DA" w:rsidTr="005E5C1C">
        <w:trPr>
          <w:trHeight w:val="436"/>
          <w:jc w:val="center"/>
        </w:trPr>
        <w:tc>
          <w:tcPr>
            <w:tcW w:w="4225" w:type="dxa"/>
            <w:shd w:val="clear" w:color="auto" w:fill="FFFFFF" w:themeFill="background1"/>
            <w:vAlign w:val="center"/>
            <w:hideMark/>
          </w:tcPr>
          <w:p w:rsidR="005E5C1C" w:rsidRPr="000A10DA" w:rsidRDefault="005E5C1C" w:rsidP="00F77AD7">
            <w:r w:rsidRPr="000A10DA">
              <w:t>b) regenerace bytových domů</w:t>
            </w:r>
          </w:p>
        </w:tc>
        <w:tc>
          <w:tcPr>
            <w:tcW w:w="1644" w:type="dxa"/>
            <w:vAlign w:val="center"/>
            <w:hideMark/>
          </w:tcPr>
          <w:p w:rsidR="005E5C1C" w:rsidRPr="000A10DA" w:rsidRDefault="005E5C1C" w:rsidP="005E5C1C">
            <w:pPr>
              <w:jc w:val="center"/>
            </w:pPr>
            <w:r>
              <w:t>173</w:t>
            </w:r>
          </w:p>
        </w:tc>
        <w:tc>
          <w:tcPr>
            <w:tcW w:w="1590" w:type="dxa"/>
            <w:vAlign w:val="center"/>
            <w:hideMark/>
          </w:tcPr>
          <w:p w:rsidR="005E5C1C" w:rsidRPr="000A10DA" w:rsidRDefault="005E5C1C" w:rsidP="005E5C1C">
            <w:pPr>
              <w:jc w:val="center"/>
            </w:pPr>
            <w:r>
              <w:t>173</w:t>
            </w:r>
          </w:p>
        </w:tc>
        <w:tc>
          <w:tcPr>
            <w:tcW w:w="1504" w:type="dxa"/>
            <w:vAlign w:val="center"/>
            <w:hideMark/>
          </w:tcPr>
          <w:p w:rsidR="005E5C1C" w:rsidRPr="000A10DA" w:rsidRDefault="005E5C1C" w:rsidP="005E5C1C">
            <w:pPr>
              <w:jc w:val="center"/>
            </w:pPr>
            <w:r>
              <w:t>0</w:t>
            </w:r>
          </w:p>
        </w:tc>
      </w:tr>
      <w:tr w:rsidR="005E5C1C" w:rsidRPr="000A10DA" w:rsidTr="005E5C1C">
        <w:trPr>
          <w:trHeight w:val="428"/>
          <w:jc w:val="center"/>
        </w:trPr>
        <w:tc>
          <w:tcPr>
            <w:tcW w:w="4225" w:type="dxa"/>
            <w:shd w:val="clear" w:color="auto" w:fill="FFFFFF" w:themeFill="background1"/>
            <w:vAlign w:val="center"/>
            <w:hideMark/>
          </w:tcPr>
          <w:p w:rsidR="005E5C1C" w:rsidRPr="000A10DA" w:rsidRDefault="005E5C1C" w:rsidP="00F77AD7">
            <w:r w:rsidRPr="000A10DA">
              <w:t xml:space="preserve">c) pilotní projekty </w:t>
            </w:r>
          </w:p>
        </w:tc>
        <w:tc>
          <w:tcPr>
            <w:tcW w:w="1644" w:type="dxa"/>
            <w:vAlign w:val="center"/>
            <w:hideMark/>
          </w:tcPr>
          <w:p w:rsidR="005E5C1C" w:rsidRPr="000A10DA" w:rsidRDefault="005E5C1C" w:rsidP="005E5C1C">
            <w:pPr>
              <w:jc w:val="center"/>
            </w:pPr>
            <w:r>
              <w:t>11</w:t>
            </w:r>
          </w:p>
        </w:tc>
        <w:tc>
          <w:tcPr>
            <w:tcW w:w="1590" w:type="dxa"/>
            <w:vAlign w:val="center"/>
            <w:hideMark/>
          </w:tcPr>
          <w:p w:rsidR="005E5C1C" w:rsidRPr="000A10DA" w:rsidRDefault="005E5C1C" w:rsidP="005E5C1C">
            <w:pPr>
              <w:jc w:val="center"/>
            </w:pPr>
            <w:r>
              <w:t>11</w:t>
            </w:r>
          </w:p>
        </w:tc>
        <w:tc>
          <w:tcPr>
            <w:tcW w:w="1504" w:type="dxa"/>
            <w:vAlign w:val="center"/>
            <w:hideMark/>
          </w:tcPr>
          <w:p w:rsidR="005E5C1C" w:rsidRPr="000A10DA" w:rsidRDefault="005E5C1C" w:rsidP="005E5C1C">
            <w:pPr>
              <w:jc w:val="center"/>
            </w:pPr>
            <w:r>
              <w:t>0</w:t>
            </w:r>
          </w:p>
        </w:tc>
      </w:tr>
      <w:tr w:rsidR="005E5C1C" w:rsidRPr="000A10DA" w:rsidTr="005E5C1C">
        <w:trPr>
          <w:trHeight w:val="428"/>
          <w:jc w:val="center"/>
        </w:trPr>
        <w:tc>
          <w:tcPr>
            <w:tcW w:w="4225" w:type="dxa"/>
            <w:shd w:val="clear" w:color="auto" w:fill="FFFFFF" w:themeFill="background1"/>
            <w:vAlign w:val="center"/>
            <w:hideMark/>
          </w:tcPr>
          <w:p w:rsidR="005E5C1C" w:rsidRPr="000A10DA" w:rsidRDefault="005E5C1C" w:rsidP="00F77AD7">
            <w:r w:rsidRPr="000A10DA">
              <w:t xml:space="preserve">kombinované výzvy a) + b) </w:t>
            </w:r>
          </w:p>
        </w:tc>
        <w:tc>
          <w:tcPr>
            <w:tcW w:w="1644" w:type="dxa"/>
            <w:vAlign w:val="center"/>
            <w:hideMark/>
          </w:tcPr>
          <w:p w:rsidR="005E5C1C" w:rsidRPr="000A10DA" w:rsidRDefault="005E5C1C" w:rsidP="005E5C1C">
            <w:pPr>
              <w:jc w:val="center"/>
            </w:pPr>
            <w:r>
              <w:t>9</w:t>
            </w:r>
          </w:p>
        </w:tc>
        <w:tc>
          <w:tcPr>
            <w:tcW w:w="1590" w:type="dxa"/>
            <w:vAlign w:val="center"/>
            <w:hideMark/>
          </w:tcPr>
          <w:p w:rsidR="005E5C1C" w:rsidRPr="000A10DA" w:rsidRDefault="005E5C1C" w:rsidP="005E5C1C">
            <w:pPr>
              <w:jc w:val="center"/>
            </w:pPr>
            <w:r>
              <w:t>9</w:t>
            </w:r>
          </w:p>
        </w:tc>
        <w:tc>
          <w:tcPr>
            <w:tcW w:w="1504" w:type="dxa"/>
            <w:vAlign w:val="center"/>
            <w:hideMark/>
          </w:tcPr>
          <w:p w:rsidR="005E5C1C" w:rsidRPr="000A10DA" w:rsidRDefault="005E5C1C" w:rsidP="005E5C1C">
            <w:pPr>
              <w:jc w:val="center"/>
            </w:pPr>
            <w:r>
              <w:t>0</w:t>
            </w:r>
          </w:p>
        </w:tc>
      </w:tr>
      <w:tr w:rsidR="005E5C1C" w:rsidRPr="000A10DA" w:rsidTr="005E5C1C">
        <w:trPr>
          <w:trHeight w:val="491"/>
          <w:jc w:val="center"/>
        </w:trPr>
        <w:tc>
          <w:tcPr>
            <w:tcW w:w="4225" w:type="dxa"/>
            <w:shd w:val="clear" w:color="auto" w:fill="FFFFFF" w:themeFill="background1"/>
            <w:vAlign w:val="center"/>
            <w:hideMark/>
          </w:tcPr>
          <w:p w:rsidR="005E5C1C" w:rsidRPr="000A10DA" w:rsidRDefault="005E5C1C" w:rsidP="00F77AD7">
            <w:r w:rsidRPr="000A10DA">
              <w:t xml:space="preserve">kombinované výzvy a) + b) + c) </w:t>
            </w:r>
          </w:p>
        </w:tc>
        <w:tc>
          <w:tcPr>
            <w:tcW w:w="1644" w:type="dxa"/>
            <w:vAlign w:val="center"/>
            <w:hideMark/>
          </w:tcPr>
          <w:p w:rsidR="005E5C1C" w:rsidRPr="000A10DA" w:rsidRDefault="005E5C1C" w:rsidP="005E5C1C">
            <w:pPr>
              <w:jc w:val="center"/>
            </w:pPr>
            <w:r>
              <w:t>3</w:t>
            </w:r>
          </w:p>
        </w:tc>
        <w:tc>
          <w:tcPr>
            <w:tcW w:w="1590" w:type="dxa"/>
            <w:vAlign w:val="center"/>
            <w:hideMark/>
          </w:tcPr>
          <w:p w:rsidR="005E5C1C" w:rsidRPr="000A10DA" w:rsidRDefault="005E5C1C" w:rsidP="005E5C1C">
            <w:pPr>
              <w:jc w:val="center"/>
            </w:pPr>
            <w:r>
              <w:t>3</w:t>
            </w:r>
          </w:p>
        </w:tc>
        <w:tc>
          <w:tcPr>
            <w:tcW w:w="1504" w:type="dxa"/>
            <w:vAlign w:val="center"/>
            <w:hideMark/>
          </w:tcPr>
          <w:p w:rsidR="005E5C1C" w:rsidRPr="000A10DA" w:rsidRDefault="005E5C1C" w:rsidP="005E5C1C">
            <w:pPr>
              <w:jc w:val="center"/>
            </w:pPr>
            <w:r>
              <w:t>0</w:t>
            </w:r>
          </w:p>
        </w:tc>
      </w:tr>
      <w:tr w:rsidR="005E5C1C" w:rsidRPr="000A10DA" w:rsidTr="005E5C1C">
        <w:trPr>
          <w:trHeight w:val="491"/>
          <w:jc w:val="center"/>
        </w:trPr>
        <w:tc>
          <w:tcPr>
            <w:tcW w:w="4225" w:type="dxa"/>
            <w:shd w:val="clear" w:color="auto" w:fill="B8CCE4" w:themeFill="accent1" w:themeFillTint="66"/>
            <w:vAlign w:val="center"/>
            <w:hideMark/>
          </w:tcPr>
          <w:p w:rsidR="005E5C1C" w:rsidRPr="000A10DA" w:rsidRDefault="005E5C1C" w:rsidP="00F77AD7">
            <w:pPr>
              <w:rPr>
                <w:b/>
              </w:rPr>
            </w:pPr>
            <w:r w:rsidRPr="000A10DA">
              <w:rPr>
                <w:b/>
              </w:rPr>
              <w:t xml:space="preserve">Celkem </w:t>
            </w:r>
          </w:p>
        </w:tc>
        <w:tc>
          <w:tcPr>
            <w:tcW w:w="1644" w:type="dxa"/>
            <w:shd w:val="clear" w:color="auto" w:fill="B8CCE4" w:themeFill="accent1" w:themeFillTint="66"/>
            <w:vAlign w:val="center"/>
            <w:hideMark/>
          </w:tcPr>
          <w:p w:rsidR="005E5C1C" w:rsidRPr="000A10DA" w:rsidRDefault="005E5C1C" w:rsidP="005E5C1C">
            <w:pPr>
              <w:jc w:val="center"/>
              <w:rPr>
                <w:b/>
              </w:rPr>
            </w:pPr>
            <w:r>
              <w:rPr>
                <w:b/>
              </w:rPr>
              <w:t>269</w:t>
            </w:r>
          </w:p>
        </w:tc>
        <w:tc>
          <w:tcPr>
            <w:tcW w:w="1590" w:type="dxa"/>
            <w:shd w:val="clear" w:color="auto" w:fill="B8CCE4" w:themeFill="accent1" w:themeFillTint="66"/>
            <w:vAlign w:val="center"/>
            <w:hideMark/>
          </w:tcPr>
          <w:p w:rsidR="005E5C1C" w:rsidRPr="000A10DA" w:rsidRDefault="005E5C1C" w:rsidP="005E5C1C">
            <w:pPr>
              <w:jc w:val="center"/>
              <w:rPr>
                <w:b/>
              </w:rPr>
            </w:pPr>
            <w:r>
              <w:rPr>
                <w:b/>
              </w:rPr>
              <w:t>269</w:t>
            </w:r>
          </w:p>
        </w:tc>
        <w:tc>
          <w:tcPr>
            <w:tcW w:w="1504" w:type="dxa"/>
            <w:shd w:val="clear" w:color="auto" w:fill="B8CCE4" w:themeFill="accent1" w:themeFillTint="66"/>
            <w:vAlign w:val="center"/>
            <w:hideMark/>
          </w:tcPr>
          <w:p w:rsidR="005E5C1C" w:rsidRPr="000A10DA" w:rsidRDefault="005E5C1C" w:rsidP="005E5C1C">
            <w:pPr>
              <w:jc w:val="center"/>
              <w:rPr>
                <w:b/>
              </w:rPr>
            </w:pPr>
            <w:r>
              <w:rPr>
                <w:b/>
              </w:rPr>
              <w:t>0</w:t>
            </w:r>
          </w:p>
        </w:tc>
      </w:tr>
    </w:tbl>
    <w:p w:rsidR="00594E5B" w:rsidRPr="00E74DD7" w:rsidRDefault="00E74DD7" w:rsidP="00931D3F">
      <w:pPr>
        <w:rPr>
          <w:i/>
          <w:sz w:val="18"/>
          <w:szCs w:val="18"/>
        </w:rPr>
      </w:pPr>
      <w:r w:rsidRPr="002B3E54">
        <w:rPr>
          <w:i/>
          <w:sz w:val="18"/>
          <w:szCs w:val="18"/>
        </w:rPr>
        <w:t xml:space="preserve">Zdroj: ŘO IOP </w:t>
      </w:r>
      <w:r w:rsidR="00914BC7">
        <w:rPr>
          <w:i/>
          <w:sz w:val="18"/>
          <w:szCs w:val="18"/>
        </w:rPr>
        <w:t>k 30. 9. 2015</w:t>
      </w:r>
    </w:p>
    <w:p w:rsidR="005E5C1C" w:rsidRDefault="005E5C1C" w:rsidP="003601B2"/>
    <w:p w:rsidR="00D644B0" w:rsidRDefault="00D644B0">
      <w:pPr>
        <w:pStyle w:val="Nadpis3"/>
        <w:rPr>
          <w:rFonts w:ascii="Times New Roman" w:hAnsi="Times New Roman"/>
          <w:sz w:val="24"/>
          <w:szCs w:val="24"/>
        </w:rPr>
      </w:pPr>
      <w:bookmarkStart w:id="128" w:name="_Toc433873513"/>
      <w:r w:rsidRPr="00B7725D">
        <w:rPr>
          <w:rFonts w:ascii="Times New Roman" w:hAnsi="Times New Roman"/>
          <w:sz w:val="24"/>
          <w:szCs w:val="24"/>
        </w:rPr>
        <w:t>3.5.3 Naplňování indikátorů</w:t>
      </w:r>
      <w:bookmarkEnd w:id="128"/>
    </w:p>
    <w:p w:rsidR="007F7F2C" w:rsidRDefault="007F7F2C" w:rsidP="004C6E7E">
      <w:pPr>
        <w:jc w:val="both"/>
        <w:rPr>
          <w:b/>
          <w:sz w:val="22"/>
          <w:szCs w:val="22"/>
          <w:u w:val="single"/>
        </w:rPr>
      </w:pPr>
      <w:r w:rsidRPr="005041D3">
        <w:rPr>
          <w:b/>
          <w:sz w:val="22"/>
          <w:szCs w:val="22"/>
          <w:u w:val="single"/>
        </w:rPr>
        <w:t>Oblast intervence 5.1</w:t>
      </w:r>
    </w:p>
    <w:p w:rsidR="008F2F2A" w:rsidRDefault="008F2F2A" w:rsidP="008F2F2A">
      <w:pPr>
        <w:jc w:val="both"/>
        <w:rPr>
          <w:sz w:val="22"/>
          <w:szCs w:val="22"/>
        </w:rPr>
      </w:pPr>
      <w:r>
        <w:rPr>
          <w:sz w:val="22"/>
          <w:szCs w:val="22"/>
        </w:rPr>
        <w:t>I</w:t>
      </w:r>
      <w:r w:rsidRPr="001F50EF">
        <w:rPr>
          <w:sz w:val="22"/>
          <w:szCs w:val="22"/>
        </w:rPr>
        <w:t xml:space="preserve">ndikátor </w:t>
      </w:r>
      <w:r w:rsidRPr="004D659B">
        <w:rPr>
          <w:b/>
          <w:sz w:val="22"/>
          <w:szCs w:val="22"/>
        </w:rPr>
        <w:t>410401 Počet zregenerovaných nemovitých kulturních památek</w:t>
      </w:r>
      <w:r>
        <w:rPr>
          <w:sz w:val="22"/>
          <w:szCs w:val="22"/>
        </w:rPr>
        <w:t>.</w:t>
      </w:r>
    </w:p>
    <w:p w:rsidR="008F2F2A" w:rsidRDefault="008F2F2A" w:rsidP="008F2F2A">
      <w:pPr>
        <w:jc w:val="both"/>
        <w:rPr>
          <w:sz w:val="22"/>
          <w:szCs w:val="22"/>
        </w:rPr>
      </w:pPr>
      <w:r>
        <w:rPr>
          <w:sz w:val="22"/>
          <w:szCs w:val="22"/>
        </w:rPr>
        <w:t xml:space="preserve">V současné době činí hodnota indikátoru 59 z cílové hodnoty 70. Závazek ze schválených projektů (hodnota 109) činí 155,71 % cílové hodnoty. Míra prostředků pod vydaným Rozhodnutím </w:t>
      </w:r>
      <w:r w:rsidR="00763E7E">
        <w:rPr>
          <w:sz w:val="22"/>
          <w:szCs w:val="22"/>
        </w:rPr>
        <w:t xml:space="preserve">se </w:t>
      </w:r>
      <w:r>
        <w:rPr>
          <w:sz w:val="22"/>
          <w:szCs w:val="22"/>
        </w:rPr>
        <w:t>pohybuje na úrovni 99,33 %.</w:t>
      </w:r>
    </w:p>
    <w:p w:rsidR="008F2F2A" w:rsidRPr="004C6E7E" w:rsidRDefault="008F2F2A" w:rsidP="008F2F2A">
      <w:pPr>
        <w:jc w:val="both"/>
        <w:rPr>
          <w:sz w:val="22"/>
          <w:szCs w:val="22"/>
        </w:rPr>
      </w:pPr>
    </w:p>
    <w:p w:rsidR="008F2F2A" w:rsidRDefault="008F2F2A" w:rsidP="008F2F2A">
      <w:pPr>
        <w:jc w:val="both"/>
        <w:rPr>
          <w:b/>
          <w:sz w:val="22"/>
          <w:szCs w:val="22"/>
        </w:rPr>
      </w:pPr>
      <w:r>
        <w:rPr>
          <w:sz w:val="22"/>
          <w:szCs w:val="22"/>
        </w:rPr>
        <w:t>Indikátor</w:t>
      </w:r>
      <w:r w:rsidRPr="000D2164">
        <w:rPr>
          <w:sz w:val="22"/>
          <w:szCs w:val="22"/>
        </w:rPr>
        <w:t xml:space="preserve"> </w:t>
      </w:r>
      <w:r w:rsidRPr="000D2164">
        <w:rPr>
          <w:b/>
          <w:sz w:val="22"/>
          <w:szCs w:val="22"/>
        </w:rPr>
        <w:t>410402 Počet nově vybudovaných či zmodernizovaných kulturních zařízení</w:t>
      </w:r>
      <w:r>
        <w:rPr>
          <w:b/>
          <w:sz w:val="22"/>
          <w:szCs w:val="22"/>
        </w:rPr>
        <w:t>.</w:t>
      </w:r>
    </w:p>
    <w:p w:rsidR="008F2F2A" w:rsidRDefault="008F2F2A" w:rsidP="008F2F2A">
      <w:pPr>
        <w:jc w:val="both"/>
        <w:rPr>
          <w:sz w:val="22"/>
          <w:szCs w:val="22"/>
        </w:rPr>
      </w:pPr>
      <w:r>
        <w:rPr>
          <w:sz w:val="22"/>
          <w:szCs w:val="22"/>
        </w:rPr>
        <w:lastRenderedPageBreak/>
        <w:t xml:space="preserve">Hodnota indikátoru nevzrostla a má hodnotu 1 (projekt „Zdokonalení infrastruktury pro moderní kulturní služby s vyšší přidanou hodnotou – Centrum sklářského umění Huť František v Sázavě“) z cílové hodnoty 5. Míra </w:t>
      </w:r>
      <w:proofErr w:type="spellStart"/>
      <w:r>
        <w:rPr>
          <w:sz w:val="22"/>
          <w:szCs w:val="22"/>
        </w:rPr>
        <w:t>zasmluvněných</w:t>
      </w:r>
      <w:proofErr w:type="spellEnd"/>
      <w:r>
        <w:rPr>
          <w:sz w:val="22"/>
          <w:szCs w:val="22"/>
        </w:rPr>
        <w:t xml:space="preserve"> prostředků se v současné době pohybuje na úrovni 63,54 %.</w:t>
      </w:r>
    </w:p>
    <w:p w:rsidR="008F2F2A" w:rsidRPr="004D659B" w:rsidRDefault="008F2F2A" w:rsidP="008F2F2A">
      <w:pPr>
        <w:jc w:val="both"/>
        <w:rPr>
          <w:sz w:val="22"/>
          <w:szCs w:val="22"/>
          <w:highlight w:val="yellow"/>
        </w:rPr>
      </w:pPr>
    </w:p>
    <w:p w:rsidR="008F2F2A" w:rsidRPr="00267EC7" w:rsidRDefault="008F2F2A" w:rsidP="008F2F2A">
      <w:pPr>
        <w:jc w:val="both"/>
        <w:rPr>
          <w:sz w:val="22"/>
          <w:szCs w:val="22"/>
        </w:rPr>
      </w:pPr>
      <w:r w:rsidRPr="00267EC7">
        <w:rPr>
          <w:sz w:val="22"/>
          <w:szCs w:val="22"/>
        </w:rPr>
        <w:t xml:space="preserve">Hodnota indikátoru </w:t>
      </w:r>
      <w:r w:rsidRPr="00267EC7">
        <w:rPr>
          <w:b/>
          <w:sz w:val="22"/>
          <w:szCs w:val="22"/>
        </w:rPr>
        <w:t>410404 Počet vytvořených metodik v oblasti kulturního dědictví</w:t>
      </w:r>
      <w:r w:rsidRPr="00267EC7">
        <w:rPr>
          <w:sz w:val="22"/>
          <w:szCs w:val="22"/>
        </w:rPr>
        <w:t xml:space="preserve"> zůstala nulová, protože metodiky v aktivitě 5.1a) vytváření a zefektivňování národních metodických center pro vybrané oblasti kulturního dědictví musí být vytvořeny do jednoho roku od ukončení </w:t>
      </w:r>
      <w:r w:rsidR="00967CC3">
        <w:rPr>
          <w:sz w:val="22"/>
          <w:szCs w:val="22"/>
        </w:rPr>
        <w:t xml:space="preserve">realizace </w:t>
      </w:r>
      <w:r w:rsidRPr="00267EC7">
        <w:rPr>
          <w:sz w:val="22"/>
          <w:szCs w:val="22"/>
        </w:rPr>
        <w:t xml:space="preserve">projektu. Dva projekty z této aktivity </w:t>
      </w:r>
      <w:r>
        <w:rPr>
          <w:sz w:val="22"/>
          <w:szCs w:val="22"/>
        </w:rPr>
        <w:t>byly</w:t>
      </w:r>
      <w:r w:rsidRPr="00267EC7">
        <w:rPr>
          <w:sz w:val="22"/>
          <w:szCs w:val="22"/>
        </w:rPr>
        <w:t xml:space="preserve"> dokončeny </w:t>
      </w:r>
      <w:r>
        <w:rPr>
          <w:sz w:val="22"/>
          <w:szCs w:val="22"/>
        </w:rPr>
        <w:t>na</w:t>
      </w:r>
      <w:r w:rsidRPr="00267EC7">
        <w:rPr>
          <w:sz w:val="22"/>
          <w:szCs w:val="22"/>
        </w:rPr>
        <w:t xml:space="preserve"> konc</w:t>
      </w:r>
      <w:r>
        <w:rPr>
          <w:sz w:val="22"/>
          <w:szCs w:val="22"/>
        </w:rPr>
        <w:t>i</w:t>
      </w:r>
      <w:r w:rsidRPr="00267EC7">
        <w:rPr>
          <w:sz w:val="22"/>
          <w:szCs w:val="22"/>
        </w:rPr>
        <w:t xml:space="preserve"> roku 2014.</w:t>
      </w:r>
    </w:p>
    <w:p w:rsidR="008F2F2A" w:rsidRPr="004D659B" w:rsidRDefault="008F2F2A" w:rsidP="008F2F2A">
      <w:pPr>
        <w:jc w:val="both"/>
        <w:rPr>
          <w:sz w:val="22"/>
          <w:szCs w:val="22"/>
          <w:highlight w:val="yellow"/>
        </w:rPr>
      </w:pPr>
    </w:p>
    <w:p w:rsidR="008F2F2A" w:rsidRDefault="008F2F2A" w:rsidP="008F2F2A">
      <w:pPr>
        <w:jc w:val="both"/>
        <w:rPr>
          <w:sz w:val="22"/>
          <w:szCs w:val="22"/>
        </w:rPr>
      </w:pPr>
      <w:r>
        <w:rPr>
          <w:sz w:val="22"/>
          <w:szCs w:val="22"/>
        </w:rPr>
        <w:t>Indikátor</w:t>
      </w:r>
      <w:r w:rsidRPr="00267EC7">
        <w:rPr>
          <w:sz w:val="22"/>
          <w:szCs w:val="22"/>
        </w:rPr>
        <w:t xml:space="preserve"> </w:t>
      </w:r>
      <w:r w:rsidRPr="00267EC7">
        <w:rPr>
          <w:b/>
          <w:sz w:val="22"/>
          <w:szCs w:val="22"/>
        </w:rPr>
        <w:t>410411 Zvýšení počtu návštěvníků památek a kulturních zařízení</w:t>
      </w:r>
      <w:r>
        <w:rPr>
          <w:sz w:val="22"/>
          <w:szCs w:val="22"/>
        </w:rPr>
        <w:t>.</w:t>
      </w:r>
    </w:p>
    <w:p w:rsidR="00267EC7" w:rsidRDefault="008F2F2A" w:rsidP="004C6E7E">
      <w:pPr>
        <w:jc w:val="both"/>
        <w:rPr>
          <w:sz w:val="22"/>
          <w:szCs w:val="22"/>
        </w:rPr>
      </w:pPr>
      <w:r>
        <w:rPr>
          <w:sz w:val="22"/>
          <w:szCs w:val="22"/>
        </w:rPr>
        <w:t>V současné době činí hodnota indikátoru 171 (výchozí hodnota 100) z cílové hodnoty 161. Závazek ze schválených projektů (hodnota 184,26) činí 114,45 % cílové hodnoty. V současné době se míra prostředků pod vydaným Rozhodnutím pohybuje na úrovni 118,79 %.</w:t>
      </w:r>
    </w:p>
    <w:p w:rsidR="00967CC3" w:rsidRDefault="00967CC3" w:rsidP="004C6E7E">
      <w:pPr>
        <w:jc w:val="both"/>
        <w:rPr>
          <w:b/>
          <w:sz w:val="22"/>
          <w:szCs w:val="22"/>
          <w:u w:val="single"/>
        </w:rPr>
      </w:pPr>
    </w:p>
    <w:p w:rsidR="005041D3" w:rsidRPr="005041D3" w:rsidRDefault="00862BA8" w:rsidP="004C6E7E">
      <w:pPr>
        <w:jc w:val="both"/>
        <w:rPr>
          <w:b/>
          <w:sz w:val="22"/>
          <w:szCs w:val="22"/>
          <w:u w:val="single"/>
        </w:rPr>
      </w:pPr>
      <w:r>
        <w:rPr>
          <w:b/>
          <w:sz w:val="22"/>
          <w:szCs w:val="22"/>
          <w:u w:val="single"/>
        </w:rPr>
        <w:t>O</w:t>
      </w:r>
      <w:r w:rsidR="005041D3" w:rsidRPr="005041D3">
        <w:rPr>
          <w:b/>
          <w:sz w:val="22"/>
          <w:szCs w:val="22"/>
          <w:u w:val="single"/>
        </w:rPr>
        <w:t>blast intervence 5.2</w:t>
      </w:r>
    </w:p>
    <w:p w:rsidR="00D7349C" w:rsidRDefault="00D7349C" w:rsidP="00D7349C">
      <w:pPr>
        <w:jc w:val="both"/>
        <w:rPr>
          <w:sz w:val="22"/>
          <w:szCs w:val="22"/>
        </w:rPr>
      </w:pPr>
      <w:proofErr w:type="gramStart"/>
      <w:r w:rsidRPr="00D7349C">
        <w:rPr>
          <w:sz w:val="22"/>
          <w:szCs w:val="22"/>
        </w:rPr>
        <w:t>MI</w:t>
      </w:r>
      <w:proofErr w:type="gramEnd"/>
      <w:r w:rsidRPr="00D7349C">
        <w:rPr>
          <w:sz w:val="22"/>
          <w:szCs w:val="22"/>
        </w:rPr>
        <w:t xml:space="preserve"> 330103 Počet projektů zvyšujících atraktivitu bydlení v území pře</w:t>
      </w:r>
      <w:r w:rsidR="004775EA">
        <w:rPr>
          <w:sz w:val="22"/>
          <w:szCs w:val="22"/>
        </w:rPr>
        <w:t>krač</w:t>
      </w:r>
      <w:r w:rsidRPr="00D7349C">
        <w:rPr>
          <w:sz w:val="22"/>
          <w:szCs w:val="22"/>
        </w:rPr>
        <w:t>uje</w:t>
      </w:r>
      <w:r w:rsidR="004775EA">
        <w:rPr>
          <w:sz w:val="22"/>
          <w:szCs w:val="22"/>
        </w:rPr>
        <w:t xml:space="preserve"> plánovanou hodnotu</w:t>
      </w:r>
      <w:r w:rsidRPr="00D7349C">
        <w:rPr>
          <w:sz w:val="22"/>
          <w:szCs w:val="22"/>
        </w:rPr>
        <w:t>. Při nastavování indikátorů v Programovém dokumentu předpokládal ŘO IOP, že se dílčí projekty revitalizace veřejného prostranství budou realizovat jako jeden projekt na území celého IPRM. Města však realizují dílčí projekty a díky tomu je počet projektů vyšší než cílová hodnota indikátoru. Počet souhrnných projektů na úrovni IPRM odpovídá cílové hodnotě indikátoru.</w:t>
      </w:r>
    </w:p>
    <w:p w:rsidR="00D7349C" w:rsidRPr="00D7349C" w:rsidRDefault="00D7349C" w:rsidP="00D7349C">
      <w:pPr>
        <w:jc w:val="both"/>
        <w:rPr>
          <w:sz w:val="22"/>
          <w:szCs w:val="22"/>
        </w:rPr>
      </w:pPr>
    </w:p>
    <w:p w:rsidR="00D7349C" w:rsidRPr="00D7349C" w:rsidRDefault="00D7349C" w:rsidP="00D7349C">
      <w:pPr>
        <w:jc w:val="both"/>
        <w:rPr>
          <w:sz w:val="22"/>
          <w:szCs w:val="22"/>
        </w:rPr>
      </w:pPr>
      <w:r w:rsidRPr="00D7349C">
        <w:rPr>
          <w:sz w:val="22"/>
          <w:szCs w:val="22"/>
        </w:rPr>
        <w:t>U všech ostatních MI docházelo při realizaci OI k uspokojivému vývoji a jsou spíše pře</w:t>
      </w:r>
      <w:r w:rsidR="004775EA">
        <w:rPr>
          <w:sz w:val="22"/>
          <w:szCs w:val="22"/>
        </w:rPr>
        <w:t>kračovány plánované hodnoty</w:t>
      </w:r>
      <w:r w:rsidRPr="00D7349C">
        <w:rPr>
          <w:sz w:val="22"/>
          <w:szCs w:val="22"/>
        </w:rPr>
        <w:t>. Důvodem je větší počet realizovaných projektů oproti původním očekáváním</w:t>
      </w:r>
      <w:r w:rsidR="004775EA">
        <w:rPr>
          <w:sz w:val="22"/>
          <w:szCs w:val="22"/>
        </w:rPr>
        <w:t>,</w:t>
      </w:r>
      <w:r w:rsidRPr="00D7349C">
        <w:rPr>
          <w:sz w:val="22"/>
          <w:szCs w:val="22"/>
        </w:rPr>
        <w:t xml:space="preserve"> </w:t>
      </w:r>
      <w:r w:rsidR="004775EA">
        <w:rPr>
          <w:sz w:val="22"/>
          <w:szCs w:val="22"/>
        </w:rPr>
        <w:t>z</w:t>
      </w:r>
      <w:r w:rsidRPr="00D7349C">
        <w:rPr>
          <w:sz w:val="22"/>
          <w:szCs w:val="22"/>
        </w:rPr>
        <w:t xml:space="preserve">ejména v aktivitě regenerace bytových domů. Důvodem jsou zejména úspory v projektech, kdy se nevyužitá alokace projektu vrací do celkové alokace jednotlivého IPRM a bylo možné ji opět využít. </w:t>
      </w:r>
    </w:p>
    <w:p w:rsidR="00346298" w:rsidRPr="00D7349C" w:rsidRDefault="00346298" w:rsidP="00D7349C">
      <w:pPr>
        <w:jc w:val="both"/>
        <w:rPr>
          <w:sz w:val="22"/>
          <w:szCs w:val="22"/>
        </w:rPr>
      </w:pPr>
    </w:p>
    <w:p w:rsidR="007F7F2C" w:rsidRPr="005041D3" w:rsidRDefault="007F7F2C" w:rsidP="00834944">
      <w:pPr>
        <w:jc w:val="both"/>
        <w:rPr>
          <w:b/>
          <w:sz w:val="22"/>
          <w:szCs w:val="22"/>
          <w:u w:val="single"/>
        </w:rPr>
      </w:pPr>
      <w:r w:rsidRPr="005041D3">
        <w:rPr>
          <w:b/>
          <w:sz w:val="22"/>
          <w:szCs w:val="22"/>
          <w:u w:val="single"/>
        </w:rPr>
        <w:t>O</w:t>
      </w:r>
      <w:r w:rsidR="00834944" w:rsidRPr="005041D3">
        <w:rPr>
          <w:b/>
          <w:sz w:val="22"/>
          <w:szCs w:val="22"/>
          <w:u w:val="single"/>
        </w:rPr>
        <w:t>blast</w:t>
      </w:r>
      <w:r w:rsidRPr="005041D3">
        <w:rPr>
          <w:b/>
          <w:sz w:val="22"/>
          <w:szCs w:val="22"/>
          <w:u w:val="single"/>
        </w:rPr>
        <w:t xml:space="preserve"> </w:t>
      </w:r>
      <w:r w:rsidR="00834944" w:rsidRPr="005041D3">
        <w:rPr>
          <w:b/>
          <w:sz w:val="22"/>
          <w:szCs w:val="22"/>
          <w:u w:val="single"/>
        </w:rPr>
        <w:t>intervence 5.3</w:t>
      </w:r>
    </w:p>
    <w:p w:rsidR="00747E8A" w:rsidRDefault="00747E8A" w:rsidP="00747E8A">
      <w:pPr>
        <w:jc w:val="both"/>
        <w:rPr>
          <w:sz w:val="22"/>
          <w:szCs w:val="22"/>
        </w:rPr>
      </w:pPr>
      <w:r w:rsidRPr="003D47BC">
        <w:rPr>
          <w:sz w:val="22"/>
          <w:szCs w:val="22"/>
        </w:rPr>
        <w:t>V oblasti intervence 5.3 v aktivitě a) je závazek ze schválených projektů splněn a výdaje všech</w:t>
      </w:r>
      <w:r w:rsidR="004775EA">
        <w:rPr>
          <w:sz w:val="22"/>
          <w:szCs w:val="22"/>
        </w:rPr>
        <w:t xml:space="preserve"> </w:t>
      </w:r>
      <w:r w:rsidRPr="003D47BC">
        <w:rPr>
          <w:sz w:val="22"/>
          <w:szCs w:val="22"/>
        </w:rPr>
        <w:t>projekt</w:t>
      </w:r>
      <w:r w:rsidR="004775EA">
        <w:rPr>
          <w:sz w:val="22"/>
          <w:szCs w:val="22"/>
        </w:rPr>
        <w:t>ů</w:t>
      </w:r>
      <w:r w:rsidRPr="003D47BC">
        <w:rPr>
          <w:sz w:val="22"/>
          <w:szCs w:val="22"/>
        </w:rPr>
        <w:t xml:space="preserve"> v aktivitě a) jsou certifikovány. </w:t>
      </w:r>
    </w:p>
    <w:p w:rsidR="00747E8A" w:rsidRDefault="00747E8A" w:rsidP="00747E8A">
      <w:pPr>
        <w:jc w:val="both"/>
        <w:rPr>
          <w:sz w:val="22"/>
          <w:szCs w:val="22"/>
        </w:rPr>
      </w:pPr>
    </w:p>
    <w:p w:rsidR="00747E8A" w:rsidRDefault="00747E8A" w:rsidP="00747E8A">
      <w:pPr>
        <w:jc w:val="both"/>
        <w:rPr>
          <w:sz w:val="22"/>
          <w:szCs w:val="22"/>
        </w:rPr>
      </w:pPr>
      <w:r w:rsidRPr="003D47BC">
        <w:rPr>
          <w:sz w:val="22"/>
          <w:szCs w:val="22"/>
        </w:rPr>
        <w:t xml:space="preserve">Cílová hodnota indikátoru </w:t>
      </w:r>
      <w:r w:rsidRPr="003D47BC">
        <w:rPr>
          <w:b/>
          <w:sz w:val="22"/>
          <w:szCs w:val="22"/>
        </w:rPr>
        <w:t xml:space="preserve">330400 </w:t>
      </w:r>
      <w:r w:rsidRPr="003D47BC">
        <w:rPr>
          <w:b/>
          <w:color w:val="000000"/>
          <w:sz w:val="22"/>
          <w:szCs w:val="22"/>
        </w:rPr>
        <w:t>Počet projektů pro tvorbu územně-analytických podkladů krajů</w:t>
      </w:r>
      <w:r w:rsidRPr="003D47BC">
        <w:rPr>
          <w:sz w:val="22"/>
          <w:szCs w:val="22"/>
        </w:rPr>
        <w:t xml:space="preserve"> je naplněna. Ve výši předpokládané cílové hodnoty počtu projektů pro tvorbu územně-analytických podkladů krajů bylo podáno 10 projektových žádostí, jeden projekt byl v průběhu administrace vyřazen. </w:t>
      </w:r>
    </w:p>
    <w:p w:rsidR="00747E8A" w:rsidRDefault="00747E8A" w:rsidP="00747E8A">
      <w:pPr>
        <w:jc w:val="both"/>
        <w:rPr>
          <w:sz w:val="22"/>
          <w:szCs w:val="22"/>
        </w:rPr>
      </w:pPr>
    </w:p>
    <w:p w:rsidR="00747E8A" w:rsidRDefault="00747E8A" w:rsidP="00747E8A">
      <w:pPr>
        <w:jc w:val="both"/>
        <w:rPr>
          <w:sz w:val="22"/>
          <w:szCs w:val="22"/>
        </w:rPr>
      </w:pPr>
      <w:r w:rsidRPr="003D47BC">
        <w:rPr>
          <w:sz w:val="22"/>
          <w:szCs w:val="22"/>
        </w:rPr>
        <w:t xml:space="preserve">Při nastavení cílové hodnoty indikátoru </w:t>
      </w:r>
      <w:r w:rsidRPr="000C1D94">
        <w:rPr>
          <w:b/>
          <w:sz w:val="22"/>
          <w:szCs w:val="22"/>
        </w:rPr>
        <w:t xml:space="preserve">330415 </w:t>
      </w:r>
      <w:r w:rsidRPr="000C1D94">
        <w:rPr>
          <w:b/>
          <w:color w:val="000000"/>
          <w:sz w:val="22"/>
          <w:szCs w:val="22"/>
        </w:rPr>
        <w:t>Plocha území obcí pokrytá územně analytickými podklady obcí</w:t>
      </w:r>
      <w:r w:rsidRPr="002934E2">
        <w:rPr>
          <w:color w:val="000000"/>
          <w:sz w:val="18"/>
          <w:szCs w:val="18"/>
        </w:rPr>
        <w:t xml:space="preserve"> </w:t>
      </w:r>
      <w:r w:rsidRPr="003D47BC">
        <w:rPr>
          <w:sz w:val="22"/>
          <w:szCs w:val="22"/>
        </w:rPr>
        <w:t>se vycházelo z předpokládané hodnoty v indikátoru č</w:t>
      </w:r>
      <w:r>
        <w:rPr>
          <w:sz w:val="22"/>
          <w:szCs w:val="22"/>
        </w:rPr>
        <w:t>íslo</w:t>
      </w:r>
      <w:r w:rsidRPr="003D47BC">
        <w:rPr>
          <w:sz w:val="22"/>
          <w:szCs w:val="22"/>
        </w:rPr>
        <w:t xml:space="preserve"> 330401. Plocha byla spočítána jako plocha 140 nejmenších obcí s rozšířenou působností a bylo podpořeno 170 žádostí obcí a plocha území obcí pokrytá územně analytickými podklady obcí naplnila indikátor 330415. Dosažené hodnoty indikátorů aktivity b) byly k rozhodnému datu ve všech případech přeplněny. </w:t>
      </w:r>
    </w:p>
    <w:p w:rsidR="00747E8A" w:rsidRDefault="00747E8A" w:rsidP="00747E8A">
      <w:pPr>
        <w:jc w:val="both"/>
        <w:rPr>
          <w:sz w:val="22"/>
          <w:szCs w:val="22"/>
        </w:rPr>
      </w:pPr>
    </w:p>
    <w:p w:rsidR="00747E8A" w:rsidRDefault="00747E8A" w:rsidP="00747E8A">
      <w:pPr>
        <w:jc w:val="both"/>
        <w:rPr>
          <w:sz w:val="22"/>
          <w:szCs w:val="22"/>
        </w:rPr>
      </w:pPr>
      <w:r w:rsidRPr="003D47BC">
        <w:rPr>
          <w:sz w:val="22"/>
          <w:szCs w:val="22"/>
        </w:rPr>
        <w:t xml:space="preserve">Při nastavení indikátoru </w:t>
      </w:r>
      <w:r w:rsidRPr="000C1D94">
        <w:rPr>
          <w:b/>
          <w:sz w:val="22"/>
          <w:szCs w:val="22"/>
        </w:rPr>
        <w:t>330411 Počet podpořených projektů tvorby nových nebo aktualizace existujících územních plánů</w:t>
      </w:r>
      <w:r w:rsidRPr="000C1D94">
        <w:rPr>
          <w:sz w:val="22"/>
          <w:szCs w:val="22"/>
        </w:rPr>
        <w:t xml:space="preserve"> </w:t>
      </w:r>
      <w:r w:rsidRPr="003D47BC">
        <w:rPr>
          <w:sz w:val="22"/>
          <w:szCs w:val="22"/>
        </w:rPr>
        <w:t xml:space="preserve">se vycházelo z několikanásobně vyšší ceny za územní plány, která platila v době přípravy programového dokumentu. Vycházelo se z max. ceny 4 mil. Kč na 1 územní plán včetně posudků, průměrná žádost o dotaci je však 800 tis. Kč, což mělo za následek více než pětinásobné překročení cílové hodnoty. </w:t>
      </w:r>
    </w:p>
    <w:p w:rsidR="00747E8A" w:rsidRDefault="00747E8A" w:rsidP="00747E8A">
      <w:pPr>
        <w:jc w:val="both"/>
        <w:rPr>
          <w:sz w:val="22"/>
          <w:szCs w:val="22"/>
        </w:rPr>
      </w:pPr>
    </w:p>
    <w:p w:rsidR="00747E8A" w:rsidRDefault="00747E8A" w:rsidP="00747E8A">
      <w:pPr>
        <w:jc w:val="both"/>
        <w:rPr>
          <w:sz w:val="22"/>
          <w:szCs w:val="22"/>
        </w:rPr>
      </w:pPr>
      <w:r w:rsidRPr="003D47BC">
        <w:rPr>
          <w:sz w:val="22"/>
          <w:szCs w:val="22"/>
        </w:rPr>
        <w:t xml:space="preserve">Při nastavení cílové hodnoty indikátoru </w:t>
      </w:r>
      <w:r w:rsidRPr="000C1D94">
        <w:rPr>
          <w:b/>
          <w:sz w:val="22"/>
          <w:szCs w:val="22"/>
        </w:rPr>
        <w:t xml:space="preserve">330416 </w:t>
      </w:r>
      <w:r w:rsidRPr="000C1D94">
        <w:rPr>
          <w:b/>
          <w:color w:val="000000"/>
          <w:sz w:val="22"/>
          <w:szCs w:val="22"/>
        </w:rPr>
        <w:t>Plocha území obcí pokrytá novým územním plánem</w:t>
      </w:r>
      <w:r w:rsidRPr="002934E2">
        <w:rPr>
          <w:color w:val="000000"/>
          <w:sz w:val="18"/>
          <w:szCs w:val="18"/>
        </w:rPr>
        <w:t xml:space="preserve"> </w:t>
      </w:r>
      <w:r w:rsidRPr="003D47BC">
        <w:rPr>
          <w:sz w:val="22"/>
          <w:szCs w:val="22"/>
        </w:rPr>
        <w:t>se vycházelo z předp</w:t>
      </w:r>
      <w:r>
        <w:rPr>
          <w:sz w:val="22"/>
          <w:szCs w:val="22"/>
        </w:rPr>
        <w:t>okládané hodnoty v indikátoru číslo</w:t>
      </w:r>
      <w:r w:rsidRPr="003D47BC">
        <w:rPr>
          <w:sz w:val="22"/>
          <w:szCs w:val="22"/>
        </w:rPr>
        <w:t xml:space="preserve"> 330411. </w:t>
      </w:r>
    </w:p>
    <w:p w:rsidR="00747E8A" w:rsidRPr="003D47BC" w:rsidRDefault="00747E8A" w:rsidP="00747E8A">
      <w:pPr>
        <w:jc w:val="both"/>
        <w:rPr>
          <w:sz w:val="22"/>
          <w:szCs w:val="22"/>
        </w:rPr>
      </w:pPr>
      <w:r w:rsidRPr="003D47BC">
        <w:rPr>
          <w:sz w:val="22"/>
          <w:szCs w:val="22"/>
        </w:rPr>
        <w:t>Plocha byla spočítána jako plocha 60 nejmenších obcí nad 500 obyvatel, které splňovaly podmínky připravovaných výzev v 5.3b). Dosažená hodnota indikátoru 330418 mnohonásobně převyšuje cílovou hodnotu z důvodu uvedených u indikátorů 330411 a 330416 (indikátory výstupu), ze kterých vychází.</w:t>
      </w:r>
    </w:p>
    <w:p w:rsidR="004C6E7E" w:rsidRPr="004C6E7E" w:rsidRDefault="004C6E7E" w:rsidP="004C6E7E"/>
    <w:p w:rsidR="001A7F77" w:rsidRDefault="001A7F77" w:rsidP="001A7F77">
      <w:pPr>
        <w:pStyle w:val="Tabulkanzev"/>
        <w:rPr>
          <w:b w:val="0"/>
        </w:rPr>
      </w:pPr>
      <w:bookmarkStart w:id="129" w:name="_Toc433873570"/>
      <w:r w:rsidRPr="002C770C">
        <w:rPr>
          <w:b w:val="0"/>
        </w:rPr>
        <w:t>Indikátory výstupu</w:t>
      </w:r>
      <w:bookmarkEnd w:id="129"/>
    </w:p>
    <w:tbl>
      <w:tblPr>
        <w:tblW w:w="9150" w:type="dxa"/>
        <w:tblInd w:w="55"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70" w:type="dxa"/>
          <w:right w:w="70" w:type="dxa"/>
        </w:tblCellMar>
        <w:tblLook w:val="04A0" w:firstRow="1" w:lastRow="0" w:firstColumn="1" w:lastColumn="0" w:noHBand="0" w:noVBand="1"/>
      </w:tblPr>
      <w:tblGrid>
        <w:gridCol w:w="1020"/>
        <w:gridCol w:w="1604"/>
        <w:gridCol w:w="952"/>
        <w:gridCol w:w="893"/>
        <w:gridCol w:w="893"/>
        <w:gridCol w:w="1247"/>
        <w:gridCol w:w="1203"/>
        <w:gridCol w:w="1338"/>
      </w:tblGrid>
      <w:tr w:rsidR="007D4496" w:rsidRPr="007D4496" w:rsidTr="004C5E8F">
        <w:trPr>
          <w:trHeight w:val="1076"/>
          <w:tblHeader/>
        </w:trPr>
        <w:tc>
          <w:tcPr>
            <w:tcW w:w="1020" w:type="dxa"/>
            <w:shd w:val="clear" w:color="000000" w:fill="C5D9F1"/>
            <w:vAlign w:val="center"/>
            <w:hideMark/>
          </w:tcPr>
          <w:p w:rsidR="007D4496" w:rsidRPr="007D4496" w:rsidRDefault="007D4496" w:rsidP="007D4496">
            <w:pPr>
              <w:jc w:val="center"/>
              <w:rPr>
                <w:b/>
                <w:bCs/>
              </w:rPr>
            </w:pPr>
            <w:bookmarkStart w:id="130" w:name="_Toc388355609"/>
            <w:bookmarkStart w:id="131" w:name="_Toc388355610"/>
            <w:bookmarkEnd w:id="130"/>
            <w:bookmarkEnd w:id="131"/>
            <w:r w:rsidRPr="007D4496">
              <w:rPr>
                <w:b/>
                <w:bCs/>
              </w:rPr>
              <w:lastRenderedPageBreak/>
              <w:t>Kód</w:t>
            </w:r>
          </w:p>
        </w:tc>
        <w:tc>
          <w:tcPr>
            <w:tcW w:w="1604" w:type="dxa"/>
            <w:shd w:val="clear" w:color="000000" w:fill="C5D9F1"/>
            <w:vAlign w:val="center"/>
            <w:hideMark/>
          </w:tcPr>
          <w:p w:rsidR="007D4496" w:rsidRPr="007D4496" w:rsidRDefault="007D4496" w:rsidP="007D4496">
            <w:pPr>
              <w:jc w:val="center"/>
              <w:rPr>
                <w:b/>
                <w:bCs/>
              </w:rPr>
            </w:pPr>
            <w:r w:rsidRPr="007D4496">
              <w:rPr>
                <w:b/>
                <w:bCs/>
              </w:rPr>
              <w:t>Název indikátoru</w:t>
            </w:r>
          </w:p>
        </w:tc>
        <w:tc>
          <w:tcPr>
            <w:tcW w:w="952" w:type="dxa"/>
            <w:shd w:val="clear" w:color="000000" w:fill="C5D9F1"/>
            <w:vAlign w:val="center"/>
            <w:hideMark/>
          </w:tcPr>
          <w:p w:rsidR="007D4496" w:rsidRPr="007D4496" w:rsidRDefault="007D4496" w:rsidP="007D4496">
            <w:pPr>
              <w:jc w:val="center"/>
              <w:rPr>
                <w:b/>
                <w:bCs/>
              </w:rPr>
            </w:pPr>
            <w:r w:rsidRPr="007D4496">
              <w:rPr>
                <w:b/>
                <w:bCs/>
              </w:rPr>
              <w:t>Měrná jednotka</w:t>
            </w:r>
          </w:p>
        </w:tc>
        <w:tc>
          <w:tcPr>
            <w:tcW w:w="893" w:type="dxa"/>
            <w:shd w:val="clear" w:color="000000" w:fill="C5D9F1"/>
            <w:vAlign w:val="center"/>
            <w:hideMark/>
          </w:tcPr>
          <w:p w:rsidR="007D4496" w:rsidRPr="007D4496" w:rsidRDefault="007D4496" w:rsidP="007D4496">
            <w:pPr>
              <w:jc w:val="center"/>
              <w:rPr>
                <w:b/>
                <w:bCs/>
              </w:rPr>
            </w:pPr>
            <w:r w:rsidRPr="007D4496">
              <w:rPr>
                <w:b/>
                <w:bCs/>
              </w:rPr>
              <w:t xml:space="preserve">Výchozí hodnota </w:t>
            </w:r>
          </w:p>
        </w:tc>
        <w:tc>
          <w:tcPr>
            <w:tcW w:w="893" w:type="dxa"/>
            <w:shd w:val="clear" w:color="000000" w:fill="C5D9F1"/>
            <w:vAlign w:val="center"/>
            <w:hideMark/>
          </w:tcPr>
          <w:p w:rsidR="007D4496" w:rsidRPr="007D4496" w:rsidRDefault="007D4496" w:rsidP="007D4496">
            <w:pPr>
              <w:jc w:val="center"/>
              <w:rPr>
                <w:b/>
                <w:bCs/>
              </w:rPr>
            </w:pPr>
            <w:r w:rsidRPr="007D4496">
              <w:rPr>
                <w:b/>
                <w:bCs/>
              </w:rPr>
              <w:t>Cílová hodnota</w:t>
            </w:r>
          </w:p>
        </w:tc>
        <w:tc>
          <w:tcPr>
            <w:tcW w:w="1247" w:type="dxa"/>
            <w:shd w:val="clear" w:color="000000" w:fill="C5D9F1"/>
            <w:vAlign w:val="center"/>
            <w:hideMark/>
          </w:tcPr>
          <w:p w:rsidR="007D4496" w:rsidRPr="007D4496" w:rsidRDefault="007D4496" w:rsidP="007D4496">
            <w:pPr>
              <w:jc w:val="center"/>
              <w:rPr>
                <w:b/>
                <w:bCs/>
              </w:rPr>
            </w:pPr>
            <w:r w:rsidRPr="007D4496">
              <w:rPr>
                <w:b/>
                <w:bCs/>
              </w:rPr>
              <w:t>Závazek ze schválených projektů</w:t>
            </w:r>
          </w:p>
        </w:tc>
        <w:tc>
          <w:tcPr>
            <w:tcW w:w="1203" w:type="dxa"/>
            <w:shd w:val="clear" w:color="000000" w:fill="C5D9F1"/>
            <w:vAlign w:val="center"/>
            <w:hideMark/>
          </w:tcPr>
          <w:p w:rsidR="007D4496" w:rsidRPr="007D4496" w:rsidRDefault="007D4496" w:rsidP="007D4496">
            <w:pPr>
              <w:jc w:val="center"/>
              <w:rPr>
                <w:b/>
                <w:bCs/>
              </w:rPr>
            </w:pPr>
            <w:r w:rsidRPr="007D4496">
              <w:rPr>
                <w:b/>
                <w:bCs/>
              </w:rPr>
              <w:t>Dosažená hodnota k 30. 9. 2015</w:t>
            </w:r>
          </w:p>
        </w:tc>
        <w:tc>
          <w:tcPr>
            <w:tcW w:w="1338" w:type="dxa"/>
            <w:shd w:val="clear" w:color="000000" w:fill="C5D9F1"/>
            <w:vAlign w:val="center"/>
            <w:hideMark/>
          </w:tcPr>
          <w:p w:rsidR="007D4496" w:rsidRPr="007D4496" w:rsidRDefault="007D4496" w:rsidP="007D4496">
            <w:pPr>
              <w:jc w:val="center"/>
              <w:rPr>
                <w:b/>
                <w:bCs/>
              </w:rPr>
            </w:pPr>
            <w:r w:rsidRPr="007D4496">
              <w:rPr>
                <w:b/>
                <w:bCs/>
              </w:rPr>
              <w:t>V Rozhodnutí k 30. 9. 2015</w:t>
            </w:r>
          </w:p>
        </w:tc>
      </w:tr>
      <w:tr w:rsidR="007D4496" w:rsidRPr="007D4496" w:rsidTr="00870123">
        <w:trPr>
          <w:trHeight w:val="961"/>
        </w:trPr>
        <w:tc>
          <w:tcPr>
            <w:tcW w:w="1020" w:type="dxa"/>
            <w:shd w:val="clear" w:color="000000" w:fill="FFFFFF"/>
            <w:vAlign w:val="center"/>
            <w:hideMark/>
          </w:tcPr>
          <w:p w:rsidR="007D4496" w:rsidRPr="007D4496" w:rsidRDefault="007D4496" w:rsidP="007D4496">
            <w:pPr>
              <w:jc w:val="center"/>
              <w:rPr>
                <w:sz w:val="18"/>
                <w:szCs w:val="18"/>
              </w:rPr>
            </w:pPr>
            <w:r w:rsidRPr="007D4496">
              <w:rPr>
                <w:sz w:val="18"/>
                <w:szCs w:val="18"/>
              </w:rPr>
              <w:t>410401</w:t>
            </w:r>
          </w:p>
        </w:tc>
        <w:tc>
          <w:tcPr>
            <w:tcW w:w="1604" w:type="dxa"/>
            <w:shd w:val="clear" w:color="000000" w:fill="FFFFFF"/>
            <w:vAlign w:val="bottom"/>
            <w:hideMark/>
          </w:tcPr>
          <w:p w:rsidR="007D4496" w:rsidRPr="007D4496" w:rsidRDefault="007D4496" w:rsidP="007D4496">
            <w:pPr>
              <w:rPr>
                <w:sz w:val="18"/>
                <w:szCs w:val="18"/>
              </w:rPr>
            </w:pPr>
            <w:r w:rsidRPr="007D4496">
              <w:rPr>
                <w:sz w:val="18"/>
                <w:szCs w:val="18"/>
              </w:rPr>
              <w:t xml:space="preserve">Počet zregenerovaných nemovitých kulturních památek </w:t>
            </w:r>
          </w:p>
        </w:tc>
        <w:tc>
          <w:tcPr>
            <w:tcW w:w="952" w:type="dxa"/>
            <w:shd w:val="clear" w:color="000000" w:fill="FFFFFF"/>
            <w:noWrap/>
            <w:vAlign w:val="center"/>
            <w:hideMark/>
          </w:tcPr>
          <w:p w:rsidR="007D4496" w:rsidRPr="007D4496" w:rsidRDefault="007D4496" w:rsidP="007D4496">
            <w:pPr>
              <w:jc w:val="center"/>
              <w:rPr>
                <w:sz w:val="18"/>
                <w:szCs w:val="18"/>
              </w:rPr>
            </w:pPr>
            <w:r w:rsidRPr="007D4496">
              <w:rPr>
                <w:sz w:val="18"/>
                <w:szCs w:val="18"/>
              </w:rPr>
              <w:t>Počet</w:t>
            </w:r>
          </w:p>
        </w:tc>
        <w:tc>
          <w:tcPr>
            <w:tcW w:w="893" w:type="dxa"/>
            <w:shd w:val="clear" w:color="000000" w:fill="FFFFFF"/>
            <w:noWrap/>
            <w:vAlign w:val="center"/>
            <w:hideMark/>
          </w:tcPr>
          <w:p w:rsidR="007D4496" w:rsidRPr="007D4496" w:rsidRDefault="007D4496" w:rsidP="007D4496">
            <w:pPr>
              <w:jc w:val="center"/>
              <w:rPr>
                <w:sz w:val="18"/>
                <w:szCs w:val="18"/>
              </w:rPr>
            </w:pPr>
            <w:r w:rsidRPr="007D4496">
              <w:rPr>
                <w:sz w:val="18"/>
                <w:szCs w:val="18"/>
              </w:rPr>
              <w:t>0</w:t>
            </w:r>
          </w:p>
        </w:tc>
        <w:tc>
          <w:tcPr>
            <w:tcW w:w="893" w:type="dxa"/>
            <w:shd w:val="clear" w:color="000000" w:fill="FFFFFF"/>
            <w:noWrap/>
            <w:vAlign w:val="center"/>
            <w:hideMark/>
          </w:tcPr>
          <w:p w:rsidR="007D4496" w:rsidRPr="007D4496" w:rsidRDefault="007D4496" w:rsidP="007D4496">
            <w:pPr>
              <w:jc w:val="center"/>
              <w:rPr>
                <w:sz w:val="18"/>
                <w:szCs w:val="18"/>
              </w:rPr>
            </w:pPr>
            <w:r w:rsidRPr="007D4496">
              <w:rPr>
                <w:sz w:val="18"/>
                <w:szCs w:val="18"/>
              </w:rPr>
              <w:t>70</w:t>
            </w:r>
          </w:p>
        </w:tc>
        <w:tc>
          <w:tcPr>
            <w:tcW w:w="1247" w:type="dxa"/>
            <w:shd w:val="clear" w:color="000000" w:fill="FFFFFF"/>
            <w:vAlign w:val="center"/>
            <w:hideMark/>
          </w:tcPr>
          <w:p w:rsidR="007D4496" w:rsidRPr="007D4496" w:rsidRDefault="007D4496" w:rsidP="007D4496">
            <w:pPr>
              <w:jc w:val="center"/>
              <w:rPr>
                <w:sz w:val="18"/>
                <w:szCs w:val="18"/>
              </w:rPr>
            </w:pPr>
            <w:r w:rsidRPr="007D4496">
              <w:rPr>
                <w:sz w:val="18"/>
                <w:szCs w:val="18"/>
              </w:rPr>
              <w:t>109</w:t>
            </w:r>
          </w:p>
        </w:tc>
        <w:tc>
          <w:tcPr>
            <w:tcW w:w="1203" w:type="dxa"/>
            <w:shd w:val="clear" w:color="000000" w:fill="FFFFFF"/>
            <w:vAlign w:val="center"/>
            <w:hideMark/>
          </w:tcPr>
          <w:p w:rsidR="007D4496" w:rsidRPr="007D4496" w:rsidRDefault="007D4496" w:rsidP="007D4496">
            <w:pPr>
              <w:jc w:val="center"/>
              <w:rPr>
                <w:sz w:val="18"/>
                <w:szCs w:val="18"/>
              </w:rPr>
            </w:pPr>
            <w:r w:rsidRPr="007D4496">
              <w:rPr>
                <w:sz w:val="18"/>
                <w:szCs w:val="18"/>
              </w:rPr>
              <w:t>59</w:t>
            </w:r>
          </w:p>
        </w:tc>
        <w:tc>
          <w:tcPr>
            <w:tcW w:w="1338" w:type="dxa"/>
            <w:shd w:val="clear" w:color="000000" w:fill="FFFFFF"/>
            <w:noWrap/>
            <w:vAlign w:val="center"/>
            <w:hideMark/>
          </w:tcPr>
          <w:p w:rsidR="007D4496" w:rsidRPr="007D4496" w:rsidRDefault="007D4496" w:rsidP="007D4496">
            <w:pPr>
              <w:jc w:val="right"/>
              <w:rPr>
                <w:sz w:val="18"/>
                <w:szCs w:val="18"/>
              </w:rPr>
            </w:pPr>
            <w:r w:rsidRPr="007D4496">
              <w:rPr>
                <w:sz w:val="18"/>
                <w:szCs w:val="18"/>
              </w:rPr>
              <w:t>5 361 427 006</w:t>
            </w:r>
          </w:p>
        </w:tc>
      </w:tr>
      <w:tr w:rsidR="007D4496" w:rsidRPr="007D4496" w:rsidTr="00870123">
        <w:trPr>
          <w:trHeight w:val="961"/>
        </w:trPr>
        <w:tc>
          <w:tcPr>
            <w:tcW w:w="1020" w:type="dxa"/>
            <w:shd w:val="clear" w:color="000000" w:fill="FFFFFF"/>
            <w:noWrap/>
            <w:vAlign w:val="center"/>
            <w:hideMark/>
          </w:tcPr>
          <w:p w:rsidR="007D4496" w:rsidRPr="007D4496" w:rsidRDefault="007D4496" w:rsidP="007D4496">
            <w:pPr>
              <w:jc w:val="center"/>
              <w:rPr>
                <w:sz w:val="18"/>
                <w:szCs w:val="18"/>
              </w:rPr>
            </w:pPr>
            <w:r w:rsidRPr="007D4496">
              <w:rPr>
                <w:sz w:val="18"/>
                <w:szCs w:val="18"/>
              </w:rPr>
              <w:t>410402</w:t>
            </w:r>
          </w:p>
        </w:tc>
        <w:tc>
          <w:tcPr>
            <w:tcW w:w="1604" w:type="dxa"/>
            <w:shd w:val="clear" w:color="000000" w:fill="FFFFFF"/>
            <w:vAlign w:val="bottom"/>
            <w:hideMark/>
          </w:tcPr>
          <w:p w:rsidR="007D4496" w:rsidRPr="007D4496" w:rsidRDefault="007D4496" w:rsidP="007D4496">
            <w:pPr>
              <w:rPr>
                <w:sz w:val="18"/>
                <w:szCs w:val="18"/>
              </w:rPr>
            </w:pPr>
            <w:r w:rsidRPr="007D4496">
              <w:rPr>
                <w:sz w:val="18"/>
                <w:szCs w:val="18"/>
              </w:rPr>
              <w:t xml:space="preserve">Počet nově vybudovaných či zmodernizovaných kulturních zařízení </w:t>
            </w:r>
          </w:p>
        </w:tc>
        <w:tc>
          <w:tcPr>
            <w:tcW w:w="952" w:type="dxa"/>
            <w:shd w:val="clear" w:color="000000" w:fill="FFFFFF"/>
            <w:noWrap/>
            <w:vAlign w:val="center"/>
            <w:hideMark/>
          </w:tcPr>
          <w:p w:rsidR="007D4496" w:rsidRPr="007D4496" w:rsidRDefault="007D4496" w:rsidP="007D4496">
            <w:pPr>
              <w:jc w:val="center"/>
              <w:rPr>
                <w:sz w:val="18"/>
                <w:szCs w:val="18"/>
              </w:rPr>
            </w:pPr>
            <w:r w:rsidRPr="007D4496">
              <w:rPr>
                <w:sz w:val="18"/>
                <w:szCs w:val="18"/>
              </w:rPr>
              <w:t>Počet</w:t>
            </w:r>
          </w:p>
        </w:tc>
        <w:tc>
          <w:tcPr>
            <w:tcW w:w="893" w:type="dxa"/>
            <w:shd w:val="clear" w:color="000000" w:fill="FFFFFF"/>
            <w:noWrap/>
            <w:vAlign w:val="center"/>
            <w:hideMark/>
          </w:tcPr>
          <w:p w:rsidR="007D4496" w:rsidRPr="007D4496" w:rsidRDefault="007D4496" w:rsidP="007D4496">
            <w:pPr>
              <w:jc w:val="center"/>
              <w:rPr>
                <w:sz w:val="18"/>
                <w:szCs w:val="18"/>
              </w:rPr>
            </w:pPr>
            <w:r w:rsidRPr="007D4496">
              <w:rPr>
                <w:sz w:val="18"/>
                <w:szCs w:val="18"/>
              </w:rPr>
              <w:t>0</w:t>
            </w:r>
          </w:p>
        </w:tc>
        <w:tc>
          <w:tcPr>
            <w:tcW w:w="893" w:type="dxa"/>
            <w:shd w:val="clear" w:color="000000" w:fill="FFFFFF"/>
            <w:noWrap/>
            <w:vAlign w:val="center"/>
            <w:hideMark/>
          </w:tcPr>
          <w:p w:rsidR="007D4496" w:rsidRPr="007D4496" w:rsidRDefault="007D4496" w:rsidP="007D4496">
            <w:pPr>
              <w:jc w:val="center"/>
              <w:rPr>
                <w:sz w:val="18"/>
                <w:szCs w:val="18"/>
              </w:rPr>
            </w:pPr>
            <w:r w:rsidRPr="007D4496">
              <w:rPr>
                <w:sz w:val="18"/>
                <w:szCs w:val="18"/>
              </w:rPr>
              <w:t>5</w:t>
            </w:r>
          </w:p>
        </w:tc>
        <w:tc>
          <w:tcPr>
            <w:tcW w:w="1247" w:type="dxa"/>
            <w:shd w:val="clear" w:color="000000" w:fill="FFFFFF"/>
            <w:vAlign w:val="center"/>
            <w:hideMark/>
          </w:tcPr>
          <w:p w:rsidR="007D4496" w:rsidRPr="007D4496" w:rsidRDefault="007D4496" w:rsidP="007D4496">
            <w:pPr>
              <w:jc w:val="center"/>
              <w:rPr>
                <w:sz w:val="18"/>
                <w:szCs w:val="18"/>
              </w:rPr>
            </w:pPr>
            <w:r w:rsidRPr="007D4496">
              <w:rPr>
                <w:sz w:val="18"/>
                <w:szCs w:val="18"/>
              </w:rPr>
              <w:t>4</w:t>
            </w:r>
          </w:p>
        </w:tc>
        <w:tc>
          <w:tcPr>
            <w:tcW w:w="1203" w:type="dxa"/>
            <w:shd w:val="clear" w:color="000000" w:fill="FFFFFF"/>
            <w:vAlign w:val="center"/>
            <w:hideMark/>
          </w:tcPr>
          <w:p w:rsidR="007D4496" w:rsidRPr="007D4496" w:rsidRDefault="007D4496" w:rsidP="007D4496">
            <w:pPr>
              <w:jc w:val="center"/>
              <w:rPr>
                <w:sz w:val="18"/>
                <w:szCs w:val="18"/>
              </w:rPr>
            </w:pPr>
            <w:r w:rsidRPr="007D4496">
              <w:rPr>
                <w:sz w:val="18"/>
                <w:szCs w:val="18"/>
              </w:rPr>
              <w:t>1</w:t>
            </w:r>
          </w:p>
        </w:tc>
        <w:tc>
          <w:tcPr>
            <w:tcW w:w="1338" w:type="dxa"/>
            <w:shd w:val="clear" w:color="000000" w:fill="FFFFFF"/>
            <w:noWrap/>
            <w:vAlign w:val="center"/>
            <w:hideMark/>
          </w:tcPr>
          <w:p w:rsidR="007D4496" w:rsidRPr="007D4496" w:rsidRDefault="007D4496" w:rsidP="007D4496">
            <w:pPr>
              <w:jc w:val="right"/>
              <w:rPr>
                <w:sz w:val="18"/>
                <w:szCs w:val="18"/>
              </w:rPr>
            </w:pPr>
            <w:r w:rsidRPr="007D4496">
              <w:rPr>
                <w:sz w:val="18"/>
                <w:szCs w:val="18"/>
              </w:rPr>
              <w:t>265 700 292</w:t>
            </w:r>
          </w:p>
        </w:tc>
      </w:tr>
      <w:tr w:rsidR="007D4496" w:rsidRPr="007D4496" w:rsidTr="00870123">
        <w:trPr>
          <w:trHeight w:val="721"/>
        </w:trPr>
        <w:tc>
          <w:tcPr>
            <w:tcW w:w="1020" w:type="dxa"/>
            <w:shd w:val="clear" w:color="000000" w:fill="FFFFFF"/>
            <w:vAlign w:val="center"/>
            <w:hideMark/>
          </w:tcPr>
          <w:p w:rsidR="007D4496" w:rsidRPr="007D4496" w:rsidRDefault="007D4496" w:rsidP="007D4496">
            <w:pPr>
              <w:jc w:val="center"/>
              <w:rPr>
                <w:sz w:val="18"/>
                <w:szCs w:val="18"/>
              </w:rPr>
            </w:pPr>
            <w:r w:rsidRPr="007D4496">
              <w:rPr>
                <w:sz w:val="18"/>
                <w:szCs w:val="18"/>
              </w:rPr>
              <w:t xml:space="preserve">330100 </w:t>
            </w:r>
            <w:r w:rsidRPr="007D4496">
              <w:rPr>
                <w:sz w:val="18"/>
                <w:szCs w:val="18"/>
              </w:rPr>
              <w:br/>
            </w:r>
            <w:proofErr w:type="spellStart"/>
            <w:r w:rsidRPr="007D4496">
              <w:rPr>
                <w:sz w:val="18"/>
                <w:szCs w:val="18"/>
              </w:rPr>
              <w:t>Core</w:t>
            </w:r>
            <w:proofErr w:type="spellEnd"/>
            <w:r w:rsidRPr="007D4496">
              <w:rPr>
                <w:sz w:val="18"/>
                <w:szCs w:val="18"/>
              </w:rPr>
              <w:t xml:space="preserve"> 39</w:t>
            </w:r>
          </w:p>
        </w:tc>
        <w:tc>
          <w:tcPr>
            <w:tcW w:w="1604" w:type="dxa"/>
            <w:shd w:val="clear" w:color="000000" w:fill="FFFFFF"/>
            <w:vAlign w:val="bottom"/>
            <w:hideMark/>
          </w:tcPr>
          <w:p w:rsidR="007D4496" w:rsidRPr="007D4496" w:rsidRDefault="007D4496" w:rsidP="007D4496">
            <w:pPr>
              <w:rPr>
                <w:sz w:val="18"/>
                <w:szCs w:val="18"/>
              </w:rPr>
            </w:pPr>
            <w:r w:rsidRPr="007D4496">
              <w:rPr>
                <w:sz w:val="18"/>
                <w:szCs w:val="18"/>
              </w:rPr>
              <w:t>Počet projektů zvyšujících atraktivitu měst</w:t>
            </w:r>
          </w:p>
        </w:tc>
        <w:tc>
          <w:tcPr>
            <w:tcW w:w="952" w:type="dxa"/>
            <w:shd w:val="clear" w:color="000000" w:fill="FFFFFF"/>
            <w:noWrap/>
            <w:vAlign w:val="center"/>
            <w:hideMark/>
          </w:tcPr>
          <w:p w:rsidR="007D4496" w:rsidRPr="007D4496" w:rsidRDefault="007D4496" w:rsidP="007D4496">
            <w:pPr>
              <w:jc w:val="center"/>
              <w:rPr>
                <w:sz w:val="18"/>
                <w:szCs w:val="18"/>
              </w:rPr>
            </w:pPr>
            <w:r w:rsidRPr="007D4496">
              <w:rPr>
                <w:sz w:val="18"/>
                <w:szCs w:val="18"/>
              </w:rPr>
              <w:t>Počet</w:t>
            </w:r>
          </w:p>
        </w:tc>
        <w:tc>
          <w:tcPr>
            <w:tcW w:w="893" w:type="dxa"/>
            <w:shd w:val="clear" w:color="000000" w:fill="FFFFFF"/>
            <w:noWrap/>
            <w:vAlign w:val="center"/>
            <w:hideMark/>
          </w:tcPr>
          <w:p w:rsidR="007D4496" w:rsidRPr="007D4496" w:rsidRDefault="007D4496" w:rsidP="007D4496">
            <w:pPr>
              <w:jc w:val="center"/>
              <w:rPr>
                <w:sz w:val="18"/>
                <w:szCs w:val="18"/>
              </w:rPr>
            </w:pPr>
            <w:r w:rsidRPr="007D4496">
              <w:rPr>
                <w:sz w:val="18"/>
                <w:szCs w:val="18"/>
              </w:rPr>
              <w:t>0</w:t>
            </w:r>
          </w:p>
        </w:tc>
        <w:tc>
          <w:tcPr>
            <w:tcW w:w="893" w:type="dxa"/>
            <w:shd w:val="clear" w:color="000000" w:fill="FFFFFF"/>
            <w:noWrap/>
            <w:vAlign w:val="center"/>
            <w:hideMark/>
          </w:tcPr>
          <w:p w:rsidR="007D4496" w:rsidRPr="007D4496" w:rsidRDefault="007D4496" w:rsidP="007D4496">
            <w:pPr>
              <w:jc w:val="center"/>
              <w:rPr>
                <w:sz w:val="18"/>
                <w:szCs w:val="18"/>
              </w:rPr>
            </w:pPr>
            <w:r w:rsidRPr="007D4496">
              <w:rPr>
                <w:sz w:val="18"/>
                <w:szCs w:val="18"/>
              </w:rPr>
              <w:t>1</w:t>
            </w:r>
            <w:r w:rsidR="000D3384">
              <w:rPr>
                <w:sz w:val="18"/>
                <w:szCs w:val="18"/>
              </w:rPr>
              <w:t xml:space="preserve"> </w:t>
            </w:r>
            <w:r w:rsidRPr="007D4496">
              <w:rPr>
                <w:sz w:val="18"/>
                <w:szCs w:val="18"/>
              </w:rPr>
              <w:t>000</w:t>
            </w:r>
          </w:p>
        </w:tc>
        <w:tc>
          <w:tcPr>
            <w:tcW w:w="1247" w:type="dxa"/>
            <w:shd w:val="clear" w:color="000000" w:fill="FFFFFF"/>
            <w:vAlign w:val="center"/>
            <w:hideMark/>
          </w:tcPr>
          <w:p w:rsidR="007D4496" w:rsidRPr="007D4496" w:rsidRDefault="007D4496" w:rsidP="007D4496">
            <w:pPr>
              <w:jc w:val="center"/>
              <w:rPr>
                <w:sz w:val="18"/>
                <w:szCs w:val="18"/>
              </w:rPr>
            </w:pPr>
            <w:r w:rsidRPr="007D4496">
              <w:rPr>
                <w:sz w:val="18"/>
                <w:szCs w:val="18"/>
              </w:rPr>
              <w:t>1</w:t>
            </w:r>
            <w:r w:rsidR="000D3384">
              <w:rPr>
                <w:sz w:val="18"/>
                <w:szCs w:val="18"/>
              </w:rPr>
              <w:t xml:space="preserve"> </w:t>
            </w:r>
            <w:r w:rsidRPr="007D4496">
              <w:rPr>
                <w:sz w:val="18"/>
                <w:szCs w:val="18"/>
              </w:rPr>
              <w:t>466</w:t>
            </w:r>
          </w:p>
        </w:tc>
        <w:tc>
          <w:tcPr>
            <w:tcW w:w="1203" w:type="dxa"/>
            <w:shd w:val="clear" w:color="000000" w:fill="FFFFFF"/>
            <w:vAlign w:val="center"/>
            <w:hideMark/>
          </w:tcPr>
          <w:p w:rsidR="007D4496" w:rsidRPr="007D4496" w:rsidRDefault="007D4496" w:rsidP="007D4496">
            <w:pPr>
              <w:jc w:val="center"/>
              <w:rPr>
                <w:sz w:val="18"/>
                <w:szCs w:val="18"/>
              </w:rPr>
            </w:pPr>
            <w:r w:rsidRPr="007D4496">
              <w:rPr>
                <w:sz w:val="18"/>
                <w:szCs w:val="18"/>
              </w:rPr>
              <w:t>1</w:t>
            </w:r>
            <w:r w:rsidR="000D3384">
              <w:rPr>
                <w:sz w:val="18"/>
                <w:szCs w:val="18"/>
              </w:rPr>
              <w:t xml:space="preserve"> </w:t>
            </w:r>
            <w:r w:rsidRPr="007D4496">
              <w:rPr>
                <w:sz w:val="18"/>
                <w:szCs w:val="18"/>
              </w:rPr>
              <w:t>404</w:t>
            </w:r>
          </w:p>
        </w:tc>
        <w:tc>
          <w:tcPr>
            <w:tcW w:w="1338" w:type="dxa"/>
            <w:shd w:val="clear" w:color="000000" w:fill="FFFFFF"/>
            <w:noWrap/>
            <w:vAlign w:val="center"/>
            <w:hideMark/>
          </w:tcPr>
          <w:p w:rsidR="007D4496" w:rsidRPr="007D4496" w:rsidRDefault="007D4496" w:rsidP="007D4496">
            <w:pPr>
              <w:jc w:val="right"/>
              <w:rPr>
                <w:sz w:val="18"/>
                <w:szCs w:val="18"/>
              </w:rPr>
            </w:pPr>
            <w:r w:rsidRPr="007D4496">
              <w:rPr>
                <w:sz w:val="18"/>
                <w:szCs w:val="18"/>
              </w:rPr>
              <w:t>6 176 639 823</w:t>
            </w:r>
          </w:p>
        </w:tc>
      </w:tr>
      <w:tr w:rsidR="007D4496" w:rsidRPr="007D4496" w:rsidTr="00870123">
        <w:trPr>
          <w:trHeight w:val="961"/>
        </w:trPr>
        <w:tc>
          <w:tcPr>
            <w:tcW w:w="1020" w:type="dxa"/>
            <w:shd w:val="clear" w:color="000000" w:fill="FFFFFF"/>
            <w:noWrap/>
            <w:vAlign w:val="center"/>
            <w:hideMark/>
          </w:tcPr>
          <w:p w:rsidR="007D4496" w:rsidRPr="007D4496" w:rsidRDefault="007D4496" w:rsidP="007D4496">
            <w:pPr>
              <w:jc w:val="center"/>
              <w:rPr>
                <w:sz w:val="18"/>
                <w:szCs w:val="18"/>
              </w:rPr>
            </w:pPr>
            <w:r w:rsidRPr="007D4496">
              <w:rPr>
                <w:sz w:val="18"/>
                <w:szCs w:val="18"/>
              </w:rPr>
              <w:t>330103</w:t>
            </w:r>
          </w:p>
        </w:tc>
        <w:tc>
          <w:tcPr>
            <w:tcW w:w="1604" w:type="dxa"/>
            <w:shd w:val="clear" w:color="000000" w:fill="FFFFFF"/>
            <w:vAlign w:val="bottom"/>
            <w:hideMark/>
          </w:tcPr>
          <w:p w:rsidR="007D4496" w:rsidRPr="007D4496" w:rsidRDefault="00794EEB" w:rsidP="007D4496">
            <w:pPr>
              <w:rPr>
                <w:sz w:val="18"/>
                <w:szCs w:val="18"/>
              </w:rPr>
            </w:pPr>
            <w:r w:rsidRPr="007D4496">
              <w:rPr>
                <w:sz w:val="18"/>
                <w:szCs w:val="18"/>
              </w:rPr>
              <w:t>Počet projektů</w:t>
            </w:r>
            <w:r w:rsidR="007D4496" w:rsidRPr="007D4496">
              <w:rPr>
                <w:sz w:val="18"/>
                <w:szCs w:val="18"/>
              </w:rPr>
              <w:t xml:space="preserve"> zvyšujících atraktivitu bydlení </w:t>
            </w:r>
            <w:r>
              <w:rPr>
                <w:sz w:val="18"/>
                <w:szCs w:val="18"/>
              </w:rPr>
              <w:br/>
            </w:r>
            <w:r w:rsidR="007D4496" w:rsidRPr="007D4496">
              <w:rPr>
                <w:sz w:val="18"/>
                <w:szCs w:val="18"/>
              </w:rPr>
              <w:t xml:space="preserve">v území  </w:t>
            </w:r>
          </w:p>
        </w:tc>
        <w:tc>
          <w:tcPr>
            <w:tcW w:w="952" w:type="dxa"/>
            <w:shd w:val="clear" w:color="000000" w:fill="FFFFFF"/>
            <w:noWrap/>
            <w:vAlign w:val="center"/>
            <w:hideMark/>
          </w:tcPr>
          <w:p w:rsidR="007D4496" w:rsidRPr="007D4496" w:rsidRDefault="007D4496" w:rsidP="007D4496">
            <w:pPr>
              <w:jc w:val="center"/>
              <w:rPr>
                <w:sz w:val="18"/>
                <w:szCs w:val="18"/>
              </w:rPr>
            </w:pPr>
            <w:r w:rsidRPr="007D4496">
              <w:rPr>
                <w:sz w:val="18"/>
                <w:szCs w:val="18"/>
              </w:rPr>
              <w:t>Počet</w:t>
            </w:r>
          </w:p>
        </w:tc>
        <w:tc>
          <w:tcPr>
            <w:tcW w:w="893" w:type="dxa"/>
            <w:shd w:val="clear" w:color="000000" w:fill="FFFFFF"/>
            <w:noWrap/>
            <w:vAlign w:val="center"/>
            <w:hideMark/>
          </w:tcPr>
          <w:p w:rsidR="007D4496" w:rsidRPr="007D4496" w:rsidRDefault="007D4496" w:rsidP="007D4496">
            <w:pPr>
              <w:jc w:val="center"/>
              <w:rPr>
                <w:sz w:val="18"/>
                <w:szCs w:val="18"/>
              </w:rPr>
            </w:pPr>
            <w:r w:rsidRPr="007D4496">
              <w:rPr>
                <w:sz w:val="18"/>
                <w:szCs w:val="18"/>
              </w:rPr>
              <w:t>0</w:t>
            </w:r>
          </w:p>
        </w:tc>
        <w:tc>
          <w:tcPr>
            <w:tcW w:w="893" w:type="dxa"/>
            <w:shd w:val="clear" w:color="000000" w:fill="FFFFFF"/>
            <w:noWrap/>
            <w:vAlign w:val="center"/>
            <w:hideMark/>
          </w:tcPr>
          <w:p w:rsidR="007D4496" w:rsidRPr="007D4496" w:rsidRDefault="007D4496" w:rsidP="007D4496">
            <w:pPr>
              <w:jc w:val="center"/>
              <w:rPr>
                <w:sz w:val="18"/>
                <w:szCs w:val="18"/>
              </w:rPr>
            </w:pPr>
            <w:r w:rsidRPr="007D4496">
              <w:rPr>
                <w:sz w:val="18"/>
                <w:szCs w:val="18"/>
              </w:rPr>
              <w:t>41</w:t>
            </w:r>
          </w:p>
        </w:tc>
        <w:tc>
          <w:tcPr>
            <w:tcW w:w="1247" w:type="dxa"/>
            <w:shd w:val="clear" w:color="000000" w:fill="FFFFFF"/>
            <w:vAlign w:val="center"/>
            <w:hideMark/>
          </w:tcPr>
          <w:p w:rsidR="007D4496" w:rsidRPr="007D4496" w:rsidRDefault="007D4496" w:rsidP="007D4496">
            <w:pPr>
              <w:jc w:val="center"/>
              <w:rPr>
                <w:sz w:val="18"/>
                <w:szCs w:val="18"/>
              </w:rPr>
            </w:pPr>
            <w:r w:rsidRPr="007D4496">
              <w:rPr>
                <w:sz w:val="18"/>
                <w:szCs w:val="18"/>
              </w:rPr>
              <w:t>256</w:t>
            </w:r>
          </w:p>
        </w:tc>
        <w:tc>
          <w:tcPr>
            <w:tcW w:w="1203" w:type="dxa"/>
            <w:shd w:val="clear" w:color="000000" w:fill="FFFFFF"/>
            <w:vAlign w:val="center"/>
            <w:hideMark/>
          </w:tcPr>
          <w:p w:rsidR="007D4496" w:rsidRPr="007D4496" w:rsidRDefault="007D4496" w:rsidP="007D4496">
            <w:pPr>
              <w:jc w:val="center"/>
              <w:rPr>
                <w:sz w:val="18"/>
                <w:szCs w:val="18"/>
              </w:rPr>
            </w:pPr>
            <w:r w:rsidRPr="007D4496">
              <w:rPr>
                <w:sz w:val="18"/>
                <w:szCs w:val="18"/>
              </w:rPr>
              <w:t>256</w:t>
            </w:r>
          </w:p>
        </w:tc>
        <w:tc>
          <w:tcPr>
            <w:tcW w:w="1338" w:type="dxa"/>
            <w:shd w:val="clear" w:color="000000" w:fill="FFFFFF"/>
            <w:noWrap/>
            <w:vAlign w:val="center"/>
            <w:hideMark/>
          </w:tcPr>
          <w:p w:rsidR="007D4496" w:rsidRPr="007D4496" w:rsidRDefault="007D4496" w:rsidP="007D4496">
            <w:pPr>
              <w:jc w:val="right"/>
              <w:rPr>
                <w:sz w:val="18"/>
                <w:szCs w:val="18"/>
              </w:rPr>
            </w:pPr>
            <w:r w:rsidRPr="007D4496">
              <w:rPr>
                <w:sz w:val="18"/>
                <w:szCs w:val="18"/>
              </w:rPr>
              <w:t>3 569 911 861</w:t>
            </w:r>
          </w:p>
        </w:tc>
      </w:tr>
      <w:tr w:rsidR="007D4496" w:rsidRPr="007D4496" w:rsidTr="00870123">
        <w:trPr>
          <w:trHeight w:val="721"/>
        </w:trPr>
        <w:tc>
          <w:tcPr>
            <w:tcW w:w="1020" w:type="dxa"/>
            <w:shd w:val="clear" w:color="000000" w:fill="FFFFFF"/>
            <w:vAlign w:val="center"/>
            <w:hideMark/>
          </w:tcPr>
          <w:p w:rsidR="007D4496" w:rsidRPr="007D4496" w:rsidRDefault="007D4496" w:rsidP="007D4496">
            <w:pPr>
              <w:jc w:val="center"/>
              <w:rPr>
                <w:sz w:val="18"/>
                <w:szCs w:val="18"/>
              </w:rPr>
            </w:pPr>
            <w:r w:rsidRPr="007D4496">
              <w:rPr>
                <w:sz w:val="18"/>
                <w:szCs w:val="18"/>
              </w:rPr>
              <w:t>330101</w:t>
            </w:r>
          </w:p>
        </w:tc>
        <w:tc>
          <w:tcPr>
            <w:tcW w:w="1604" w:type="dxa"/>
            <w:shd w:val="clear" w:color="000000" w:fill="FFFFFF"/>
            <w:vAlign w:val="bottom"/>
            <w:hideMark/>
          </w:tcPr>
          <w:p w:rsidR="007D4496" w:rsidRPr="007D4496" w:rsidRDefault="00794EEB" w:rsidP="007D4496">
            <w:pPr>
              <w:rPr>
                <w:sz w:val="18"/>
                <w:szCs w:val="18"/>
              </w:rPr>
            </w:pPr>
            <w:r w:rsidRPr="007D4496">
              <w:rPr>
                <w:sz w:val="18"/>
                <w:szCs w:val="18"/>
              </w:rPr>
              <w:t>Počet projektů</w:t>
            </w:r>
            <w:r w:rsidR="007D4496" w:rsidRPr="007D4496">
              <w:rPr>
                <w:sz w:val="18"/>
                <w:szCs w:val="18"/>
              </w:rPr>
              <w:t xml:space="preserve"> zlepšující stav bytových domů </w:t>
            </w:r>
          </w:p>
        </w:tc>
        <w:tc>
          <w:tcPr>
            <w:tcW w:w="952" w:type="dxa"/>
            <w:shd w:val="clear" w:color="000000" w:fill="FFFFFF"/>
            <w:noWrap/>
            <w:vAlign w:val="center"/>
            <w:hideMark/>
          </w:tcPr>
          <w:p w:rsidR="007D4496" w:rsidRPr="007D4496" w:rsidRDefault="007D4496" w:rsidP="007D4496">
            <w:pPr>
              <w:jc w:val="center"/>
              <w:rPr>
                <w:sz w:val="18"/>
                <w:szCs w:val="18"/>
              </w:rPr>
            </w:pPr>
            <w:r w:rsidRPr="007D4496">
              <w:rPr>
                <w:sz w:val="18"/>
                <w:szCs w:val="18"/>
              </w:rPr>
              <w:t>Počet</w:t>
            </w:r>
          </w:p>
        </w:tc>
        <w:tc>
          <w:tcPr>
            <w:tcW w:w="893" w:type="dxa"/>
            <w:shd w:val="clear" w:color="000000" w:fill="FFFFFF"/>
            <w:noWrap/>
            <w:vAlign w:val="center"/>
            <w:hideMark/>
          </w:tcPr>
          <w:p w:rsidR="007D4496" w:rsidRPr="007D4496" w:rsidRDefault="007D4496" w:rsidP="007D4496">
            <w:pPr>
              <w:jc w:val="center"/>
              <w:rPr>
                <w:sz w:val="18"/>
                <w:szCs w:val="18"/>
              </w:rPr>
            </w:pPr>
            <w:r w:rsidRPr="007D4496">
              <w:rPr>
                <w:sz w:val="18"/>
                <w:szCs w:val="18"/>
              </w:rPr>
              <w:t>0</w:t>
            </w:r>
          </w:p>
        </w:tc>
        <w:tc>
          <w:tcPr>
            <w:tcW w:w="893" w:type="dxa"/>
            <w:shd w:val="clear" w:color="000000" w:fill="FFFFFF"/>
            <w:noWrap/>
            <w:vAlign w:val="center"/>
            <w:hideMark/>
          </w:tcPr>
          <w:p w:rsidR="007D4496" w:rsidRPr="007D4496" w:rsidRDefault="007D4496" w:rsidP="007D4496">
            <w:pPr>
              <w:jc w:val="center"/>
              <w:rPr>
                <w:sz w:val="18"/>
                <w:szCs w:val="18"/>
              </w:rPr>
            </w:pPr>
            <w:r w:rsidRPr="007D4496">
              <w:rPr>
                <w:sz w:val="18"/>
                <w:szCs w:val="18"/>
              </w:rPr>
              <w:t>950</w:t>
            </w:r>
          </w:p>
        </w:tc>
        <w:tc>
          <w:tcPr>
            <w:tcW w:w="1247" w:type="dxa"/>
            <w:shd w:val="clear" w:color="000000" w:fill="FFFFFF"/>
            <w:vAlign w:val="center"/>
            <w:hideMark/>
          </w:tcPr>
          <w:p w:rsidR="007D4496" w:rsidRPr="007D4496" w:rsidRDefault="007D4496" w:rsidP="007D4496">
            <w:pPr>
              <w:jc w:val="center"/>
              <w:rPr>
                <w:sz w:val="18"/>
                <w:szCs w:val="18"/>
              </w:rPr>
            </w:pPr>
            <w:r w:rsidRPr="007D4496">
              <w:rPr>
                <w:sz w:val="18"/>
                <w:szCs w:val="18"/>
              </w:rPr>
              <w:t>1</w:t>
            </w:r>
            <w:r w:rsidR="000D3384">
              <w:rPr>
                <w:sz w:val="18"/>
                <w:szCs w:val="18"/>
              </w:rPr>
              <w:t xml:space="preserve"> </w:t>
            </w:r>
            <w:r w:rsidRPr="007D4496">
              <w:rPr>
                <w:sz w:val="18"/>
                <w:szCs w:val="18"/>
              </w:rPr>
              <w:t>081</w:t>
            </w:r>
          </w:p>
        </w:tc>
        <w:tc>
          <w:tcPr>
            <w:tcW w:w="1203" w:type="dxa"/>
            <w:shd w:val="clear" w:color="000000" w:fill="FFFFFF"/>
            <w:vAlign w:val="center"/>
            <w:hideMark/>
          </w:tcPr>
          <w:p w:rsidR="007D4496" w:rsidRPr="007D4496" w:rsidRDefault="007D4496" w:rsidP="007D4496">
            <w:pPr>
              <w:jc w:val="center"/>
              <w:rPr>
                <w:sz w:val="18"/>
                <w:szCs w:val="18"/>
              </w:rPr>
            </w:pPr>
            <w:r w:rsidRPr="007D4496">
              <w:rPr>
                <w:sz w:val="18"/>
                <w:szCs w:val="18"/>
              </w:rPr>
              <w:t>1</w:t>
            </w:r>
            <w:r w:rsidR="000D3384">
              <w:rPr>
                <w:sz w:val="18"/>
                <w:szCs w:val="18"/>
              </w:rPr>
              <w:t xml:space="preserve"> </w:t>
            </w:r>
            <w:r w:rsidRPr="007D4496">
              <w:rPr>
                <w:sz w:val="18"/>
                <w:szCs w:val="18"/>
              </w:rPr>
              <w:t>081</w:t>
            </w:r>
          </w:p>
        </w:tc>
        <w:tc>
          <w:tcPr>
            <w:tcW w:w="1338" w:type="dxa"/>
            <w:shd w:val="clear" w:color="000000" w:fill="FFFFFF"/>
            <w:noWrap/>
            <w:vAlign w:val="center"/>
            <w:hideMark/>
          </w:tcPr>
          <w:p w:rsidR="007D4496" w:rsidRPr="007D4496" w:rsidRDefault="007D4496" w:rsidP="007D4496">
            <w:pPr>
              <w:jc w:val="right"/>
              <w:rPr>
                <w:sz w:val="18"/>
                <w:szCs w:val="18"/>
              </w:rPr>
            </w:pPr>
            <w:r w:rsidRPr="007D4496">
              <w:rPr>
                <w:sz w:val="18"/>
                <w:szCs w:val="18"/>
              </w:rPr>
              <w:t>2 279 714 819</w:t>
            </w:r>
          </w:p>
        </w:tc>
      </w:tr>
      <w:tr w:rsidR="007D4496" w:rsidRPr="007D4496" w:rsidTr="00870123">
        <w:trPr>
          <w:trHeight w:val="961"/>
        </w:trPr>
        <w:tc>
          <w:tcPr>
            <w:tcW w:w="1020" w:type="dxa"/>
            <w:shd w:val="clear" w:color="000000" w:fill="FFFFFF"/>
            <w:vAlign w:val="center"/>
            <w:hideMark/>
          </w:tcPr>
          <w:p w:rsidR="007D4496" w:rsidRPr="007D4496" w:rsidRDefault="007D4496" w:rsidP="007D4496">
            <w:pPr>
              <w:jc w:val="center"/>
              <w:rPr>
                <w:sz w:val="18"/>
                <w:szCs w:val="18"/>
              </w:rPr>
            </w:pPr>
            <w:r w:rsidRPr="007D4496">
              <w:rPr>
                <w:sz w:val="18"/>
                <w:szCs w:val="18"/>
              </w:rPr>
              <w:t>330102</w:t>
            </w:r>
          </w:p>
        </w:tc>
        <w:tc>
          <w:tcPr>
            <w:tcW w:w="1604" w:type="dxa"/>
            <w:shd w:val="clear" w:color="000000" w:fill="FFFFFF"/>
            <w:vAlign w:val="bottom"/>
            <w:hideMark/>
          </w:tcPr>
          <w:p w:rsidR="007D4496" w:rsidRPr="007D4496" w:rsidRDefault="007D4496" w:rsidP="007D4496">
            <w:pPr>
              <w:rPr>
                <w:sz w:val="18"/>
                <w:szCs w:val="18"/>
              </w:rPr>
            </w:pPr>
            <w:r w:rsidRPr="007D4496">
              <w:rPr>
                <w:sz w:val="18"/>
                <w:szCs w:val="18"/>
              </w:rPr>
              <w:t>Počet pilotních projektů</w:t>
            </w:r>
            <w:r w:rsidR="00794EEB">
              <w:rPr>
                <w:sz w:val="18"/>
                <w:szCs w:val="18"/>
              </w:rPr>
              <w:t xml:space="preserve"> </w:t>
            </w:r>
            <w:r w:rsidRPr="007D4496">
              <w:rPr>
                <w:sz w:val="18"/>
                <w:szCs w:val="18"/>
              </w:rPr>
              <w:t xml:space="preserve">– podpora vybraných romských lokalit </w:t>
            </w:r>
          </w:p>
        </w:tc>
        <w:tc>
          <w:tcPr>
            <w:tcW w:w="952" w:type="dxa"/>
            <w:shd w:val="clear" w:color="000000" w:fill="FFFFFF"/>
            <w:noWrap/>
            <w:vAlign w:val="center"/>
            <w:hideMark/>
          </w:tcPr>
          <w:p w:rsidR="007D4496" w:rsidRPr="007D4496" w:rsidRDefault="007D4496" w:rsidP="007D4496">
            <w:pPr>
              <w:jc w:val="center"/>
              <w:rPr>
                <w:sz w:val="18"/>
                <w:szCs w:val="18"/>
              </w:rPr>
            </w:pPr>
            <w:r w:rsidRPr="007D4496">
              <w:rPr>
                <w:sz w:val="18"/>
                <w:szCs w:val="18"/>
              </w:rPr>
              <w:t>Počet</w:t>
            </w:r>
          </w:p>
        </w:tc>
        <w:tc>
          <w:tcPr>
            <w:tcW w:w="893" w:type="dxa"/>
            <w:shd w:val="clear" w:color="000000" w:fill="FFFFFF"/>
            <w:noWrap/>
            <w:vAlign w:val="center"/>
            <w:hideMark/>
          </w:tcPr>
          <w:p w:rsidR="007D4496" w:rsidRPr="007D4496" w:rsidRDefault="007D4496" w:rsidP="007D4496">
            <w:pPr>
              <w:jc w:val="center"/>
              <w:rPr>
                <w:sz w:val="18"/>
                <w:szCs w:val="18"/>
              </w:rPr>
            </w:pPr>
            <w:r w:rsidRPr="007D4496">
              <w:rPr>
                <w:sz w:val="18"/>
                <w:szCs w:val="18"/>
              </w:rPr>
              <w:t>0</w:t>
            </w:r>
          </w:p>
        </w:tc>
        <w:tc>
          <w:tcPr>
            <w:tcW w:w="893" w:type="dxa"/>
            <w:shd w:val="clear" w:color="000000" w:fill="FFFFFF"/>
            <w:noWrap/>
            <w:vAlign w:val="center"/>
            <w:hideMark/>
          </w:tcPr>
          <w:p w:rsidR="007D4496" w:rsidRPr="007D4496" w:rsidRDefault="007D4496" w:rsidP="007D4496">
            <w:pPr>
              <w:jc w:val="center"/>
              <w:rPr>
                <w:sz w:val="18"/>
                <w:szCs w:val="18"/>
              </w:rPr>
            </w:pPr>
            <w:r w:rsidRPr="007D4496">
              <w:rPr>
                <w:sz w:val="18"/>
                <w:szCs w:val="18"/>
              </w:rPr>
              <w:t>7</w:t>
            </w:r>
          </w:p>
        </w:tc>
        <w:tc>
          <w:tcPr>
            <w:tcW w:w="1247" w:type="dxa"/>
            <w:shd w:val="clear" w:color="000000" w:fill="FFFFFF"/>
            <w:vAlign w:val="center"/>
            <w:hideMark/>
          </w:tcPr>
          <w:p w:rsidR="007D4496" w:rsidRPr="007D4496" w:rsidRDefault="007D4496" w:rsidP="007D4496">
            <w:pPr>
              <w:jc w:val="center"/>
              <w:rPr>
                <w:sz w:val="18"/>
                <w:szCs w:val="18"/>
              </w:rPr>
            </w:pPr>
            <w:r w:rsidRPr="007D4496">
              <w:rPr>
                <w:sz w:val="18"/>
                <w:szCs w:val="18"/>
              </w:rPr>
              <w:t>6</w:t>
            </w:r>
          </w:p>
        </w:tc>
        <w:tc>
          <w:tcPr>
            <w:tcW w:w="1203" w:type="dxa"/>
            <w:shd w:val="clear" w:color="000000" w:fill="FFFFFF"/>
            <w:vAlign w:val="center"/>
            <w:hideMark/>
          </w:tcPr>
          <w:p w:rsidR="007D4496" w:rsidRPr="007D4496" w:rsidRDefault="007D4496" w:rsidP="007D4496">
            <w:pPr>
              <w:jc w:val="center"/>
              <w:rPr>
                <w:sz w:val="18"/>
                <w:szCs w:val="18"/>
              </w:rPr>
            </w:pPr>
            <w:r w:rsidRPr="007D4496">
              <w:rPr>
                <w:sz w:val="18"/>
                <w:szCs w:val="18"/>
              </w:rPr>
              <w:t>6</w:t>
            </w:r>
          </w:p>
        </w:tc>
        <w:tc>
          <w:tcPr>
            <w:tcW w:w="1338" w:type="dxa"/>
            <w:shd w:val="clear" w:color="000000" w:fill="FFFFFF"/>
            <w:noWrap/>
            <w:vAlign w:val="center"/>
            <w:hideMark/>
          </w:tcPr>
          <w:p w:rsidR="007D4496" w:rsidRPr="007D4496" w:rsidRDefault="007D4496" w:rsidP="007D4496">
            <w:pPr>
              <w:jc w:val="right"/>
              <w:rPr>
                <w:sz w:val="18"/>
                <w:szCs w:val="18"/>
              </w:rPr>
            </w:pPr>
            <w:r w:rsidRPr="007D4496">
              <w:rPr>
                <w:sz w:val="18"/>
                <w:szCs w:val="18"/>
              </w:rPr>
              <w:t>327 013 143</w:t>
            </w:r>
          </w:p>
        </w:tc>
      </w:tr>
      <w:tr w:rsidR="007D4496" w:rsidRPr="007D4496" w:rsidTr="00870123">
        <w:trPr>
          <w:trHeight w:val="961"/>
        </w:trPr>
        <w:tc>
          <w:tcPr>
            <w:tcW w:w="1020" w:type="dxa"/>
            <w:shd w:val="clear" w:color="000000" w:fill="FFFFFF"/>
            <w:vAlign w:val="center"/>
            <w:hideMark/>
          </w:tcPr>
          <w:p w:rsidR="007D4496" w:rsidRPr="007D4496" w:rsidRDefault="007D4496" w:rsidP="007D4496">
            <w:pPr>
              <w:jc w:val="center"/>
              <w:rPr>
                <w:sz w:val="18"/>
                <w:szCs w:val="18"/>
              </w:rPr>
            </w:pPr>
            <w:r w:rsidRPr="007D4496">
              <w:rPr>
                <w:sz w:val="18"/>
                <w:szCs w:val="18"/>
              </w:rPr>
              <w:t>330400</w:t>
            </w:r>
          </w:p>
        </w:tc>
        <w:tc>
          <w:tcPr>
            <w:tcW w:w="1604" w:type="dxa"/>
            <w:shd w:val="clear" w:color="000000" w:fill="FFFFFF"/>
            <w:vAlign w:val="bottom"/>
            <w:hideMark/>
          </w:tcPr>
          <w:p w:rsidR="007D4496" w:rsidRPr="007D4496" w:rsidRDefault="007D4496" w:rsidP="007D4496">
            <w:pPr>
              <w:rPr>
                <w:sz w:val="18"/>
                <w:szCs w:val="18"/>
              </w:rPr>
            </w:pPr>
            <w:r w:rsidRPr="007D4496">
              <w:rPr>
                <w:sz w:val="18"/>
                <w:szCs w:val="18"/>
              </w:rPr>
              <w:t>Počet projektů pro tvorbu územně-analytických podkladů krajů</w:t>
            </w:r>
          </w:p>
        </w:tc>
        <w:tc>
          <w:tcPr>
            <w:tcW w:w="952" w:type="dxa"/>
            <w:shd w:val="clear" w:color="000000" w:fill="FFFFFF"/>
            <w:noWrap/>
            <w:vAlign w:val="center"/>
            <w:hideMark/>
          </w:tcPr>
          <w:p w:rsidR="007D4496" w:rsidRPr="007D4496" w:rsidRDefault="007D4496" w:rsidP="007D4496">
            <w:pPr>
              <w:jc w:val="center"/>
              <w:rPr>
                <w:sz w:val="18"/>
                <w:szCs w:val="18"/>
              </w:rPr>
            </w:pPr>
            <w:r w:rsidRPr="007D4496">
              <w:rPr>
                <w:sz w:val="18"/>
                <w:szCs w:val="18"/>
              </w:rPr>
              <w:t>Počet</w:t>
            </w:r>
          </w:p>
        </w:tc>
        <w:tc>
          <w:tcPr>
            <w:tcW w:w="893" w:type="dxa"/>
            <w:shd w:val="clear" w:color="000000" w:fill="FFFFFF"/>
            <w:noWrap/>
            <w:vAlign w:val="center"/>
            <w:hideMark/>
          </w:tcPr>
          <w:p w:rsidR="007D4496" w:rsidRPr="007D4496" w:rsidRDefault="007D4496" w:rsidP="007D4496">
            <w:pPr>
              <w:jc w:val="center"/>
              <w:rPr>
                <w:sz w:val="18"/>
                <w:szCs w:val="18"/>
              </w:rPr>
            </w:pPr>
            <w:r w:rsidRPr="007D4496">
              <w:rPr>
                <w:sz w:val="18"/>
                <w:szCs w:val="18"/>
              </w:rPr>
              <w:t>0</w:t>
            </w:r>
          </w:p>
        </w:tc>
        <w:tc>
          <w:tcPr>
            <w:tcW w:w="893" w:type="dxa"/>
            <w:shd w:val="clear" w:color="000000" w:fill="FFFFFF"/>
            <w:noWrap/>
            <w:vAlign w:val="center"/>
            <w:hideMark/>
          </w:tcPr>
          <w:p w:rsidR="007D4496" w:rsidRPr="007D4496" w:rsidRDefault="007D4496" w:rsidP="007D4496">
            <w:pPr>
              <w:jc w:val="center"/>
              <w:rPr>
                <w:sz w:val="18"/>
                <w:szCs w:val="18"/>
              </w:rPr>
            </w:pPr>
            <w:r w:rsidRPr="007D4496">
              <w:rPr>
                <w:sz w:val="18"/>
                <w:szCs w:val="18"/>
              </w:rPr>
              <w:t>10</w:t>
            </w:r>
          </w:p>
        </w:tc>
        <w:tc>
          <w:tcPr>
            <w:tcW w:w="1247" w:type="dxa"/>
            <w:shd w:val="clear" w:color="000000" w:fill="FFFFFF"/>
            <w:vAlign w:val="center"/>
            <w:hideMark/>
          </w:tcPr>
          <w:p w:rsidR="007D4496" w:rsidRPr="007D4496" w:rsidRDefault="007D4496" w:rsidP="007D4496">
            <w:pPr>
              <w:jc w:val="center"/>
              <w:rPr>
                <w:sz w:val="18"/>
                <w:szCs w:val="18"/>
              </w:rPr>
            </w:pPr>
            <w:r w:rsidRPr="007D4496">
              <w:rPr>
                <w:sz w:val="18"/>
                <w:szCs w:val="18"/>
              </w:rPr>
              <w:t>9</w:t>
            </w:r>
          </w:p>
        </w:tc>
        <w:tc>
          <w:tcPr>
            <w:tcW w:w="1203" w:type="dxa"/>
            <w:shd w:val="clear" w:color="000000" w:fill="FFFFFF"/>
            <w:vAlign w:val="center"/>
            <w:hideMark/>
          </w:tcPr>
          <w:p w:rsidR="007D4496" w:rsidRPr="007D4496" w:rsidRDefault="007D4496" w:rsidP="007D4496">
            <w:pPr>
              <w:jc w:val="center"/>
              <w:rPr>
                <w:sz w:val="18"/>
                <w:szCs w:val="18"/>
              </w:rPr>
            </w:pPr>
            <w:r w:rsidRPr="007D4496">
              <w:rPr>
                <w:sz w:val="18"/>
                <w:szCs w:val="18"/>
              </w:rPr>
              <w:t>9</w:t>
            </w:r>
          </w:p>
        </w:tc>
        <w:tc>
          <w:tcPr>
            <w:tcW w:w="1338" w:type="dxa"/>
            <w:shd w:val="clear" w:color="000000" w:fill="FFFFFF"/>
            <w:noWrap/>
            <w:vAlign w:val="center"/>
            <w:hideMark/>
          </w:tcPr>
          <w:p w:rsidR="007D4496" w:rsidRPr="007D4496" w:rsidRDefault="007D4496" w:rsidP="007D4496">
            <w:pPr>
              <w:jc w:val="right"/>
              <w:rPr>
                <w:sz w:val="18"/>
                <w:szCs w:val="18"/>
              </w:rPr>
            </w:pPr>
            <w:r w:rsidRPr="007D4496">
              <w:rPr>
                <w:sz w:val="18"/>
                <w:szCs w:val="18"/>
              </w:rPr>
              <w:t>137 998 350</w:t>
            </w:r>
          </w:p>
        </w:tc>
      </w:tr>
      <w:tr w:rsidR="007D4496" w:rsidRPr="007D4496" w:rsidTr="00870123">
        <w:trPr>
          <w:trHeight w:val="1202"/>
        </w:trPr>
        <w:tc>
          <w:tcPr>
            <w:tcW w:w="1020" w:type="dxa"/>
            <w:shd w:val="clear" w:color="000000" w:fill="FFFFFF"/>
            <w:vAlign w:val="center"/>
            <w:hideMark/>
          </w:tcPr>
          <w:p w:rsidR="007D4496" w:rsidRPr="007D4496" w:rsidRDefault="007D4496" w:rsidP="007D4496">
            <w:pPr>
              <w:jc w:val="center"/>
              <w:rPr>
                <w:sz w:val="18"/>
                <w:szCs w:val="18"/>
              </w:rPr>
            </w:pPr>
            <w:r w:rsidRPr="007D4496">
              <w:rPr>
                <w:sz w:val="18"/>
                <w:szCs w:val="18"/>
              </w:rPr>
              <w:t>330401</w:t>
            </w:r>
          </w:p>
        </w:tc>
        <w:tc>
          <w:tcPr>
            <w:tcW w:w="1604" w:type="dxa"/>
            <w:shd w:val="clear" w:color="000000" w:fill="FFFFFF"/>
            <w:vAlign w:val="bottom"/>
            <w:hideMark/>
          </w:tcPr>
          <w:p w:rsidR="007D4496" w:rsidRPr="007D4496" w:rsidRDefault="007D4496" w:rsidP="007D4496">
            <w:pPr>
              <w:rPr>
                <w:sz w:val="18"/>
                <w:szCs w:val="18"/>
              </w:rPr>
            </w:pPr>
            <w:r w:rsidRPr="007D4496">
              <w:rPr>
                <w:sz w:val="18"/>
                <w:szCs w:val="18"/>
              </w:rPr>
              <w:t xml:space="preserve">Počet podpořených projektů pro tvorbu územně-analytických podkladů obcí </w:t>
            </w:r>
          </w:p>
        </w:tc>
        <w:tc>
          <w:tcPr>
            <w:tcW w:w="952" w:type="dxa"/>
            <w:shd w:val="clear" w:color="000000" w:fill="FFFFFF"/>
            <w:noWrap/>
            <w:vAlign w:val="center"/>
            <w:hideMark/>
          </w:tcPr>
          <w:p w:rsidR="007D4496" w:rsidRPr="007D4496" w:rsidRDefault="007D4496" w:rsidP="007D4496">
            <w:pPr>
              <w:jc w:val="center"/>
              <w:rPr>
                <w:sz w:val="18"/>
                <w:szCs w:val="18"/>
              </w:rPr>
            </w:pPr>
            <w:r w:rsidRPr="007D4496">
              <w:rPr>
                <w:sz w:val="18"/>
                <w:szCs w:val="18"/>
              </w:rPr>
              <w:t>Počet</w:t>
            </w:r>
          </w:p>
        </w:tc>
        <w:tc>
          <w:tcPr>
            <w:tcW w:w="893" w:type="dxa"/>
            <w:shd w:val="clear" w:color="000000" w:fill="FFFFFF"/>
            <w:noWrap/>
            <w:vAlign w:val="center"/>
            <w:hideMark/>
          </w:tcPr>
          <w:p w:rsidR="007D4496" w:rsidRPr="007D4496" w:rsidRDefault="007D4496" w:rsidP="007D4496">
            <w:pPr>
              <w:jc w:val="center"/>
              <w:rPr>
                <w:sz w:val="18"/>
                <w:szCs w:val="18"/>
              </w:rPr>
            </w:pPr>
            <w:r w:rsidRPr="007D4496">
              <w:rPr>
                <w:sz w:val="18"/>
                <w:szCs w:val="18"/>
              </w:rPr>
              <w:t>0</w:t>
            </w:r>
          </w:p>
        </w:tc>
        <w:tc>
          <w:tcPr>
            <w:tcW w:w="893" w:type="dxa"/>
            <w:shd w:val="clear" w:color="000000" w:fill="FFFFFF"/>
            <w:noWrap/>
            <w:vAlign w:val="center"/>
            <w:hideMark/>
          </w:tcPr>
          <w:p w:rsidR="007D4496" w:rsidRPr="007D4496" w:rsidRDefault="007D4496" w:rsidP="007D4496">
            <w:pPr>
              <w:jc w:val="center"/>
              <w:rPr>
                <w:sz w:val="18"/>
                <w:szCs w:val="18"/>
              </w:rPr>
            </w:pPr>
            <w:r w:rsidRPr="007D4496">
              <w:rPr>
                <w:sz w:val="18"/>
                <w:szCs w:val="18"/>
              </w:rPr>
              <w:t>140</w:t>
            </w:r>
          </w:p>
        </w:tc>
        <w:tc>
          <w:tcPr>
            <w:tcW w:w="1247" w:type="dxa"/>
            <w:shd w:val="clear" w:color="000000" w:fill="FFFFFF"/>
            <w:vAlign w:val="center"/>
            <w:hideMark/>
          </w:tcPr>
          <w:p w:rsidR="007D4496" w:rsidRPr="007D4496" w:rsidRDefault="007D4496" w:rsidP="007D4496">
            <w:pPr>
              <w:jc w:val="center"/>
              <w:rPr>
                <w:sz w:val="18"/>
                <w:szCs w:val="18"/>
              </w:rPr>
            </w:pPr>
            <w:r w:rsidRPr="007D4496">
              <w:rPr>
                <w:sz w:val="18"/>
                <w:szCs w:val="18"/>
              </w:rPr>
              <w:t>170</w:t>
            </w:r>
          </w:p>
        </w:tc>
        <w:tc>
          <w:tcPr>
            <w:tcW w:w="1203" w:type="dxa"/>
            <w:shd w:val="clear" w:color="000000" w:fill="FFFFFF"/>
            <w:vAlign w:val="center"/>
            <w:hideMark/>
          </w:tcPr>
          <w:p w:rsidR="007D4496" w:rsidRPr="007D4496" w:rsidRDefault="00497984" w:rsidP="007D4496">
            <w:pPr>
              <w:jc w:val="center"/>
              <w:rPr>
                <w:sz w:val="18"/>
                <w:szCs w:val="18"/>
              </w:rPr>
            </w:pPr>
            <w:hyperlink r:id="rId39" w:anchor="RANGE!_ftn4" w:history="1">
              <w:r w:rsidR="007D4496" w:rsidRPr="007D4496">
                <w:rPr>
                  <w:sz w:val="18"/>
                  <w:szCs w:val="18"/>
                </w:rPr>
                <w:t>170</w:t>
              </w:r>
            </w:hyperlink>
          </w:p>
        </w:tc>
        <w:tc>
          <w:tcPr>
            <w:tcW w:w="1338" w:type="dxa"/>
            <w:shd w:val="clear" w:color="000000" w:fill="FFFFFF"/>
            <w:noWrap/>
            <w:vAlign w:val="center"/>
            <w:hideMark/>
          </w:tcPr>
          <w:p w:rsidR="007D4496" w:rsidRPr="007D4496" w:rsidRDefault="007D4496" w:rsidP="007D4496">
            <w:pPr>
              <w:jc w:val="right"/>
              <w:rPr>
                <w:sz w:val="18"/>
                <w:szCs w:val="18"/>
              </w:rPr>
            </w:pPr>
            <w:r w:rsidRPr="007D4496">
              <w:rPr>
                <w:sz w:val="18"/>
                <w:szCs w:val="18"/>
              </w:rPr>
              <w:t>137 998 350</w:t>
            </w:r>
          </w:p>
        </w:tc>
      </w:tr>
      <w:tr w:rsidR="007D4496" w:rsidRPr="007D4496" w:rsidTr="00870123">
        <w:trPr>
          <w:trHeight w:val="1442"/>
        </w:trPr>
        <w:tc>
          <w:tcPr>
            <w:tcW w:w="1020" w:type="dxa"/>
            <w:shd w:val="clear" w:color="000000" w:fill="FFFFFF"/>
            <w:vAlign w:val="center"/>
            <w:hideMark/>
          </w:tcPr>
          <w:p w:rsidR="007D4496" w:rsidRPr="007D4496" w:rsidRDefault="007D4496" w:rsidP="007D4496">
            <w:pPr>
              <w:jc w:val="center"/>
              <w:rPr>
                <w:sz w:val="18"/>
                <w:szCs w:val="18"/>
              </w:rPr>
            </w:pPr>
            <w:r w:rsidRPr="007D4496">
              <w:rPr>
                <w:sz w:val="18"/>
                <w:szCs w:val="18"/>
              </w:rPr>
              <w:t>330411</w:t>
            </w:r>
          </w:p>
        </w:tc>
        <w:tc>
          <w:tcPr>
            <w:tcW w:w="1604" w:type="dxa"/>
            <w:shd w:val="clear" w:color="000000" w:fill="FFFFFF"/>
            <w:vAlign w:val="bottom"/>
            <w:hideMark/>
          </w:tcPr>
          <w:p w:rsidR="007D4496" w:rsidRPr="007D4496" w:rsidRDefault="007D4496" w:rsidP="007D4496">
            <w:pPr>
              <w:rPr>
                <w:sz w:val="18"/>
                <w:szCs w:val="18"/>
              </w:rPr>
            </w:pPr>
            <w:r w:rsidRPr="007D4496">
              <w:rPr>
                <w:sz w:val="18"/>
                <w:szCs w:val="18"/>
              </w:rPr>
              <w:t xml:space="preserve">Počet podpořených projektů tvorby nových nebo aktualizace existujících územních plánů  </w:t>
            </w:r>
          </w:p>
        </w:tc>
        <w:tc>
          <w:tcPr>
            <w:tcW w:w="952" w:type="dxa"/>
            <w:shd w:val="clear" w:color="000000" w:fill="FFFFFF"/>
            <w:noWrap/>
            <w:vAlign w:val="center"/>
            <w:hideMark/>
          </w:tcPr>
          <w:p w:rsidR="007D4496" w:rsidRPr="007D4496" w:rsidRDefault="007D4496" w:rsidP="007D4496">
            <w:pPr>
              <w:jc w:val="center"/>
              <w:rPr>
                <w:sz w:val="18"/>
                <w:szCs w:val="18"/>
              </w:rPr>
            </w:pPr>
            <w:r w:rsidRPr="007D4496">
              <w:rPr>
                <w:sz w:val="18"/>
                <w:szCs w:val="18"/>
              </w:rPr>
              <w:t>Počet</w:t>
            </w:r>
          </w:p>
        </w:tc>
        <w:tc>
          <w:tcPr>
            <w:tcW w:w="893" w:type="dxa"/>
            <w:shd w:val="clear" w:color="000000" w:fill="FFFFFF"/>
            <w:noWrap/>
            <w:vAlign w:val="center"/>
            <w:hideMark/>
          </w:tcPr>
          <w:p w:rsidR="007D4496" w:rsidRPr="007D4496" w:rsidRDefault="007D4496" w:rsidP="007D4496">
            <w:pPr>
              <w:jc w:val="center"/>
              <w:rPr>
                <w:sz w:val="18"/>
                <w:szCs w:val="18"/>
              </w:rPr>
            </w:pPr>
            <w:r w:rsidRPr="007D4496">
              <w:rPr>
                <w:sz w:val="18"/>
                <w:szCs w:val="18"/>
              </w:rPr>
              <w:t>0</w:t>
            </w:r>
          </w:p>
        </w:tc>
        <w:tc>
          <w:tcPr>
            <w:tcW w:w="893" w:type="dxa"/>
            <w:shd w:val="clear" w:color="000000" w:fill="FFFFFF"/>
            <w:noWrap/>
            <w:vAlign w:val="center"/>
            <w:hideMark/>
          </w:tcPr>
          <w:p w:rsidR="007D4496" w:rsidRPr="007D4496" w:rsidRDefault="007D4496" w:rsidP="007D4496">
            <w:pPr>
              <w:jc w:val="center"/>
              <w:rPr>
                <w:sz w:val="18"/>
                <w:szCs w:val="18"/>
              </w:rPr>
            </w:pPr>
            <w:r w:rsidRPr="007D4496">
              <w:rPr>
                <w:sz w:val="18"/>
                <w:szCs w:val="18"/>
              </w:rPr>
              <w:t>60</w:t>
            </w:r>
          </w:p>
        </w:tc>
        <w:tc>
          <w:tcPr>
            <w:tcW w:w="1247" w:type="dxa"/>
            <w:shd w:val="clear" w:color="000000" w:fill="FFFFFF"/>
            <w:vAlign w:val="center"/>
            <w:hideMark/>
          </w:tcPr>
          <w:p w:rsidR="007D4496" w:rsidRPr="007D4496" w:rsidRDefault="007D4496" w:rsidP="007D4496">
            <w:pPr>
              <w:jc w:val="center"/>
              <w:rPr>
                <w:sz w:val="18"/>
                <w:szCs w:val="18"/>
              </w:rPr>
            </w:pPr>
            <w:r w:rsidRPr="007D4496">
              <w:rPr>
                <w:sz w:val="18"/>
                <w:szCs w:val="18"/>
              </w:rPr>
              <w:t>412</w:t>
            </w:r>
          </w:p>
        </w:tc>
        <w:tc>
          <w:tcPr>
            <w:tcW w:w="1203" w:type="dxa"/>
            <w:shd w:val="clear" w:color="000000" w:fill="FFFFFF"/>
            <w:vAlign w:val="center"/>
            <w:hideMark/>
          </w:tcPr>
          <w:p w:rsidR="007D4496" w:rsidRPr="007D4496" w:rsidRDefault="00497984" w:rsidP="007D4496">
            <w:pPr>
              <w:jc w:val="center"/>
              <w:rPr>
                <w:sz w:val="18"/>
                <w:szCs w:val="18"/>
              </w:rPr>
            </w:pPr>
            <w:hyperlink r:id="rId40" w:anchor="RANGE!_ftn5" w:history="1">
              <w:r w:rsidR="007D4496" w:rsidRPr="007D4496">
                <w:rPr>
                  <w:sz w:val="18"/>
                  <w:szCs w:val="18"/>
                </w:rPr>
                <w:t>412</w:t>
              </w:r>
            </w:hyperlink>
          </w:p>
        </w:tc>
        <w:tc>
          <w:tcPr>
            <w:tcW w:w="1338" w:type="dxa"/>
            <w:shd w:val="clear" w:color="000000" w:fill="FFFFFF"/>
            <w:noWrap/>
            <w:vAlign w:val="center"/>
            <w:hideMark/>
          </w:tcPr>
          <w:p w:rsidR="007D4496" w:rsidRPr="007D4496" w:rsidRDefault="007D4496" w:rsidP="007D4496">
            <w:pPr>
              <w:jc w:val="right"/>
              <w:rPr>
                <w:sz w:val="18"/>
                <w:szCs w:val="18"/>
              </w:rPr>
            </w:pPr>
            <w:r w:rsidRPr="007D4496">
              <w:rPr>
                <w:sz w:val="18"/>
                <w:szCs w:val="18"/>
              </w:rPr>
              <w:t>266 610 759</w:t>
            </w:r>
          </w:p>
        </w:tc>
      </w:tr>
      <w:tr w:rsidR="007D4496" w:rsidRPr="007D4496" w:rsidTr="00870123">
        <w:trPr>
          <w:trHeight w:val="976"/>
        </w:trPr>
        <w:tc>
          <w:tcPr>
            <w:tcW w:w="1020" w:type="dxa"/>
            <w:shd w:val="clear" w:color="000000" w:fill="FFFFFF"/>
            <w:vAlign w:val="center"/>
            <w:hideMark/>
          </w:tcPr>
          <w:p w:rsidR="007D4496" w:rsidRPr="007D4496" w:rsidRDefault="007D4496" w:rsidP="007D4496">
            <w:pPr>
              <w:jc w:val="center"/>
              <w:rPr>
                <w:sz w:val="18"/>
                <w:szCs w:val="18"/>
              </w:rPr>
            </w:pPr>
            <w:r w:rsidRPr="007D4496">
              <w:rPr>
                <w:sz w:val="18"/>
                <w:szCs w:val="18"/>
              </w:rPr>
              <w:t>330415</w:t>
            </w:r>
          </w:p>
        </w:tc>
        <w:tc>
          <w:tcPr>
            <w:tcW w:w="1604" w:type="dxa"/>
            <w:shd w:val="clear" w:color="000000" w:fill="FFFFFF"/>
            <w:vAlign w:val="bottom"/>
            <w:hideMark/>
          </w:tcPr>
          <w:p w:rsidR="007D4496" w:rsidRPr="007D4496" w:rsidRDefault="007D4496" w:rsidP="007D4496">
            <w:pPr>
              <w:rPr>
                <w:sz w:val="18"/>
                <w:szCs w:val="18"/>
              </w:rPr>
            </w:pPr>
            <w:r w:rsidRPr="007D4496">
              <w:rPr>
                <w:sz w:val="18"/>
                <w:szCs w:val="18"/>
              </w:rPr>
              <w:t xml:space="preserve">Plocha území obcí pokrytá územně analytickými podklady obcí </w:t>
            </w:r>
          </w:p>
        </w:tc>
        <w:tc>
          <w:tcPr>
            <w:tcW w:w="952" w:type="dxa"/>
            <w:shd w:val="clear" w:color="000000" w:fill="FFFFFF"/>
            <w:noWrap/>
            <w:vAlign w:val="center"/>
            <w:hideMark/>
          </w:tcPr>
          <w:p w:rsidR="007D4496" w:rsidRPr="007D4496" w:rsidRDefault="007D4496" w:rsidP="007D4496">
            <w:pPr>
              <w:jc w:val="center"/>
              <w:rPr>
                <w:sz w:val="18"/>
                <w:szCs w:val="18"/>
              </w:rPr>
            </w:pPr>
            <w:r w:rsidRPr="007D4496">
              <w:rPr>
                <w:sz w:val="18"/>
                <w:szCs w:val="18"/>
              </w:rPr>
              <w:t>km2</w:t>
            </w:r>
          </w:p>
        </w:tc>
        <w:tc>
          <w:tcPr>
            <w:tcW w:w="893" w:type="dxa"/>
            <w:shd w:val="clear" w:color="000000" w:fill="FFFFFF"/>
            <w:noWrap/>
            <w:vAlign w:val="center"/>
            <w:hideMark/>
          </w:tcPr>
          <w:p w:rsidR="007D4496" w:rsidRPr="007D4496" w:rsidRDefault="007D4496" w:rsidP="007D4496">
            <w:pPr>
              <w:jc w:val="center"/>
              <w:rPr>
                <w:sz w:val="18"/>
                <w:szCs w:val="18"/>
              </w:rPr>
            </w:pPr>
            <w:r w:rsidRPr="007D4496">
              <w:rPr>
                <w:sz w:val="18"/>
                <w:szCs w:val="18"/>
              </w:rPr>
              <w:t>0</w:t>
            </w:r>
          </w:p>
        </w:tc>
        <w:tc>
          <w:tcPr>
            <w:tcW w:w="893" w:type="dxa"/>
            <w:shd w:val="clear" w:color="000000" w:fill="FFFFFF"/>
            <w:noWrap/>
            <w:vAlign w:val="center"/>
            <w:hideMark/>
          </w:tcPr>
          <w:p w:rsidR="007D4496" w:rsidRPr="007D4496" w:rsidRDefault="007D4496" w:rsidP="007D4496">
            <w:pPr>
              <w:jc w:val="center"/>
              <w:rPr>
                <w:sz w:val="18"/>
                <w:szCs w:val="18"/>
              </w:rPr>
            </w:pPr>
            <w:r w:rsidRPr="007D4496">
              <w:rPr>
                <w:sz w:val="18"/>
                <w:szCs w:val="18"/>
              </w:rPr>
              <w:t>34800</w:t>
            </w:r>
          </w:p>
        </w:tc>
        <w:tc>
          <w:tcPr>
            <w:tcW w:w="1247" w:type="dxa"/>
            <w:shd w:val="clear" w:color="000000" w:fill="FFFFFF"/>
            <w:vAlign w:val="center"/>
            <w:hideMark/>
          </w:tcPr>
          <w:p w:rsidR="007D4496" w:rsidRPr="007D4496" w:rsidRDefault="007D4496" w:rsidP="000D3384">
            <w:pPr>
              <w:jc w:val="center"/>
              <w:rPr>
                <w:sz w:val="18"/>
                <w:szCs w:val="18"/>
              </w:rPr>
            </w:pPr>
            <w:r w:rsidRPr="007D4496">
              <w:rPr>
                <w:sz w:val="18"/>
                <w:szCs w:val="18"/>
              </w:rPr>
              <w:t>63</w:t>
            </w:r>
            <w:r w:rsidR="000D3384">
              <w:rPr>
                <w:sz w:val="18"/>
                <w:szCs w:val="18"/>
              </w:rPr>
              <w:t xml:space="preserve"> </w:t>
            </w:r>
            <w:r w:rsidRPr="007D4496">
              <w:rPr>
                <w:sz w:val="18"/>
                <w:szCs w:val="18"/>
              </w:rPr>
              <w:t>398</w:t>
            </w:r>
          </w:p>
        </w:tc>
        <w:tc>
          <w:tcPr>
            <w:tcW w:w="1203" w:type="dxa"/>
            <w:shd w:val="clear" w:color="000000" w:fill="FFFFFF"/>
            <w:vAlign w:val="center"/>
            <w:hideMark/>
          </w:tcPr>
          <w:p w:rsidR="007D4496" w:rsidRPr="007D4496" w:rsidRDefault="00497984" w:rsidP="000D3384">
            <w:pPr>
              <w:jc w:val="center"/>
              <w:rPr>
                <w:sz w:val="18"/>
                <w:szCs w:val="18"/>
              </w:rPr>
            </w:pPr>
            <w:hyperlink r:id="rId41" w:anchor="RANGE!_ftn6" w:history="1">
              <w:r w:rsidR="007D4496" w:rsidRPr="007D4496">
                <w:rPr>
                  <w:sz w:val="18"/>
                  <w:szCs w:val="18"/>
                </w:rPr>
                <w:t>63</w:t>
              </w:r>
              <w:r w:rsidR="000D3384">
                <w:rPr>
                  <w:sz w:val="18"/>
                  <w:szCs w:val="18"/>
                </w:rPr>
                <w:t xml:space="preserve"> </w:t>
              </w:r>
              <w:r w:rsidR="007D4496" w:rsidRPr="007D4496">
                <w:rPr>
                  <w:sz w:val="18"/>
                  <w:szCs w:val="18"/>
                </w:rPr>
                <w:t>398</w:t>
              </w:r>
            </w:hyperlink>
          </w:p>
        </w:tc>
        <w:tc>
          <w:tcPr>
            <w:tcW w:w="1338" w:type="dxa"/>
            <w:shd w:val="clear" w:color="000000" w:fill="FFFFFF"/>
            <w:noWrap/>
            <w:vAlign w:val="center"/>
            <w:hideMark/>
          </w:tcPr>
          <w:p w:rsidR="007D4496" w:rsidRPr="007D4496" w:rsidRDefault="007D4496" w:rsidP="007D4496">
            <w:pPr>
              <w:jc w:val="right"/>
              <w:rPr>
                <w:sz w:val="18"/>
                <w:szCs w:val="18"/>
              </w:rPr>
            </w:pPr>
            <w:r w:rsidRPr="007D4496">
              <w:rPr>
                <w:sz w:val="18"/>
                <w:szCs w:val="18"/>
              </w:rPr>
              <w:t>137 998 350</w:t>
            </w:r>
          </w:p>
        </w:tc>
      </w:tr>
      <w:tr w:rsidR="007D4496" w:rsidRPr="007D4496" w:rsidTr="00870123">
        <w:trPr>
          <w:trHeight w:val="721"/>
        </w:trPr>
        <w:tc>
          <w:tcPr>
            <w:tcW w:w="1020" w:type="dxa"/>
            <w:shd w:val="clear" w:color="000000" w:fill="FFFFFF"/>
            <w:noWrap/>
            <w:vAlign w:val="center"/>
            <w:hideMark/>
          </w:tcPr>
          <w:p w:rsidR="007D4496" w:rsidRPr="007D4496" w:rsidRDefault="007D4496" w:rsidP="007D4496">
            <w:pPr>
              <w:jc w:val="center"/>
              <w:rPr>
                <w:sz w:val="18"/>
                <w:szCs w:val="18"/>
              </w:rPr>
            </w:pPr>
            <w:r w:rsidRPr="007D4496">
              <w:rPr>
                <w:sz w:val="18"/>
                <w:szCs w:val="18"/>
              </w:rPr>
              <w:t>330416</w:t>
            </w:r>
          </w:p>
        </w:tc>
        <w:tc>
          <w:tcPr>
            <w:tcW w:w="1604" w:type="dxa"/>
            <w:shd w:val="clear" w:color="000000" w:fill="FFFFFF"/>
            <w:vAlign w:val="bottom"/>
            <w:hideMark/>
          </w:tcPr>
          <w:p w:rsidR="007D4496" w:rsidRPr="007D4496" w:rsidRDefault="007D4496" w:rsidP="007D4496">
            <w:pPr>
              <w:rPr>
                <w:sz w:val="18"/>
                <w:szCs w:val="18"/>
              </w:rPr>
            </w:pPr>
            <w:r w:rsidRPr="007D4496">
              <w:rPr>
                <w:sz w:val="18"/>
                <w:szCs w:val="18"/>
              </w:rPr>
              <w:t xml:space="preserve">Plocha území obcí pokrytá novým územním plánem </w:t>
            </w:r>
          </w:p>
        </w:tc>
        <w:tc>
          <w:tcPr>
            <w:tcW w:w="952" w:type="dxa"/>
            <w:shd w:val="clear" w:color="000000" w:fill="FFFFFF"/>
            <w:noWrap/>
            <w:vAlign w:val="center"/>
            <w:hideMark/>
          </w:tcPr>
          <w:p w:rsidR="007D4496" w:rsidRPr="007D4496" w:rsidRDefault="007D4496" w:rsidP="007D4496">
            <w:pPr>
              <w:jc w:val="center"/>
              <w:rPr>
                <w:sz w:val="18"/>
                <w:szCs w:val="18"/>
              </w:rPr>
            </w:pPr>
            <w:r w:rsidRPr="007D4496">
              <w:rPr>
                <w:sz w:val="18"/>
                <w:szCs w:val="18"/>
              </w:rPr>
              <w:t>km2</w:t>
            </w:r>
          </w:p>
        </w:tc>
        <w:tc>
          <w:tcPr>
            <w:tcW w:w="893" w:type="dxa"/>
            <w:shd w:val="clear" w:color="000000" w:fill="FFFFFF"/>
            <w:noWrap/>
            <w:vAlign w:val="center"/>
            <w:hideMark/>
          </w:tcPr>
          <w:p w:rsidR="007D4496" w:rsidRPr="007D4496" w:rsidRDefault="007D4496" w:rsidP="007D4496">
            <w:pPr>
              <w:jc w:val="center"/>
              <w:rPr>
                <w:sz w:val="18"/>
                <w:szCs w:val="18"/>
              </w:rPr>
            </w:pPr>
            <w:r w:rsidRPr="007D4496">
              <w:rPr>
                <w:sz w:val="18"/>
                <w:szCs w:val="18"/>
              </w:rPr>
              <w:t>0</w:t>
            </w:r>
          </w:p>
        </w:tc>
        <w:tc>
          <w:tcPr>
            <w:tcW w:w="893" w:type="dxa"/>
            <w:shd w:val="clear" w:color="000000" w:fill="FFFFFF"/>
            <w:noWrap/>
            <w:vAlign w:val="center"/>
            <w:hideMark/>
          </w:tcPr>
          <w:p w:rsidR="007D4496" w:rsidRPr="007D4496" w:rsidRDefault="007D4496" w:rsidP="007D4496">
            <w:pPr>
              <w:jc w:val="center"/>
              <w:rPr>
                <w:sz w:val="18"/>
                <w:szCs w:val="18"/>
              </w:rPr>
            </w:pPr>
            <w:r w:rsidRPr="007D4496">
              <w:rPr>
                <w:sz w:val="18"/>
                <w:szCs w:val="18"/>
              </w:rPr>
              <w:t>140</w:t>
            </w:r>
          </w:p>
        </w:tc>
        <w:tc>
          <w:tcPr>
            <w:tcW w:w="1247" w:type="dxa"/>
            <w:shd w:val="clear" w:color="000000" w:fill="FFFFFF"/>
            <w:vAlign w:val="center"/>
            <w:hideMark/>
          </w:tcPr>
          <w:p w:rsidR="007D4496" w:rsidRPr="007D4496" w:rsidRDefault="007D4496" w:rsidP="000D3384">
            <w:pPr>
              <w:jc w:val="center"/>
              <w:rPr>
                <w:sz w:val="18"/>
                <w:szCs w:val="18"/>
              </w:rPr>
            </w:pPr>
            <w:r w:rsidRPr="007D4496">
              <w:rPr>
                <w:sz w:val="18"/>
                <w:szCs w:val="18"/>
              </w:rPr>
              <w:t>10</w:t>
            </w:r>
            <w:r w:rsidR="000D3384">
              <w:rPr>
                <w:sz w:val="18"/>
                <w:szCs w:val="18"/>
              </w:rPr>
              <w:t xml:space="preserve"> </w:t>
            </w:r>
            <w:r w:rsidRPr="007D4496">
              <w:rPr>
                <w:sz w:val="18"/>
                <w:szCs w:val="18"/>
              </w:rPr>
              <w:t>359</w:t>
            </w:r>
          </w:p>
        </w:tc>
        <w:tc>
          <w:tcPr>
            <w:tcW w:w="1203" w:type="dxa"/>
            <w:shd w:val="clear" w:color="000000" w:fill="FFFFFF"/>
            <w:vAlign w:val="center"/>
            <w:hideMark/>
          </w:tcPr>
          <w:p w:rsidR="007D4496" w:rsidRPr="007D4496" w:rsidRDefault="007D4496" w:rsidP="000D3384">
            <w:pPr>
              <w:jc w:val="center"/>
              <w:rPr>
                <w:sz w:val="18"/>
                <w:szCs w:val="18"/>
              </w:rPr>
            </w:pPr>
            <w:r w:rsidRPr="007D4496">
              <w:rPr>
                <w:sz w:val="18"/>
                <w:szCs w:val="18"/>
              </w:rPr>
              <w:t>10</w:t>
            </w:r>
            <w:r w:rsidR="000D3384">
              <w:rPr>
                <w:sz w:val="18"/>
                <w:szCs w:val="18"/>
              </w:rPr>
              <w:t xml:space="preserve"> </w:t>
            </w:r>
            <w:r w:rsidRPr="007D4496">
              <w:rPr>
                <w:sz w:val="18"/>
                <w:szCs w:val="18"/>
              </w:rPr>
              <w:t>359</w:t>
            </w:r>
          </w:p>
        </w:tc>
        <w:tc>
          <w:tcPr>
            <w:tcW w:w="1338" w:type="dxa"/>
            <w:shd w:val="clear" w:color="000000" w:fill="FFFFFF"/>
            <w:noWrap/>
            <w:vAlign w:val="center"/>
            <w:hideMark/>
          </w:tcPr>
          <w:p w:rsidR="007D4496" w:rsidRPr="007D4496" w:rsidRDefault="007D4496" w:rsidP="007D4496">
            <w:pPr>
              <w:jc w:val="right"/>
              <w:rPr>
                <w:sz w:val="18"/>
                <w:szCs w:val="18"/>
              </w:rPr>
            </w:pPr>
            <w:r w:rsidRPr="007D4496">
              <w:rPr>
                <w:sz w:val="18"/>
                <w:szCs w:val="18"/>
              </w:rPr>
              <w:t>266 610 759</w:t>
            </w:r>
          </w:p>
        </w:tc>
      </w:tr>
    </w:tbl>
    <w:p w:rsidR="002D1C24" w:rsidRPr="006620D0" w:rsidRDefault="002D1C24" w:rsidP="006620D0">
      <w:pPr>
        <w:rPr>
          <w:rStyle w:val="Siln"/>
          <w:b w:val="0"/>
          <w:i/>
          <w:sz w:val="18"/>
          <w:szCs w:val="18"/>
        </w:rPr>
      </w:pPr>
      <w:r w:rsidRPr="006620D0">
        <w:rPr>
          <w:rStyle w:val="Siln"/>
          <w:b w:val="0"/>
          <w:i/>
          <w:sz w:val="18"/>
          <w:szCs w:val="18"/>
        </w:rPr>
        <w:t xml:space="preserve">Zdroj: </w:t>
      </w:r>
      <w:r w:rsidR="00275DC0">
        <w:rPr>
          <w:rStyle w:val="Siln"/>
          <w:b w:val="0"/>
          <w:i/>
          <w:sz w:val="18"/>
          <w:szCs w:val="18"/>
        </w:rPr>
        <w:t xml:space="preserve">MSC2007 </w:t>
      </w:r>
      <w:r w:rsidR="00914BC7">
        <w:rPr>
          <w:rStyle w:val="Siln"/>
          <w:b w:val="0"/>
          <w:i/>
          <w:sz w:val="18"/>
          <w:szCs w:val="18"/>
        </w:rPr>
        <w:t>k 30. 9. 2015</w:t>
      </w:r>
      <w:r w:rsidRPr="006620D0">
        <w:rPr>
          <w:rStyle w:val="Siln"/>
          <w:b w:val="0"/>
          <w:i/>
          <w:sz w:val="18"/>
          <w:szCs w:val="18"/>
        </w:rPr>
        <w:t>, informace od ZS u podílových indikátorů</w:t>
      </w:r>
    </w:p>
    <w:p w:rsidR="008D78FE" w:rsidRDefault="008D78FE" w:rsidP="0008517D">
      <w:pPr>
        <w:autoSpaceDE w:val="0"/>
        <w:autoSpaceDN w:val="0"/>
        <w:adjustRightInd w:val="0"/>
        <w:jc w:val="both"/>
        <w:rPr>
          <w:bCs/>
          <w:i/>
          <w:sz w:val="18"/>
          <w:szCs w:val="18"/>
        </w:rPr>
      </w:pPr>
    </w:p>
    <w:p w:rsidR="008A2CB3" w:rsidRDefault="008A2CB3" w:rsidP="0008517D">
      <w:pPr>
        <w:autoSpaceDE w:val="0"/>
        <w:autoSpaceDN w:val="0"/>
        <w:adjustRightInd w:val="0"/>
        <w:jc w:val="both"/>
        <w:rPr>
          <w:bCs/>
          <w:i/>
          <w:sz w:val="18"/>
          <w:szCs w:val="18"/>
        </w:rPr>
      </w:pPr>
    </w:p>
    <w:p w:rsidR="008A2CB3" w:rsidRDefault="008A2CB3" w:rsidP="0008517D">
      <w:pPr>
        <w:autoSpaceDE w:val="0"/>
        <w:autoSpaceDN w:val="0"/>
        <w:adjustRightInd w:val="0"/>
        <w:jc w:val="both"/>
        <w:rPr>
          <w:bCs/>
          <w:i/>
          <w:sz w:val="18"/>
          <w:szCs w:val="18"/>
        </w:rPr>
      </w:pPr>
    </w:p>
    <w:p w:rsidR="00DD6F98" w:rsidRDefault="00DD6F98" w:rsidP="0008517D">
      <w:pPr>
        <w:autoSpaceDE w:val="0"/>
        <w:autoSpaceDN w:val="0"/>
        <w:adjustRightInd w:val="0"/>
        <w:jc w:val="both"/>
        <w:rPr>
          <w:bCs/>
          <w:i/>
          <w:sz w:val="18"/>
          <w:szCs w:val="18"/>
        </w:rPr>
      </w:pPr>
    </w:p>
    <w:p w:rsidR="008D78FE" w:rsidRPr="008D78FE" w:rsidRDefault="008D78FE" w:rsidP="008D78FE">
      <w:pPr>
        <w:pStyle w:val="Tabulkanzev"/>
        <w:rPr>
          <w:b w:val="0"/>
        </w:rPr>
      </w:pPr>
      <w:bookmarkStart w:id="132" w:name="_Toc433873571"/>
      <w:r w:rsidRPr="002C770C">
        <w:rPr>
          <w:b w:val="0"/>
        </w:rPr>
        <w:t>Indikátory výsledku</w:t>
      </w:r>
      <w:bookmarkEnd w:id="132"/>
    </w:p>
    <w:tbl>
      <w:tblPr>
        <w:tblW w:w="9112" w:type="dxa"/>
        <w:tblInd w:w="55" w:type="dxa"/>
        <w:tblBorders>
          <w:top w:val="single" w:sz="8" w:space="0" w:color="1F497D" w:themeColor="text2"/>
          <w:left w:val="single" w:sz="8" w:space="0" w:color="1F497D" w:themeColor="text2"/>
          <w:bottom w:val="single" w:sz="8" w:space="0" w:color="1F497D" w:themeColor="text2"/>
          <w:right w:val="single" w:sz="8" w:space="0" w:color="1F497D" w:themeColor="text2"/>
          <w:insideH w:val="single" w:sz="8" w:space="0" w:color="1F497D" w:themeColor="text2"/>
          <w:insideV w:val="single" w:sz="8" w:space="0" w:color="1F497D" w:themeColor="text2"/>
        </w:tblBorders>
        <w:tblCellMar>
          <w:left w:w="70" w:type="dxa"/>
          <w:right w:w="70" w:type="dxa"/>
        </w:tblCellMar>
        <w:tblLook w:val="04A0" w:firstRow="1" w:lastRow="0" w:firstColumn="1" w:lastColumn="0" w:noHBand="0" w:noVBand="1"/>
      </w:tblPr>
      <w:tblGrid>
        <w:gridCol w:w="1001"/>
        <w:gridCol w:w="1571"/>
        <w:gridCol w:w="934"/>
        <w:gridCol w:w="877"/>
        <w:gridCol w:w="1001"/>
        <w:gridCol w:w="1228"/>
        <w:gridCol w:w="1200"/>
        <w:gridCol w:w="1300"/>
      </w:tblGrid>
      <w:tr w:rsidR="00CB1C4E" w:rsidRPr="00CB1C4E" w:rsidTr="002E5B61">
        <w:trPr>
          <w:trHeight w:val="1035"/>
          <w:tblHeader/>
        </w:trPr>
        <w:tc>
          <w:tcPr>
            <w:tcW w:w="1001" w:type="dxa"/>
            <w:shd w:val="clear" w:color="000000" w:fill="C5D9F1"/>
            <w:vAlign w:val="center"/>
            <w:hideMark/>
          </w:tcPr>
          <w:p w:rsidR="00CB1C4E" w:rsidRPr="00CB1C4E" w:rsidRDefault="00CB1C4E" w:rsidP="00CB1C4E">
            <w:pPr>
              <w:jc w:val="center"/>
              <w:rPr>
                <w:b/>
                <w:bCs/>
              </w:rPr>
            </w:pPr>
            <w:r w:rsidRPr="00CB1C4E">
              <w:rPr>
                <w:b/>
                <w:bCs/>
              </w:rPr>
              <w:lastRenderedPageBreak/>
              <w:t>Kód</w:t>
            </w:r>
          </w:p>
        </w:tc>
        <w:tc>
          <w:tcPr>
            <w:tcW w:w="1571" w:type="dxa"/>
            <w:shd w:val="clear" w:color="000000" w:fill="C5D9F1"/>
            <w:vAlign w:val="center"/>
            <w:hideMark/>
          </w:tcPr>
          <w:p w:rsidR="00CB1C4E" w:rsidRPr="00CB1C4E" w:rsidRDefault="00CB1C4E" w:rsidP="00CB1C4E">
            <w:pPr>
              <w:jc w:val="center"/>
              <w:rPr>
                <w:b/>
                <w:bCs/>
              </w:rPr>
            </w:pPr>
            <w:r w:rsidRPr="00CB1C4E">
              <w:rPr>
                <w:b/>
                <w:bCs/>
              </w:rPr>
              <w:t>Název indikátoru</w:t>
            </w:r>
          </w:p>
        </w:tc>
        <w:tc>
          <w:tcPr>
            <w:tcW w:w="934" w:type="dxa"/>
            <w:shd w:val="clear" w:color="000000" w:fill="C5D9F1"/>
            <w:vAlign w:val="center"/>
            <w:hideMark/>
          </w:tcPr>
          <w:p w:rsidR="00CB1C4E" w:rsidRPr="00CB1C4E" w:rsidRDefault="00CB1C4E" w:rsidP="00CB1C4E">
            <w:pPr>
              <w:jc w:val="center"/>
              <w:rPr>
                <w:b/>
                <w:bCs/>
              </w:rPr>
            </w:pPr>
            <w:r w:rsidRPr="00CB1C4E">
              <w:rPr>
                <w:b/>
                <w:bCs/>
              </w:rPr>
              <w:t>Měrná jednotka</w:t>
            </w:r>
          </w:p>
        </w:tc>
        <w:tc>
          <w:tcPr>
            <w:tcW w:w="877" w:type="dxa"/>
            <w:shd w:val="clear" w:color="000000" w:fill="C5D9F1"/>
            <w:vAlign w:val="center"/>
            <w:hideMark/>
          </w:tcPr>
          <w:p w:rsidR="00CB1C4E" w:rsidRPr="00CB1C4E" w:rsidRDefault="00CB1C4E" w:rsidP="00CB1C4E">
            <w:pPr>
              <w:jc w:val="center"/>
              <w:rPr>
                <w:b/>
                <w:bCs/>
              </w:rPr>
            </w:pPr>
            <w:r w:rsidRPr="00CB1C4E">
              <w:rPr>
                <w:b/>
                <w:bCs/>
              </w:rPr>
              <w:t xml:space="preserve">Výchozí hodnota </w:t>
            </w:r>
          </w:p>
        </w:tc>
        <w:tc>
          <w:tcPr>
            <w:tcW w:w="1001" w:type="dxa"/>
            <w:shd w:val="clear" w:color="000000" w:fill="C5D9F1"/>
            <w:vAlign w:val="center"/>
            <w:hideMark/>
          </w:tcPr>
          <w:p w:rsidR="00CB1C4E" w:rsidRPr="00CB1C4E" w:rsidRDefault="00CB1C4E" w:rsidP="00CB1C4E">
            <w:pPr>
              <w:jc w:val="center"/>
              <w:rPr>
                <w:b/>
                <w:bCs/>
              </w:rPr>
            </w:pPr>
            <w:r w:rsidRPr="00CB1C4E">
              <w:rPr>
                <w:b/>
                <w:bCs/>
              </w:rPr>
              <w:t>Cílová hodnota</w:t>
            </w:r>
          </w:p>
        </w:tc>
        <w:tc>
          <w:tcPr>
            <w:tcW w:w="1228" w:type="dxa"/>
            <w:shd w:val="clear" w:color="000000" w:fill="C5D9F1"/>
            <w:vAlign w:val="center"/>
            <w:hideMark/>
          </w:tcPr>
          <w:p w:rsidR="00CB1C4E" w:rsidRPr="00CB1C4E" w:rsidRDefault="00CB1C4E" w:rsidP="00CB1C4E">
            <w:pPr>
              <w:jc w:val="center"/>
              <w:rPr>
                <w:b/>
                <w:bCs/>
              </w:rPr>
            </w:pPr>
            <w:r w:rsidRPr="00CB1C4E">
              <w:rPr>
                <w:b/>
                <w:bCs/>
              </w:rPr>
              <w:t>Závazek ze schválených projektů</w:t>
            </w:r>
          </w:p>
        </w:tc>
        <w:tc>
          <w:tcPr>
            <w:tcW w:w="1200" w:type="dxa"/>
            <w:shd w:val="clear" w:color="000000" w:fill="C5D9F1"/>
            <w:vAlign w:val="center"/>
            <w:hideMark/>
          </w:tcPr>
          <w:p w:rsidR="00CB1C4E" w:rsidRPr="00CB1C4E" w:rsidRDefault="00CB1C4E" w:rsidP="00CB1C4E">
            <w:pPr>
              <w:jc w:val="center"/>
              <w:rPr>
                <w:b/>
                <w:bCs/>
              </w:rPr>
            </w:pPr>
            <w:r w:rsidRPr="00CB1C4E">
              <w:rPr>
                <w:b/>
                <w:bCs/>
              </w:rPr>
              <w:t>Dosažená hodnota k 30. 9. 2015</w:t>
            </w:r>
          </w:p>
        </w:tc>
        <w:tc>
          <w:tcPr>
            <w:tcW w:w="1300" w:type="dxa"/>
            <w:shd w:val="clear" w:color="000000" w:fill="C5D9F1"/>
            <w:vAlign w:val="center"/>
            <w:hideMark/>
          </w:tcPr>
          <w:p w:rsidR="00CB1C4E" w:rsidRPr="00CB1C4E" w:rsidRDefault="00CB1C4E" w:rsidP="00CB1C4E">
            <w:pPr>
              <w:jc w:val="center"/>
              <w:rPr>
                <w:b/>
                <w:bCs/>
              </w:rPr>
            </w:pPr>
            <w:r w:rsidRPr="00CB1C4E">
              <w:rPr>
                <w:b/>
                <w:bCs/>
              </w:rPr>
              <w:t>V Rozhodnutí k 30. 9. 2015</w:t>
            </w:r>
          </w:p>
        </w:tc>
      </w:tr>
      <w:tr w:rsidR="00CB1C4E" w:rsidRPr="00CB1C4E" w:rsidTr="00B558CC">
        <w:trPr>
          <w:trHeight w:val="720"/>
        </w:trPr>
        <w:tc>
          <w:tcPr>
            <w:tcW w:w="1001" w:type="dxa"/>
            <w:shd w:val="clear" w:color="auto" w:fill="auto"/>
            <w:noWrap/>
            <w:vAlign w:val="center"/>
            <w:hideMark/>
          </w:tcPr>
          <w:p w:rsidR="00CB1C4E" w:rsidRPr="00CB1C4E" w:rsidRDefault="00CB1C4E" w:rsidP="00CB1C4E">
            <w:pPr>
              <w:jc w:val="center"/>
              <w:rPr>
                <w:sz w:val="18"/>
                <w:szCs w:val="18"/>
              </w:rPr>
            </w:pPr>
            <w:r w:rsidRPr="00CB1C4E">
              <w:rPr>
                <w:sz w:val="18"/>
                <w:szCs w:val="18"/>
              </w:rPr>
              <w:t>410404</w:t>
            </w:r>
          </w:p>
        </w:tc>
        <w:tc>
          <w:tcPr>
            <w:tcW w:w="1571" w:type="dxa"/>
            <w:shd w:val="clear" w:color="auto" w:fill="auto"/>
            <w:vAlign w:val="bottom"/>
            <w:hideMark/>
          </w:tcPr>
          <w:p w:rsidR="00CB1C4E" w:rsidRPr="00CB1C4E" w:rsidRDefault="00CB1C4E" w:rsidP="00CB1C4E">
            <w:pPr>
              <w:rPr>
                <w:sz w:val="18"/>
                <w:szCs w:val="18"/>
              </w:rPr>
            </w:pPr>
            <w:r w:rsidRPr="00CB1C4E">
              <w:rPr>
                <w:sz w:val="18"/>
                <w:szCs w:val="18"/>
              </w:rPr>
              <w:t>Počet vytvořených metodik v oblasti kulturního dědictví</w:t>
            </w:r>
          </w:p>
        </w:tc>
        <w:tc>
          <w:tcPr>
            <w:tcW w:w="934" w:type="dxa"/>
            <w:shd w:val="clear" w:color="auto" w:fill="auto"/>
            <w:noWrap/>
            <w:vAlign w:val="center"/>
            <w:hideMark/>
          </w:tcPr>
          <w:p w:rsidR="00CB1C4E" w:rsidRPr="00CB1C4E" w:rsidRDefault="00CB1C4E" w:rsidP="00CB1C4E">
            <w:pPr>
              <w:jc w:val="center"/>
              <w:rPr>
                <w:sz w:val="18"/>
                <w:szCs w:val="18"/>
              </w:rPr>
            </w:pPr>
            <w:r w:rsidRPr="00CB1C4E">
              <w:rPr>
                <w:sz w:val="18"/>
                <w:szCs w:val="18"/>
              </w:rPr>
              <w:t>Počet</w:t>
            </w:r>
          </w:p>
        </w:tc>
        <w:tc>
          <w:tcPr>
            <w:tcW w:w="877" w:type="dxa"/>
            <w:shd w:val="clear" w:color="auto" w:fill="auto"/>
            <w:noWrap/>
            <w:vAlign w:val="center"/>
            <w:hideMark/>
          </w:tcPr>
          <w:p w:rsidR="00CB1C4E" w:rsidRPr="00CB1C4E" w:rsidRDefault="00CB1C4E" w:rsidP="00CB1C4E">
            <w:pPr>
              <w:jc w:val="center"/>
              <w:rPr>
                <w:sz w:val="18"/>
                <w:szCs w:val="18"/>
              </w:rPr>
            </w:pPr>
            <w:r w:rsidRPr="00CB1C4E">
              <w:rPr>
                <w:sz w:val="18"/>
                <w:szCs w:val="18"/>
              </w:rPr>
              <w:t>0</w:t>
            </w:r>
          </w:p>
        </w:tc>
        <w:tc>
          <w:tcPr>
            <w:tcW w:w="1001" w:type="dxa"/>
            <w:shd w:val="clear" w:color="auto" w:fill="auto"/>
            <w:noWrap/>
            <w:vAlign w:val="center"/>
            <w:hideMark/>
          </w:tcPr>
          <w:p w:rsidR="00CB1C4E" w:rsidRPr="00CB1C4E" w:rsidRDefault="00CB1C4E" w:rsidP="00CB1C4E">
            <w:pPr>
              <w:jc w:val="center"/>
              <w:rPr>
                <w:sz w:val="18"/>
                <w:szCs w:val="18"/>
              </w:rPr>
            </w:pPr>
            <w:r w:rsidRPr="00CB1C4E">
              <w:rPr>
                <w:sz w:val="18"/>
                <w:szCs w:val="18"/>
              </w:rPr>
              <w:t>13</w:t>
            </w:r>
          </w:p>
        </w:tc>
        <w:tc>
          <w:tcPr>
            <w:tcW w:w="1228" w:type="dxa"/>
            <w:shd w:val="clear" w:color="000000" w:fill="FFFFFF"/>
            <w:vAlign w:val="center"/>
            <w:hideMark/>
          </w:tcPr>
          <w:p w:rsidR="00CB1C4E" w:rsidRPr="00CB1C4E" w:rsidRDefault="00CB1C4E" w:rsidP="00CB1C4E">
            <w:pPr>
              <w:jc w:val="center"/>
              <w:rPr>
                <w:sz w:val="18"/>
                <w:szCs w:val="18"/>
              </w:rPr>
            </w:pPr>
            <w:r w:rsidRPr="00CB1C4E">
              <w:rPr>
                <w:sz w:val="18"/>
                <w:szCs w:val="18"/>
              </w:rPr>
              <w:t>13</w:t>
            </w:r>
          </w:p>
        </w:tc>
        <w:tc>
          <w:tcPr>
            <w:tcW w:w="1200" w:type="dxa"/>
            <w:shd w:val="clear" w:color="000000" w:fill="FFFFFF"/>
            <w:vAlign w:val="center"/>
            <w:hideMark/>
          </w:tcPr>
          <w:p w:rsidR="00CB1C4E" w:rsidRPr="00CB1C4E" w:rsidRDefault="00CB1C4E" w:rsidP="00CB1C4E">
            <w:pPr>
              <w:jc w:val="center"/>
              <w:rPr>
                <w:sz w:val="18"/>
                <w:szCs w:val="18"/>
              </w:rPr>
            </w:pPr>
            <w:r w:rsidRPr="00CB1C4E">
              <w:rPr>
                <w:sz w:val="18"/>
                <w:szCs w:val="18"/>
              </w:rPr>
              <w:t>0</w:t>
            </w:r>
          </w:p>
        </w:tc>
        <w:tc>
          <w:tcPr>
            <w:tcW w:w="1300" w:type="dxa"/>
            <w:shd w:val="clear" w:color="000000" w:fill="FFFFFF"/>
            <w:noWrap/>
            <w:vAlign w:val="center"/>
            <w:hideMark/>
          </w:tcPr>
          <w:p w:rsidR="00CB1C4E" w:rsidRPr="00CB1C4E" w:rsidRDefault="00CB1C4E" w:rsidP="00CB1C4E">
            <w:pPr>
              <w:jc w:val="right"/>
              <w:rPr>
                <w:sz w:val="18"/>
                <w:szCs w:val="18"/>
              </w:rPr>
            </w:pPr>
            <w:r w:rsidRPr="00CB1C4E">
              <w:rPr>
                <w:sz w:val="18"/>
                <w:szCs w:val="18"/>
              </w:rPr>
              <w:t>438 133 079</w:t>
            </w:r>
          </w:p>
        </w:tc>
      </w:tr>
      <w:tr w:rsidR="00CB1C4E" w:rsidRPr="00CB1C4E" w:rsidTr="00B558CC">
        <w:trPr>
          <w:trHeight w:val="960"/>
        </w:trPr>
        <w:tc>
          <w:tcPr>
            <w:tcW w:w="1001" w:type="dxa"/>
            <w:shd w:val="clear" w:color="auto" w:fill="auto"/>
            <w:noWrap/>
            <w:vAlign w:val="center"/>
            <w:hideMark/>
          </w:tcPr>
          <w:p w:rsidR="00CB1C4E" w:rsidRPr="00CB1C4E" w:rsidRDefault="00CB1C4E" w:rsidP="00CB1C4E">
            <w:pPr>
              <w:jc w:val="center"/>
              <w:rPr>
                <w:sz w:val="18"/>
                <w:szCs w:val="18"/>
              </w:rPr>
            </w:pPr>
            <w:r w:rsidRPr="00CB1C4E">
              <w:rPr>
                <w:sz w:val="18"/>
                <w:szCs w:val="18"/>
              </w:rPr>
              <w:t>410411</w:t>
            </w:r>
          </w:p>
        </w:tc>
        <w:tc>
          <w:tcPr>
            <w:tcW w:w="1571" w:type="dxa"/>
            <w:shd w:val="clear" w:color="auto" w:fill="auto"/>
            <w:vAlign w:val="bottom"/>
            <w:hideMark/>
          </w:tcPr>
          <w:p w:rsidR="00CB1C4E" w:rsidRPr="00CB1C4E" w:rsidRDefault="00CB1C4E" w:rsidP="00CB1C4E">
            <w:pPr>
              <w:rPr>
                <w:sz w:val="18"/>
                <w:szCs w:val="18"/>
              </w:rPr>
            </w:pPr>
            <w:r w:rsidRPr="00CB1C4E">
              <w:rPr>
                <w:sz w:val="18"/>
                <w:szCs w:val="18"/>
              </w:rPr>
              <w:t>Zvýšení počtu návštěvníků památek a kulturních zařízení</w:t>
            </w:r>
          </w:p>
        </w:tc>
        <w:tc>
          <w:tcPr>
            <w:tcW w:w="934" w:type="dxa"/>
            <w:shd w:val="clear" w:color="auto" w:fill="auto"/>
            <w:noWrap/>
            <w:vAlign w:val="center"/>
            <w:hideMark/>
          </w:tcPr>
          <w:p w:rsidR="00CB1C4E" w:rsidRPr="00CB1C4E" w:rsidRDefault="00CB1C4E" w:rsidP="00CB1C4E">
            <w:pPr>
              <w:jc w:val="center"/>
              <w:rPr>
                <w:sz w:val="18"/>
                <w:szCs w:val="18"/>
              </w:rPr>
            </w:pPr>
            <w:r w:rsidRPr="00CB1C4E">
              <w:rPr>
                <w:sz w:val="18"/>
                <w:szCs w:val="18"/>
              </w:rPr>
              <w:t>%</w:t>
            </w:r>
          </w:p>
        </w:tc>
        <w:tc>
          <w:tcPr>
            <w:tcW w:w="877" w:type="dxa"/>
            <w:shd w:val="clear" w:color="auto" w:fill="auto"/>
            <w:noWrap/>
            <w:vAlign w:val="center"/>
            <w:hideMark/>
          </w:tcPr>
          <w:p w:rsidR="00CB1C4E" w:rsidRPr="00CB1C4E" w:rsidRDefault="00CB1C4E" w:rsidP="00CB1C4E">
            <w:pPr>
              <w:jc w:val="center"/>
              <w:rPr>
                <w:sz w:val="18"/>
                <w:szCs w:val="18"/>
              </w:rPr>
            </w:pPr>
            <w:r w:rsidRPr="00CB1C4E">
              <w:rPr>
                <w:sz w:val="18"/>
                <w:szCs w:val="18"/>
              </w:rPr>
              <w:t>100</w:t>
            </w:r>
          </w:p>
        </w:tc>
        <w:tc>
          <w:tcPr>
            <w:tcW w:w="1001" w:type="dxa"/>
            <w:shd w:val="clear" w:color="auto" w:fill="auto"/>
            <w:noWrap/>
            <w:vAlign w:val="center"/>
            <w:hideMark/>
          </w:tcPr>
          <w:p w:rsidR="00CB1C4E" w:rsidRPr="00CB1C4E" w:rsidRDefault="00CB1C4E" w:rsidP="00CB1C4E">
            <w:pPr>
              <w:jc w:val="center"/>
              <w:rPr>
                <w:sz w:val="18"/>
                <w:szCs w:val="18"/>
              </w:rPr>
            </w:pPr>
            <w:r w:rsidRPr="00CB1C4E">
              <w:rPr>
                <w:sz w:val="18"/>
                <w:szCs w:val="18"/>
              </w:rPr>
              <w:t>161</w:t>
            </w:r>
          </w:p>
        </w:tc>
        <w:tc>
          <w:tcPr>
            <w:tcW w:w="1228" w:type="dxa"/>
            <w:shd w:val="clear" w:color="000000" w:fill="FFFFFF"/>
            <w:vAlign w:val="center"/>
            <w:hideMark/>
          </w:tcPr>
          <w:p w:rsidR="00CB1C4E" w:rsidRPr="00CB1C4E" w:rsidRDefault="00CB1C4E" w:rsidP="00CB1C4E">
            <w:pPr>
              <w:jc w:val="center"/>
              <w:rPr>
                <w:sz w:val="18"/>
                <w:szCs w:val="18"/>
              </w:rPr>
            </w:pPr>
            <w:r w:rsidRPr="00CB1C4E">
              <w:rPr>
                <w:sz w:val="18"/>
                <w:szCs w:val="18"/>
              </w:rPr>
              <w:t>184</w:t>
            </w:r>
          </w:p>
        </w:tc>
        <w:tc>
          <w:tcPr>
            <w:tcW w:w="1200" w:type="dxa"/>
            <w:shd w:val="clear" w:color="000000" w:fill="FFFFFF"/>
            <w:vAlign w:val="center"/>
            <w:hideMark/>
          </w:tcPr>
          <w:p w:rsidR="00CB1C4E" w:rsidRPr="00CB1C4E" w:rsidRDefault="00CB1C4E" w:rsidP="00CB1C4E">
            <w:pPr>
              <w:jc w:val="center"/>
              <w:rPr>
                <w:sz w:val="18"/>
                <w:szCs w:val="18"/>
              </w:rPr>
            </w:pPr>
            <w:r w:rsidRPr="00CB1C4E">
              <w:rPr>
                <w:sz w:val="18"/>
                <w:szCs w:val="18"/>
              </w:rPr>
              <w:t>171</w:t>
            </w:r>
          </w:p>
        </w:tc>
        <w:tc>
          <w:tcPr>
            <w:tcW w:w="1300" w:type="dxa"/>
            <w:shd w:val="clear" w:color="000000" w:fill="FFFFFF"/>
            <w:noWrap/>
            <w:vAlign w:val="center"/>
            <w:hideMark/>
          </w:tcPr>
          <w:p w:rsidR="00CB1C4E" w:rsidRPr="00CB1C4E" w:rsidRDefault="00CB1C4E" w:rsidP="00CB1C4E">
            <w:pPr>
              <w:jc w:val="right"/>
              <w:rPr>
                <w:sz w:val="18"/>
                <w:szCs w:val="18"/>
              </w:rPr>
            </w:pPr>
            <w:r w:rsidRPr="00CB1C4E">
              <w:rPr>
                <w:sz w:val="18"/>
                <w:szCs w:val="18"/>
              </w:rPr>
              <w:t>5 188 994 218</w:t>
            </w:r>
          </w:p>
        </w:tc>
      </w:tr>
      <w:tr w:rsidR="00CB1C4E" w:rsidRPr="00CB1C4E" w:rsidTr="00B558CC">
        <w:trPr>
          <w:trHeight w:val="720"/>
        </w:trPr>
        <w:tc>
          <w:tcPr>
            <w:tcW w:w="1001" w:type="dxa"/>
            <w:shd w:val="clear" w:color="auto" w:fill="auto"/>
            <w:vAlign w:val="center"/>
            <w:hideMark/>
          </w:tcPr>
          <w:p w:rsidR="00CB1C4E" w:rsidRPr="00CB1C4E" w:rsidRDefault="00CB1C4E" w:rsidP="00CB1C4E">
            <w:pPr>
              <w:jc w:val="center"/>
              <w:rPr>
                <w:sz w:val="18"/>
                <w:szCs w:val="18"/>
              </w:rPr>
            </w:pPr>
            <w:r w:rsidRPr="00CB1C4E">
              <w:rPr>
                <w:sz w:val="18"/>
                <w:szCs w:val="18"/>
              </w:rPr>
              <w:t>331200</w:t>
            </w:r>
          </w:p>
        </w:tc>
        <w:tc>
          <w:tcPr>
            <w:tcW w:w="1571" w:type="dxa"/>
            <w:shd w:val="clear" w:color="auto" w:fill="auto"/>
            <w:vAlign w:val="bottom"/>
            <w:hideMark/>
          </w:tcPr>
          <w:p w:rsidR="00CB1C4E" w:rsidRPr="00CB1C4E" w:rsidRDefault="00CB1C4E" w:rsidP="00CB1C4E">
            <w:pPr>
              <w:rPr>
                <w:sz w:val="18"/>
                <w:szCs w:val="18"/>
              </w:rPr>
            </w:pPr>
            <w:r w:rsidRPr="00CB1C4E">
              <w:rPr>
                <w:sz w:val="18"/>
                <w:szCs w:val="18"/>
              </w:rPr>
              <w:t>Počet regenerovaných bytů</w:t>
            </w:r>
          </w:p>
        </w:tc>
        <w:tc>
          <w:tcPr>
            <w:tcW w:w="934" w:type="dxa"/>
            <w:shd w:val="clear" w:color="auto" w:fill="auto"/>
            <w:noWrap/>
            <w:vAlign w:val="center"/>
            <w:hideMark/>
          </w:tcPr>
          <w:p w:rsidR="00CB1C4E" w:rsidRPr="00CB1C4E" w:rsidRDefault="00CB1C4E" w:rsidP="00CB1C4E">
            <w:pPr>
              <w:jc w:val="center"/>
              <w:rPr>
                <w:sz w:val="18"/>
                <w:szCs w:val="18"/>
              </w:rPr>
            </w:pPr>
            <w:r w:rsidRPr="00CB1C4E">
              <w:rPr>
                <w:sz w:val="18"/>
                <w:szCs w:val="18"/>
              </w:rPr>
              <w:t>Počet</w:t>
            </w:r>
          </w:p>
        </w:tc>
        <w:tc>
          <w:tcPr>
            <w:tcW w:w="877" w:type="dxa"/>
            <w:shd w:val="clear" w:color="auto" w:fill="auto"/>
            <w:noWrap/>
            <w:vAlign w:val="center"/>
            <w:hideMark/>
          </w:tcPr>
          <w:p w:rsidR="00CB1C4E" w:rsidRPr="00CB1C4E" w:rsidRDefault="00CB1C4E" w:rsidP="00CB1C4E">
            <w:pPr>
              <w:jc w:val="center"/>
              <w:rPr>
                <w:sz w:val="18"/>
                <w:szCs w:val="18"/>
              </w:rPr>
            </w:pPr>
            <w:r w:rsidRPr="00CB1C4E">
              <w:rPr>
                <w:sz w:val="18"/>
                <w:szCs w:val="18"/>
              </w:rPr>
              <w:t>0</w:t>
            </w:r>
          </w:p>
        </w:tc>
        <w:tc>
          <w:tcPr>
            <w:tcW w:w="1001" w:type="dxa"/>
            <w:shd w:val="clear" w:color="auto" w:fill="auto"/>
            <w:noWrap/>
            <w:vAlign w:val="center"/>
            <w:hideMark/>
          </w:tcPr>
          <w:p w:rsidR="00CB1C4E" w:rsidRPr="00CB1C4E" w:rsidRDefault="00CB1C4E" w:rsidP="00CB1C4E">
            <w:pPr>
              <w:jc w:val="center"/>
              <w:rPr>
                <w:sz w:val="18"/>
                <w:szCs w:val="18"/>
              </w:rPr>
            </w:pPr>
            <w:r w:rsidRPr="00CB1C4E">
              <w:rPr>
                <w:sz w:val="18"/>
                <w:szCs w:val="18"/>
              </w:rPr>
              <w:t>24 500</w:t>
            </w:r>
          </w:p>
        </w:tc>
        <w:tc>
          <w:tcPr>
            <w:tcW w:w="1228" w:type="dxa"/>
            <w:shd w:val="clear" w:color="000000" w:fill="FFFFFF"/>
            <w:vAlign w:val="center"/>
            <w:hideMark/>
          </w:tcPr>
          <w:p w:rsidR="00CB1C4E" w:rsidRPr="00CB1C4E" w:rsidRDefault="00CB1C4E" w:rsidP="00CB1C4E">
            <w:pPr>
              <w:jc w:val="center"/>
              <w:rPr>
                <w:sz w:val="18"/>
                <w:szCs w:val="18"/>
              </w:rPr>
            </w:pPr>
            <w:r w:rsidRPr="00CB1C4E">
              <w:rPr>
                <w:sz w:val="18"/>
                <w:szCs w:val="18"/>
              </w:rPr>
              <w:t>56 603</w:t>
            </w:r>
          </w:p>
        </w:tc>
        <w:tc>
          <w:tcPr>
            <w:tcW w:w="1200" w:type="dxa"/>
            <w:shd w:val="clear" w:color="000000" w:fill="FFFFFF"/>
            <w:vAlign w:val="center"/>
            <w:hideMark/>
          </w:tcPr>
          <w:p w:rsidR="00CB1C4E" w:rsidRPr="00CB1C4E" w:rsidRDefault="00CB1C4E" w:rsidP="00CB1C4E">
            <w:pPr>
              <w:jc w:val="center"/>
              <w:rPr>
                <w:sz w:val="18"/>
                <w:szCs w:val="18"/>
              </w:rPr>
            </w:pPr>
            <w:r w:rsidRPr="00CB1C4E">
              <w:rPr>
                <w:sz w:val="18"/>
                <w:szCs w:val="18"/>
              </w:rPr>
              <w:t>56 468</w:t>
            </w:r>
          </w:p>
        </w:tc>
        <w:tc>
          <w:tcPr>
            <w:tcW w:w="1300" w:type="dxa"/>
            <w:shd w:val="clear" w:color="000000" w:fill="FFFFFF"/>
            <w:noWrap/>
            <w:vAlign w:val="center"/>
            <w:hideMark/>
          </w:tcPr>
          <w:p w:rsidR="00CB1C4E" w:rsidRPr="00CB1C4E" w:rsidRDefault="00CB1C4E" w:rsidP="00CB1C4E">
            <w:pPr>
              <w:jc w:val="right"/>
              <w:rPr>
                <w:sz w:val="18"/>
                <w:szCs w:val="18"/>
              </w:rPr>
            </w:pPr>
            <w:r w:rsidRPr="00CB1C4E">
              <w:rPr>
                <w:sz w:val="18"/>
                <w:szCs w:val="18"/>
              </w:rPr>
              <w:t>2 606 727 962</w:t>
            </w:r>
          </w:p>
        </w:tc>
      </w:tr>
      <w:tr w:rsidR="00CB1C4E" w:rsidRPr="00CB1C4E" w:rsidTr="00B558CC">
        <w:trPr>
          <w:trHeight w:val="720"/>
        </w:trPr>
        <w:tc>
          <w:tcPr>
            <w:tcW w:w="1001" w:type="dxa"/>
            <w:shd w:val="clear" w:color="auto" w:fill="auto"/>
            <w:vAlign w:val="center"/>
            <w:hideMark/>
          </w:tcPr>
          <w:p w:rsidR="00CB1C4E" w:rsidRPr="00CB1C4E" w:rsidRDefault="00CB1C4E" w:rsidP="00CB1C4E">
            <w:pPr>
              <w:jc w:val="center"/>
              <w:rPr>
                <w:sz w:val="18"/>
                <w:szCs w:val="18"/>
              </w:rPr>
            </w:pPr>
            <w:r w:rsidRPr="00CB1C4E">
              <w:rPr>
                <w:sz w:val="18"/>
                <w:szCs w:val="18"/>
              </w:rPr>
              <w:t>331300</w:t>
            </w:r>
          </w:p>
        </w:tc>
        <w:tc>
          <w:tcPr>
            <w:tcW w:w="1571" w:type="dxa"/>
            <w:shd w:val="clear" w:color="auto" w:fill="auto"/>
            <w:vAlign w:val="bottom"/>
            <w:hideMark/>
          </w:tcPr>
          <w:p w:rsidR="00CB1C4E" w:rsidRPr="00CB1C4E" w:rsidRDefault="00CB1C4E" w:rsidP="00CB1C4E">
            <w:pPr>
              <w:rPr>
                <w:sz w:val="18"/>
                <w:szCs w:val="18"/>
              </w:rPr>
            </w:pPr>
            <w:r w:rsidRPr="00CB1C4E">
              <w:rPr>
                <w:sz w:val="18"/>
                <w:szCs w:val="18"/>
              </w:rPr>
              <w:t>Plocha revitalizovaného území</w:t>
            </w:r>
          </w:p>
        </w:tc>
        <w:tc>
          <w:tcPr>
            <w:tcW w:w="934" w:type="dxa"/>
            <w:shd w:val="clear" w:color="auto" w:fill="auto"/>
            <w:noWrap/>
            <w:vAlign w:val="center"/>
            <w:hideMark/>
          </w:tcPr>
          <w:p w:rsidR="00CB1C4E" w:rsidRPr="00CB1C4E" w:rsidRDefault="00CB1C4E" w:rsidP="00CB1C4E">
            <w:pPr>
              <w:jc w:val="center"/>
              <w:rPr>
                <w:sz w:val="18"/>
                <w:szCs w:val="18"/>
              </w:rPr>
            </w:pPr>
            <w:r w:rsidRPr="00CB1C4E">
              <w:rPr>
                <w:sz w:val="18"/>
                <w:szCs w:val="18"/>
              </w:rPr>
              <w:t>m2</w:t>
            </w:r>
          </w:p>
        </w:tc>
        <w:tc>
          <w:tcPr>
            <w:tcW w:w="877" w:type="dxa"/>
            <w:shd w:val="clear" w:color="auto" w:fill="auto"/>
            <w:noWrap/>
            <w:vAlign w:val="center"/>
            <w:hideMark/>
          </w:tcPr>
          <w:p w:rsidR="00CB1C4E" w:rsidRPr="00CB1C4E" w:rsidRDefault="00CB1C4E" w:rsidP="00CB1C4E">
            <w:pPr>
              <w:jc w:val="center"/>
              <w:rPr>
                <w:sz w:val="18"/>
                <w:szCs w:val="18"/>
              </w:rPr>
            </w:pPr>
            <w:r w:rsidRPr="00CB1C4E">
              <w:rPr>
                <w:sz w:val="18"/>
                <w:szCs w:val="18"/>
              </w:rPr>
              <w:t>0</w:t>
            </w:r>
          </w:p>
        </w:tc>
        <w:tc>
          <w:tcPr>
            <w:tcW w:w="1001" w:type="dxa"/>
            <w:shd w:val="clear" w:color="auto" w:fill="auto"/>
            <w:noWrap/>
            <w:vAlign w:val="center"/>
            <w:hideMark/>
          </w:tcPr>
          <w:p w:rsidR="00CB1C4E" w:rsidRPr="00CB1C4E" w:rsidRDefault="00CB1C4E" w:rsidP="00CB1C4E">
            <w:pPr>
              <w:jc w:val="center"/>
              <w:rPr>
                <w:sz w:val="18"/>
                <w:szCs w:val="18"/>
              </w:rPr>
            </w:pPr>
            <w:r w:rsidRPr="00CB1C4E">
              <w:rPr>
                <w:sz w:val="18"/>
                <w:szCs w:val="18"/>
              </w:rPr>
              <w:t>4 108 000</w:t>
            </w:r>
          </w:p>
        </w:tc>
        <w:tc>
          <w:tcPr>
            <w:tcW w:w="1228" w:type="dxa"/>
            <w:shd w:val="clear" w:color="000000" w:fill="FFFFFF"/>
            <w:vAlign w:val="center"/>
            <w:hideMark/>
          </w:tcPr>
          <w:p w:rsidR="00CB1C4E" w:rsidRPr="00CB1C4E" w:rsidRDefault="00CB1C4E" w:rsidP="00CB1C4E">
            <w:pPr>
              <w:jc w:val="center"/>
              <w:rPr>
                <w:sz w:val="18"/>
                <w:szCs w:val="18"/>
              </w:rPr>
            </w:pPr>
            <w:r w:rsidRPr="00CB1C4E">
              <w:rPr>
                <w:sz w:val="18"/>
                <w:szCs w:val="18"/>
              </w:rPr>
              <w:t>5 720 523</w:t>
            </w:r>
          </w:p>
        </w:tc>
        <w:tc>
          <w:tcPr>
            <w:tcW w:w="1200" w:type="dxa"/>
            <w:shd w:val="clear" w:color="000000" w:fill="FFFFFF"/>
            <w:vAlign w:val="center"/>
            <w:hideMark/>
          </w:tcPr>
          <w:p w:rsidR="00CB1C4E" w:rsidRPr="00CB1C4E" w:rsidRDefault="00CB1C4E" w:rsidP="00CB1C4E">
            <w:pPr>
              <w:jc w:val="center"/>
              <w:rPr>
                <w:sz w:val="18"/>
                <w:szCs w:val="18"/>
              </w:rPr>
            </w:pPr>
            <w:r w:rsidRPr="00CB1C4E">
              <w:rPr>
                <w:sz w:val="18"/>
                <w:szCs w:val="18"/>
              </w:rPr>
              <w:t>4 885 590</w:t>
            </w:r>
          </w:p>
        </w:tc>
        <w:tc>
          <w:tcPr>
            <w:tcW w:w="1300" w:type="dxa"/>
            <w:shd w:val="clear" w:color="000000" w:fill="FFFFFF"/>
            <w:noWrap/>
            <w:vAlign w:val="center"/>
            <w:hideMark/>
          </w:tcPr>
          <w:p w:rsidR="00CB1C4E" w:rsidRPr="00CB1C4E" w:rsidRDefault="00CB1C4E" w:rsidP="00CB1C4E">
            <w:pPr>
              <w:jc w:val="right"/>
              <w:rPr>
                <w:sz w:val="18"/>
                <w:szCs w:val="18"/>
              </w:rPr>
            </w:pPr>
            <w:r w:rsidRPr="00CB1C4E">
              <w:rPr>
                <w:sz w:val="18"/>
                <w:szCs w:val="18"/>
              </w:rPr>
              <w:t>3 569 911 861</w:t>
            </w:r>
          </w:p>
        </w:tc>
      </w:tr>
      <w:tr w:rsidR="00CB1C4E" w:rsidRPr="00CB1C4E" w:rsidTr="00B558CC">
        <w:trPr>
          <w:trHeight w:val="720"/>
        </w:trPr>
        <w:tc>
          <w:tcPr>
            <w:tcW w:w="1001" w:type="dxa"/>
            <w:shd w:val="clear" w:color="auto" w:fill="auto"/>
            <w:vAlign w:val="center"/>
            <w:hideMark/>
          </w:tcPr>
          <w:p w:rsidR="00CB1C4E" w:rsidRPr="00CB1C4E" w:rsidRDefault="00CB1C4E" w:rsidP="00CB1C4E">
            <w:pPr>
              <w:jc w:val="center"/>
              <w:rPr>
                <w:sz w:val="18"/>
                <w:szCs w:val="18"/>
              </w:rPr>
            </w:pPr>
            <w:r w:rsidRPr="00CB1C4E">
              <w:rPr>
                <w:sz w:val="18"/>
                <w:szCs w:val="18"/>
              </w:rPr>
              <w:t>331500</w:t>
            </w:r>
          </w:p>
        </w:tc>
        <w:tc>
          <w:tcPr>
            <w:tcW w:w="1571" w:type="dxa"/>
            <w:shd w:val="clear" w:color="auto" w:fill="auto"/>
            <w:vAlign w:val="bottom"/>
            <w:hideMark/>
          </w:tcPr>
          <w:p w:rsidR="00CB1C4E" w:rsidRPr="00CB1C4E" w:rsidRDefault="00CB1C4E" w:rsidP="00CB1C4E">
            <w:pPr>
              <w:rPr>
                <w:sz w:val="18"/>
                <w:szCs w:val="18"/>
              </w:rPr>
            </w:pPr>
            <w:r w:rsidRPr="00CB1C4E">
              <w:rPr>
                <w:sz w:val="18"/>
                <w:szCs w:val="18"/>
              </w:rPr>
              <w:t>Úspora spotřeby energie bytových domů</w:t>
            </w:r>
          </w:p>
        </w:tc>
        <w:tc>
          <w:tcPr>
            <w:tcW w:w="934" w:type="dxa"/>
            <w:shd w:val="clear" w:color="auto" w:fill="auto"/>
            <w:noWrap/>
            <w:vAlign w:val="center"/>
            <w:hideMark/>
          </w:tcPr>
          <w:p w:rsidR="00CB1C4E" w:rsidRPr="00CB1C4E" w:rsidRDefault="00CB1C4E" w:rsidP="00CB1C4E">
            <w:pPr>
              <w:jc w:val="center"/>
              <w:rPr>
                <w:sz w:val="18"/>
                <w:szCs w:val="18"/>
              </w:rPr>
            </w:pPr>
            <w:r w:rsidRPr="00CB1C4E">
              <w:rPr>
                <w:sz w:val="18"/>
                <w:szCs w:val="18"/>
              </w:rPr>
              <w:t>%</w:t>
            </w:r>
          </w:p>
        </w:tc>
        <w:tc>
          <w:tcPr>
            <w:tcW w:w="877" w:type="dxa"/>
            <w:shd w:val="clear" w:color="auto" w:fill="auto"/>
            <w:noWrap/>
            <w:vAlign w:val="center"/>
            <w:hideMark/>
          </w:tcPr>
          <w:p w:rsidR="00CB1C4E" w:rsidRPr="00CB1C4E" w:rsidRDefault="00CB1C4E" w:rsidP="00CB1C4E">
            <w:pPr>
              <w:jc w:val="center"/>
              <w:rPr>
                <w:sz w:val="18"/>
                <w:szCs w:val="18"/>
              </w:rPr>
            </w:pPr>
            <w:r w:rsidRPr="00CB1C4E">
              <w:rPr>
                <w:sz w:val="18"/>
                <w:szCs w:val="18"/>
              </w:rPr>
              <w:t>0</w:t>
            </w:r>
          </w:p>
        </w:tc>
        <w:tc>
          <w:tcPr>
            <w:tcW w:w="1001" w:type="dxa"/>
            <w:shd w:val="clear" w:color="auto" w:fill="auto"/>
            <w:noWrap/>
            <w:vAlign w:val="center"/>
            <w:hideMark/>
          </w:tcPr>
          <w:p w:rsidR="00CB1C4E" w:rsidRPr="00CB1C4E" w:rsidRDefault="00CB1C4E" w:rsidP="00CB1C4E">
            <w:pPr>
              <w:jc w:val="center"/>
              <w:rPr>
                <w:sz w:val="18"/>
                <w:szCs w:val="18"/>
              </w:rPr>
            </w:pPr>
            <w:r w:rsidRPr="00CB1C4E">
              <w:rPr>
                <w:sz w:val="18"/>
                <w:szCs w:val="18"/>
              </w:rPr>
              <w:t>20</w:t>
            </w:r>
          </w:p>
        </w:tc>
        <w:tc>
          <w:tcPr>
            <w:tcW w:w="1228" w:type="dxa"/>
            <w:shd w:val="clear" w:color="000000" w:fill="FFFFFF"/>
            <w:vAlign w:val="center"/>
            <w:hideMark/>
          </w:tcPr>
          <w:p w:rsidR="00CB1C4E" w:rsidRPr="00CB1C4E" w:rsidRDefault="00CB1C4E" w:rsidP="00CB1C4E">
            <w:pPr>
              <w:jc w:val="center"/>
              <w:rPr>
                <w:sz w:val="18"/>
                <w:szCs w:val="18"/>
              </w:rPr>
            </w:pPr>
            <w:r w:rsidRPr="00CB1C4E">
              <w:rPr>
                <w:sz w:val="18"/>
                <w:szCs w:val="18"/>
              </w:rPr>
              <w:t>31</w:t>
            </w:r>
          </w:p>
        </w:tc>
        <w:tc>
          <w:tcPr>
            <w:tcW w:w="1200" w:type="dxa"/>
            <w:shd w:val="clear" w:color="000000" w:fill="FFFFFF"/>
            <w:vAlign w:val="center"/>
            <w:hideMark/>
          </w:tcPr>
          <w:p w:rsidR="00CB1C4E" w:rsidRPr="00CB1C4E" w:rsidRDefault="00CB1C4E" w:rsidP="00CB1C4E">
            <w:pPr>
              <w:jc w:val="center"/>
              <w:rPr>
                <w:sz w:val="18"/>
                <w:szCs w:val="18"/>
              </w:rPr>
            </w:pPr>
            <w:r w:rsidRPr="00CB1C4E">
              <w:rPr>
                <w:sz w:val="18"/>
                <w:szCs w:val="18"/>
              </w:rPr>
              <w:t>31</w:t>
            </w:r>
          </w:p>
        </w:tc>
        <w:tc>
          <w:tcPr>
            <w:tcW w:w="1300" w:type="dxa"/>
            <w:shd w:val="clear" w:color="000000" w:fill="FFFFFF"/>
            <w:noWrap/>
            <w:vAlign w:val="center"/>
            <w:hideMark/>
          </w:tcPr>
          <w:p w:rsidR="00CB1C4E" w:rsidRPr="00CB1C4E" w:rsidRDefault="00CB1C4E" w:rsidP="00CB1C4E">
            <w:pPr>
              <w:jc w:val="right"/>
              <w:rPr>
                <w:sz w:val="18"/>
                <w:szCs w:val="18"/>
              </w:rPr>
            </w:pPr>
            <w:r w:rsidRPr="00CB1C4E">
              <w:rPr>
                <w:sz w:val="18"/>
                <w:szCs w:val="18"/>
              </w:rPr>
              <w:t>2 606 727 962</w:t>
            </w:r>
          </w:p>
        </w:tc>
      </w:tr>
      <w:tr w:rsidR="00CB1C4E" w:rsidRPr="00CB1C4E" w:rsidTr="00B558CC">
        <w:trPr>
          <w:trHeight w:val="480"/>
        </w:trPr>
        <w:tc>
          <w:tcPr>
            <w:tcW w:w="1001" w:type="dxa"/>
            <w:shd w:val="clear" w:color="auto" w:fill="auto"/>
            <w:vAlign w:val="center"/>
            <w:hideMark/>
          </w:tcPr>
          <w:p w:rsidR="00CB1C4E" w:rsidRPr="00CB1C4E" w:rsidRDefault="00CB1C4E" w:rsidP="00CB1C4E">
            <w:pPr>
              <w:jc w:val="center"/>
              <w:rPr>
                <w:sz w:val="18"/>
                <w:szCs w:val="18"/>
              </w:rPr>
            </w:pPr>
            <w:r w:rsidRPr="00CB1C4E">
              <w:rPr>
                <w:sz w:val="18"/>
                <w:szCs w:val="18"/>
              </w:rPr>
              <w:t>331000</w:t>
            </w:r>
          </w:p>
        </w:tc>
        <w:tc>
          <w:tcPr>
            <w:tcW w:w="1571" w:type="dxa"/>
            <w:shd w:val="clear" w:color="auto" w:fill="auto"/>
            <w:vAlign w:val="bottom"/>
            <w:hideMark/>
          </w:tcPr>
          <w:p w:rsidR="00CB1C4E" w:rsidRPr="00CB1C4E" w:rsidRDefault="00CB1C4E" w:rsidP="00CB1C4E">
            <w:pPr>
              <w:rPr>
                <w:sz w:val="18"/>
                <w:szCs w:val="18"/>
              </w:rPr>
            </w:pPr>
            <w:r w:rsidRPr="00CB1C4E">
              <w:rPr>
                <w:sz w:val="18"/>
                <w:szCs w:val="18"/>
              </w:rPr>
              <w:t>Počet vytvořených Fondů rozvoje měst</w:t>
            </w:r>
          </w:p>
        </w:tc>
        <w:tc>
          <w:tcPr>
            <w:tcW w:w="934" w:type="dxa"/>
            <w:shd w:val="clear" w:color="auto" w:fill="auto"/>
            <w:noWrap/>
            <w:vAlign w:val="center"/>
            <w:hideMark/>
          </w:tcPr>
          <w:p w:rsidR="00CB1C4E" w:rsidRPr="00CB1C4E" w:rsidRDefault="00CB1C4E" w:rsidP="00CB1C4E">
            <w:pPr>
              <w:jc w:val="center"/>
              <w:rPr>
                <w:sz w:val="18"/>
                <w:szCs w:val="18"/>
              </w:rPr>
            </w:pPr>
            <w:r w:rsidRPr="00CB1C4E">
              <w:rPr>
                <w:sz w:val="18"/>
                <w:szCs w:val="18"/>
              </w:rPr>
              <w:t>Počet</w:t>
            </w:r>
          </w:p>
        </w:tc>
        <w:tc>
          <w:tcPr>
            <w:tcW w:w="877" w:type="dxa"/>
            <w:shd w:val="clear" w:color="auto" w:fill="auto"/>
            <w:noWrap/>
            <w:vAlign w:val="center"/>
            <w:hideMark/>
          </w:tcPr>
          <w:p w:rsidR="00CB1C4E" w:rsidRPr="00CB1C4E" w:rsidRDefault="00CB1C4E" w:rsidP="00CB1C4E">
            <w:pPr>
              <w:jc w:val="center"/>
              <w:rPr>
                <w:sz w:val="18"/>
                <w:szCs w:val="18"/>
              </w:rPr>
            </w:pPr>
            <w:r w:rsidRPr="00CB1C4E">
              <w:rPr>
                <w:sz w:val="18"/>
                <w:szCs w:val="18"/>
              </w:rPr>
              <w:t>0</w:t>
            </w:r>
          </w:p>
        </w:tc>
        <w:tc>
          <w:tcPr>
            <w:tcW w:w="1001" w:type="dxa"/>
            <w:shd w:val="clear" w:color="auto" w:fill="auto"/>
            <w:noWrap/>
            <w:vAlign w:val="center"/>
            <w:hideMark/>
          </w:tcPr>
          <w:p w:rsidR="00CB1C4E" w:rsidRPr="00CB1C4E" w:rsidRDefault="00CB1C4E" w:rsidP="00CB1C4E">
            <w:pPr>
              <w:jc w:val="center"/>
              <w:rPr>
                <w:sz w:val="18"/>
                <w:szCs w:val="18"/>
              </w:rPr>
            </w:pPr>
            <w:r w:rsidRPr="00CB1C4E">
              <w:rPr>
                <w:sz w:val="18"/>
                <w:szCs w:val="18"/>
              </w:rPr>
              <w:t>1</w:t>
            </w:r>
          </w:p>
        </w:tc>
        <w:tc>
          <w:tcPr>
            <w:tcW w:w="1228" w:type="dxa"/>
            <w:shd w:val="clear" w:color="000000" w:fill="FFFFFF"/>
            <w:vAlign w:val="center"/>
            <w:hideMark/>
          </w:tcPr>
          <w:p w:rsidR="00CB1C4E" w:rsidRPr="00CB1C4E" w:rsidRDefault="00CB1C4E" w:rsidP="00CB1C4E">
            <w:pPr>
              <w:jc w:val="center"/>
              <w:rPr>
                <w:sz w:val="18"/>
                <w:szCs w:val="18"/>
              </w:rPr>
            </w:pPr>
            <w:r w:rsidRPr="00CB1C4E">
              <w:rPr>
                <w:sz w:val="18"/>
                <w:szCs w:val="18"/>
              </w:rPr>
              <w:t>1</w:t>
            </w:r>
          </w:p>
        </w:tc>
        <w:tc>
          <w:tcPr>
            <w:tcW w:w="1200" w:type="dxa"/>
            <w:shd w:val="clear" w:color="000000" w:fill="FFFFFF"/>
            <w:vAlign w:val="center"/>
            <w:hideMark/>
          </w:tcPr>
          <w:p w:rsidR="00CB1C4E" w:rsidRPr="00CB1C4E" w:rsidRDefault="00CB1C4E" w:rsidP="00CB1C4E">
            <w:pPr>
              <w:jc w:val="center"/>
              <w:rPr>
                <w:sz w:val="18"/>
                <w:szCs w:val="18"/>
              </w:rPr>
            </w:pPr>
            <w:r w:rsidRPr="00CB1C4E">
              <w:rPr>
                <w:sz w:val="18"/>
                <w:szCs w:val="18"/>
              </w:rPr>
              <w:t>1</w:t>
            </w:r>
          </w:p>
        </w:tc>
        <w:tc>
          <w:tcPr>
            <w:tcW w:w="1300" w:type="dxa"/>
            <w:shd w:val="clear" w:color="000000" w:fill="FFFFFF"/>
            <w:noWrap/>
            <w:vAlign w:val="center"/>
            <w:hideMark/>
          </w:tcPr>
          <w:p w:rsidR="00CB1C4E" w:rsidRPr="00CB1C4E" w:rsidRDefault="00CB1C4E" w:rsidP="00CB1C4E">
            <w:pPr>
              <w:jc w:val="right"/>
              <w:rPr>
                <w:sz w:val="18"/>
                <w:szCs w:val="18"/>
              </w:rPr>
            </w:pPr>
            <w:r w:rsidRPr="00CB1C4E">
              <w:rPr>
                <w:sz w:val="18"/>
                <w:szCs w:val="18"/>
              </w:rPr>
              <w:t>518 389 065</w:t>
            </w:r>
          </w:p>
        </w:tc>
      </w:tr>
      <w:tr w:rsidR="00CB1C4E" w:rsidRPr="00CB1C4E" w:rsidTr="00B558CC">
        <w:trPr>
          <w:trHeight w:val="1957"/>
        </w:trPr>
        <w:tc>
          <w:tcPr>
            <w:tcW w:w="1001" w:type="dxa"/>
            <w:shd w:val="clear" w:color="auto" w:fill="auto"/>
            <w:vAlign w:val="center"/>
            <w:hideMark/>
          </w:tcPr>
          <w:p w:rsidR="00CB1C4E" w:rsidRPr="00CB1C4E" w:rsidRDefault="00CB1C4E" w:rsidP="00CB1C4E">
            <w:pPr>
              <w:jc w:val="center"/>
              <w:rPr>
                <w:sz w:val="18"/>
                <w:szCs w:val="18"/>
              </w:rPr>
            </w:pPr>
            <w:r w:rsidRPr="00CB1C4E">
              <w:rPr>
                <w:sz w:val="18"/>
                <w:szCs w:val="18"/>
              </w:rPr>
              <w:t>330418</w:t>
            </w:r>
          </w:p>
        </w:tc>
        <w:tc>
          <w:tcPr>
            <w:tcW w:w="1571" w:type="dxa"/>
            <w:shd w:val="clear" w:color="auto" w:fill="auto"/>
            <w:vAlign w:val="bottom"/>
            <w:hideMark/>
          </w:tcPr>
          <w:p w:rsidR="00CB1C4E" w:rsidRPr="00CB1C4E" w:rsidRDefault="00CB1C4E" w:rsidP="00CB1C4E">
            <w:pPr>
              <w:rPr>
                <w:sz w:val="18"/>
                <w:szCs w:val="18"/>
              </w:rPr>
            </w:pPr>
            <w:r w:rsidRPr="00CB1C4E">
              <w:rPr>
                <w:sz w:val="18"/>
                <w:szCs w:val="18"/>
              </w:rPr>
              <w:t>Zvýšení plochy území v rozvojových oblastech, rozvojových osách a specifických oblastech pokrytých novými územními plány</w:t>
            </w:r>
          </w:p>
        </w:tc>
        <w:tc>
          <w:tcPr>
            <w:tcW w:w="934" w:type="dxa"/>
            <w:shd w:val="clear" w:color="auto" w:fill="auto"/>
            <w:noWrap/>
            <w:vAlign w:val="center"/>
            <w:hideMark/>
          </w:tcPr>
          <w:p w:rsidR="00CB1C4E" w:rsidRPr="00CB1C4E" w:rsidRDefault="00CB1C4E" w:rsidP="00CB1C4E">
            <w:pPr>
              <w:jc w:val="center"/>
              <w:rPr>
                <w:sz w:val="18"/>
                <w:szCs w:val="18"/>
              </w:rPr>
            </w:pPr>
            <w:r w:rsidRPr="00CB1C4E">
              <w:rPr>
                <w:sz w:val="18"/>
                <w:szCs w:val="18"/>
              </w:rPr>
              <w:t>%</w:t>
            </w:r>
          </w:p>
        </w:tc>
        <w:tc>
          <w:tcPr>
            <w:tcW w:w="877" w:type="dxa"/>
            <w:shd w:val="clear" w:color="auto" w:fill="auto"/>
            <w:noWrap/>
            <w:vAlign w:val="center"/>
            <w:hideMark/>
          </w:tcPr>
          <w:p w:rsidR="00CB1C4E" w:rsidRPr="00CB1C4E" w:rsidRDefault="00CB1C4E" w:rsidP="00CB1C4E">
            <w:pPr>
              <w:jc w:val="center"/>
              <w:rPr>
                <w:sz w:val="18"/>
                <w:szCs w:val="18"/>
              </w:rPr>
            </w:pPr>
            <w:r w:rsidRPr="00CB1C4E">
              <w:rPr>
                <w:sz w:val="18"/>
                <w:szCs w:val="18"/>
              </w:rPr>
              <w:t>0</w:t>
            </w:r>
          </w:p>
        </w:tc>
        <w:tc>
          <w:tcPr>
            <w:tcW w:w="1001" w:type="dxa"/>
            <w:shd w:val="clear" w:color="auto" w:fill="auto"/>
            <w:noWrap/>
            <w:vAlign w:val="center"/>
            <w:hideMark/>
          </w:tcPr>
          <w:p w:rsidR="00CB1C4E" w:rsidRPr="00CB1C4E" w:rsidRDefault="00CB1C4E" w:rsidP="00CB1C4E">
            <w:pPr>
              <w:jc w:val="center"/>
              <w:rPr>
                <w:sz w:val="18"/>
                <w:szCs w:val="18"/>
              </w:rPr>
            </w:pPr>
            <w:r w:rsidRPr="00CB1C4E">
              <w:rPr>
                <w:sz w:val="18"/>
                <w:szCs w:val="18"/>
              </w:rPr>
              <w:t>0</w:t>
            </w:r>
          </w:p>
        </w:tc>
        <w:tc>
          <w:tcPr>
            <w:tcW w:w="1228" w:type="dxa"/>
            <w:shd w:val="clear" w:color="000000" w:fill="FFFFFF"/>
            <w:vAlign w:val="center"/>
            <w:hideMark/>
          </w:tcPr>
          <w:p w:rsidR="00CB1C4E" w:rsidRPr="00CB1C4E" w:rsidRDefault="00CB1C4E" w:rsidP="00CB1C4E">
            <w:pPr>
              <w:jc w:val="center"/>
              <w:rPr>
                <w:sz w:val="18"/>
                <w:szCs w:val="18"/>
              </w:rPr>
            </w:pPr>
            <w:r w:rsidRPr="00CB1C4E">
              <w:rPr>
                <w:sz w:val="18"/>
                <w:szCs w:val="18"/>
              </w:rPr>
              <w:t>29</w:t>
            </w:r>
          </w:p>
        </w:tc>
        <w:tc>
          <w:tcPr>
            <w:tcW w:w="1200" w:type="dxa"/>
            <w:shd w:val="clear" w:color="000000" w:fill="FFFFFF"/>
            <w:vAlign w:val="center"/>
            <w:hideMark/>
          </w:tcPr>
          <w:p w:rsidR="00CB1C4E" w:rsidRPr="00CB1C4E" w:rsidRDefault="00CB1C4E" w:rsidP="00CB1C4E">
            <w:pPr>
              <w:jc w:val="center"/>
              <w:rPr>
                <w:sz w:val="18"/>
                <w:szCs w:val="18"/>
              </w:rPr>
            </w:pPr>
            <w:r w:rsidRPr="00CB1C4E">
              <w:rPr>
                <w:sz w:val="18"/>
                <w:szCs w:val="18"/>
              </w:rPr>
              <w:t>29</w:t>
            </w:r>
          </w:p>
        </w:tc>
        <w:tc>
          <w:tcPr>
            <w:tcW w:w="1300" w:type="dxa"/>
            <w:shd w:val="clear" w:color="000000" w:fill="FFFFFF"/>
            <w:noWrap/>
            <w:vAlign w:val="center"/>
            <w:hideMark/>
          </w:tcPr>
          <w:p w:rsidR="00CB1C4E" w:rsidRPr="00CB1C4E" w:rsidRDefault="00CB1C4E" w:rsidP="00CB1C4E">
            <w:pPr>
              <w:jc w:val="right"/>
              <w:rPr>
                <w:sz w:val="18"/>
                <w:szCs w:val="18"/>
              </w:rPr>
            </w:pPr>
            <w:r w:rsidRPr="00CB1C4E">
              <w:rPr>
                <w:sz w:val="18"/>
                <w:szCs w:val="18"/>
              </w:rPr>
              <w:t>266 610 759</w:t>
            </w:r>
          </w:p>
        </w:tc>
      </w:tr>
      <w:tr w:rsidR="00CB1C4E" w:rsidRPr="00CB1C4E" w:rsidTr="00B558CC">
        <w:trPr>
          <w:trHeight w:val="1455"/>
        </w:trPr>
        <w:tc>
          <w:tcPr>
            <w:tcW w:w="1001" w:type="dxa"/>
            <w:shd w:val="clear" w:color="auto" w:fill="auto"/>
            <w:vAlign w:val="center"/>
            <w:hideMark/>
          </w:tcPr>
          <w:p w:rsidR="00CB1C4E" w:rsidRPr="00CB1C4E" w:rsidRDefault="00CB1C4E" w:rsidP="00794EEB">
            <w:pPr>
              <w:jc w:val="center"/>
              <w:rPr>
                <w:sz w:val="18"/>
                <w:szCs w:val="18"/>
              </w:rPr>
            </w:pPr>
            <w:r w:rsidRPr="00CB1C4E">
              <w:rPr>
                <w:sz w:val="18"/>
                <w:szCs w:val="18"/>
              </w:rPr>
              <w:t>330417</w:t>
            </w:r>
          </w:p>
        </w:tc>
        <w:tc>
          <w:tcPr>
            <w:tcW w:w="1571" w:type="dxa"/>
            <w:shd w:val="clear" w:color="auto" w:fill="auto"/>
            <w:vAlign w:val="bottom"/>
            <w:hideMark/>
          </w:tcPr>
          <w:p w:rsidR="00CB1C4E" w:rsidRPr="00CB1C4E" w:rsidRDefault="00CB1C4E" w:rsidP="00CB1C4E">
            <w:pPr>
              <w:rPr>
                <w:sz w:val="18"/>
                <w:szCs w:val="18"/>
              </w:rPr>
            </w:pPr>
            <w:r w:rsidRPr="00CB1C4E">
              <w:rPr>
                <w:sz w:val="18"/>
                <w:szCs w:val="18"/>
              </w:rPr>
              <w:t>Zvýšení plochy území ČR, které bude pokryto územně analytickými podklady obcí</w:t>
            </w:r>
          </w:p>
        </w:tc>
        <w:tc>
          <w:tcPr>
            <w:tcW w:w="934" w:type="dxa"/>
            <w:shd w:val="clear" w:color="auto" w:fill="auto"/>
            <w:noWrap/>
            <w:vAlign w:val="center"/>
            <w:hideMark/>
          </w:tcPr>
          <w:p w:rsidR="00CB1C4E" w:rsidRPr="00CB1C4E" w:rsidRDefault="00CB1C4E" w:rsidP="00CB1C4E">
            <w:pPr>
              <w:jc w:val="center"/>
              <w:rPr>
                <w:sz w:val="18"/>
                <w:szCs w:val="18"/>
              </w:rPr>
            </w:pPr>
            <w:r w:rsidRPr="00CB1C4E">
              <w:rPr>
                <w:sz w:val="18"/>
                <w:szCs w:val="18"/>
              </w:rPr>
              <w:t>%</w:t>
            </w:r>
          </w:p>
        </w:tc>
        <w:tc>
          <w:tcPr>
            <w:tcW w:w="877" w:type="dxa"/>
            <w:shd w:val="clear" w:color="auto" w:fill="auto"/>
            <w:noWrap/>
            <w:vAlign w:val="center"/>
            <w:hideMark/>
          </w:tcPr>
          <w:p w:rsidR="00CB1C4E" w:rsidRPr="00CB1C4E" w:rsidRDefault="00CB1C4E" w:rsidP="00CB1C4E">
            <w:pPr>
              <w:jc w:val="center"/>
              <w:rPr>
                <w:sz w:val="18"/>
                <w:szCs w:val="18"/>
              </w:rPr>
            </w:pPr>
            <w:r w:rsidRPr="00CB1C4E">
              <w:rPr>
                <w:sz w:val="18"/>
                <w:szCs w:val="18"/>
              </w:rPr>
              <w:t>0</w:t>
            </w:r>
          </w:p>
        </w:tc>
        <w:tc>
          <w:tcPr>
            <w:tcW w:w="1001" w:type="dxa"/>
            <w:shd w:val="clear" w:color="auto" w:fill="auto"/>
            <w:noWrap/>
            <w:vAlign w:val="center"/>
            <w:hideMark/>
          </w:tcPr>
          <w:p w:rsidR="00CB1C4E" w:rsidRPr="00CB1C4E" w:rsidRDefault="00CB1C4E" w:rsidP="00CB1C4E">
            <w:pPr>
              <w:jc w:val="center"/>
              <w:rPr>
                <w:sz w:val="18"/>
                <w:szCs w:val="18"/>
              </w:rPr>
            </w:pPr>
            <w:r w:rsidRPr="00CB1C4E">
              <w:rPr>
                <w:sz w:val="18"/>
                <w:szCs w:val="18"/>
              </w:rPr>
              <w:t>19</w:t>
            </w:r>
          </w:p>
        </w:tc>
        <w:tc>
          <w:tcPr>
            <w:tcW w:w="1228" w:type="dxa"/>
            <w:shd w:val="clear" w:color="000000" w:fill="FFFFFF"/>
            <w:vAlign w:val="center"/>
            <w:hideMark/>
          </w:tcPr>
          <w:p w:rsidR="00CB1C4E" w:rsidRPr="00CB1C4E" w:rsidRDefault="00CB1C4E" w:rsidP="00CB1C4E">
            <w:pPr>
              <w:jc w:val="center"/>
              <w:rPr>
                <w:sz w:val="18"/>
                <w:szCs w:val="18"/>
              </w:rPr>
            </w:pPr>
            <w:r w:rsidRPr="00CB1C4E">
              <w:rPr>
                <w:sz w:val="18"/>
                <w:szCs w:val="18"/>
              </w:rPr>
              <w:t>80</w:t>
            </w:r>
          </w:p>
        </w:tc>
        <w:tc>
          <w:tcPr>
            <w:tcW w:w="1200" w:type="dxa"/>
            <w:shd w:val="clear" w:color="000000" w:fill="FFFFFF"/>
            <w:vAlign w:val="center"/>
            <w:hideMark/>
          </w:tcPr>
          <w:p w:rsidR="00CB1C4E" w:rsidRPr="00CB1C4E" w:rsidRDefault="00CB1C4E" w:rsidP="00CB1C4E">
            <w:pPr>
              <w:jc w:val="center"/>
              <w:rPr>
                <w:sz w:val="18"/>
                <w:szCs w:val="18"/>
              </w:rPr>
            </w:pPr>
            <w:r w:rsidRPr="00CB1C4E">
              <w:rPr>
                <w:sz w:val="18"/>
                <w:szCs w:val="18"/>
              </w:rPr>
              <w:t>80</w:t>
            </w:r>
          </w:p>
        </w:tc>
        <w:tc>
          <w:tcPr>
            <w:tcW w:w="1300" w:type="dxa"/>
            <w:shd w:val="clear" w:color="000000" w:fill="FFFFFF"/>
            <w:noWrap/>
            <w:vAlign w:val="center"/>
            <w:hideMark/>
          </w:tcPr>
          <w:p w:rsidR="00CB1C4E" w:rsidRPr="00CB1C4E" w:rsidRDefault="00CB1C4E" w:rsidP="00CB1C4E">
            <w:pPr>
              <w:jc w:val="right"/>
              <w:rPr>
                <w:sz w:val="18"/>
                <w:szCs w:val="18"/>
              </w:rPr>
            </w:pPr>
            <w:r w:rsidRPr="00CB1C4E">
              <w:rPr>
                <w:sz w:val="18"/>
                <w:szCs w:val="18"/>
              </w:rPr>
              <w:t>137 998 350</w:t>
            </w:r>
          </w:p>
        </w:tc>
      </w:tr>
    </w:tbl>
    <w:p w:rsidR="008D78FE" w:rsidRDefault="002D1C24" w:rsidP="007C4669">
      <w:pPr>
        <w:rPr>
          <w:rStyle w:val="Siln"/>
          <w:b w:val="0"/>
          <w:i/>
          <w:sz w:val="18"/>
          <w:szCs w:val="18"/>
        </w:rPr>
      </w:pPr>
      <w:r w:rsidRPr="007C4669">
        <w:rPr>
          <w:rStyle w:val="Siln"/>
          <w:b w:val="0"/>
          <w:i/>
          <w:sz w:val="18"/>
          <w:szCs w:val="18"/>
        </w:rPr>
        <w:t xml:space="preserve">Zdroj: </w:t>
      </w:r>
      <w:r w:rsidR="00275DC0">
        <w:rPr>
          <w:rStyle w:val="Siln"/>
          <w:b w:val="0"/>
          <w:i/>
          <w:sz w:val="18"/>
          <w:szCs w:val="18"/>
        </w:rPr>
        <w:t xml:space="preserve">MSC2007 </w:t>
      </w:r>
      <w:r w:rsidR="00914BC7">
        <w:rPr>
          <w:rStyle w:val="Siln"/>
          <w:b w:val="0"/>
          <w:i/>
          <w:sz w:val="18"/>
          <w:szCs w:val="18"/>
        </w:rPr>
        <w:t>k 30. 9. 2015</w:t>
      </w:r>
      <w:r w:rsidRPr="007C4669">
        <w:rPr>
          <w:rStyle w:val="Siln"/>
          <w:b w:val="0"/>
          <w:i/>
          <w:sz w:val="18"/>
          <w:szCs w:val="18"/>
        </w:rPr>
        <w:t>, informace od ZS u podílových indikátorů</w:t>
      </w:r>
    </w:p>
    <w:p w:rsidR="00FB3914" w:rsidRDefault="00FB3914" w:rsidP="007C4669">
      <w:pPr>
        <w:rPr>
          <w:rStyle w:val="Siln"/>
          <w:b w:val="0"/>
          <w:i/>
          <w:sz w:val="18"/>
          <w:szCs w:val="18"/>
        </w:rPr>
      </w:pPr>
    </w:p>
    <w:p w:rsidR="0006530D" w:rsidRDefault="0006530D" w:rsidP="00821BB2">
      <w:pPr>
        <w:jc w:val="both"/>
        <w:rPr>
          <w:sz w:val="22"/>
          <w:szCs w:val="22"/>
        </w:rPr>
      </w:pPr>
    </w:p>
    <w:p w:rsidR="00821BB2" w:rsidRPr="00C54E0E" w:rsidRDefault="00821BB2" w:rsidP="00821BB2">
      <w:pPr>
        <w:jc w:val="both"/>
        <w:rPr>
          <w:sz w:val="22"/>
          <w:szCs w:val="22"/>
        </w:rPr>
      </w:pPr>
      <w:r w:rsidRPr="00C54E0E">
        <w:rPr>
          <w:sz w:val="22"/>
          <w:szCs w:val="22"/>
        </w:rPr>
        <w:t xml:space="preserve">V grafech Porovnání věcného a finančního pokroku vyjadřuje </w:t>
      </w:r>
      <w:r w:rsidRPr="00B844A3">
        <w:rPr>
          <w:sz w:val="22"/>
          <w:szCs w:val="22"/>
        </w:rPr>
        <w:t>fialový sloupec závazek ze schvále</w:t>
      </w:r>
      <w:r w:rsidRPr="00C54E0E">
        <w:rPr>
          <w:sz w:val="22"/>
          <w:szCs w:val="22"/>
        </w:rPr>
        <w:t>ných projektů, tj. celkovou plánovanou hodnotu indikátoru, kterou příjemci uvedli v žádostech o dotaci, vyjádřený v % z celkové hodnoty, stanovené v Programovém dokumentu IOP, stejný údaj je v tabulkách indikátorů. Modrý sloupec zahrnuje finanční prostředky projektů, na které je vydáno Rozhodnutí o poskytnutí dotace procentuálně vztažené k alokaci na aktivitu, do které indikátor spadá.</w:t>
      </w:r>
    </w:p>
    <w:p w:rsidR="00821BB2" w:rsidRPr="00424AAC" w:rsidRDefault="00821BB2" w:rsidP="007C4669">
      <w:pPr>
        <w:rPr>
          <w:rStyle w:val="Siln"/>
          <w:i/>
          <w:sz w:val="18"/>
          <w:szCs w:val="18"/>
        </w:rPr>
      </w:pPr>
    </w:p>
    <w:p w:rsidR="00C84B4F" w:rsidRPr="00DD6F98" w:rsidRDefault="008D78FE" w:rsidP="00896220">
      <w:pPr>
        <w:pStyle w:val="Graf"/>
        <w:keepNext/>
      </w:pPr>
      <w:bookmarkStart w:id="133" w:name="_Toc433873594"/>
      <w:r w:rsidRPr="00DD6F98">
        <w:lastRenderedPageBreak/>
        <w:t>Porovnání věcného a finančního pokroku v oblasti intervence 5.1</w:t>
      </w:r>
      <w:bookmarkEnd w:id="133"/>
    </w:p>
    <w:p w:rsidR="00165C41" w:rsidRDefault="005510F0" w:rsidP="00102CE4">
      <w:pPr>
        <w:rPr>
          <w:noProof/>
        </w:rPr>
      </w:pPr>
      <w:r>
        <w:rPr>
          <w:noProof/>
        </w:rPr>
        <w:drawing>
          <wp:inline distT="0" distB="0" distL="0" distR="0" wp14:anchorId="55602C4B" wp14:editId="659024B1">
            <wp:extent cx="5760085" cy="2892290"/>
            <wp:effectExtent l="0" t="0" r="12065" b="22860"/>
            <wp:docPr id="22" name="Graf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411E0C" w:rsidRDefault="002D1C24" w:rsidP="00102CE4">
      <w:pPr>
        <w:rPr>
          <w:rStyle w:val="Siln"/>
          <w:b w:val="0"/>
          <w:i/>
          <w:sz w:val="18"/>
          <w:szCs w:val="18"/>
        </w:rPr>
      </w:pPr>
      <w:r w:rsidRPr="0088503A">
        <w:rPr>
          <w:rStyle w:val="Siln"/>
          <w:b w:val="0"/>
          <w:i/>
          <w:sz w:val="18"/>
          <w:szCs w:val="18"/>
        </w:rPr>
        <w:t xml:space="preserve">Zdroj: </w:t>
      </w:r>
      <w:r w:rsidR="00275DC0">
        <w:rPr>
          <w:rStyle w:val="Siln"/>
          <w:b w:val="0"/>
          <w:i/>
          <w:sz w:val="18"/>
          <w:szCs w:val="18"/>
        </w:rPr>
        <w:t xml:space="preserve">MSC2007 </w:t>
      </w:r>
      <w:r w:rsidR="00914BC7">
        <w:rPr>
          <w:rStyle w:val="Siln"/>
          <w:b w:val="0"/>
          <w:i/>
          <w:sz w:val="18"/>
          <w:szCs w:val="18"/>
        </w:rPr>
        <w:t>k 30. 9. 2015</w:t>
      </w:r>
      <w:r w:rsidRPr="0088503A">
        <w:rPr>
          <w:rStyle w:val="Siln"/>
          <w:b w:val="0"/>
          <w:i/>
          <w:sz w:val="18"/>
          <w:szCs w:val="18"/>
        </w:rPr>
        <w:t>, informace od ZS u podílových indikátorů</w:t>
      </w:r>
    </w:p>
    <w:p w:rsidR="00165C41" w:rsidRDefault="00165C41" w:rsidP="00102CE4">
      <w:pPr>
        <w:rPr>
          <w:b/>
        </w:rPr>
      </w:pPr>
    </w:p>
    <w:p w:rsidR="004C5E8F" w:rsidRDefault="004C5E8F" w:rsidP="00102CE4">
      <w:pPr>
        <w:rPr>
          <w:b/>
        </w:rPr>
      </w:pPr>
    </w:p>
    <w:p w:rsidR="005510F0" w:rsidRPr="00102CE4" w:rsidRDefault="005510F0" w:rsidP="00102CE4">
      <w:pPr>
        <w:rPr>
          <w:b/>
        </w:rPr>
      </w:pPr>
    </w:p>
    <w:p w:rsidR="004C5E8F" w:rsidRPr="004C5E8F" w:rsidRDefault="008D78FE" w:rsidP="004C5E8F">
      <w:pPr>
        <w:pStyle w:val="Graf"/>
        <w:keepNext/>
      </w:pPr>
      <w:bookmarkStart w:id="134" w:name="_Toc433873595"/>
      <w:r w:rsidRPr="004C5E8F">
        <w:t>Porovnání věcného a finančního pokroku v oblasti intervence 5.2</w:t>
      </w:r>
      <w:bookmarkEnd w:id="134"/>
    </w:p>
    <w:p w:rsidR="00346298" w:rsidRDefault="008A4CE8" w:rsidP="00D459C2">
      <w:pPr>
        <w:rPr>
          <w:noProof/>
        </w:rPr>
      </w:pPr>
      <w:r>
        <w:rPr>
          <w:noProof/>
        </w:rPr>
        <w:drawing>
          <wp:inline distT="0" distB="0" distL="0" distR="0" wp14:anchorId="65DC8645" wp14:editId="5817FB74">
            <wp:extent cx="5762847" cy="3136605"/>
            <wp:effectExtent l="0" t="0" r="28575" b="26035"/>
            <wp:docPr id="24" name="Graf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2D1C24" w:rsidRPr="00111829" w:rsidRDefault="002D1C24" w:rsidP="00D459C2">
      <w:pPr>
        <w:rPr>
          <w:rStyle w:val="Siln"/>
          <w:i/>
          <w:sz w:val="18"/>
          <w:szCs w:val="18"/>
        </w:rPr>
      </w:pPr>
      <w:r w:rsidRPr="00D459C2">
        <w:rPr>
          <w:rStyle w:val="Siln"/>
          <w:b w:val="0"/>
          <w:i/>
          <w:sz w:val="18"/>
          <w:szCs w:val="18"/>
        </w:rPr>
        <w:t xml:space="preserve">Zdroj: </w:t>
      </w:r>
      <w:r w:rsidR="00275DC0">
        <w:rPr>
          <w:rStyle w:val="Siln"/>
          <w:b w:val="0"/>
          <w:i/>
          <w:sz w:val="18"/>
          <w:szCs w:val="18"/>
        </w:rPr>
        <w:t xml:space="preserve">MSC2007 </w:t>
      </w:r>
      <w:r w:rsidR="00914BC7">
        <w:rPr>
          <w:rStyle w:val="Siln"/>
          <w:b w:val="0"/>
          <w:i/>
          <w:sz w:val="18"/>
          <w:szCs w:val="18"/>
        </w:rPr>
        <w:t>k 30. 9. 2015</w:t>
      </w:r>
      <w:r w:rsidRPr="00D459C2">
        <w:rPr>
          <w:rStyle w:val="Siln"/>
          <w:b w:val="0"/>
          <w:i/>
          <w:sz w:val="18"/>
          <w:szCs w:val="18"/>
        </w:rPr>
        <w:t>, informace od ZS u podílových indikátorů</w:t>
      </w:r>
    </w:p>
    <w:p w:rsidR="00F567B1" w:rsidRDefault="00F567B1" w:rsidP="00F567B1"/>
    <w:p w:rsidR="00F567B1" w:rsidRPr="00F567B1" w:rsidRDefault="00F567B1" w:rsidP="00F567B1"/>
    <w:p w:rsidR="008D78FE" w:rsidRPr="00FD2E2C" w:rsidRDefault="008D78FE" w:rsidP="00F567B1">
      <w:pPr>
        <w:pStyle w:val="Graf"/>
        <w:keepNext/>
        <w:rPr>
          <w:sz w:val="24"/>
          <w:szCs w:val="24"/>
        </w:rPr>
      </w:pPr>
      <w:bookmarkStart w:id="135" w:name="_Toc433873596"/>
      <w:r w:rsidRPr="00FD2E2C">
        <w:lastRenderedPageBreak/>
        <w:t>Porovnání věcného a finančního pokroku v oblasti intervence 5.3</w:t>
      </w:r>
      <w:bookmarkEnd w:id="135"/>
    </w:p>
    <w:p w:rsidR="00165C41" w:rsidRDefault="00D644A0" w:rsidP="00531439">
      <w:pPr>
        <w:rPr>
          <w:noProof/>
        </w:rPr>
      </w:pPr>
      <w:bookmarkStart w:id="136" w:name="_Toc401229073"/>
      <w:r>
        <w:rPr>
          <w:noProof/>
        </w:rPr>
        <w:drawing>
          <wp:inline distT="0" distB="0" distL="0" distR="0" wp14:anchorId="2B166AAE" wp14:editId="16077160">
            <wp:extent cx="5760085" cy="2942506"/>
            <wp:effectExtent l="0" t="0" r="12065" b="10795"/>
            <wp:docPr id="25" name="Graf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2D1C24" w:rsidRPr="00531439" w:rsidRDefault="002D1C24" w:rsidP="00531439">
      <w:pPr>
        <w:rPr>
          <w:rStyle w:val="Siln"/>
          <w:b w:val="0"/>
          <w:i/>
          <w:sz w:val="18"/>
          <w:szCs w:val="18"/>
        </w:rPr>
      </w:pPr>
      <w:r w:rsidRPr="00531439">
        <w:rPr>
          <w:rStyle w:val="Siln"/>
          <w:b w:val="0"/>
          <w:i/>
          <w:sz w:val="18"/>
          <w:szCs w:val="18"/>
        </w:rPr>
        <w:t xml:space="preserve">Zdroj: </w:t>
      </w:r>
      <w:r w:rsidR="00275DC0">
        <w:rPr>
          <w:rStyle w:val="Siln"/>
          <w:b w:val="0"/>
          <w:i/>
          <w:sz w:val="18"/>
          <w:szCs w:val="18"/>
        </w:rPr>
        <w:t xml:space="preserve">MSC2007 </w:t>
      </w:r>
      <w:r w:rsidR="00914BC7">
        <w:rPr>
          <w:rStyle w:val="Siln"/>
          <w:b w:val="0"/>
          <w:i/>
          <w:sz w:val="18"/>
          <w:szCs w:val="18"/>
        </w:rPr>
        <w:t>k 30. 9. 2015</w:t>
      </w:r>
      <w:r w:rsidRPr="00531439">
        <w:rPr>
          <w:rStyle w:val="Siln"/>
          <w:b w:val="0"/>
          <w:i/>
          <w:sz w:val="18"/>
          <w:szCs w:val="18"/>
        </w:rPr>
        <w:t>, informace od ZS u podílových indikátorů</w:t>
      </w:r>
      <w:bookmarkEnd w:id="136"/>
    </w:p>
    <w:p w:rsidR="008D78FE" w:rsidRDefault="008D78FE" w:rsidP="001A36AF"/>
    <w:p w:rsidR="00D644B0" w:rsidRPr="00B7725D" w:rsidRDefault="00D644B0">
      <w:pPr>
        <w:pStyle w:val="Nadpis3"/>
        <w:rPr>
          <w:rFonts w:ascii="Times New Roman" w:hAnsi="Times New Roman"/>
          <w:sz w:val="24"/>
          <w:szCs w:val="24"/>
        </w:rPr>
      </w:pPr>
      <w:bookmarkStart w:id="137" w:name="_Toc433873514"/>
      <w:r w:rsidRPr="00B7725D">
        <w:rPr>
          <w:rFonts w:ascii="Times New Roman" w:hAnsi="Times New Roman"/>
          <w:sz w:val="24"/>
          <w:szCs w:val="24"/>
        </w:rPr>
        <w:t>3.5.4 Problémy a přijatá opatření</w:t>
      </w:r>
      <w:bookmarkEnd w:id="137"/>
    </w:p>
    <w:p w:rsidR="00D644B0" w:rsidRPr="00B7725D" w:rsidRDefault="00D644B0">
      <w:pPr>
        <w:rPr>
          <w:sz w:val="22"/>
          <w:szCs w:val="22"/>
        </w:rPr>
      </w:pPr>
    </w:p>
    <w:p w:rsidR="00D644B0" w:rsidRPr="00DE1394" w:rsidRDefault="00D644B0" w:rsidP="00346298">
      <w:pPr>
        <w:rPr>
          <w:b/>
          <w:sz w:val="22"/>
          <w:szCs w:val="22"/>
        </w:rPr>
      </w:pPr>
      <w:r w:rsidRPr="00B7725D">
        <w:rPr>
          <w:b/>
          <w:sz w:val="22"/>
          <w:szCs w:val="22"/>
        </w:rPr>
        <w:t>Oblast intervence 5.1</w:t>
      </w:r>
    </w:p>
    <w:p w:rsidR="00F27CB0" w:rsidRDefault="00F27CB0" w:rsidP="00346298">
      <w:pPr>
        <w:jc w:val="both"/>
        <w:rPr>
          <w:b/>
          <w:sz w:val="22"/>
          <w:szCs w:val="22"/>
        </w:rPr>
      </w:pPr>
      <w:r w:rsidRPr="00F27CB0">
        <w:rPr>
          <w:b/>
          <w:sz w:val="22"/>
          <w:szCs w:val="22"/>
        </w:rPr>
        <w:t>Probl</w:t>
      </w:r>
      <w:r>
        <w:rPr>
          <w:b/>
          <w:sz w:val="22"/>
          <w:szCs w:val="22"/>
        </w:rPr>
        <w:t>émy v realizační fázi projektů</w:t>
      </w:r>
    </w:p>
    <w:p w:rsidR="00F27CB0" w:rsidRPr="00F27CB0" w:rsidRDefault="00F27CB0" w:rsidP="00346298">
      <w:pPr>
        <w:jc w:val="both"/>
        <w:rPr>
          <w:sz w:val="22"/>
          <w:szCs w:val="22"/>
        </w:rPr>
      </w:pPr>
      <w:r w:rsidRPr="00F27CB0">
        <w:rPr>
          <w:sz w:val="22"/>
          <w:szCs w:val="22"/>
        </w:rPr>
        <w:t xml:space="preserve">Během realizace projektů </w:t>
      </w:r>
      <w:r w:rsidR="000E74CB" w:rsidRPr="00F27CB0">
        <w:rPr>
          <w:sz w:val="22"/>
          <w:szCs w:val="22"/>
        </w:rPr>
        <w:t>dochází k problémům</w:t>
      </w:r>
      <w:r w:rsidRPr="00F27CB0">
        <w:rPr>
          <w:sz w:val="22"/>
          <w:szCs w:val="22"/>
        </w:rPr>
        <w:t xml:space="preserve"> v souvislosti se stavebními pracemi, což vede </w:t>
      </w:r>
      <w:r w:rsidRPr="00F27CB0">
        <w:rPr>
          <w:sz w:val="22"/>
          <w:szCs w:val="22"/>
        </w:rPr>
        <w:br/>
        <w:t xml:space="preserve">k častým změnám v projektech a k termínovým a finančním přesunům, ohrožujícím predikce čerpání a úspěšné ukončení realizace projektů dle schválených harmonogramů. </w:t>
      </w:r>
    </w:p>
    <w:p w:rsidR="00F27CB0" w:rsidRPr="00F27CB0" w:rsidRDefault="00F27CB0" w:rsidP="00346298">
      <w:pPr>
        <w:jc w:val="both"/>
        <w:rPr>
          <w:b/>
          <w:sz w:val="22"/>
          <w:szCs w:val="22"/>
        </w:rPr>
      </w:pPr>
    </w:p>
    <w:p w:rsidR="00F27CB0" w:rsidRPr="00F27CB0" w:rsidRDefault="00F27CB0" w:rsidP="00346298">
      <w:pPr>
        <w:jc w:val="both"/>
        <w:rPr>
          <w:b/>
          <w:sz w:val="22"/>
          <w:szCs w:val="22"/>
        </w:rPr>
      </w:pPr>
      <w:r w:rsidRPr="00F27CB0">
        <w:rPr>
          <w:b/>
          <w:sz w:val="22"/>
          <w:szCs w:val="22"/>
        </w:rPr>
        <w:t xml:space="preserve">Přijatá opatření </w:t>
      </w:r>
    </w:p>
    <w:p w:rsidR="00F27CB0" w:rsidRPr="00F27CB0" w:rsidRDefault="00F27CB0" w:rsidP="00346298">
      <w:pPr>
        <w:jc w:val="both"/>
        <w:rPr>
          <w:sz w:val="22"/>
          <w:szCs w:val="22"/>
        </w:rPr>
      </w:pPr>
      <w:r w:rsidRPr="00F27CB0">
        <w:rPr>
          <w:sz w:val="22"/>
          <w:szCs w:val="22"/>
        </w:rPr>
        <w:t xml:space="preserve">Pravidelný monitoring průběhu realizace projektů, pravidelné schůzky s příjemci. Provedení fyzických kontrol na místě – min. 2x ročně u každého z projektů, ověření reálnosti finančního plánu na danou etapu ve vazbě na realizaci VŘ, kontrola termínu dodávek ve vztahu k datu ukončení realizace projektu. Pro posouzení změn ve stavební části projektu využívá CRR stavebních expertů (posuzování změnových listů, resp. posuzování víceprací / </w:t>
      </w:r>
      <w:proofErr w:type="spellStart"/>
      <w:r w:rsidRPr="00F27CB0">
        <w:rPr>
          <w:sz w:val="22"/>
          <w:szCs w:val="22"/>
        </w:rPr>
        <w:t>méněprací</w:t>
      </w:r>
      <w:proofErr w:type="spellEnd"/>
      <w:r w:rsidRPr="00F27CB0">
        <w:rPr>
          <w:sz w:val="22"/>
          <w:szCs w:val="22"/>
        </w:rPr>
        <w:t xml:space="preserve"> a stavebních změn v projektech)</w:t>
      </w:r>
    </w:p>
    <w:p w:rsidR="00F27CB0" w:rsidRPr="001C51C8" w:rsidRDefault="00F27CB0" w:rsidP="00346298">
      <w:pPr>
        <w:jc w:val="both"/>
        <w:rPr>
          <w:sz w:val="22"/>
          <w:szCs w:val="22"/>
        </w:rPr>
      </w:pPr>
      <w:r w:rsidRPr="001C51C8">
        <w:rPr>
          <w:sz w:val="22"/>
          <w:szCs w:val="22"/>
        </w:rPr>
        <w:t>CRR provádí monitoring a vyhodnocení administrace O</w:t>
      </w:r>
      <w:r w:rsidR="001C51C8">
        <w:rPr>
          <w:sz w:val="22"/>
          <w:szCs w:val="22"/>
        </w:rPr>
        <w:t>hlášení o změně projektu</w:t>
      </w:r>
      <w:r w:rsidR="004A56BD">
        <w:rPr>
          <w:sz w:val="22"/>
          <w:szCs w:val="22"/>
        </w:rPr>
        <w:t xml:space="preserve">, projektových žádostí a </w:t>
      </w:r>
      <w:proofErr w:type="spellStart"/>
      <w:r w:rsidR="004A56BD">
        <w:rPr>
          <w:sz w:val="22"/>
          <w:szCs w:val="22"/>
        </w:rPr>
        <w:t>Žo</w:t>
      </w:r>
      <w:r w:rsidRPr="001C51C8">
        <w:rPr>
          <w:sz w:val="22"/>
          <w:szCs w:val="22"/>
        </w:rPr>
        <w:t>P</w:t>
      </w:r>
      <w:proofErr w:type="spellEnd"/>
      <w:r w:rsidRPr="001C51C8">
        <w:rPr>
          <w:sz w:val="22"/>
          <w:szCs w:val="22"/>
        </w:rPr>
        <w:t xml:space="preserve"> a zveřejňuje nejčastěji kladené dotazy (FAQ) pro nejproblémovější oblasti administrace projektu. Byly nastaveny interní postupy pro urychlení administrace </w:t>
      </w:r>
      <w:proofErr w:type="spellStart"/>
      <w:r w:rsidRPr="001C51C8">
        <w:rPr>
          <w:sz w:val="22"/>
          <w:szCs w:val="22"/>
        </w:rPr>
        <w:t>Ž</w:t>
      </w:r>
      <w:r w:rsidR="004A56BD">
        <w:rPr>
          <w:sz w:val="22"/>
          <w:szCs w:val="22"/>
        </w:rPr>
        <w:t>o</w:t>
      </w:r>
      <w:r w:rsidRPr="001C51C8">
        <w:rPr>
          <w:sz w:val="22"/>
          <w:szCs w:val="22"/>
        </w:rPr>
        <w:t>P</w:t>
      </w:r>
      <w:proofErr w:type="spellEnd"/>
      <w:r w:rsidRPr="001C51C8">
        <w:rPr>
          <w:sz w:val="22"/>
          <w:szCs w:val="22"/>
        </w:rPr>
        <w:t xml:space="preserve"> na CRR pro maximalizaci čerpání v roce 2015. </w:t>
      </w:r>
    </w:p>
    <w:p w:rsidR="00F27CB0" w:rsidRPr="001C51C8" w:rsidRDefault="00F27CB0" w:rsidP="00346298">
      <w:pPr>
        <w:jc w:val="both"/>
        <w:rPr>
          <w:sz w:val="22"/>
          <w:szCs w:val="22"/>
        </w:rPr>
      </w:pPr>
      <w:r w:rsidRPr="001C51C8">
        <w:rPr>
          <w:sz w:val="22"/>
          <w:szCs w:val="22"/>
        </w:rPr>
        <w:t xml:space="preserve">Projekty, u nichž hrozí nedokončení realizace </w:t>
      </w:r>
      <w:r w:rsidR="00F357C8">
        <w:rPr>
          <w:sz w:val="22"/>
          <w:szCs w:val="22"/>
        </w:rPr>
        <w:t>po</w:t>
      </w:r>
      <w:r w:rsidRPr="001C51C8">
        <w:rPr>
          <w:sz w:val="22"/>
          <w:szCs w:val="22"/>
        </w:rPr>
        <w:t>dle schváleného harmonogramu, ŘO IOP ve spolupráci s CRR sled</w:t>
      </w:r>
      <w:r w:rsidR="00F357C8">
        <w:rPr>
          <w:sz w:val="22"/>
          <w:szCs w:val="22"/>
        </w:rPr>
        <w:t>uje</w:t>
      </w:r>
      <w:r w:rsidRPr="001C51C8">
        <w:rPr>
          <w:sz w:val="22"/>
          <w:szCs w:val="22"/>
        </w:rPr>
        <w:t xml:space="preserve"> problémov</w:t>
      </w:r>
      <w:r w:rsidR="00F357C8">
        <w:rPr>
          <w:sz w:val="22"/>
          <w:szCs w:val="22"/>
        </w:rPr>
        <w:t>é</w:t>
      </w:r>
      <w:r w:rsidRPr="001C51C8">
        <w:rPr>
          <w:sz w:val="22"/>
          <w:szCs w:val="22"/>
        </w:rPr>
        <w:t xml:space="preserve"> projekt</w:t>
      </w:r>
      <w:r w:rsidR="00F357C8">
        <w:rPr>
          <w:sz w:val="22"/>
          <w:szCs w:val="22"/>
        </w:rPr>
        <w:t>y</w:t>
      </w:r>
      <w:r w:rsidRPr="001C51C8">
        <w:rPr>
          <w:sz w:val="22"/>
          <w:szCs w:val="22"/>
        </w:rPr>
        <w:t xml:space="preserve"> a v relevantních případech jsou akutní problémy řešeny na </w:t>
      </w:r>
      <w:proofErr w:type="gramStart"/>
      <w:r w:rsidRPr="001C51C8">
        <w:rPr>
          <w:sz w:val="22"/>
          <w:szCs w:val="22"/>
        </w:rPr>
        <w:t>ad</w:t>
      </w:r>
      <w:proofErr w:type="gramEnd"/>
      <w:r w:rsidRPr="001C51C8">
        <w:rPr>
          <w:sz w:val="22"/>
          <w:szCs w:val="22"/>
        </w:rPr>
        <w:t xml:space="preserve"> hoc jednáních s příjemcem na různých úrovních.    </w:t>
      </w:r>
    </w:p>
    <w:p w:rsidR="00F27CB0" w:rsidRPr="00F27CB0" w:rsidRDefault="00F27CB0" w:rsidP="00346298">
      <w:pPr>
        <w:jc w:val="both"/>
        <w:rPr>
          <w:b/>
          <w:sz w:val="22"/>
          <w:szCs w:val="22"/>
        </w:rPr>
      </w:pPr>
    </w:p>
    <w:p w:rsidR="001C51C8" w:rsidRDefault="00F27CB0" w:rsidP="00346298">
      <w:pPr>
        <w:jc w:val="both"/>
        <w:rPr>
          <w:b/>
          <w:sz w:val="22"/>
          <w:szCs w:val="22"/>
        </w:rPr>
      </w:pPr>
      <w:r w:rsidRPr="00F27CB0">
        <w:rPr>
          <w:b/>
          <w:sz w:val="22"/>
          <w:szCs w:val="22"/>
        </w:rPr>
        <w:t xml:space="preserve">Veřejná podpora </w:t>
      </w:r>
    </w:p>
    <w:p w:rsidR="00F27CB0" w:rsidRPr="00F27CB0" w:rsidRDefault="00F27CB0" w:rsidP="00346298">
      <w:pPr>
        <w:jc w:val="both"/>
        <w:rPr>
          <w:b/>
          <w:sz w:val="22"/>
          <w:szCs w:val="22"/>
        </w:rPr>
      </w:pPr>
      <w:r w:rsidRPr="001C51C8">
        <w:rPr>
          <w:sz w:val="22"/>
          <w:szCs w:val="22"/>
        </w:rPr>
        <w:t>Realizace některých projektů naráží na problém rizika veřejné podpory</w:t>
      </w:r>
      <w:r w:rsidRPr="00F27CB0">
        <w:rPr>
          <w:b/>
          <w:sz w:val="22"/>
          <w:szCs w:val="22"/>
        </w:rPr>
        <w:t xml:space="preserve">. </w:t>
      </w:r>
    </w:p>
    <w:p w:rsidR="00F27CB0" w:rsidRPr="00F27CB0" w:rsidRDefault="00F27CB0" w:rsidP="00346298">
      <w:pPr>
        <w:jc w:val="both"/>
        <w:rPr>
          <w:b/>
          <w:sz w:val="22"/>
          <w:szCs w:val="22"/>
        </w:rPr>
      </w:pPr>
    </w:p>
    <w:p w:rsidR="00F27CB0" w:rsidRPr="00F27CB0" w:rsidRDefault="00F27CB0" w:rsidP="00346298">
      <w:pPr>
        <w:jc w:val="both"/>
        <w:rPr>
          <w:b/>
          <w:sz w:val="22"/>
          <w:szCs w:val="22"/>
        </w:rPr>
      </w:pPr>
      <w:r w:rsidRPr="00F27CB0">
        <w:rPr>
          <w:b/>
          <w:sz w:val="22"/>
          <w:szCs w:val="22"/>
        </w:rPr>
        <w:t xml:space="preserve">Přijatá opatření: </w:t>
      </w:r>
    </w:p>
    <w:p w:rsidR="00C3090F" w:rsidRPr="001C51C8" w:rsidRDefault="00F27CB0" w:rsidP="00346298">
      <w:pPr>
        <w:jc w:val="both"/>
        <w:rPr>
          <w:sz w:val="22"/>
          <w:szCs w:val="22"/>
        </w:rPr>
      </w:pPr>
      <w:r w:rsidRPr="001C51C8">
        <w:rPr>
          <w:sz w:val="22"/>
          <w:szCs w:val="22"/>
        </w:rPr>
        <w:t>CRR využívá konzultací s experty ŘO IOP na veřejnou podporu.</w:t>
      </w:r>
    </w:p>
    <w:p w:rsidR="001C51C8" w:rsidRDefault="001C51C8" w:rsidP="00346298">
      <w:pPr>
        <w:jc w:val="both"/>
        <w:rPr>
          <w:b/>
          <w:sz w:val="22"/>
          <w:szCs w:val="22"/>
        </w:rPr>
      </w:pPr>
    </w:p>
    <w:p w:rsidR="002E5B61" w:rsidRDefault="002E5B61" w:rsidP="00346298">
      <w:pPr>
        <w:jc w:val="both"/>
        <w:rPr>
          <w:b/>
          <w:sz w:val="22"/>
          <w:szCs w:val="22"/>
        </w:rPr>
      </w:pPr>
    </w:p>
    <w:p w:rsidR="002E5B61" w:rsidRDefault="002E5B61" w:rsidP="00346298">
      <w:pPr>
        <w:jc w:val="both"/>
        <w:rPr>
          <w:b/>
          <w:sz w:val="22"/>
          <w:szCs w:val="22"/>
        </w:rPr>
      </w:pPr>
    </w:p>
    <w:p w:rsidR="002E5B61" w:rsidRDefault="002E5B61" w:rsidP="00346298">
      <w:pPr>
        <w:jc w:val="both"/>
        <w:rPr>
          <w:b/>
          <w:sz w:val="22"/>
          <w:szCs w:val="22"/>
        </w:rPr>
      </w:pPr>
    </w:p>
    <w:p w:rsidR="002E5B61" w:rsidRDefault="002E5B61" w:rsidP="00346298">
      <w:pPr>
        <w:jc w:val="both"/>
        <w:rPr>
          <w:b/>
          <w:sz w:val="22"/>
          <w:szCs w:val="22"/>
        </w:rPr>
      </w:pPr>
    </w:p>
    <w:p w:rsidR="001C51C8" w:rsidRDefault="001C51C8" w:rsidP="00346298">
      <w:pPr>
        <w:jc w:val="both"/>
        <w:rPr>
          <w:b/>
          <w:sz w:val="22"/>
          <w:szCs w:val="22"/>
        </w:rPr>
      </w:pPr>
    </w:p>
    <w:p w:rsidR="00702F4F" w:rsidRPr="00DE1394" w:rsidRDefault="00702F4F" w:rsidP="00346298">
      <w:pPr>
        <w:jc w:val="both"/>
        <w:rPr>
          <w:sz w:val="22"/>
          <w:szCs w:val="22"/>
        </w:rPr>
      </w:pPr>
      <w:r w:rsidRPr="00B7725D">
        <w:rPr>
          <w:b/>
          <w:sz w:val="22"/>
          <w:szCs w:val="22"/>
        </w:rPr>
        <w:lastRenderedPageBreak/>
        <w:t>Oblast intervence 5.2</w:t>
      </w:r>
      <w:r w:rsidRPr="00DE1394">
        <w:rPr>
          <w:sz w:val="22"/>
          <w:szCs w:val="22"/>
        </w:rPr>
        <w:t xml:space="preserve"> </w:t>
      </w:r>
    </w:p>
    <w:p w:rsidR="00BE05AB" w:rsidRDefault="00BE05AB" w:rsidP="00346298">
      <w:pPr>
        <w:jc w:val="both"/>
        <w:rPr>
          <w:b/>
          <w:bCs/>
          <w:i/>
          <w:iCs/>
          <w:sz w:val="22"/>
          <w:szCs w:val="22"/>
        </w:rPr>
      </w:pPr>
    </w:p>
    <w:p w:rsidR="00BE05AB" w:rsidRPr="00BE05AB" w:rsidRDefault="00BE05AB" w:rsidP="00346298">
      <w:pPr>
        <w:rPr>
          <w:b/>
          <w:sz w:val="22"/>
          <w:szCs w:val="22"/>
        </w:rPr>
      </w:pPr>
      <w:r w:rsidRPr="00BE05AB">
        <w:rPr>
          <w:b/>
          <w:sz w:val="22"/>
          <w:szCs w:val="22"/>
        </w:rPr>
        <w:t xml:space="preserve">Riziko úspor v projektech a výkyvu kurzu Kč vůči </w:t>
      </w:r>
      <w:proofErr w:type="gramStart"/>
      <w:r w:rsidRPr="00BE05AB">
        <w:rPr>
          <w:b/>
          <w:sz w:val="22"/>
          <w:szCs w:val="22"/>
        </w:rPr>
        <w:t>EUR</w:t>
      </w:r>
      <w:proofErr w:type="gramEnd"/>
    </w:p>
    <w:p w:rsidR="00BE05AB" w:rsidRDefault="00B14C25" w:rsidP="00346298">
      <w:pPr>
        <w:jc w:val="both"/>
        <w:rPr>
          <w:sz w:val="22"/>
          <w:szCs w:val="22"/>
        </w:rPr>
      </w:pPr>
      <w:r w:rsidRPr="00B14C25">
        <w:rPr>
          <w:sz w:val="22"/>
          <w:szCs w:val="22"/>
        </w:rPr>
        <w:t xml:space="preserve">ŘO IOP dlouhodobě evidoval úspory v projektech z původně </w:t>
      </w:r>
      <w:proofErr w:type="spellStart"/>
      <w:r w:rsidRPr="00B14C25">
        <w:rPr>
          <w:sz w:val="22"/>
          <w:szCs w:val="22"/>
        </w:rPr>
        <w:t>narozpočtované</w:t>
      </w:r>
      <w:proofErr w:type="spellEnd"/>
      <w:r w:rsidRPr="00B14C25">
        <w:rPr>
          <w:sz w:val="22"/>
          <w:szCs w:val="22"/>
        </w:rPr>
        <w:t xml:space="preserve"> ceny. Dalším rizikem pro nedočerpání alokace byl významný výkyv kurzu Kč vůči </w:t>
      </w:r>
      <w:proofErr w:type="gramStart"/>
      <w:r w:rsidRPr="00B14C25">
        <w:rPr>
          <w:sz w:val="22"/>
          <w:szCs w:val="22"/>
        </w:rPr>
        <w:t>EUR</w:t>
      </w:r>
      <w:proofErr w:type="gramEnd"/>
      <w:r w:rsidRPr="00B14C25">
        <w:rPr>
          <w:sz w:val="22"/>
          <w:szCs w:val="22"/>
        </w:rPr>
        <w:t xml:space="preserve">. Finanční prostředky pro jednotlivá města jsou </w:t>
      </w:r>
      <w:r w:rsidR="00F357C8">
        <w:rPr>
          <w:sz w:val="22"/>
          <w:szCs w:val="22"/>
        </w:rPr>
        <w:t>po</w:t>
      </w:r>
      <w:r w:rsidRPr="00B14C25">
        <w:rPr>
          <w:sz w:val="22"/>
          <w:szCs w:val="22"/>
        </w:rPr>
        <w:t xml:space="preserve">dle Dohody o zabezpečení realizace IPRM alokovány v </w:t>
      </w:r>
      <w:proofErr w:type="gramStart"/>
      <w:r w:rsidRPr="00B14C25">
        <w:rPr>
          <w:sz w:val="22"/>
          <w:szCs w:val="22"/>
        </w:rPr>
        <w:t>EUR</w:t>
      </w:r>
      <w:proofErr w:type="gramEnd"/>
      <w:r w:rsidRPr="00B14C25">
        <w:rPr>
          <w:sz w:val="22"/>
          <w:szCs w:val="22"/>
        </w:rPr>
        <w:t>. Při dokončování projektů, jejichž realizace musí být ukončena do 30. 11. 2015</w:t>
      </w:r>
      <w:r w:rsidR="000F2071">
        <w:rPr>
          <w:sz w:val="22"/>
          <w:szCs w:val="22"/>
        </w:rPr>
        <w:t>,</w:t>
      </w:r>
      <w:r w:rsidRPr="00B14C25">
        <w:rPr>
          <w:sz w:val="22"/>
          <w:szCs w:val="22"/>
        </w:rPr>
        <w:t xml:space="preserve"> vzniká riziko nedočerpání celé částky alokace díky úsporám v posledních realizovaných projektech. Výzva na předkládání projektů do oblasti 5.2a) byla ukončena k 15. 7. 2015.</w:t>
      </w:r>
    </w:p>
    <w:p w:rsidR="00B14C25" w:rsidRPr="00BE05AB" w:rsidRDefault="00B14C25" w:rsidP="00346298">
      <w:pPr>
        <w:jc w:val="both"/>
        <w:rPr>
          <w:color w:val="000000" w:themeColor="text1"/>
          <w:sz w:val="22"/>
          <w:szCs w:val="22"/>
        </w:rPr>
      </w:pPr>
    </w:p>
    <w:p w:rsidR="00BE05AB" w:rsidRPr="00625A79" w:rsidRDefault="00BE05AB" w:rsidP="00346298">
      <w:pPr>
        <w:jc w:val="both"/>
        <w:rPr>
          <w:b/>
          <w:color w:val="000000" w:themeColor="text1"/>
          <w:sz w:val="22"/>
          <w:szCs w:val="22"/>
        </w:rPr>
      </w:pPr>
      <w:r w:rsidRPr="00625A79">
        <w:rPr>
          <w:b/>
          <w:color w:val="000000" w:themeColor="text1"/>
          <w:sz w:val="22"/>
          <w:szCs w:val="22"/>
        </w:rPr>
        <w:t>Přijatá opatření</w:t>
      </w:r>
    </w:p>
    <w:p w:rsidR="00351259" w:rsidRDefault="00B14C25" w:rsidP="00346298">
      <w:pPr>
        <w:jc w:val="both"/>
        <w:rPr>
          <w:color w:val="000000" w:themeColor="text1"/>
          <w:sz w:val="22"/>
          <w:szCs w:val="22"/>
        </w:rPr>
      </w:pPr>
      <w:r w:rsidRPr="00B14C25">
        <w:rPr>
          <w:color w:val="000000" w:themeColor="text1"/>
          <w:sz w:val="22"/>
          <w:szCs w:val="22"/>
        </w:rPr>
        <w:t>ŘO IOP apeloval po dobu realizace všech projektů IPRM, aby města vytvářela rozpočt</w:t>
      </w:r>
      <w:r w:rsidR="000F2071">
        <w:rPr>
          <w:color w:val="000000" w:themeColor="text1"/>
          <w:sz w:val="22"/>
          <w:szCs w:val="22"/>
        </w:rPr>
        <w:t>y</w:t>
      </w:r>
      <w:r w:rsidRPr="00B14C25">
        <w:rPr>
          <w:color w:val="000000" w:themeColor="text1"/>
          <w:sz w:val="22"/>
          <w:szCs w:val="22"/>
        </w:rPr>
        <w:t xml:space="preserve"> projekt</w:t>
      </w:r>
      <w:r w:rsidR="000F2071">
        <w:rPr>
          <w:color w:val="000000" w:themeColor="text1"/>
          <w:sz w:val="22"/>
          <w:szCs w:val="22"/>
        </w:rPr>
        <w:t>ů</w:t>
      </w:r>
      <w:r w:rsidRPr="00B14C25">
        <w:rPr>
          <w:color w:val="000000" w:themeColor="text1"/>
          <w:sz w:val="22"/>
          <w:szCs w:val="22"/>
        </w:rPr>
        <w:t xml:space="preserve"> </w:t>
      </w:r>
      <w:r>
        <w:rPr>
          <w:color w:val="000000" w:themeColor="text1"/>
          <w:sz w:val="22"/>
          <w:szCs w:val="22"/>
        </w:rPr>
        <w:br/>
      </w:r>
      <w:r w:rsidRPr="00B14C25">
        <w:rPr>
          <w:color w:val="000000" w:themeColor="text1"/>
          <w:sz w:val="22"/>
          <w:szCs w:val="22"/>
        </w:rPr>
        <w:t>s ohledem na reálné ceny</w:t>
      </w:r>
      <w:r w:rsidR="000F2071">
        <w:rPr>
          <w:color w:val="000000" w:themeColor="text1"/>
          <w:sz w:val="22"/>
          <w:szCs w:val="22"/>
        </w:rPr>
        <w:t>,</w:t>
      </w:r>
      <w:r w:rsidRPr="00B14C25">
        <w:rPr>
          <w:color w:val="000000" w:themeColor="text1"/>
          <w:sz w:val="22"/>
          <w:szCs w:val="22"/>
        </w:rPr>
        <w:t xml:space="preserve"> vycházející z veřejných zakázek a </w:t>
      </w:r>
      <w:r w:rsidR="000F2071">
        <w:rPr>
          <w:color w:val="000000" w:themeColor="text1"/>
          <w:sz w:val="22"/>
          <w:szCs w:val="22"/>
        </w:rPr>
        <w:t>ze</w:t>
      </w:r>
      <w:r w:rsidRPr="00B14C25">
        <w:rPr>
          <w:color w:val="000000" w:themeColor="text1"/>
          <w:sz w:val="22"/>
          <w:szCs w:val="22"/>
        </w:rPr>
        <w:t xml:space="preserve"> zkušenost</w:t>
      </w:r>
      <w:r w:rsidR="000F2071">
        <w:rPr>
          <w:color w:val="000000" w:themeColor="text1"/>
          <w:sz w:val="22"/>
          <w:szCs w:val="22"/>
        </w:rPr>
        <w:t>í</w:t>
      </w:r>
      <w:r w:rsidRPr="00B14C25">
        <w:rPr>
          <w:color w:val="000000" w:themeColor="text1"/>
          <w:sz w:val="22"/>
          <w:szCs w:val="22"/>
        </w:rPr>
        <w:t xml:space="preserve"> s realizací předchozích veřejných zakázek v době realizace IPRM. ŘO IOP doporučil, aby na úspory vznikající ve finální fázi realizace IPRM reagovali </w:t>
      </w:r>
      <w:r w:rsidR="000F2071">
        <w:rPr>
          <w:color w:val="000000" w:themeColor="text1"/>
          <w:sz w:val="22"/>
          <w:szCs w:val="22"/>
        </w:rPr>
        <w:t xml:space="preserve">žadatelé </w:t>
      </w:r>
      <w:r w:rsidRPr="00B14C25">
        <w:rPr>
          <w:color w:val="000000" w:themeColor="text1"/>
          <w:sz w:val="22"/>
          <w:szCs w:val="22"/>
        </w:rPr>
        <w:t xml:space="preserve">přípravou projektů, které je možné realizovat v krátkém časovém úseku. </w:t>
      </w:r>
      <w:r w:rsidR="000F2071">
        <w:rPr>
          <w:color w:val="000000" w:themeColor="text1"/>
          <w:sz w:val="22"/>
          <w:szCs w:val="22"/>
        </w:rPr>
        <w:t>M</w:t>
      </w:r>
      <w:r w:rsidRPr="00B14C25">
        <w:rPr>
          <w:color w:val="000000" w:themeColor="text1"/>
          <w:sz w:val="22"/>
          <w:szCs w:val="22"/>
        </w:rPr>
        <w:t xml:space="preserve">ěsta IPRM tuto možnost využila částečně. Dalším přijatým opatřením bylo </w:t>
      </w:r>
      <w:proofErr w:type="spellStart"/>
      <w:r w:rsidRPr="00B14C25">
        <w:rPr>
          <w:color w:val="000000" w:themeColor="text1"/>
          <w:sz w:val="22"/>
          <w:szCs w:val="22"/>
        </w:rPr>
        <w:t>přezávazkování</w:t>
      </w:r>
      <w:proofErr w:type="spellEnd"/>
      <w:r w:rsidRPr="00B14C25">
        <w:rPr>
          <w:color w:val="000000" w:themeColor="text1"/>
          <w:sz w:val="22"/>
          <w:szCs w:val="22"/>
        </w:rPr>
        <w:t xml:space="preserve"> kontinuální výzvy </w:t>
      </w:r>
      <w:r w:rsidR="00AB06CD">
        <w:rPr>
          <w:color w:val="000000" w:themeColor="text1"/>
          <w:sz w:val="22"/>
          <w:szCs w:val="22"/>
        </w:rPr>
        <w:t xml:space="preserve">MMR </w:t>
      </w:r>
      <w:r w:rsidRPr="00B14C25">
        <w:rPr>
          <w:color w:val="000000" w:themeColor="text1"/>
          <w:sz w:val="22"/>
          <w:szCs w:val="22"/>
        </w:rPr>
        <w:t>č. 7 o cca 3</w:t>
      </w:r>
      <w:r w:rsidR="00AB06CD">
        <w:rPr>
          <w:color w:val="000000" w:themeColor="text1"/>
          <w:sz w:val="22"/>
          <w:szCs w:val="22"/>
        </w:rPr>
        <w:t xml:space="preserve"> </w:t>
      </w:r>
      <w:r w:rsidRPr="00B14C25">
        <w:rPr>
          <w:color w:val="000000" w:themeColor="text1"/>
          <w:sz w:val="22"/>
          <w:szCs w:val="22"/>
        </w:rPr>
        <w:t>%.</w:t>
      </w:r>
    </w:p>
    <w:p w:rsidR="00B14C25" w:rsidRDefault="00B14C25" w:rsidP="00346298">
      <w:pPr>
        <w:jc w:val="both"/>
        <w:rPr>
          <w:sz w:val="22"/>
          <w:szCs w:val="22"/>
        </w:rPr>
      </w:pPr>
    </w:p>
    <w:p w:rsidR="00702F4F" w:rsidRDefault="00702F4F" w:rsidP="00346298">
      <w:pPr>
        <w:pStyle w:val="TextNOK"/>
        <w:spacing w:line="240" w:lineRule="auto"/>
        <w:rPr>
          <w:b/>
          <w:szCs w:val="22"/>
        </w:rPr>
      </w:pPr>
      <w:r w:rsidRPr="00B7725D">
        <w:rPr>
          <w:b/>
          <w:szCs w:val="22"/>
        </w:rPr>
        <w:t>Oblast intervence 5.3</w:t>
      </w:r>
    </w:p>
    <w:p w:rsidR="00B03F42" w:rsidRDefault="00B03F42" w:rsidP="00346298">
      <w:pPr>
        <w:jc w:val="both"/>
        <w:rPr>
          <w:sz w:val="22"/>
          <w:szCs w:val="22"/>
        </w:rPr>
      </w:pPr>
      <w:r w:rsidRPr="00B03F42">
        <w:rPr>
          <w:sz w:val="22"/>
          <w:szCs w:val="22"/>
        </w:rPr>
        <w:t>Realizace projektů byla ukončena. Alokace byla vyčerpána a</w:t>
      </w:r>
      <w:r>
        <w:rPr>
          <w:sz w:val="22"/>
          <w:szCs w:val="22"/>
        </w:rPr>
        <w:t xml:space="preserve"> </w:t>
      </w:r>
      <w:r w:rsidR="000F2071">
        <w:rPr>
          <w:sz w:val="22"/>
          <w:szCs w:val="22"/>
        </w:rPr>
        <w:t xml:space="preserve">ŘO IROP nebude </w:t>
      </w:r>
      <w:r w:rsidRPr="00B03F42">
        <w:rPr>
          <w:sz w:val="22"/>
          <w:szCs w:val="22"/>
        </w:rPr>
        <w:t>vyhl</w:t>
      </w:r>
      <w:r w:rsidR="000F2071">
        <w:rPr>
          <w:sz w:val="22"/>
          <w:szCs w:val="22"/>
        </w:rPr>
        <w:t>a</w:t>
      </w:r>
      <w:r w:rsidRPr="00B03F42">
        <w:rPr>
          <w:sz w:val="22"/>
          <w:szCs w:val="22"/>
        </w:rPr>
        <w:t>š</w:t>
      </w:r>
      <w:r w:rsidR="000F2071">
        <w:rPr>
          <w:sz w:val="22"/>
          <w:szCs w:val="22"/>
        </w:rPr>
        <w:t>ovat</w:t>
      </w:r>
      <w:r w:rsidRPr="00B03F42">
        <w:rPr>
          <w:sz w:val="22"/>
          <w:szCs w:val="22"/>
        </w:rPr>
        <w:t xml:space="preserve"> další výzv</w:t>
      </w:r>
      <w:r w:rsidR="000F2071">
        <w:rPr>
          <w:sz w:val="22"/>
          <w:szCs w:val="22"/>
        </w:rPr>
        <w:t>u</w:t>
      </w:r>
      <w:r w:rsidRPr="00B03F42">
        <w:rPr>
          <w:sz w:val="22"/>
          <w:szCs w:val="22"/>
        </w:rPr>
        <w:t xml:space="preserve">. </w:t>
      </w:r>
    </w:p>
    <w:p w:rsidR="00B03F42" w:rsidRPr="00B03F42" w:rsidRDefault="00B03F42" w:rsidP="00B03F42">
      <w:pPr>
        <w:rPr>
          <w:sz w:val="22"/>
          <w:szCs w:val="22"/>
        </w:rPr>
      </w:pPr>
    </w:p>
    <w:p w:rsidR="00D644B0" w:rsidRPr="00B7725D" w:rsidRDefault="00D644B0" w:rsidP="00B17A5E">
      <w:pPr>
        <w:pStyle w:val="Nadpis3"/>
        <w:spacing w:before="0" w:after="0"/>
        <w:rPr>
          <w:rFonts w:ascii="Times New Roman" w:hAnsi="Times New Roman"/>
          <w:sz w:val="24"/>
          <w:szCs w:val="24"/>
        </w:rPr>
      </w:pPr>
      <w:bookmarkStart w:id="138" w:name="_Toc433873515"/>
      <w:r w:rsidRPr="00B7725D">
        <w:rPr>
          <w:rFonts w:ascii="Times New Roman" w:hAnsi="Times New Roman"/>
          <w:sz w:val="24"/>
          <w:szCs w:val="24"/>
        </w:rPr>
        <w:t>3.5.5 Příklad projektu</w:t>
      </w:r>
      <w:bookmarkEnd w:id="138"/>
    </w:p>
    <w:p w:rsidR="00AC7779" w:rsidRDefault="00AC7779" w:rsidP="00B17A5E">
      <w:pPr>
        <w:jc w:val="both"/>
        <w:rPr>
          <w:b/>
          <w:sz w:val="22"/>
          <w:szCs w:val="22"/>
        </w:rPr>
      </w:pPr>
    </w:p>
    <w:p w:rsidR="0055501B" w:rsidRPr="0055501B" w:rsidRDefault="0055501B" w:rsidP="005A6291">
      <w:pPr>
        <w:rPr>
          <w:b/>
          <w:sz w:val="22"/>
          <w:szCs w:val="22"/>
        </w:rPr>
      </w:pPr>
      <w:r w:rsidRPr="0055501B">
        <w:rPr>
          <w:b/>
          <w:sz w:val="22"/>
          <w:szCs w:val="22"/>
        </w:rPr>
        <w:t xml:space="preserve">Oblast intervence: </w:t>
      </w:r>
      <w:r w:rsidRPr="00A73B58">
        <w:rPr>
          <w:sz w:val="22"/>
          <w:szCs w:val="22"/>
        </w:rPr>
        <w:t xml:space="preserve">5.1 Národní podpora využití potenciálu kulturního dědictví </w:t>
      </w:r>
      <w:r w:rsidRPr="0055501B">
        <w:rPr>
          <w:b/>
          <w:sz w:val="22"/>
          <w:szCs w:val="22"/>
        </w:rPr>
        <w:t xml:space="preserve">                                                                                   </w:t>
      </w:r>
    </w:p>
    <w:p w:rsidR="0055501B" w:rsidRPr="0055501B" w:rsidRDefault="0055501B" w:rsidP="005A6291">
      <w:pPr>
        <w:rPr>
          <w:b/>
          <w:sz w:val="22"/>
          <w:szCs w:val="22"/>
        </w:rPr>
      </w:pPr>
      <w:r w:rsidRPr="0055501B">
        <w:rPr>
          <w:b/>
          <w:sz w:val="22"/>
          <w:szCs w:val="22"/>
        </w:rPr>
        <w:t xml:space="preserve">Název projektu, registrační číslo: </w:t>
      </w:r>
      <w:r w:rsidR="001C6F9E" w:rsidRPr="001C6F9E">
        <w:rPr>
          <w:sz w:val="22"/>
          <w:szCs w:val="22"/>
        </w:rPr>
        <w:t xml:space="preserve">Revitalizace židovských památek v České republice CZ.1.06/5.1.00/01.06096                                                           </w:t>
      </w:r>
    </w:p>
    <w:p w:rsidR="0055501B" w:rsidRPr="0055501B" w:rsidRDefault="0055501B" w:rsidP="005A6291">
      <w:pPr>
        <w:rPr>
          <w:b/>
          <w:sz w:val="22"/>
          <w:szCs w:val="22"/>
        </w:rPr>
      </w:pPr>
      <w:r w:rsidRPr="0055501B">
        <w:rPr>
          <w:b/>
          <w:sz w:val="22"/>
          <w:szCs w:val="22"/>
        </w:rPr>
        <w:t>Příjemce:</w:t>
      </w:r>
      <w:r w:rsidRPr="00C55747">
        <w:rPr>
          <w:b/>
          <w:sz w:val="22"/>
          <w:szCs w:val="22"/>
        </w:rPr>
        <w:t xml:space="preserve"> </w:t>
      </w:r>
      <w:r w:rsidR="0025668E" w:rsidRPr="00C55747">
        <w:rPr>
          <w:sz w:val="22"/>
          <w:szCs w:val="22"/>
        </w:rPr>
        <w:t xml:space="preserve"> </w:t>
      </w:r>
      <w:r w:rsidR="001C6F9E" w:rsidRPr="001C6F9E">
        <w:rPr>
          <w:sz w:val="22"/>
          <w:szCs w:val="22"/>
        </w:rPr>
        <w:t xml:space="preserve">Federace židovských obcí v České republice                                                                                               </w:t>
      </w:r>
    </w:p>
    <w:p w:rsidR="00A05EC7" w:rsidRDefault="0055501B" w:rsidP="00A05EC7">
      <w:pPr>
        <w:rPr>
          <w:sz w:val="22"/>
          <w:szCs w:val="22"/>
        </w:rPr>
      </w:pPr>
      <w:r w:rsidRPr="0055501B">
        <w:rPr>
          <w:b/>
          <w:sz w:val="22"/>
          <w:szCs w:val="22"/>
        </w:rPr>
        <w:t xml:space="preserve">Financování </w:t>
      </w:r>
      <w:r w:rsidR="00FD039C" w:rsidRPr="0055501B">
        <w:rPr>
          <w:b/>
          <w:sz w:val="22"/>
          <w:szCs w:val="22"/>
        </w:rPr>
        <w:t>projektu</w:t>
      </w:r>
      <w:r w:rsidR="00FD039C">
        <w:rPr>
          <w:b/>
          <w:sz w:val="22"/>
          <w:szCs w:val="22"/>
        </w:rPr>
        <w:t xml:space="preserve"> </w:t>
      </w:r>
      <w:r w:rsidR="00FD039C">
        <w:rPr>
          <w:sz w:val="22"/>
          <w:szCs w:val="22"/>
        </w:rPr>
        <w:t>celkový</w:t>
      </w:r>
      <w:r w:rsidR="004966E5" w:rsidRPr="00555962">
        <w:rPr>
          <w:sz w:val="22"/>
          <w:szCs w:val="22"/>
        </w:rPr>
        <w:t xml:space="preserve"> rozpočet </w:t>
      </w:r>
      <w:r w:rsidR="001C6F9E" w:rsidRPr="00D82C67">
        <w:rPr>
          <w:sz w:val="22"/>
          <w:szCs w:val="22"/>
        </w:rPr>
        <w:t>279 608 746 Kč</w:t>
      </w:r>
      <w:r w:rsidR="001C6F9E">
        <w:rPr>
          <w:sz w:val="22"/>
          <w:szCs w:val="22"/>
        </w:rPr>
        <w:t xml:space="preserve"> </w:t>
      </w:r>
      <w:r w:rsidR="001C6F9E" w:rsidRPr="0015143C">
        <w:rPr>
          <w:sz w:val="22"/>
          <w:szCs w:val="22"/>
        </w:rPr>
        <w:t>(</w:t>
      </w:r>
      <w:r w:rsidR="001C6F9E">
        <w:rPr>
          <w:sz w:val="22"/>
          <w:szCs w:val="22"/>
        </w:rPr>
        <w:t>237 667 429 Kč</w:t>
      </w:r>
      <w:r w:rsidR="001C6F9E" w:rsidRPr="0015143C">
        <w:rPr>
          <w:sz w:val="22"/>
          <w:szCs w:val="22"/>
        </w:rPr>
        <w:t xml:space="preserve"> SF</w:t>
      </w:r>
      <w:r w:rsidR="001C6F9E">
        <w:rPr>
          <w:sz w:val="22"/>
          <w:szCs w:val="22"/>
        </w:rPr>
        <w:t>, 41 941 317 Kč SR</w:t>
      </w:r>
      <w:r w:rsidR="001C6F9E" w:rsidRPr="0015143C">
        <w:rPr>
          <w:sz w:val="22"/>
          <w:szCs w:val="22"/>
        </w:rPr>
        <w:t>)</w:t>
      </w:r>
      <w:r w:rsidR="001C6F9E">
        <w:rPr>
          <w:sz w:val="22"/>
          <w:szCs w:val="22"/>
        </w:rPr>
        <w:t xml:space="preserve">   </w:t>
      </w:r>
    </w:p>
    <w:p w:rsidR="004966E5" w:rsidRDefault="004966E5" w:rsidP="00A05EC7">
      <w:pPr>
        <w:rPr>
          <w:sz w:val="22"/>
          <w:szCs w:val="22"/>
        </w:rPr>
      </w:pPr>
    </w:p>
    <w:p w:rsidR="001C6F9E" w:rsidRPr="001C6F9E" w:rsidRDefault="001C6F9E" w:rsidP="001C6F9E">
      <w:pPr>
        <w:jc w:val="both"/>
        <w:rPr>
          <w:sz w:val="22"/>
          <w:szCs w:val="22"/>
        </w:rPr>
      </w:pPr>
      <w:r w:rsidRPr="001C6F9E">
        <w:rPr>
          <w:sz w:val="22"/>
          <w:szCs w:val="22"/>
        </w:rPr>
        <w:t>Cílem projektu „Revitalizace židovských památek v České republice“ bylo vytvořit centrálně koordinovanou a metodicky řízenou síť deseti oblastních kulturně vzdělávacích center židovské kultury, kter</w:t>
      </w:r>
      <w:r w:rsidR="000F2071">
        <w:rPr>
          <w:sz w:val="22"/>
          <w:szCs w:val="22"/>
        </w:rPr>
        <w:t>á</w:t>
      </w:r>
      <w:r w:rsidRPr="001C6F9E">
        <w:rPr>
          <w:sz w:val="22"/>
          <w:szCs w:val="22"/>
        </w:rPr>
        <w:t xml:space="preserve"> budou prezentovat jedinečné kulturní dědictví České republiky. Oblastní centra židovské kultury vznikl</w:t>
      </w:r>
      <w:r w:rsidR="000F2071">
        <w:rPr>
          <w:sz w:val="22"/>
          <w:szCs w:val="22"/>
        </w:rPr>
        <w:t>a</w:t>
      </w:r>
      <w:r w:rsidRPr="001C6F9E">
        <w:rPr>
          <w:sz w:val="22"/>
          <w:szCs w:val="22"/>
        </w:rPr>
        <w:t xml:space="preserve"> na území sedmi krajů v lokalitách: Úštěk, Jičín, Brandýs nad Labem, Plzeň, Březnice, Nová Cerekev, Polná, Boskovice, Mikulov a Krnov. </w:t>
      </w:r>
    </w:p>
    <w:p w:rsidR="0055501B" w:rsidRDefault="001C6F9E" w:rsidP="001C6F9E">
      <w:pPr>
        <w:jc w:val="both"/>
        <w:rPr>
          <w:sz w:val="22"/>
          <w:szCs w:val="22"/>
        </w:rPr>
      </w:pPr>
      <w:r w:rsidRPr="001C6F9E">
        <w:rPr>
          <w:sz w:val="22"/>
          <w:szCs w:val="22"/>
        </w:rPr>
        <w:t xml:space="preserve">V uvedených lokalitách byly provedeny stavební úpravy objektů (celkem bylo restaurováno </w:t>
      </w:r>
      <w:r>
        <w:rPr>
          <w:sz w:val="22"/>
          <w:szCs w:val="22"/>
        </w:rPr>
        <w:br/>
      </w:r>
      <w:r w:rsidRPr="001C6F9E">
        <w:rPr>
          <w:sz w:val="22"/>
          <w:szCs w:val="22"/>
        </w:rPr>
        <w:t xml:space="preserve">a zpřístupněno na 15 stavebně a historicky významných budov), objekty byly vybaveny mobiliářem </w:t>
      </w:r>
      <w:r>
        <w:rPr>
          <w:sz w:val="22"/>
          <w:szCs w:val="22"/>
        </w:rPr>
        <w:br/>
      </w:r>
      <w:r w:rsidRPr="001C6F9E">
        <w:rPr>
          <w:sz w:val="22"/>
          <w:szCs w:val="22"/>
        </w:rPr>
        <w:t>a připraven byl ucelený soubor kulturních a vzdělávacích aktivit, které budou tvořit, resp. tvoří programovou náplň projektu. Vlastní náplní činnosti oblastních center židovské kultury je provoz stálých historických expozic, organizace a realizace přednášek, workshopů, výstavních projektů, koncertů, divadelních a jiných performancí provozovaných jak profesionálními, tak amatérskými soubory a jednotlivci.</w:t>
      </w:r>
    </w:p>
    <w:p w:rsidR="001C6F9E" w:rsidRDefault="001C6F9E" w:rsidP="001C6F9E">
      <w:pPr>
        <w:jc w:val="both"/>
        <w:rPr>
          <w:sz w:val="22"/>
          <w:szCs w:val="22"/>
        </w:rPr>
      </w:pPr>
    </w:p>
    <w:p w:rsidR="002E5B61" w:rsidRDefault="002E5B61" w:rsidP="001C6F9E">
      <w:pPr>
        <w:jc w:val="both"/>
        <w:rPr>
          <w:b/>
          <w:sz w:val="22"/>
          <w:szCs w:val="22"/>
        </w:rPr>
      </w:pPr>
    </w:p>
    <w:p w:rsidR="002E5B61" w:rsidRDefault="002E5B61" w:rsidP="001C6F9E">
      <w:pPr>
        <w:jc w:val="both"/>
        <w:rPr>
          <w:b/>
          <w:sz w:val="22"/>
          <w:szCs w:val="22"/>
        </w:rPr>
      </w:pPr>
    </w:p>
    <w:p w:rsidR="002E5B61" w:rsidRDefault="002E5B61" w:rsidP="001C6F9E">
      <w:pPr>
        <w:jc w:val="both"/>
        <w:rPr>
          <w:b/>
          <w:sz w:val="22"/>
          <w:szCs w:val="22"/>
        </w:rPr>
      </w:pPr>
    </w:p>
    <w:p w:rsidR="002E5B61" w:rsidRDefault="002E5B61" w:rsidP="001C6F9E">
      <w:pPr>
        <w:jc w:val="both"/>
        <w:rPr>
          <w:b/>
          <w:sz w:val="22"/>
          <w:szCs w:val="22"/>
        </w:rPr>
      </w:pPr>
    </w:p>
    <w:p w:rsidR="002E5B61" w:rsidRDefault="002E5B61" w:rsidP="001C6F9E">
      <w:pPr>
        <w:jc w:val="both"/>
        <w:rPr>
          <w:b/>
          <w:sz w:val="22"/>
          <w:szCs w:val="22"/>
        </w:rPr>
      </w:pPr>
    </w:p>
    <w:p w:rsidR="002E5B61" w:rsidRDefault="002E5B61" w:rsidP="001C6F9E">
      <w:pPr>
        <w:jc w:val="both"/>
        <w:rPr>
          <w:b/>
          <w:sz w:val="22"/>
          <w:szCs w:val="22"/>
        </w:rPr>
      </w:pPr>
    </w:p>
    <w:p w:rsidR="002E5B61" w:rsidRDefault="002E5B61" w:rsidP="001C6F9E">
      <w:pPr>
        <w:jc w:val="both"/>
        <w:rPr>
          <w:b/>
          <w:sz w:val="22"/>
          <w:szCs w:val="22"/>
        </w:rPr>
      </w:pPr>
    </w:p>
    <w:p w:rsidR="002E5B61" w:rsidRDefault="002E5B61" w:rsidP="001C6F9E">
      <w:pPr>
        <w:jc w:val="both"/>
        <w:rPr>
          <w:b/>
          <w:sz w:val="22"/>
          <w:szCs w:val="22"/>
        </w:rPr>
      </w:pPr>
    </w:p>
    <w:p w:rsidR="002E5B61" w:rsidRDefault="002E5B61" w:rsidP="001C6F9E">
      <w:pPr>
        <w:jc w:val="both"/>
        <w:rPr>
          <w:b/>
          <w:sz w:val="22"/>
          <w:szCs w:val="22"/>
        </w:rPr>
      </w:pPr>
    </w:p>
    <w:p w:rsidR="002E5B61" w:rsidRDefault="002E5B61" w:rsidP="001C6F9E">
      <w:pPr>
        <w:jc w:val="both"/>
        <w:rPr>
          <w:b/>
          <w:sz w:val="22"/>
          <w:szCs w:val="22"/>
        </w:rPr>
      </w:pPr>
    </w:p>
    <w:p w:rsidR="002E5B61" w:rsidRDefault="002E5B61" w:rsidP="001C6F9E">
      <w:pPr>
        <w:jc w:val="both"/>
        <w:rPr>
          <w:b/>
          <w:sz w:val="22"/>
          <w:szCs w:val="22"/>
        </w:rPr>
      </w:pPr>
    </w:p>
    <w:p w:rsidR="00DD6F98" w:rsidRDefault="00DD6F98" w:rsidP="001C6F9E">
      <w:pPr>
        <w:jc w:val="both"/>
        <w:rPr>
          <w:b/>
          <w:sz w:val="22"/>
          <w:szCs w:val="22"/>
        </w:rPr>
      </w:pPr>
    </w:p>
    <w:p w:rsidR="001C6F9E" w:rsidRPr="001C6F9E" w:rsidRDefault="001C6F9E" w:rsidP="001C6F9E">
      <w:pPr>
        <w:jc w:val="both"/>
        <w:rPr>
          <w:b/>
          <w:sz w:val="22"/>
          <w:szCs w:val="22"/>
        </w:rPr>
      </w:pPr>
      <w:r w:rsidRPr="001C6F9E">
        <w:rPr>
          <w:b/>
          <w:sz w:val="22"/>
          <w:szCs w:val="22"/>
        </w:rPr>
        <w:lastRenderedPageBreak/>
        <w:t>Synagoga v Brandýse n</w:t>
      </w:r>
      <w:r w:rsidR="00637D85">
        <w:rPr>
          <w:b/>
          <w:sz w:val="22"/>
          <w:szCs w:val="22"/>
        </w:rPr>
        <w:t>ad Labem</w:t>
      </w:r>
    </w:p>
    <w:p w:rsidR="001C6F9E" w:rsidRDefault="001C6F9E" w:rsidP="001C6F9E">
      <w:pPr>
        <w:jc w:val="both"/>
        <w:rPr>
          <w:sz w:val="22"/>
          <w:szCs w:val="22"/>
        </w:rPr>
      </w:pPr>
      <w:r>
        <w:rPr>
          <w:rFonts w:ascii="Helvetica" w:hAnsi="Helvetica" w:cs="Helvetica"/>
          <w:noProof/>
          <w:color w:val="4088B8"/>
          <w:sz w:val="17"/>
          <w:szCs w:val="17"/>
        </w:rPr>
        <w:drawing>
          <wp:inline distT="0" distB="0" distL="0" distR="0" wp14:anchorId="36953363" wp14:editId="14E129B2">
            <wp:extent cx="4500880" cy="3016250"/>
            <wp:effectExtent l="0" t="0" r="0" b="0"/>
            <wp:docPr id="12" name="Obrázek 1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 "/>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00880" cy="3016250"/>
                    </a:xfrm>
                    <a:prstGeom prst="rect">
                      <a:avLst/>
                    </a:prstGeom>
                    <a:noFill/>
                    <a:ln>
                      <a:noFill/>
                    </a:ln>
                  </pic:spPr>
                </pic:pic>
              </a:graphicData>
            </a:graphic>
          </wp:inline>
        </w:drawing>
      </w:r>
    </w:p>
    <w:p w:rsidR="001C6F9E" w:rsidRDefault="001C6F9E" w:rsidP="001C6F9E">
      <w:pPr>
        <w:jc w:val="both"/>
        <w:rPr>
          <w:sz w:val="22"/>
          <w:szCs w:val="22"/>
        </w:rPr>
      </w:pPr>
      <w:r>
        <w:rPr>
          <w:i/>
        </w:rPr>
        <w:t>Zdroj: 10hvezd.cz)</w:t>
      </w:r>
    </w:p>
    <w:p w:rsidR="001C6F9E" w:rsidRDefault="001C6F9E" w:rsidP="001C6F9E">
      <w:pPr>
        <w:jc w:val="both"/>
        <w:rPr>
          <w:sz w:val="22"/>
          <w:szCs w:val="22"/>
        </w:rPr>
      </w:pPr>
    </w:p>
    <w:p w:rsidR="00F269F5" w:rsidRDefault="00F269F5" w:rsidP="002D2ACE">
      <w:pPr>
        <w:jc w:val="both"/>
        <w:rPr>
          <w:b/>
          <w:sz w:val="22"/>
          <w:szCs w:val="22"/>
        </w:rPr>
      </w:pPr>
    </w:p>
    <w:p w:rsidR="000E0C48" w:rsidRPr="003F7530" w:rsidRDefault="000E0C48" w:rsidP="002D2ACE">
      <w:pPr>
        <w:jc w:val="both"/>
        <w:rPr>
          <w:b/>
          <w:sz w:val="22"/>
          <w:szCs w:val="22"/>
        </w:rPr>
      </w:pPr>
      <w:r w:rsidRPr="003F7530">
        <w:rPr>
          <w:b/>
          <w:sz w:val="22"/>
          <w:szCs w:val="22"/>
        </w:rPr>
        <w:t xml:space="preserve">Oblast intervence:  </w:t>
      </w:r>
      <w:r w:rsidRPr="00A73B58">
        <w:rPr>
          <w:sz w:val="22"/>
          <w:szCs w:val="22"/>
        </w:rPr>
        <w:t>5.2 Zlepšení prostředí v problémových sídlištích</w:t>
      </w:r>
    </w:p>
    <w:p w:rsidR="001E584B" w:rsidRPr="001E584B" w:rsidRDefault="000E0C48" w:rsidP="001E584B">
      <w:pPr>
        <w:jc w:val="both"/>
        <w:rPr>
          <w:sz w:val="22"/>
          <w:szCs w:val="22"/>
        </w:rPr>
      </w:pPr>
      <w:r w:rsidRPr="003F7530">
        <w:rPr>
          <w:b/>
          <w:sz w:val="22"/>
          <w:szCs w:val="22"/>
        </w:rPr>
        <w:t>Název</w:t>
      </w:r>
      <w:r w:rsidR="00471AB3">
        <w:rPr>
          <w:b/>
          <w:sz w:val="22"/>
          <w:szCs w:val="22"/>
        </w:rPr>
        <w:t xml:space="preserve"> </w:t>
      </w:r>
      <w:r w:rsidRPr="003F7530">
        <w:rPr>
          <w:b/>
          <w:sz w:val="22"/>
          <w:szCs w:val="22"/>
        </w:rPr>
        <w:t>projektu</w:t>
      </w:r>
      <w:r w:rsidR="00471AB3">
        <w:rPr>
          <w:b/>
          <w:sz w:val="22"/>
          <w:szCs w:val="22"/>
        </w:rPr>
        <w:t>, r</w:t>
      </w:r>
      <w:r w:rsidRPr="003F7530">
        <w:rPr>
          <w:b/>
          <w:sz w:val="22"/>
          <w:szCs w:val="22"/>
        </w:rPr>
        <w:t>egistrační</w:t>
      </w:r>
      <w:r w:rsidR="00471AB3">
        <w:rPr>
          <w:b/>
          <w:sz w:val="22"/>
          <w:szCs w:val="22"/>
        </w:rPr>
        <w:t xml:space="preserve"> </w:t>
      </w:r>
      <w:r w:rsidRPr="003F7530">
        <w:rPr>
          <w:b/>
          <w:sz w:val="22"/>
          <w:szCs w:val="22"/>
        </w:rPr>
        <w:t>číslo:</w:t>
      </w:r>
      <w:r w:rsidR="00471AB3">
        <w:rPr>
          <w:b/>
          <w:sz w:val="22"/>
          <w:szCs w:val="22"/>
        </w:rPr>
        <w:t xml:space="preserve"> </w:t>
      </w:r>
      <w:r w:rsidR="00B14C25" w:rsidRPr="00B14C25">
        <w:rPr>
          <w:sz w:val="22"/>
          <w:szCs w:val="22"/>
        </w:rPr>
        <w:t>Úprava náměstí a dětské hřiště, náměstí Bohuslava Martinů, Hodonín; CZ.1.06/5.2.00/07.09794</w:t>
      </w:r>
    </w:p>
    <w:p w:rsidR="000E0C48" w:rsidRPr="001E584B" w:rsidRDefault="00F44605" w:rsidP="002D2ACE">
      <w:pPr>
        <w:jc w:val="both"/>
        <w:rPr>
          <w:b/>
          <w:sz w:val="22"/>
          <w:szCs w:val="22"/>
        </w:rPr>
      </w:pPr>
      <w:r w:rsidRPr="00F44605">
        <w:rPr>
          <w:b/>
          <w:sz w:val="22"/>
          <w:szCs w:val="22"/>
        </w:rPr>
        <w:t xml:space="preserve">Příjemce: </w:t>
      </w:r>
      <w:r w:rsidR="001E584B">
        <w:rPr>
          <w:sz w:val="22"/>
          <w:szCs w:val="22"/>
        </w:rPr>
        <w:t xml:space="preserve"> </w:t>
      </w:r>
      <w:r w:rsidR="00B14C25" w:rsidRPr="00B14C25">
        <w:rPr>
          <w:sz w:val="22"/>
          <w:szCs w:val="22"/>
        </w:rPr>
        <w:t>Město Hodonín</w:t>
      </w:r>
    </w:p>
    <w:p w:rsidR="000E0C48" w:rsidRDefault="000E0C48" w:rsidP="002D2ACE">
      <w:pPr>
        <w:jc w:val="both"/>
        <w:rPr>
          <w:sz w:val="22"/>
          <w:szCs w:val="22"/>
        </w:rPr>
      </w:pPr>
      <w:r w:rsidRPr="003F7530">
        <w:rPr>
          <w:b/>
          <w:sz w:val="22"/>
          <w:szCs w:val="22"/>
        </w:rPr>
        <w:t>Financování projektu</w:t>
      </w:r>
      <w:r w:rsidR="0025668E">
        <w:rPr>
          <w:b/>
          <w:sz w:val="22"/>
          <w:szCs w:val="22"/>
        </w:rPr>
        <w:t xml:space="preserve"> </w:t>
      </w:r>
      <w:r w:rsidR="00D0282C">
        <w:rPr>
          <w:b/>
          <w:sz w:val="22"/>
          <w:szCs w:val="22"/>
        </w:rPr>
        <w:t>–</w:t>
      </w:r>
      <w:r w:rsidR="00F44605" w:rsidRPr="008F2BA6">
        <w:rPr>
          <w:sz w:val="22"/>
          <w:szCs w:val="22"/>
        </w:rPr>
        <w:t xml:space="preserve"> </w:t>
      </w:r>
      <w:r w:rsidR="00B14C25" w:rsidRPr="00B14C25">
        <w:rPr>
          <w:sz w:val="22"/>
          <w:szCs w:val="22"/>
        </w:rPr>
        <w:t>celkový rozpočet Kč 5 165 252,- Kč (příspěvek SF 4 390 464,- Kč, příspěvek SR 774 787,- Kč)</w:t>
      </w:r>
    </w:p>
    <w:p w:rsidR="00B14C25" w:rsidRDefault="00B14C25" w:rsidP="002D2ACE">
      <w:pPr>
        <w:jc w:val="both"/>
        <w:rPr>
          <w:sz w:val="22"/>
          <w:szCs w:val="22"/>
        </w:rPr>
      </w:pPr>
    </w:p>
    <w:p w:rsidR="00B14C25" w:rsidRDefault="00B14C25" w:rsidP="000F2071">
      <w:pPr>
        <w:jc w:val="both"/>
        <w:rPr>
          <w:sz w:val="22"/>
          <w:szCs w:val="22"/>
        </w:rPr>
      </w:pPr>
      <w:r w:rsidRPr="00B14C25">
        <w:rPr>
          <w:sz w:val="22"/>
          <w:szCs w:val="22"/>
        </w:rPr>
        <w:t>Předmětem projektu je úprava náměstí a vybudování nového dětského hřiště na nám</w:t>
      </w:r>
      <w:r w:rsidR="000A7638">
        <w:rPr>
          <w:sz w:val="22"/>
          <w:szCs w:val="22"/>
        </w:rPr>
        <w:t>ěstí</w:t>
      </w:r>
      <w:r w:rsidRPr="00B14C25">
        <w:rPr>
          <w:sz w:val="22"/>
          <w:szCs w:val="22"/>
        </w:rPr>
        <w:t xml:space="preserve"> Bohuslava Martinů v Hodoníně - nové dětské hřiště v centrální části řešeného území, klidové zpevněné plochy navazující na hřiště, dva nové zpevněné chodníky, rekonstrukce stávajících chodníků v centrální části řešeného území a chodníků k přilehlým budovám, rekonstrukce a doplnění stávajícího městského mobiliáře v řešeném území, drobné sadové úpravy.</w:t>
      </w:r>
    </w:p>
    <w:p w:rsidR="000E0C48" w:rsidRDefault="000E0C48">
      <w:pPr>
        <w:jc w:val="both"/>
        <w:rPr>
          <w:sz w:val="22"/>
          <w:szCs w:val="22"/>
        </w:rPr>
      </w:pPr>
    </w:p>
    <w:p w:rsidR="00A735F0" w:rsidRDefault="00A735F0" w:rsidP="0025668E">
      <w:pPr>
        <w:jc w:val="both"/>
        <w:rPr>
          <w:b/>
          <w:sz w:val="22"/>
          <w:szCs w:val="22"/>
        </w:rPr>
      </w:pPr>
    </w:p>
    <w:p w:rsidR="00CC3622" w:rsidRPr="006E4A9E" w:rsidRDefault="001E6D54" w:rsidP="0025668E">
      <w:pPr>
        <w:jc w:val="both"/>
        <w:rPr>
          <w:b/>
          <w:sz w:val="22"/>
          <w:szCs w:val="22"/>
        </w:rPr>
      </w:pPr>
      <w:r w:rsidRPr="006E4A9E">
        <w:rPr>
          <w:b/>
          <w:sz w:val="22"/>
          <w:szCs w:val="22"/>
        </w:rPr>
        <w:t xml:space="preserve">Oblast intervence: </w:t>
      </w:r>
      <w:r w:rsidRPr="006E4A9E">
        <w:rPr>
          <w:sz w:val="22"/>
          <w:szCs w:val="22"/>
        </w:rPr>
        <w:t>5.3 Modernizace a rozvoj systémů tvorby územních politik</w:t>
      </w:r>
    </w:p>
    <w:p w:rsidR="0057745D" w:rsidRPr="0057745D" w:rsidRDefault="001E6D54" w:rsidP="0057745D">
      <w:pPr>
        <w:ind w:left="3261" w:hanging="3261"/>
        <w:rPr>
          <w:sz w:val="22"/>
          <w:szCs w:val="22"/>
        </w:rPr>
      </w:pPr>
      <w:r w:rsidRPr="006E4A9E">
        <w:rPr>
          <w:b/>
          <w:sz w:val="22"/>
          <w:szCs w:val="22"/>
        </w:rPr>
        <w:t>Název projektu, registrační číslo:</w:t>
      </w:r>
      <w:r w:rsidR="006E4A9E">
        <w:rPr>
          <w:b/>
          <w:sz w:val="22"/>
          <w:szCs w:val="22"/>
        </w:rPr>
        <w:t xml:space="preserve"> </w:t>
      </w:r>
      <w:r w:rsidR="0025668E">
        <w:rPr>
          <w:sz w:val="22"/>
          <w:szCs w:val="22"/>
        </w:rPr>
        <w:t xml:space="preserve"> </w:t>
      </w:r>
      <w:r w:rsidR="0057745D" w:rsidRPr="0057745D">
        <w:rPr>
          <w:sz w:val="22"/>
          <w:szCs w:val="22"/>
        </w:rPr>
        <w:t xml:space="preserve">Zpracování územního plánu města Sázava, </w:t>
      </w:r>
    </w:p>
    <w:p w:rsidR="006405C1" w:rsidRPr="002E5FEA" w:rsidRDefault="0057745D" w:rsidP="0057745D">
      <w:pPr>
        <w:rPr>
          <w:sz w:val="22"/>
          <w:szCs w:val="22"/>
        </w:rPr>
      </w:pPr>
      <w:r w:rsidRPr="0057745D">
        <w:rPr>
          <w:sz w:val="22"/>
          <w:szCs w:val="22"/>
        </w:rPr>
        <w:t>CZ.1.06/5.3.00/08.07457</w:t>
      </w:r>
    </w:p>
    <w:p w:rsidR="00CC3622" w:rsidRPr="002E5FEA" w:rsidRDefault="001E6D54" w:rsidP="006405C1">
      <w:pPr>
        <w:ind w:left="3261" w:hanging="3261"/>
        <w:rPr>
          <w:b/>
          <w:sz w:val="22"/>
          <w:szCs w:val="22"/>
        </w:rPr>
      </w:pPr>
      <w:r w:rsidRPr="002E5FEA">
        <w:rPr>
          <w:b/>
          <w:sz w:val="22"/>
          <w:szCs w:val="22"/>
        </w:rPr>
        <w:t xml:space="preserve">Příjemce: </w:t>
      </w:r>
      <w:r w:rsidR="0057745D" w:rsidRPr="0057745D">
        <w:rPr>
          <w:sz w:val="22"/>
          <w:szCs w:val="22"/>
        </w:rPr>
        <w:t>Město Sázava</w:t>
      </w:r>
      <w:r w:rsidR="0025668E">
        <w:rPr>
          <w:sz w:val="22"/>
          <w:szCs w:val="22"/>
        </w:rPr>
        <w:t xml:space="preserve"> </w:t>
      </w:r>
    </w:p>
    <w:p w:rsidR="001E584B" w:rsidRDefault="001E6D54" w:rsidP="0057745D">
      <w:pPr>
        <w:rPr>
          <w:sz w:val="22"/>
          <w:szCs w:val="22"/>
        </w:rPr>
      </w:pPr>
      <w:r w:rsidRPr="002E5FEA">
        <w:rPr>
          <w:b/>
          <w:sz w:val="22"/>
          <w:szCs w:val="22"/>
        </w:rPr>
        <w:t>Financování projektu:</w:t>
      </w:r>
      <w:r w:rsidR="006E4A9E" w:rsidRPr="002E5FEA">
        <w:rPr>
          <w:b/>
          <w:sz w:val="22"/>
          <w:szCs w:val="22"/>
        </w:rPr>
        <w:t xml:space="preserve"> </w:t>
      </w:r>
      <w:r w:rsidR="0057745D" w:rsidRPr="0057745D">
        <w:rPr>
          <w:sz w:val="22"/>
          <w:szCs w:val="22"/>
        </w:rPr>
        <w:t>celkový rozpočet v Kč: 1 110 000 Kč (příspěvek SF 943 500 Kč, příspěvek SR 166 500,- Kč)</w:t>
      </w:r>
    </w:p>
    <w:p w:rsidR="00A735F0" w:rsidRDefault="00A735F0" w:rsidP="0057745D">
      <w:pPr>
        <w:rPr>
          <w:sz w:val="22"/>
          <w:szCs w:val="22"/>
        </w:rPr>
      </w:pPr>
    </w:p>
    <w:p w:rsidR="00A735F0" w:rsidRDefault="00A735F0" w:rsidP="0057745D">
      <w:pPr>
        <w:rPr>
          <w:sz w:val="22"/>
          <w:szCs w:val="22"/>
        </w:rPr>
      </w:pPr>
    </w:p>
    <w:p w:rsidR="00A735F0" w:rsidRDefault="00A735F0" w:rsidP="0057745D">
      <w:pPr>
        <w:rPr>
          <w:sz w:val="22"/>
          <w:szCs w:val="22"/>
        </w:rPr>
      </w:pPr>
    </w:p>
    <w:p w:rsidR="007A621B" w:rsidRPr="003F245E" w:rsidRDefault="00637D85" w:rsidP="007A621B">
      <w:pPr>
        <w:rPr>
          <w:sz w:val="22"/>
          <w:szCs w:val="22"/>
        </w:rPr>
      </w:pPr>
      <w:r>
        <w:rPr>
          <w:sz w:val="22"/>
          <w:szCs w:val="22"/>
        </w:rPr>
        <w:t>Předmětem projektu bylo p</w:t>
      </w:r>
      <w:r w:rsidR="0057745D" w:rsidRPr="003F245E">
        <w:rPr>
          <w:sz w:val="22"/>
          <w:szCs w:val="22"/>
        </w:rPr>
        <w:t>ořízení územního plánu města Sázava včetně vyhodnocení vlivů územního p</w:t>
      </w:r>
      <w:r w:rsidR="00A735F0" w:rsidRPr="003F245E">
        <w:rPr>
          <w:sz w:val="22"/>
          <w:szCs w:val="22"/>
        </w:rPr>
        <w:t>lánu na udržitelný rozvoj území</w:t>
      </w:r>
      <w:r>
        <w:rPr>
          <w:sz w:val="22"/>
          <w:szCs w:val="22"/>
        </w:rPr>
        <w:t>.</w:t>
      </w:r>
    </w:p>
    <w:p w:rsidR="0057745D" w:rsidRDefault="0057745D" w:rsidP="007A621B">
      <w:pPr>
        <w:rPr>
          <w:sz w:val="22"/>
          <w:szCs w:val="22"/>
        </w:rPr>
      </w:pPr>
    </w:p>
    <w:p w:rsidR="0057745D" w:rsidRPr="0057745D" w:rsidRDefault="0057745D" w:rsidP="007A621B">
      <w:pPr>
        <w:rPr>
          <w:sz w:val="22"/>
          <w:szCs w:val="22"/>
        </w:rPr>
      </w:pPr>
      <w:r>
        <w:rPr>
          <w:noProof/>
        </w:rPr>
        <w:lastRenderedPageBreak/>
        <w:drawing>
          <wp:inline distT="0" distB="0" distL="0" distR="0" wp14:anchorId="1D094524" wp14:editId="07AE47C1">
            <wp:extent cx="5760085" cy="4113711"/>
            <wp:effectExtent l="0" t="0" r="0" b="127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zava.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60085" cy="4113711"/>
                    </a:xfrm>
                    <a:prstGeom prst="rect">
                      <a:avLst/>
                    </a:prstGeom>
                  </pic:spPr>
                </pic:pic>
              </a:graphicData>
            </a:graphic>
          </wp:inline>
        </w:drawing>
      </w:r>
    </w:p>
    <w:p w:rsidR="008F6137" w:rsidRPr="00FB2880" w:rsidRDefault="0025668E" w:rsidP="00FB2880">
      <w:pPr>
        <w:tabs>
          <w:tab w:val="center" w:pos="4536"/>
        </w:tabs>
        <w:jc w:val="both"/>
        <w:rPr>
          <w:sz w:val="22"/>
          <w:szCs w:val="22"/>
        </w:rPr>
      </w:pPr>
      <w:r w:rsidRPr="007A621B">
        <w:rPr>
          <w:sz w:val="22"/>
          <w:szCs w:val="22"/>
        </w:rPr>
        <w:t xml:space="preserve">  </w:t>
      </w:r>
    </w:p>
    <w:p w:rsidR="00D644B0" w:rsidRPr="00743739" w:rsidRDefault="00D644B0">
      <w:pPr>
        <w:pStyle w:val="Nadpis2"/>
        <w:rPr>
          <w:rFonts w:ascii="Times New Roman" w:hAnsi="Times New Roman"/>
          <w:i w:val="0"/>
        </w:rPr>
      </w:pPr>
      <w:bookmarkStart w:id="139" w:name="_Toc433873516"/>
      <w:r w:rsidRPr="00743739">
        <w:rPr>
          <w:rFonts w:ascii="Times New Roman" w:hAnsi="Times New Roman"/>
          <w:i w:val="0"/>
        </w:rPr>
        <w:t>3.6 Prioritní osa 6a, 6b – Technická pomoc</w:t>
      </w:r>
      <w:bookmarkEnd w:id="139"/>
      <w:r w:rsidRPr="00743739">
        <w:rPr>
          <w:rFonts w:ascii="Times New Roman" w:hAnsi="Times New Roman"/>
          <w:i w:val="0"/>
        </w:rPr>
        <w:t xml:space="preserve"> </w:t>
      </w:r>
    </w:p>
    <w:p w:rsidR="00D644B0" w:rsidRPr="00743739" w:rsidRDefault="00D644B0">
      <w:pPr>
        <w:pStyle w:val="Nadpis3"/>
        <w:rPr>
          <w:rFonts w:ascii="Times New Roman" w:hAnsi="Times New Roman"/>
          <w:sz w:val="24"/>
          <w:szCs w:val="24"/>
        </w:rPr>
      </w:pPr>
      <w:bookmarkStart w:id="140" w:name="_Toc433873517"/>
      <w:r w:rsidRPr="00B7725D">
        <w:rPr>
          <w:rFonts w:ascii="Times New Roman" w:hAnsi="Times New Roman"/>
          <w:sz w:val="24"/>
          <w:szCs w:val="24"/>
        </w:rPr>
        <w:t>3.6.1 Zaměření prioritních os/oblastí intervence</w:t>
      </w:r>
      <w:bookmarkEnd w:id="140"/>
    </w:p>
    <w:p w:rsidR="00D644B0" w:rsidRDefault="00D644B0">
      <w:pPr>
        <w:jc w:val="both"/>
        <w:rPr>
          <w:sz w:val="22"/>
          <w:szCs w:val="22"/>
        </w:rPr>
      </w:pPr>
    </w:p>
    <w:p w:rsidR="00D644B0" w:rsidRPr="00BE3142" w:rsidRDefault="00D644B0">
      <w:pPr>
        <w:jc w:val="both"/>
        <w:rPr>
          <w:sz w:val="22"/>
          <w:szCs w:val="22"/>
        </w:rPr>
      </w:pPr>
      <w:r>
        <w:rPr>
          <w:sz w:val="22"/>
          <w:szCs w:val="22"/>
        </w:rPr>
        <w:t xml:space="preserve">Prioritní osy zahrnují aktivity z hlediska geografické příslušnosti neoddělitelné a </w:t>
      </w:r>
      <w:r w:rsidR="00473E3D">
        <w:rPr>
          <w:sz w:val="22"/>
          <w:szCs w:val="22"/>
        </w:rPr>
        <w:t>s</w:t>
      </w:r>
      <w:r>
        <w:rPr>
          <w:sz w:val="22"/>
          <w:szCs w:val="22"/>
        </w:rPr>
        <w:t xml:space="preserve"> dopad</w:t>
      </w:r>
      <w:r w:rsidR="00473E3D">
        <w:rPr>
          <w:sz w:val="22"/>
          <w:szCs w:val="22"/>
        </w:rPr>
        <w:t>em</w:t>
      </w:r>
      <w:r>
        <w:rPr>
          <w:sz w:val="22"/>
          <w:szCs w:val="22"/>
        </w:rPr>
        <w:t xml:space="preserve"> na celé území ČR. Jejich obsah je proto bez ohledu na členění podle cíle identický. Prioritní osy 6a a 6b se zaměřují na podporu efektivního řízení Integrovaného operačního programu pro programovací období 2007-2013. </w:t>
      </w:r>
    </w:p>
    <w:p w:rsidR="00D644B0" w:rsidRDefault="00D644B0">
      <w:pPr>
        <w:jc w:val="both"/>
        <w:rPr>
          <w:sz w:val="22"/>
          <w:szCs w:val="22"/>
        </w:rPr>
      </w:pPr>
    </w:p>
    <w:p w:rsidR="00D644B0" w:rsidRDefault="00D644B0">
      <w:pPr>
        <w:jc w:val="both"/>
        <w:rPr>
          <w:sz w:val="22"/>
          <w:szCs w:val="22"/>
        </w:rPr>
      </w:pPr>
      <w:r>
        <w:rPr>
          <w:sz w:val="22"/>
          <w:szCs w:val="22"/>
        </w:rPr>
        <w:t>Prioritní osa zahrnuje Cíl Konvergence (6a) a Cíl Regionální konkurenceschopnost a zaměstnanost (6b).</w:t>
      </w:r>
    </w:p>
    <w:p w:rsidR="00D644B0" w:rsidRDefault="00D644B0">
      <w:pPr>
        <w:rPr>
          <w:sz w:val="22"/>
          <w:szCs w:val="22"/>
        </w:rPr>
      </w:pPr>
    </w:p>
    <w:p w:rsidR="00D644B0" w:rsidRDefault="00D644B0">
      <w:pPr>
        <w:rPr>
          <w:sz w:val="22"/>
          <w:szCs w:val="22"/>
        </w:rPr>
      </w:pPr>
      <w:r>
        <w:rPr>
          <w:sz w:val="22"/>
          <w:szCs w:val="22"/>
        </w:rPr>
        <w:t>Specifické cíle:</w:t>
      </w:r>
    </w:p>
    <w:p w:rsidR="00D644B0" w:rsidRDefault="00D644B0" w:rsidP="00EA7841">
      <w:pPr>
        <w:numPr>
          <w:ilvl w:val="0"/>
          <w:numId w:val="21"/>
        </w:numPr>
        <w:spacing w:before="60"/>
        <w:jc w:val="both"/>
        <w:rPr>
          <w:sz w:val="22"/>
          <w:szCs w:val="22"/>
        </w:rPr>
      </w:pPr>
      <w:r>
        <w:rPr>
          <w:sz w:val="22"/>
          <w:szCs w:val="22"/>
        </w:rPr>
        <w:t>posílení administrativních kapacit zapojených do realizace programu na úrovni řídícího orgánu a zprostředkujících subjektů,</w:t>
      </w:r>
    </w:p>
    <w:p w:rsidR="00D644B0" w:rsidRDefault="00D644B0" w:rsidP="00EA7841">
      <w:pPr>
        <w:numPr>
          <w:ilvl w:val="0"/>
          <w:numId w:val="21"/>
        </w:numPr>
        <w:spacing w:before="60"/>
        <w:jc w:val="both"/>
        <w:rPr>
          <w:sz w:val="22"/>
          <w:szCs w:val="22"/>
        </w:rPr>
      </w:pPr>
      <w:r>
        <w:rPr>
          <w:sz w:val="22"/>
          <w:szCs w:val="22"/>
        </w:rPr>
        <w:t>zajištění efektivního řízení, monitorování, hodnocení, kontroly a absorpční kapacity při realizaci operačního programu na úrovni řídícího orgánu a zprostředkujících subjektů.</w:t>
      </w:r>
    </w:p>
    <w:p w:rsidR="00D644B0" w:rsidRDefault="00D644B0">
      <w:pPr>
        <w:rPr>
          <w:sz w:val="22"/>
          <w:szCs w:val="22"/>
        </w:rPr>
      </w:pPr>
    </w:p>
    <w:p w:rsidR="00D644B0" w:rsidRDefault="00D644B0">
      <w:pPr>
        <w:rPr>
          <w:sz w:val="22"/>
          <w:szCs w:val="22"/>
        </w:rPr>
      </w:pPr>
      <w:r>
        <w:rPr>
          <w:sz w:val="22"/>
          <w:szCs w:val="22"/>
        </w:rPr>
        <w:t>Příjemci:</w:t>
      </w:r>
    </w:p>
    <w:p w:rsidR="00D644B0" w:rsidRDefault="00D644B0" w:rsidP="00EA7841">
      <w:pPr>
        <w:numPr>
          <w:ilvl w:val="0"/>
          <w:numId w:val="22"/>
        </w:numPr>
        <w:spacing w:before="60"/>
        <w:rPr>
          <w:sz w:val="22"/>
          <w:szCs w:val="22"/>
        </w:rPr>
      </w:pPr>
      <w:r>
        <w:rPr>
          <w:sz w:val="22"/>
          <w:szCs w:val="22"/>
        </w:rPr>
        <w:t xml:space="preserve">řídící orgán, </w:t>
      </w:r>
    </w:p>
    <w:p w:rsidR="00D644B0" w:rsidRDefault="00D644B0" w:rsidP="00EA7841">
      <w:pPr>
        <w:numPr>
          <w:ilvl w:val="0"/>
          <w:numId w:val="22"/>
        </w:numPr>
        <w:spacing w:before="60"/>
        <w:rPr>
          <w:sz w:val="22"/>
          <w:szCs w:val="22"/>
        </w:rPr>
      </w:pPr>
      <w:r>
        <w:rPr>
          <w:sz w:val="22"/>
          <w:szCs w:val="22"/>
        </w:rPr>
        <w:t>zprostředkující subjekty.</w:t>
      </w:r>
    </w:p>
    <w:p w:rsidR="00D644B0" w:rsidRDefault="00D644B0">
      <w:pPr>
        <w:rPr>
          <w:sz w:val="22"/>
          <w:szCs w:val="22"/>
        </w:rPr>
        <w:sectPr w:rsidR="00D644B0" w:rsidSect="00356E21">
          <w:pgSz w:w="11907" w:h="16840" w:code="9"/>
          <w:pgMar w:top="1418" w:right="1418" w:bottom="1418" w:left="1418" w:header="708" w:footer="708" w:gutter="0"/>
          <w:cols w:space="708"/>
          <w:docGrid w:linePitch="360"/>
        </w:sectPr>
      </w:pPr>
    </w:p>
    <w:p w:rsidR="00D644B0" w:rsidRPr="00743739" w:rsidRDefault="00D644B0">
      <w:pPr>
        <w:pStyle w:val="Nadpis3"/>
        <w:rPr>
          <w:rFonts w:ascii="Times New Roman" w:hAnsi="Times New Roman"/>
          <w:sz w:val="24"/>
          <w:szCs w:val="24"/>
        </w:rPr>
      </w:pPr>
      <w:bookmarkStart w:id="141" w:name="_Toc433873518"/>
      <w:r w:rsidRPr="00B7725D">
        <w:rPr>
          <w:rFonts w:ascii="Times New Roman" w:hAnsi="Times New Roman"/>
          <w:sz w:val="24"/>
          <w:szCs w:val="24"/>
        </w:rPr>
        <w:lastRenderedPageBreak/>
        <w:t>3.6.2 Pokrok v realizaci prioritních os/oblastí intervence</w:t>
      </w:r>
      <w:bookmarkEnd w:id="141"/>
      <w:r w:rsidRPr="00743739">
        <w:rPr>
          <w:rFonts w:ascii="Times New Roman" w:hAnsi="Times New Roman"/>
          <w:sz w:val="24"/>
          <w:szCs w:val="24"/>
        </w:rPr>
        <w:t xml:space="preserve"> </w:t>
      </w:r>
    </w:p>
    <w:p w:rsidR="002F21CD" w:rsidRDefault="00AF73E2" w:rsidP="002E5B61">
      <w:pPr>
        <w:rPr>
          <w:rFonts w:eastAsia="Calibri"/>
          <w:sz w:val="22"/>
          <w:szCs w:val="22"/>
          <w:lang w:eastAsia="en-US"/>
        </w:rPr>
      </w:pPr>
      <w:r w:rsidRPr="00AC0407">
        <w:rPr>
          <w:b/>
          <w:sz w:val="22"/>
          <w:szCs w:val="22"/>
        </w:rPr>
        <w:t>V oblastech intervence 6.1a a 6.1b</w:t>
      </w:r>
      <w:r w:rsidR="00EF3758" w:rsidRPr="00AC0407">
        <w:rPr>
          <w:sz w:val="22"/>
          <w:szCs w:val="22"/>
        </w:rPr>
        <w:t xml:space="preserve"> </w:t>
      </w:r>
      <w:r w:rsidR="003C377F" w:rsidRPr="00AC0407">
        <w:rPr>
          <w:sz w:val="22"/>
          <w:szCs w:val="22"/>
        </w:rPr>
        <w:t xml:space="preserve"> </w:t>
      </w:r>
      <w:r w:rsidR="002F21CD" w:rsidRPr="00C06CE3">
        <w:rPr>
          <w:rFonts w:eastAsia="Calibri"/>
          <w:sz w:val="22"/>
          <w:szCs w:val="22"/>
          <w:lang w:eastAsia="en-US"/>
        </w:rPr>
        <w:t xml:space="preserve">byly ve sledovaném období podány 2 nové žádosti o dotaci s požadovanou dotací ve výši </w:t>
      </w:r>
      <w:r w:rsidR="002F21CD">
        <w:rPr>
          <w:rFonts w:eastAsia="Calibri"/>
          <w:sz w:val="22"/>
          <w:szCs w:val="22"/>
          <w:lang w:eastAsia="en-US"/>
        </w:rPr>
        <w:t>2,1</w:t>
      </w:r>
      <w:r w:rsidR="00D63C2E">
        <w:rPr>
          <w:rFonts w:eastAsia="Calibri"/>
          <w:sz w:val="22"/>
          <w:szCs w:val="22"/>
          <w:lang w:eastAsia="en-US"/>
        </w:rPr>
        <w:t>9</w:t>
      </w:r>
      <w:r w:rsidR="002F21CD">
        <w:rPr>
          <w:rFonts w:eastAsia="Calibri"/>
          <w:sz w:val="22"/>
          <w:szCs w:val="22"/>
          <w:lang w:eastAsia="en-US"/>
        </w:rPr>
        <w:t xml:space="preserve"> </w:t>
      </w:r>
      <w:r w:rsidR="002F21CD" w:rsidRPr="00C06CE3">
        <w:rPr>
          <w:rFonts w:eastAsia="Calibri"/>
          <w:sz w:val="22"/>
          <w:szCs w:val="22"/>
          <w:lang w:eastAsia="en-US"/>
        </w:rPr>
        <w:t>mil. EUR. Schváleno bylo 50 projektů za 31,71 mil. EUR. Proplaceno bylo 23,96 mil. EUR, což činí 85,92 % alokace této oblast</w:t>
      </w:r>
      <w:r w:rsidR="002F21CD">
        <w:rPr>
          <w:rFonts w:eastAsia="Calibri"/>
          <w:sz w:val="22"/>
          <w:szCs w:val="22"/>
          <w:lang w:eastAsia="en-US"/>
        </w:rPr>
        <w:t>i intervence. Certifikováno k 1. 10. 2015</w:t>
      </w:r>
      <w:r w:rsidR="002F21CD" w:rsidRPr="00C06CE3">
        <w:rPr>
          <w:rFonts w:eastAsia="Calibri"/>
          <w:sz w:val="22"/>
          <w:szCs w:val="22"/>
          <w:lang w:eastAsia="en-US"/>
        </w:rPr>
        <w:t xml:space="preserve"> bylo </w:t>
      </w:r>
      <w:r w:rsidR="002F21CD">
        <w:rPr>
          <w:rFonts w:eastAsia="Calibri"/>
          <w:sz w:val="22"/>
          <w:szCs w:val="22"/>
          <w:lang w:eastAsia="en-US"/>
        </w:rPr>
        <w:t>21,75</w:t>
      </w:r>
      <w:r w:rsidR="002F21CD" w:rsidRPr="00C06CE3">
        <w:rPr>
          <w:rFonts w:eastAsia="Calibri"/>
          <w:sz w:val="22"/>
          <w:szCs w:val="22"/>
          <w:lang w:eastAsia="en-US"/>
        </w:rPr>
        <w:t xml:space="preserve"> mil. EUR, což představuje </w:t>
      </w:r>
      <w:r w:rsidR="002F21CD">
        <w:rPr>
          <w:rFonts w:eastAsia="Calibri"/>
          <w:sz w:val="22"/>
          <w:szCs w:val="22"/>
          <w:lang w:eastAsia="en-US"/>
        </w:rPr>
        <w:t>78,02</w:t>
      </w:r>
      <w:r w:rsidR="002F21CD" w:rsidRPr="00C06CE3">
        <w:rPr>
          <w:rFonts w:eastAsia="Calibri"/>
          <w:sz w:val="22"/>
          <w:szCs w:val="22"/>
          <w:lang w:eastAsia="en-US"/>
        </w:rPr>
        <w:t xml:space="preserve"> % alokace.</w:t>
      </w:r>
    </w:p>
    <w:p w:rsidR="002E5B61" w:rsidRPr="00C06CE3" w:rsidRDefault="002E5B61" w:rsidP="002E5B61">
      <w:pPr>
        <w:rPr>
          <w:rFonts w:eastAsia="Calibri"/>
          <w:sz w:val="22"/>
          <w:szCs w:val="22"/>
          <w:lang w:eastAsia="en-US"/>
        </w:rPr>
      </w:pPr>
    </w:p>
    <w:p w:rsidR="00060281" w:rsidRDefault="007A7AED" w:rsidP="006E4E35">
      <w:pPr>
        <w:pStyle w:val="Tabulkanzev"/>
        <w:rPr>
          <w:sz w:val="22"/>
          <w:szCs w:val="22"/>
        </w:rPr>
      </w:pPr>
      <w:bookmarkStart w:id="142" w:name="_Toc433873572"/>
      <w:r w:rsidRPr="00396EB2">
        <w:rPr>
          <w:rStyle w:val="Siln"/>
        </w:rPr>
        <w:t>Kumulativní pokrok na úrovni oblastí intervence 6.1a a 6.1b (v mil. CZK/EUR)</w:t>
      </w:r>
      <w:r w:rsidRPr="00002FBD">
        <w:rPr>
          <w:rStyle w:val="Znakapoznpodarou"/>
          <w:sz w:val="22"/>
          <w:szCs w:val="22"/>
        </w:rPr>
        <w:t xml:space="preserve"> </w:t>
      </w:r>
      <w:r w:rsidRPr="000C6976">
        <w:rPr>
          <w:rStyle w:val="Znakapoznpodarou"/>
          <w:sz w:val="22"/>
          <w:szCs w:val="22"/>
        </w:rPr>
        <w:footnoteReference w:id="5"/>
      </w:r>
      <w:bookmarkEnd w:id="142"/>
    </w:p>
    <w:tbl>
      <w:tblPr>
        <w:tblW w:w="5000" w:type="pct"/>
        <w:tblCellMar>
          <w:left w:w="70" w:type="dxa"/>
          <w:right w:w="70" w:type="dxa"/>
        </w:tblCellMar>
        <w:tblLook w:val="04A0" w:firstRow="1" w:lastRow="0" w:firstColumn="1" w:lastColumn="0" w:noHBand="0" w:noVBand="1"/>
      </w:tblPr>
      <w:tblGrid>
        <w:gridCol w:w="718"/>
        <w:gridCol w:w="944"/>
        <w:gridCol w:w="679"/>
        <w:gridCol w:w="679"/>
        <w:gridCol w:w="515"/>
        <w:gridCol w:w="755"/>
        <w:gridCol w:w="583"/>
        <w:gridCol w:w="659"/>
        <w:gridCol w:w="515"/>
        <w:gridCol w:w="735"/>
        <w:gridCol w:w="603"/>
        <w:gridCol w:w="603"/>
        <w:gridCol w:w="735"/>
        <w:gridCol w:w="642"/>
        <w:gridCol w:w="716"/>
        <w:gridCol w:w="812"/>
        <w:gridCol w:w="603"/>
        <w:gridCol w:w="716"/>
        <w:gridCol w:w="772"/>
        <w:gridCol w:w="583"/>
        <w:gridCol w:w="577"/>
      </w:tblGrid>
      <w:tr w:rsidR="00E51D83" w:rsidRPr="00E51D83" w:rsidTr="00264EC4">
        <w:trPr>
          <w:trHeight w:val="630"/>
        </w:trPr>
        <w:tc>
          <w:tcPr>
            <w:tcW w:w="254" w:type="pct"/>
            <w:vMerge w:val="restart"/>
            <w:tcBorders>
              <w:top w:val="single" w:sz="4" w:space="0" w:color="1F497D"/>
              <w:left w:val="single" w:sz="4" w:space="0" w:color="1F497D"/>
              <w:bottom w:val="single" w:sz="4" w:space="0" w:color="1F497D"/>
              <w:right w:val="single" w:sz="4" w:space="0" w:color="1F497D"/>
            </w:tcBorders>
            <w:shd w:val="clear" w:color="000000" w:fill="DCE6F1"/>
            <w:vAlign w:val="center"/>
            <w:hideMark/>
          </w:tcPr>
          <w:p w:rsidR="00E51D83" w:rsidRPr="00E51D83" w:rsidRDefault="00E51D83" w:rsidP="00E51D83">
            <w:pPr>
              <w:jc w:val="center"/>
              <w:rPr>
                <w:b/>
                <w:bCs/>
                <w:color w:val="000000"/>
                <w:sz w:val="16"/>
                <w:szCs w:val="16"/>
              </w:rPr>
            </w:pPr>
            <w:r w:rsidRPr="00E51D83">
              <w:rPr>
                <w:b/>
                <w:bCs/>
                <w:color w:val="000000"/>
                <w:sz w:val="16"/>
                <w:szCs w:val="16"/>
              </w:rPr>
              <w:t>Oblast podpory</w:t>
            </w:r>
          </w:p>
        </w:tc>
        <w:tc>
          <w:tcPr>
            <w:tcW w:w="334" w:type="pct"/>
            <w:tcBorders>
              <w:top w:val="single" w:sz="4" w:space="0" w:color="1F497D"/>
              <w:left w:val="nil"/>
              <w:bottom w:val="single" w:sz="4" w:space="0" w:color="1F497D"/>
              <w:right w:val="single" w:sz="4" w:space="0" w:color="1F497D"/>
            </w:tcBorders>
            <w:shd w:val="clear" w:color="000000" w:fill="DCE6F1"/>
            <w:vAlign w:val="center"/>
            <w:hideMark/>
          </w:tcPr>
          <w:p w:rsidR="00E51D83" w:rsidRPr="00E51D83" w:rsidRDefault="00E51D83" w:rsidP="00E51D83">
            <w:pPr>
              <w:jc w:val="center"/>
              <w:rPr>
                <w:b/>
                <w:bCs/>
                <w:color w:val="000000"/>
                <w:sz w:val="16"/>
                <w:szCs w:val="16"/>
              </w:rPr>
            </w:pPr>
            <w:r w:rsidRPr="00E51D83">
              <w:rPr>
                <w:b/>
                <w:bCs/>
                <w:color w:val="000000"/>
                <w:sz w:val="16"/>
                <w:szCs w:val="16"/>
              </w:rPr>
              <w:t>Datum snímku</w:t>
            </w:r>
          </w:p>
        </w:tc>
        <w:tc>
          <w:tcPr>
            <w:tcW w:w="479" w:type="pct"/>
            <w:gridSpan w:val="2"/>
            <w:tcBorders>
              <w:top w:val="single" w:sz="4" w:space="0" w:color="1F497D"/>
              <w:left w:val="nil"/>
              <w:bottom w:val="single" w:sz="4" w:space="0" w:color="1F497D"/>
              <w:right w:val="single" w:sz="4" w:space="0" w:color="1F497D"/>
            </w:tcBorders>
            <w:shd w:val="clear" w:color="000000" w:fill="DCE6F1"/>
            <w:vAlign w:val="center"/>
            <w:hideMark/>
          </w:tcPr>
          <w:p w:rsidR="00E51D83" w:rsidRPr="00E51D83" w:rsidRDefault="00E51D83" w:rsidP="00E51D83">
            <w:pPr>
              <w:jc w:val="center"/>
              <w:rPr>
                <w:b/>
                <w:bCs/>
                <w:color w:val="000000"/>
                <w:sz w:val="16"/>
                <w:szCs w:val="16"/>
              </w:rPr>
            </w:pPr>
            <w:r w:rsidRPr="00E51D83">
              <w:rPr>
                <w:b/>
                <w:bCs/>
                <w:color w:val="000000"/>
                <w:sz w:val="16"/>
                <w:szCs w:val="16"/>
              </w:rPr>
              <w:t>Celková alokace podpory 2007-2013</w:t>
            </w:r>
          </w:p>
        </w:tc>
        <w:tc>
          <w:tcPr>
            <w:tcW w:w="887" w:type="pct"/>
            <w:gridSpan w:val="4"/>
            <w:tcBorders>
              <w:top w:val="single" w:sz="4" w:space="0" w:color="1F497D"/>
              <w:left w:val="nil"/>
              <w:bottom w:val="single" w:sz="4" w:space="0" w:color="1F497D"/>
              <w:right w:val="single" w:sz="4" w:space="0" w:color="1F497D"/>
            </w:tcBorders>
            <w:shd w:val="clear" w:color="000000" w:fill="DCE6F1"/>
            <w:vAlign w:val="center"/>
            <w:hideMark/>
          </w:tcPr>
          <w:p w:rsidR="00E51D83" w:rsidRPr="00E51D83" w:rsidRDefault="00E51D83" w:rsidP="00E51D83">
            <w:pPr>
              <w:jc w:val="center"/>
              <w:rPr>
                <w:b/>
                <w:bCs/>
                <w:color w:val="000000"/>
                <w:sz w:val="16"/>
                <w:szCs w:val="16"/>
              </w:rPr>
            </w:pPr>
            <w:r w:rsidRPr="00E51D83">
              <w:rPr>
                <w:b/>
                <w:bCs/>
                <w:color w:val="000000"/>
                <w:sz w:val="16"/>
                <w:szCs w:val="16"/>
              </w:rPr>
              <w:t>Podané žádosti</w:t>
            </w:r>
          </w:p>
        </w:tc>
        <w:tc>
          <w:tcPr>
            <w:tcW w:w="867" w:type="pct"/>
            <w:gridSpan w:val="4"/>
            <w:tcBorders>
              <w:top w:val="single" w:sz="4" w:space="0" w:color="1F497D"/>
              <w:left w:val="nil"/>
              <w:bottom w:val="single" w:sz="4" w:space="0" w:color="1F497D"/>
              <w:right w:val="single" w:sz="4" w:space="0" w:color="1F497D"/>
            </w:tcBorders>
            <w:shd w:val="clear" w:color="000000" w:fill="DCE6F1"/>
            <w:vAlign w:val="center"/>
            <w:hideMark/>
          </w:tcPr>
          <w:p w:rsidR="00E51D83" w:rsidRPr="00E51D83" w:rsidRDefault="00E51D83" w:rsidP="00E51D83">
            <w:pPr>
              <w:jc w:val="center"/>
              <w:rPr>
                <w:b/>
                <w:bCs/>
                <w:color w:val="000000"/>
                <w:sz w:val="16"/>
                <w:szCs w:val="16"/>
              </w:rPr>
            </w:pPr>
            <w:r w:rsidRPr="00E51D83">
              <w:rPr>
                <w:b/>
                <w:bCs/>
                <w:color w:val="000000"/>
                <w:sz w:val="16"/>
                <w:szCs w:val="16"/>
              </w:rPr>
              <w:t>Prostředky kryté Rozhodnutím / Smlouvou (dodatkem)</w:t>
            </w:r>
          </w:p>
        </w:tc>
        <w:tc>
          <w:tcPr>
            <w:tcW w:w="740" w:type="pct"/>
            <w:gridSpan w:val="3"/>
            <w:tcBorders>
              <w:top w:val="single" w:sz="4" w:space="0" w:color="1F497D"/>
              <w:left w:val="nil"/>
              <w:bottom w:val="single" w:sz="4" w:space="0" w:color="1F497D"/>
              <w:right w:val="single" w:sz="4" w:space="0" w:color="1F497D"/>
            </w:tcBorders>
            <w:shd w:val="clear" w:color="000000" w:fill="DCE6F1"/>
            <w:vAlign w:val="center"/>
            <w:hideMark/>
          </w:tcPr>
          <w:p w:rsidR="00E51D83" w:rsidRPr="00E51D83" w:rsidRDefault="00E51D83" w:rsidP="00E51D83">
            <w:pPr>
              <w:jc w:val="center"/>
              <w:rPr>
                <w:b/>
                <w:bCs/>
                <w:color w:val="000000"/>
                <w:sz w:val="16"/>
                <w:szCs w:val="16"/>
              </w:rPr>
            </w:pPr>
            <w:r w:rsidRPr="00E51D83">
              <w:rPr>
                <w:b/>
                <w:bCs/>
                <w:color w:val="000000"/>
                <w:sz w:val="16"/>
                <w:szCs w:val="16"/>
              </w:rPr>
              <w:t>Proplacené prostředky příjemcům (vyúčtované prostředky)</w:t>
            </w:r>
          </w:p>
        </w:tc>
        <w:tc>
          <w:tcPr>
            <w:tcW w:w="753" w:type="pct"/>
            <w:gridSpan w:val="3"/>
            <w:tcBorders>
              <w:top w:val="single" w:sz="4" w:space="0" w:color="1F497D"/>
              <w:left w:val="nil"/>
              <w:bottom w:val="single" w:sz="4" w:space="0" w:color="1F497D"/>
              <w:right w:val="single" w:sz="4" w:space="0" w:color="1F497D"/>
            </w:tcBorders>
            <w:shd w:val="clear" w:color="000000" w:fill="DCE6F1"/>
            <w:vAlign w:val="center"/>
            <w:hideMark/>
          </w:tcPr>
          <w:p w:rsidR="00E51D83" w:rsidRPr="00E51D83" w:rsidRDefault="00E51D83" w:rsidP="00E51D83">
            <w:pPr>
              <w:jc w:val="center"/>
              <w:rPr>
                <w:b/>
                <w:bCs/>
                <w:color w:val="000000"/>
                <w:sz w:val="16"/>
                <w:szCs w:val="16"/>
              </w:rPr>
            </w:pPr>
            <w:r w:rsidRPr="00E51D83">
              <w:rPr>
                <w:b/>
                <w:bCs/>
                <w:color w:val="000000"/>
                <w:sz w:val="16"/>
                <w:szCs w:val="16"/>
              </w:rPr>
              <w:t>Souhrnné žádosti zaúčtované PCO</w:t>
            </w:r>
          </w:p>
        </w:tc>
        <w:tc>
          <w:tcPr>
            <w:tcW w:w="686" w:type="pct"/>
            <w:gridSpan w:val="3"/>
            <w:tcBorders>
              <w:top w:val="single" w:sz="4" w:space="0" w:color="1F497D"/>
              <w:left w:val="nil"/>
              <w:bottom w:val="single" w:sz="4" w:space="0" w:color="1F497D"/>
              <w:right w:val="single" w:sz="4" w:space="0" w:color="1F497D"/>
            </w:tcBorders>
            <w:shd w:val="clear" w:color="000000" w:fill="DCE6F1"/>
            <w:vAlign w:val="center"/>
            <w:hideMark/>
          </w:tcPr>
          <w:p w:rsidR="00E51D83" w:rsidRPr="00E51D83" w:rsidRDefault="00E51D83" w:rsidP="00E51D83">
            <w:pPr>
              <w:jc w:val="center"/>
              <w:rPr>
                <w:b/>
                <w:bCs/>
                <w:color w:val="000000"/>
                <w:sz w:val="16"/>
                <w:szCs w:val="16"/>
              </w:rPr>
            </w:pPr>
            <w:r w:rsidRPr="00E51D83">
              <w:rPr>
                <w:b/>
                <w:bCs/>
                <w:color w:val="000000"/>
                <w:sz w:val="16"/>
                <w:szCs w:val="16"/>
              </w:rPr>
              <w:t>Certifikované prostředky (včetně vratek)</w:t>
            </w:r>
          </w:p>
        </w:tc>
      </w:tr>
      <w:tr w:rsidR="00E51D83" w:rsidRPr="00E51D83" w:rsidTr="00264EC4">
        <w:trPr>
          <w:trHeight w:val="465"/>
        </w:trPr>
        <w:tc>
          <w:tcPr>
            <w:tcW w:w="254" w:type="pct"/>
            <w:vMerge/>
            <w:tcBorders>
              <w:top w:val="single" w:sz="4" w:space="0" w:color="1F497D"/>
              <w:left w:val="single" w:sz="4" w:space="0" w:color="1F497D"/>
              <w:bottom w:val="single" w:sz="4" w:space="0" w:color="1F497D"/>
              <w:right w:val="single" w:sz="4" w:space="0" w:color="1F497D"/>
            </w:tcBorders>
            <w:vAlign w:val="center"/>
            <w:hideMark/>
          </w:tcPr>
          <w:p w:rsidR="00E51D83" w:rsidRPr="00E51D83" w:rsidRDefault="00E51D83" w:rsidP="00E51D83">
            <w:pPr>
              <w:rPr>
                <w:b/>
                <w:bCs/>
                <w:color w:val="000000"/>
                <w:sz w:val="16"/>
                <w:szCs w:val="16"/>
              </w:rPr>
            </w:pPr>
          </w:p>
        </w:tc>
        <w:tc>
          <w:tcPr>
            <w:tcW w:w="334" w:type="pct"/>
            <w:vMerge w:val="restart"/>
            <w:tcBorders>
              <w:top w:val="nil"/>
              <w:left w:val="single" w:sz="4" w:space="0" w:color="1F497D"/>
              <w:bottom w:val="single" w:sz="4" w:space="0" w:color="1F497D"/>
              <w:right w:val="single" w:sz="4" w:space="0" w:color="1F497D"/>
            </w:tcBorders>
            <w:shd w:val="clear" w:color="000000" w:fill="DCE6F1"/>
            <w:vAlign w:val="center"/>
            <w:hideMark/>
          </w:tcPr>
          <w:p w:rsidR="00E51D83" w:rsidRPr="00E51D83" w:rsidRDefault="00E51D83" w:rsidP="00E51D83">
            <w:pPr>
              <w:jc w:val="center"/>
              <w:rPr>
                <w:b/>
                <w:bCs/>
                <w:color w:val="000000"/>
                <w:sz w:val="16"/>
                <w:szCs w:val="16"/>
              </w:rPr>
            </w:pPr>
            <w:r w:rsidRPr="00E51D83">
              <w:rPr>
                <w:b/>
                <w:bCs/>
                <w:color w:val="000000"/>
                <w:sz w:val="16"/>
                <w:szCs w:val="16"/>
              </w:rPr>
              <w:t>Den</w:t>
            </w:r>
          </w:p>
        </w:tc>
        <w:tc>
          <w:tcPr>
            <w:tcW w:w="240" w:type="pct"/>
            <w:tcBorders>
              <w:top w:val="nil"/>
              <w:left w:val="nil"/>
              <w:bottom w:val="single" w:sz="4" w:space="0" w:color="1F497D"/>
              <w:right w:val="single" w:sz="4" w:space="0" w:color="1F497D"/>
            </w:tcBorders>
            <w:shd w:val="clear" w:color="000000" w:fill="DCE6F1"/>
            <w:vAlign w:val="center"/>
            <w:hideMark/>
          </w:tcPr>
          <w:p w:rsidR="00E51D83" w:rsidRPr="00E51D83" w:rsidRDefault="00E51D83" w:rsidP="00E51D83">
            <w:pPr>
              <w:jc w:val="center"/>
              <w:rPr>
                <w:b/>
                <w:bCs/>
                <w:color w:val="000000"/>
                <w:sz w:val="16"/>
                <w:szCs w:val="16"/>
              </w:rPr>
            </w:pPr>
            <w:r w:rsidRPr="00E51D83">
              <w:rPr>
                <w:b/>
                <w:bCs/>
                <w:color w:val="000000"/>
                <w:sz w:val="16"/>
                <w:szCs w:val="16"/>
              </w:rPr>
              <w:t>mil. CZK</w:t>
            </w:r>
          </w:p>
        </w:tc>
        <w:tc>
          <w:tcPr>
            <w:tcW w:w="240" w:type="pct"/>
            <w:vMerge w:val="restart"/>
            <w:tcBorders>
              <w:top w:val="nil"/>
              <w:left w:val="single" w:sz="4" w:space="0" w:color="1F497D"/>
              <w:bottom w:val="single" w:sz="4" w:space="0" w:color="1F497D"/>
              <w:right w:val="single" w:sz="4" w:space="0" w:color="1F497D"/>
            </w:tcBorders>
            <w:shd w:val="clear" w:color="000000" w:fill="DCE6F1"/>
            <w:vAlign w:val="center"/>
            <w:hideMark/>
          </w:tcPr>
          <w:p w:rsidR="00E51D83" w:rsidRPr="00E51D83" w:rsidRDefault="00E51D83" w:rsidP="00E51D83">
            <w:pPr>
              <w:jc w:val="center"/>
              <w:rPr>
                <w:b/>
                <w:bCs/>
                <w:color w:val="000000"/>
                <w:sz w:val="16"/>
                <w:szCs w:val="16"/>
              </w:rPr>
            </w:pPr>
            <w:r w:rsidRPr="00E51D83">
              <w:rPr>
                <w:b/>
                <w:bCs/>
                <w:color w:val="000000"/>
                <w:sz w:val="16"/>
                <w:szCs w:val="16"/>
              </w:rPr>
              <w:t>mil. EUR</w:t>
            </w:r>
          </w:p>
        </w:tc>
        <w:tc>
          <w:tcPr>
            <w:tcW w:w="182" w:type="pct"/>
            <w:tcBorders>
              <w:top w:val="nil"/>
              <w:left w:val="nil"/>
              <w:bottom w:val="single" w:sz="4" w:space="0" w:color="1F497D"/>
              <w:right w:val="single" w:sz="4" w:space="0" w:color="1F497D"/>
            </w:tcBorders>
            <w:shd w:val="clear" w:color="000000" w:fill="DCE6F1"/>
            <w:vAlign w:val="center"/>
            <w:hideMark/>
          </w:tcPr>
          <w:p w:rsidR="00E51D83" w:rsidRPr="00E51D83" w:rsidRDefault="00E51D83" w:rsidP="00E51D83">
            <w:pPr>
              <w:jc w:val="center"/>
              <w:rPr>
                <w:b/>
                <w:bCs/>
                <w:color w:val="000000"/>
                <w:sz w:val="16"/>
                <w:szCs w:val="16"/>
              </w:rPr>
            </w:pPr>
            <w:r w:rsidRPr="00E51D83">
              <w:rPr>
                <w:b/>
                <w:bCs/>
                <w:color w:val="000000"/>
                <w:sz w:val="16"/>
                <w:szCs w:val="16"/>
              </w:rPr>
              <w:t>Počet</w:t>
            </w:r>
          </w:p>
        </w:tc>
        <w:tc>
          <w:tcPr>
            <w:tcW w:w="267" w:type="pct"/>
            <w:tcBorders>
              <w:top w:val="nil"/>
              <w:left w:val="nil"/>
              <w:bottom w:val="single" w:sz="4" w:space="0" w:color="1F497D"/>
              <w:right w:val="single" w:sz="4" w:space="0" w:color="1F497D"/>
            </w:tcBorders>
            <w:shd w:val="clear" w:color="000000" w:fill="DCE6F1"/>
            <w:vAlign w:val="center"/>
            <w:hideMark/>
          </w:tcPr>
          <w:p w:rsidR="00E51D83" w:rsidRPr="00E51D83" w:rsidRDefault="00E51D83" w:rsidP="00E51D83">
            <w:pPr>
              <w:jc w:val="center"/>
              <w:rPr>
                <w:b/>
                <w:bCs/>
                <w:color w:val="000000"/>
                <w:sz w:val="16"/>
                <w:szCs w:val="16"/>
              </w:rPr>
            </w:pPr>
            <w:r w:rsidRPr="00E51D83">
              <w:rPr>
                <w:b/>
                <w:bCs/>
                <w:color w:val="000000"/>
                <w:sz w:val="16"/>
                <w:szCs w:val="16"/>
              </w:rPr>
              <w:t>mil. CZK</w:t>
            </w:r>
          </w:p>
        </w:tc>
        <w:tc>
          <w:tcPr>
            <w:tcW w:w="206" w:type="pct"/>
            <w:tcBorders>
              <w:top w:val="nil"/>
              <w:left w:val="nil"/>
              <w:bottom w:val="single" w:sz="4" w:space="0" w:color="1F497D"/>
              <w:right w:val="single" w:sz="4" w:space="0" w:color="1F497D"/>
            </w:tcBorders>
            <w:shd w:val="clear" w:color="000000" w:fill="DCE6F1"/>
            <w:vAlign w:val="center"/>
            <w:hideMark/>
          </w:tcPr>
          <w:p w:rsidR="00E51D83" w:rsidRPr="00E51D83" w:rsidRDefault="00E51D83" w:rsidP="00E51D83">
            <w:pPr>
              <w:jc w:val="center"/>
              <w:rPr>
                <w:b/>
                <w:bCs/>
                <w:color w:val="000000"/>
                <w:sz w:val="16"/>
                <w:szCs w:val="16"/>
              </w:rPr>
            </w:pPr>
            <w:r w:rsidRPr="00E51D83">
              <w:rPr>
                <w:b/>
                <w:bCs/>
                <w:color w:val="000000"/>
                <w:sz w:val="16"/>
                <w:szCs w:val="16"/>
              </w:rPr>
              <w:t>%</w:t>
            </w:r>
          </w:p>
        </w:tc>
        <w:tc>
          <w:tcPr>
            <w:tcW w:w="233" w:type="pct"/>
            <w:vMerge w:val="restart"/>
            <w:tcBorders>
              <w:top w:val="nil"/>
              <w:left w:val="single" w:sz="4" w:space="0" w:color="1F497D"/>
              <w:bottom w:val="single" w:sz="4" w:space="0" w:color="1F497D"/>
              <w:right w:val="single" w:sz="4" w:space="0" w:color="1F497D"/>
            </w:tcBorders>
            <w:shd w:val="clear" w:color="000000" w:fill="DCE6F1"/>
            <w:vAlign w:val="center"/>
            <w:hideMark/>
          </w:tcPr>
          <w:p w:rsidR="00E51D83" w:rsidRPr="00E51D83" w:rsidRDefault="00E51D83" w:rsidP="00E51D83">
            <w:pPr>
              <w:jc w:val="center"/>
              <w:rPr>
                <w:b/>
                <w:bCs/>
                <w:color w:val="000000"/>
                <w:sz w:val="16"/>
                <w:szCs w:val="16"/>
              </w:rPr>
            </w:pPr>
            <w:r w:rsidRPr="00E51D83">
              <w:rPr>
                <w:b/>
                <w:bCs/>
                <w:color w:val="000000"/>
                <w:sz w:val="16"/>
                <w:szCs w:val="16"/>
              </w:rPr>
              <w:t>mil. EUR</w:t>
            </w:r>
          </w:p>
        </w:tc>
        <w:tc>
          <w:tcPr>
            <w:tcW w:w="182" w:type="pct"/>
            <w:tcBorders>
              <w:top w:val="nil"/>
              <w:left w:val="nil"/>
              <w:bottom w:val="single" w:sz="4" w:space="0" w:color="1F497D"/>
              <w:right w:val="single" w:sz="4" w:space="0" w:color="1F497D"/>
            </w:tcBorders>
            <w:shd w:val="clear" w:color="000000" w:fill="DCE6F1"/>
            <w:vAlign w:val="center"/>
            <w:hideMark/>
          </w:tcPr>
          <w:p w:rsidR="00E51D83" w:rsidRPr="00E51D83" w:rsidRDefault="00E51D83" w:rsidP="00E51D83">
            <w:pPr>
              <w:jc w:val="center"/>
              <w:rPr>
                <w:b/>
                <w:bCs/>
                <w:color w:val="000000"/>
                <w:sz w:val="16"/>
                <w:szCs w:val="16"/>
              </w:rPr>
            </w:pPr>
            <w:r w:rsidRPr="00E51D83">
              <w:rPr>
                <w:b/>
                <w:bCs/>
                <w:color w:val="000000"/>
                <w:sz w:val="16"/>
                <w:szCs w:val="16"/>
              </w:rPr>
              <w:t>Počet</w:t>
            </w:r>
          </w:p>
        </w:tc>
        <w:tc>
          <w:tcPr>
            <w:tcW w:w="260" w:type="pct"/>
            <w:tcBorders>
              <w:top w:val="nil"/>
              <w:left w:val="nil"/>
              <w:bottom w:val="single" w:sz="4" w:space="0" w:color="1F497D"/>
              <w:right w:val="single" w:sz="4" w:space="0" w:color="1F497D"/>
            </w:tcBorders>
            <w:shd w:val="clear" w:color="000000" w:fill="DCE6F1"/>
            <w:vAlign w:val="center"/>
            <w:hideMark/>
          </w:tcPr>
          <w:p w:rsidR="00E51D83" w:rsidRPr="00E51D83" w:rsidRDefault="00E51D83" w:rsidP="00E51D83">
            <w:pPr>
              <w:jc w:val="center"/>
              <w:rPr>
                <w:b/>
                <w:bCs/>
                <w:color w:val="000000"/>
                <w:sz w:val="16"/>
                <w:szCs w:val="16"/>
              </w:rPr>
            </w:pPr>
            <w:r w:rsidRPr="00E51D83">
              <w:rPr>
                <w:b/>
                <w:bCs/>
                <w:color w:val="000000"/>
                <w:sz w:val="16"/>
                <w:szCs w:val="16"/>
              </w:rPr>
              <w:t>mil. CZK</w:t>
            </w:r>
          </w:p>
        </w:tc>
        <w:tc>
          <w:tcPr>
            <w:tcW w:w="213" w:type="pct"/>
            <w:tcBorders>
              <w:top w:val="nil"/>
              <w:left w:val="nil"/>
              <w:bottom w:val="single" w:sz="4" w:space="0" w:color="1F497D"/>
              <w:right w:val="single" w:sz="4" w:space="0" w:color="1F497D"/>
            </w:tcBorders>
            <w:shd w:val="clear" w:color="000000" w:fill="DCE6F1"/>
            <w:vAlign w:val="center"/>
            <w:hideMark/>
          </w:tcPr>
          <w:p w:rsidR="00E51D83" w:rsidRPr="00E51D83" w:rsidRDefault="00E51D83" w:rsidP="00E51D83">
            <w:pPr>
              <w:jc w:val="center"/>
              <w:rPr>
                <w:b/>
                <w:bCs/>
                <w:color w:val="000000"/>
                <w:sz w:val="16"/>
                <w:szCs w:val="16"/>
              </w:rPr>
            </w:pPr>
            <w:r w:rsidRPr="00E51D83">
              <w:rPr>
                <w:b/>
                <w:bCs/>
                <w:color w:val="000000"/>
                <w:sz w:val="16"/>
                <w:szCs w:val="16"/>
              </w:rPr>
              <w:t>%</w:t>
            </w:r>
          </w:p>
        </w:tc>
        <w:tc>
          <w:tcPr>
            <w:tcW w:w="213" w:type="pct"/>
            <w:vMerge w:val="restart"/>
            <w:tcBorders>
              <w:top w:val="nil"/>
              <w:left w:val="single" w:sz="4" w:space="0" w:color="1F497D"/>
              <w:bottom w:val="single" w:sz="4" w:space="0" w:color="1F497D"/>
              <w:right w:val="single" w:sz="4" w:space="0" w:color="1F497D"/>
            </w:tcBorders>
            <w:shd w:val="clear" w:color="000000" w:fill="DCE6F1"/>
            <w:vAlign w:val="center"/>
            <w:hideMark/>
          </w:tcPr>
          <w:p w:rsidR="00E51D83" w:rsidRPr="00E51D83" w:rsidRDefault="00E51D83" w:rsidP="00E51D83">
            <w:pPr>
              <w:jc w:val="center"/>
              <w:rPr>
                <w:b/>
                <w:bCs/>
                <w:color w:val="000000"/>
                <w:sz w:val="16"/>
                <w:szCs w:val="16"/>
              </w:rPr>
            </w:pPr>
            <w:r w:rsidRPr="00E51D83">
              <w:rPr>
                <w:b/>
                <w:bCs/>
                <w:color w:val="000000"/>
                <w:sz w:val="16"/>
                <w:szCs w:val="16"/>
              </w:rPr>
              <w:t>mil. EUR</w:t>
            </w:r>
          </w:p>
        </w:tc>
        <w:tc>
          <w:tcPr>
            <w:tcW w:w="260" w:type="pct"/>
            <w:tcBorders>
              <w:top w:val="nil"/>
              <w:left w:val="nil"/>
              <w:bottom w:val="single" w:sz="4" w:space="0" w:color="1F497D"/>
              <w:right w:val="single" w:sz="4" w:space="0" w:color="1F497D"/>
            </w:tcBorders>
            <w:shd w:val="clear" w:color="000000" w:fill="DCE6F1"/>
            <w:vAlign w:val="center"/>
            <w:hideMark/>
          </w:tcPr>
          <w:p w:rsidR="00E51D83" w:rsidRPr="00E51D83" w:rsidRDefault="00E51D83" w:rsidP="00E51D83">
            <w:pPr>
              <w:jc w:val="center"/>
              <w:rPr>
                <w:b/>
                <w:bCs/>
                <w:color w:val="000000"/>
                <w:sz w:val="16"/>
                <w:szCs w:val="16"/>
              </w:rPr>
            </w:pPr>
            <w:r w:rsidRPr="00E51D83">
              <w:rPr>
                <w:b/>
                <w:bCs/>
                <w:color w:val="000000"/>
                <w:sz w:val="16"/>
                <w:szCs w:val="16"/>
              </w:rPr>
              <w:t>mil. CZK</w:t>
            </w:r>
          </w:p>
        </w:tc>
        <w:tc>
          <w:tcPr>
            <w:tcW w:w="227" w:type="pct"/>
            <w:tcBorders>
              <w:top w:val="nil"/>
              <w:left w:val="nil"/>
              <w:bottom w:val="single" w:sz="4" w:space="0" w:color="1F497D"/>
              <w:right w:val="single" w:sz="4" w:space="0" w:color="1F497D"/>
            </w:tcBorders>
            <w:shd w:val="clear" w:color="000000" w:fill="DCE6F1"/>
            <w:vAlign w:val="center"/>
            <w:hideMark/>
          </w:tcPr>
          <w:p w:rsidR="00E51D83" w:rsidRPr="00E51D83" w:rsidRDefault="00E51D83" w:rsidP="00E51D83">
            <w:pPr>
              <w:jc w:val="center"/>
              <w:rPr>
                <w:b/>
                <w:bCs/>
                <w:color w:val="000000"/>
                <w:sz w:val="16"/>
                <w:szCs w:val="16"/>
              </w:rPr>
            </w:pPr>
            <w:r w:rsidRPr="00E51D83">
              <w:rPr>
                <w:b/>
                <w:bCs/>
                <w:color w:val="000000"/>
                <w:sz w:val="16"/>
                <w:szCs w:val="16"/>
              </w:rPr>
              <w:t>%</w:t>
            </w:r>
          </w:p>
        </w:tc>
        <w:tc>
          <w:tcPr>
            <w:tcW w:w="253" w:type="pct"/>
            <w:vMerge w:val="restart"/>
            <w:tcBorders>
              <w:top w:val="nil"/>
              <w:left w:val="single" w:sz="4" w:space="0" w:color="1F497D"/>
              <w:bottom w:val="single" w:sz="4" w:space="0" w:color="1F497D"/>
              <w:right w:val="single" w:sz="4" w:space="0" w:color="1F497D"/>
            </w:tcBorders>
            <w:shd w:val="clear" w:color="000000" w:fill="DCE6F1"/>
            <w:vAlign w:val="center"/>
            <w:hideMark/>
          </w:tcPr>
          <w:p w:rsidR="00E51D83" w:rsidRPr="00E51D83" w:rsidRDefault="00E51D83" w:rsidP="00E51D83">
            <w:pPr>
              <w:jc w:val="center"/>
              <w:rPr>
                <w:b/>
                <w:bCs/>
                <w:color w:val="000000"/>
                <w:sz w:val="16"/>
                <w:szCs w:val="16"/>
              </w:rPr>
            </w:pPr>
            <w:r w:rsidRPr="00E51D83">
              <w:rPr>
                <w:b/>
                <w:bCs/>
                <w:color w:val="000000"/>
                <w:sz w:val="16"/>
                <w:szCs w:val="16"/>
              </w:rPr>
              <w:t>mil. EUR</w:t>
            </w:r>
          </w:p>
        </w:tc>
        <w:tc>
          <w:tcPr>
            <w:tcW w:w="287" w:type="pct"/>
            <w:tcBorders>
              <w:top w:val="nil"/>
              <w:left w:val="nil"/>
              <w:bottom w:val="single" w:sz="4" w:space="0" w:color="1F497D"/>
              <w:right w:val="single" w:sz="4" w:space="0" w:color="1F497D"/>
            </w:tcBorders>
            <w:shd w:val="clear" w:color="000000" w:fill="DCE6F1"/>
            <w:vAlign w:val="center"/>
            <w:hideMark/>
          </w:tcPr>
          <w:p w:rsidR="00E51D83" w:rsidRPr="00E51D83" w:rsidRDefault="00E51D83" w:rsidP="00E51D83">
            <w:pPr>
              <w:jc w:val="center"/>
              <w:rPr>
                <w:b/>
                <w:bCs/>
                <w:color w:val="000000"/>
                <w:sz w:val="16"/>
                <w:szCs w:val="16"/>
              </w:rPr>
            </w:pPr>
            <w:r w:rsidRPr="00E51D83">
              <w:rPr>
                <w:b/>
                <w:bCs/>
                <w:color w:val="000000"/>
                <w:sz w:val="16"/>
                <w:szCs w:val="16"/>
              </w:rPr>
              <w:t>mil. CZK</w:t>
            </w:r>
          </w:p>
        </w:tc>
        <w:tc>
          <w:tcPr>
            <w:tcW w:w="213" w:type="pct"/>
            <w:tcBorders>
              <w:top w:val="nil"/>
              <w:left w:val="nil"/>
              <w:bottom w:val="single" w:sz="4" w:space="0" w:color="1F497D"/>
              <w:right w:val="single" w:sz="4" w:space="0" w:color="1F497D"/>
            </w:tcBorders>
            <w:shd w:val="clear" w:color="000000" w:fill="DCE6F1"/>
            <w:vAlign w:val="center"/>
            <w:hideMark/>
          </w:tcPr>
          <w:p w:rsidR="00E51D83" w:rsidRPr="00E51D83" w:rsidRDefault="00E51D83" w:rsidP="00E51D83">
            <w:pPr>
              <w:jc w:val="center"/>
              <w:rPr>
                <w:b/>
                <w:bCs/>
                <w:color w:val="000000"/>
                <w:sz w:val="16"/>
                <w:szCs w:val="16"/>
              </w:rPr>
            </w:pPr>
            <w:r w:rsidRPr="00E51D83">
              <w:rPr>
                <w:b/>
                <w:bCs/>
                <w:color w:val="000000"/>
                <w:sz w:val="16"/>
                <w:szCs w:val="16"/>
              </w:rPr>
              <w:t>%</w:t>
            </w:r>
          </w:p>
        </w:tc>
        <w:tc>
          <w:tcPr>
            <w:tcW w:w="253" w:type="pct"/>
            <w:vMerge w:val="restart"/>
            <w:tcBorders>
              <w:top w:val="nil"/>
              <w:left w:val="single" w:sz="4" w:space="0" w:color="1F497D"/>
              <w:bottom w:val="single" w:sz="4" w:space="0" w:color="1F497D"/>
              <w:right w:val="single" w:sz="4" w:space="0" w:color="1F497D"/>
            </w:tcBorders>
            <w:shd w:val="clear" w:color="000000" w:fill="DCE6F1"/>
            <w:vAlign w:val="center"/>
            <w:hideMark/>
          </w:tcPr>
          <w:p w:rsidR="00E51D83" w:rsidRPr="00E51D83" w:rsidRDefault="00E51D83" w:rsidP="00E51D83">
            <w:pPr>
              <w:jc w:val="center"/>
              <w:rPr>
                <w:b/>
                <w:bCs/>
                <w:color w:val="000000"/>
                <w:sz w:val="16"/>
                <w:szCs w:val="16"/>
              </w:rPr>
            </w:pPr>
            <w:r w:rsidRPr="00E51D83">
              <w:rPr>
                <w:b/>
                <w:bCs/>
                <w:color w:val="000000"/>
                <w:sz w:val="16"/>
                <w:szCs w:val="16"/>
              </w:rPr>
              <w:t>mil. EUR</w:t>
            </w:r>
          </w:p>
        </w:tc>
        <w:tc>
          <w:tcPr>
            <w:tcW w:w="273" w:type="pct"/>
            <w:tcBorders>
              <w:top w:val="nil"/>
              <w:left w:val="nil"/>
              <w:bottom w:val="single" w:sz="4" w:space="0" w:color="1F497D"/>
              <w:right w:val="single" w:sz="4" w:space="0" w:color="1F497D"/>
            </w:tcBorders>
            <w:shd w:val="clear" w:color="000000" w:fill="DCE6F1"/>
            <w:vAlign w:val="center"/>
            <w:hideMark/>
          </w:tcPr>
          <w:p w:rsidR="00E51D83" w:rsidRPr="00E51D83" w:rsidRDefault="00E51D83" w:rsidP="00E51D83">
            <w:pPr>
              <w:jc w:val="center"/>
              <w:rPr>
                <w:b/>
                <w:bCs/>
                <w:color w:val="000000"/>
                <w:sz w:val="16"/>
                <w:szCs w:val="16"/>
              </w:rPr>
            </w:pPr>
            <w:r w:rsidRPr="00E51D83">
              <w:rPr>
                <w:b/>
                <w:bCs/>
                <w:color w:val="000000"/>
                <w:sz w:val="16"/>
                <w:szCs w:val="16"/>
              </w:rPr>
              <w:t>mil. CZK</w:t>
            </w:r>
          </w:p>
        </w:tc>
        <w:tc>
          <w:tcPr>
            <w:tcW w:w="206" w:type="pct"/>
            <w:tcBorders>
              <w:top w:val="nil"/>
              <w:left w:val="nil"/>
              <w:bottom w:val="single" w:sz="4" w:space="0" w:color="1F497D"/>
              <w:right w:val="single" w:sz="4" w:space="0" w:color="1F497D"/>
            </w:tcBorders>
            <w:shd w:val="clear" w:color="000000" w:fill="DCE6F1"/>
            <w:vAlign w:val="center"/>
            <w:hideMark/>
          </w:tcPr>
          <w:p w:rsidR="00E51D83" w:rsidRPr="00E51D83" w:rsidRDefault="00E51D83" w:rsidP="00E51D83">
            <w:pPr>
              <w:jc w:val="center"/>
              <w:rPr>
                <w:b/>
                <w:bCs/>
                <w:color w:val="000000"/>
                <w:sz w:val="16"/>
                <w:szCs w:val="16"/>
              </w:rPr>
            </w:pPr>
            <w:r w:rsidRPr="00E51D83">
              <w:rPr>
                <w:b/>
                <w:bCs/>
                <w:color w:val="000000"/>
                <w:sz w:val="16"/>
                <w:szCs w:val="16"/>
              </w:rPr>
              <w:t>%</w:t>
            </w:r>
          </w:p>
        </w:tc>
        <w:tc>
          <w:tcPr>
            <w:tcW w:w="207" w:type="pct"/>
            <w:vMerge w:val="restart"/>
            <w:tcBorders>
              <w:top w:val="nil"/>
              <w:left w:val="single" w:sz="4" w:space="0" w:color="1F497D"/>
              <w:bottom w:val="single" w:sz="4" w:space="0" w:color="1F497D"/>
              <w:right w:val="single" w:sz="4" w:space="0" w:color="1F497D"/>
            </w:tcBorders>
            <w:shd w:val="clear" w:color="000000" w:fill="DCE6F1"/>
            <w:vAlign w:val="center"/>
            <w:hideMark/>
          </w:tcPr>
          <w:p w:rsidR="00E51D83" w:rsidRPr="00E51D83" w:rsidRDefault="00E51D83" w:rsidP="00E51D83">
            <w:pPr>
              <w:jc w:val="center"/>
              <w:rPr>
                <w:b/>
                <w:bCs/>
                <w:color w:val="000000"/>
                <w:sz w:val="16"/>
                <w:szCs w:val="16"/>
              </w:rPr>
            </w:pPr>
            <w:r w:rsidRPr="00E51D83">
              <w:rPr>
                <w:b/>
                <w:bCs/>
                <w:color w:val="000000"/>
                <w:sz w:val="16"/>
                <w:szCs w:val="16"/>
              </w:rPr>
              <w:t>mil. EUR</w:t>
            </w:r>
          </w:p>
        </w:tc>
      </w:tr>
      <w:tr w:rsidR="00E51D83" w:rsidRPr="00E51D83" w:rsidTr="00264EC4">
        <w:trPr>
          <w:trHeight w:val="240"/>
        </w:trPr>
        <w:tc>
          <w:tcPr>
            <w:tcW w:w="254" w:type="pct"/>
            <w:vMerge/>
            <w:tcBorders>
              <w:top w:val="single" w:sz="4" w:space="0" w:color="1F497D"/>
              <w:left w:val="single" w:sz="4" w:space="0" w:color="1F497D"/>
              <w:bottom w:val="single" w:sz="4" w:space="0" w:color="1F497D"/>
              <w:right w:val="single" w:sz="4" w:space="0" w:color="1F497D"/>
            </w:tcBorders>
            <w:vAlign w:val="center"/>
            <w:hideMark/>
          </w:tcPr>
          <w:p w:rsidR="00E51D83" w:rsidRPr="00E51D83" w:rsidRDefault="00E51D83" w:rsidP="00E51D83">
            <w:pPr>
              <w:rPr>
                <w:b/>
                <w:bCs/>
                <w:color w:val="000000"/>
                <w:sz w:val="16"/>
                <w:szCs w:val="16"/>
              </w:rPr>
            </w:pPr>
          </w:p>
        </w:tc>
        <w:tc>
          <w:tcPr>
            <w:tcW w:w="334" w:type="pct"/>
            <w:vMerge/>
            <w:tcBorders>
              <w:top w:val="nil"/>
              <w:left w:val="single" w:sz="4" w:space="0" w:color="1F497D"/>
              <w:bottom w:val="single" w:sz="4" w:space="0" w:color="1F497D"/>
              <w:right w:val="single" w:sz="4" w:space="0" w:color="1F497D"/>
            </w:tcBorders>
            <w:vAlign w:val="center"/>
            <w:hideMark/>
          </w:tcPr>
          <w:p w:rsidR="00E51D83" w:rsidRPr="00E51D83" w:rsidRDefault="00E51D83" w:rsidP="00E51D83">
            <w:pPr>
              <w:rPr>
                <w:b/>
                <w:bCs/>
                <w:color w:val="000000"/>
                <w:sz w:val="16"/>
                <w:szCs w:val="16"/>
              </w:rPr>
            </w:pPr>
          </w:p>
        </w:tc>
        <w:tc>
          <w:tcPr>
            <w:tcW w:w="240" w:type="pct"/>
            <w:tcBorders>
              <w:top w:val="nil"/>
              <w:left w:val="nil"/>
              <w:bottom w:val="single" w:sz="4" w:space="0" w:color="1F497D"/>
              <w:right w:val="single" w:sz="4" w:space="0" w:color="1F497D"/>
            </w:tcBorders>
            <w:shd w:val="clear" w:color="000000" w:fill="DCE6F1"/>
            <w:vAlign w:val="center"/>
            <w:hideMark/>
          </w:tcPr>
          <w:p w:rsidR="00E51D83" w:rsidRPr="00E51D83" w:rsidRDefault="00E51D83" w:rsidP="00E51D83">
            <w:pPr>
              <w:jc w:val="center"/>
              <w:rPr>
                <w:b/>
                <w:bCs/>
                <w:color w:val="000000"/>
                <w:sz w:val="16"/>
                <w:szCs w:val="16"/>
              </w:rPr>
            </w:pPr>
            <w:r w:rsidRPr="00E51D83">
              <w:rPr>
                <w:b/>
                <w:bCs/>
                <w:color w:val="000000"/>
                <w:sz w:val="16"/>
                <w:szCs w:val="16"/>
              </w:rPr>
              <w:t xml:space="preserve">a </w:t>
            </w:r>
          </w:p>
        </w:tc>
        <w:tc>
          <w:tcPr>
            <w:tcW w:w="240" w:type="pct"/>
            <w:vMerge/>
            <w:tcBorders>
              <w:top w:val="nil"/>
              <w:left w:val="single" w:sz="4" w:space="0" w:color="1F497D"/>
              <w:bottom w:val="single" w:sz="4" w:space="0" w:color="1F497D"/>
              <w:right w:val="single" w:sz="4" w:space="0" w:color="1F497D"/>
            </w:tcBorders>
            <w:vAlign w:val="center"/>
            <w:hideMark/>
          </w:tcPr>
          <w:p w:rsidR="00E51D83" w:rsidRPr="00E51D83" w:rsidRDefault="00E51D83" w:rsidP="00E51D83">
            <w:pPr>
              <w:rPr>
                <w:b/>
                <w:bCs/>
                <w:color w:val="000000"/>
                <w:sz w:val="16"/>
                <w:szCs w:val="16"/>
              </w:rPr>
            </w:pPr>
          </w:p>
        </w:tc>
        <w:tc>
          <w:tcPr>
            <w:tcW w:w="182" w:type="pct"/>
            <w:tcBorders>
              <w:top w:val="nil"/>
              <w:left w:val="nil"/>
              <w:bottom w:val="single" w:sz="4" w:space="0" w:color="1F497D"/>
              <w:right w:val="single" w:sz="4" w:space="0" w:color="1F497D"/>
            </w:tcBorders>
            <w:shd w:val="clear" w:color="000000" w:fill="DCE6F1"/>
            <w:vAlign w:val="center"/>
            <w:hideMark/>
          </w:tcPr>
          <w:p w:rsidR="00E51D83" w:rsidRPr="00E51D83" w:rsidRDefault="00E51D83" w:rsidP="00E51D83">
            <w:pPr>
              <w:jc w:val="center"/>
              <w:rPr>
                <w:b/>
                <w:bCs/>
                <w:color w:val="000000"/>
                <w:sz w:val="16"/>
                <w:szCs w:val="16"/>
              </w:rPr>
            </w:pPr>
            <w:r w:rsidRPr="00E51D83">
              <w:rPr>
                <w:b/>
                <w:bCs/>
                <w:color w:val="000000"/>
                <w:sz w:val="16"/>
                <w:szCs w:val="16"/>
              </w:rPr>
              <w:t>b</w:t>
            </w:r>
          </w:p>
        </w:tc>
        <w:tc>
          <w:tcPr>
            <w:tcW w:w="267" w:type="pct"/>
            <w:tcBorders>
              <w:top w:val="nil"/>
              <w:left w:val="nil"/>
              <w:bottom w:val="single" w:sz="4" w:space="0" w:color="1F497D"/>
              <w:right w:val="single" w:sz="4" w:space="0" w:color="1F497D"/>
            </w:tcBorders>
            <w:shd w:val="clear" w:color="000000" w:fill="DCE6F1"/>
            <w:vAlign w:val="center"/>
            <w:hideMark/>
          </w:tcPr>
          <w:p w:rsidR="00E51D83" w:rsidRPr="00E51D83" w:rsidRDefault="00E51D83" w:rsidP="00E51D83">
            <w:pPr>
              <w:jc w:val="center"/>
              <w:rPr>
                <w:b/>
                <w:bCs/>
                <w:color w:val="000000"/>
                <w:sz w:val="16"/>
                <w:szCs w:val="16"/>
              </w:rPr>
            </w:pPr>
            <w:r w:rsidRPr="00E51D83">
              <w:rPr>
                <w:b/>
                <w:bCs/>
                <w:color w:val="000000"/>
                <w:sz w:val="16"/>
                <w:szCs w:val="16"/>
              </w:rPr>
              <w:t>c</w:t>
            </w:r>
          </w:p>
        </w:tc>
        <w:tc>
          <w:tcPr>
            <w:tcW w:w="206" w:type="pct"/>
            <w:tcBorders>
              <w:top w:val="nil"/>
              <w:left w:val="nil"/>
              <w:bottom w:val="single" w:sz="4" w:space="0" w:color="1F497D"/>
              <w:right w:val="single" w:sz="4" w:space="0" w:color="1F497D"/>
            </w:tcBorders>
            <w:shd w:val="clear" w:color="000000" w:fill="DCE6F1"/>
            <w:vAlign w:val="center"/>
            <w:hideMark/>
          </w:tcPr>
          <w:p w:rsidR="00E51D83" w:rsidRPr="00E51D83" w:rsidRDefault="00E51D83" w:rsidP="00E51D83">
            <w:pPr>
              <w:jc w:val="center"/>
              <w:rPr>
                <w:b/>
                <w:bCs/>
                <w:color w:val="000000"/>
                <w:sz w:val="16"/>
                <w:szCs w:val="16"/>
              </w:rPr>
            </w:pPr>
            <w:r w:rsidRPr="00E51D83">
              <w:rPr>
                <w:b/>
                <w:bCs/>
                <w:color w:val="000000"/>
                <w:sz w:val="16"/>
                <w:szCs w:val="16"/>
              </w:rPr>
              <w:t>c/a</w:t>
            </w:r>
          </w:p>
        </w:tc>
        <w:tc>
          <w:tcPr>
            <w:tcW w:w="233" w:type="pct"/>
            <w:vMerge/>
            <w:tcBorders>
              <w:top w:val="nil"/>
              <w:left w:val="single" w:sz="4" w:space="0" w:color="1F497D"/>
              <w:bottom w:val="single" w:sz="4" w:space="0" w:color="1F497D"/>
              <w:right w:val="single" w:sz="4" w:space="0" w:color="1F497D"/>
            </w:tcBorders>
            <w:vAlign w:val="center"/>
            <w:hideMark/>
          </w:tcPr>
          <w:p w:rsidR="00E51D83" w:rsidRPr="00E51D83" w:rsidRDefault="00E51D83" w:rsidP="00E51D83">
            <w:pPr>
              <w:rPr>
                <w:b/>
                <w:bCs/>
                <w:color w:val="000000"/>
                <w:sz w:val="16"/>
                <w:szCs w:val="16"/>
              </w:rPr>
            </w:pPr>
          </w:p>
        </w:tc>
        <w:tc>
          <w:tcPr>
            <w:tcW w:w="182" w:type="pct"/>
            <w:tcBorders>
              <w:top w:val="nil"/>
              <w:left w:val="nil"/>
              <w:bottom w:val="single" w:sz="4" w:space="0" w:color="1F497D"/>
              <w:right w:val="single" w:sz="4" w:space="0" w:color="1F497D"/>
            </w:tcBorders>
            <w:shd w:val="clear" w:color="000000" w:fill="DCE6F1"/>
            <w:vAlign w:val="center"/>
            <w:hideMark/>
          </w:tcPr>
          <w:p w:rsidR="00E51D83" w:rsidRPr="00E51D83" w:rsidRDefault="00E51D83" w:rsidP="00E51D83">
            <w:pPr>
              <w:jc w:val="center"/>
              <w:rPr>
                <w:b/>
                <w:bCs/>
                <w:color w:val="000000"/>
                <w:sz w:val="16"/>
                <w:szCs w:val="16"/>
              </w:rPr>
            </w:pPr>
            <w:r w:rsidRPr="00E51D83">
              <w:rPr>
                <w:b/>
                <w:bCs/>
                <w:color w:val="000000"/>
                <w:sz w:val="16"/>
                <w:szCs w:val="16"/>
              </w:rPr>
              <w:t>d</w:t>
            </w:r>
          </w:p>
        </w:tc>
        <w:tc>
          <w:tcPr>
            <w:tcW w:w="260" w:type="pct"/>
            <w:tcBorders>
              <w:top w:val="nil"/>
              <w:left w:val="nil"/>
              <w:bottom w:val="single" w:sz="4" w:space="0" w:color="1F497D"/>
              <w:right w:val="single" w:sz="4" w:space="0" w:color="1F497D"/>
            </w:tcBorders>
            <w:shd w:val="clear" w:color="000000" w:fill="DCE6F1"/>
            <w:vAlign w:val="center"/>
            <w:hideMark/>
          </w:tcPr>
          <w:p w:rsidR="00E51D83" w:rsidRPr="00E51D83" w:rsidRDefault="00E51D83" w:rsidP="00E51D83">
            <w:pPr>
              <w:jc w:val="center"/>
              <w:rPr>
                <w:b/>
                <w:bCs/>
                <w:color w:val="000000"/>
                <w:sz w:val="16"/>
                <w:szCs w:val="16"/>
              </w:rPr>
            </w:pPr>
            <w:r w:rsidRPr="00E51D83">
              <w:rPr>
                <w:b/>
                <w:bCs/>
                <w:color w:val="000000"/>
                <w:sz w:val="16"/>
                <w:szCs w:val="16"/>
              </w:rPr>
              <w:t>e</w:t>
            </w:r>
          </w:p>
        </w:tc>
        <w:tc>
          <w:tcPr>
            <w:tcW w:w="213" w:type="pct"/>
            <w:tcBorders>
              <w:top w:val="nil"/>
              <w:left w:val="nil"/>
              <w:bottom w:val="single" w:sz="4" w:space="0" w:color="1F497D"/>
              <w:right w:val="single" w:sz="4" w:space="0" w:color="1F497D"/>
            </w:tcBorders>
            <w:shd w:val="clear" w:color="000000" w:fill="DCE6F1"/>
            <w:vAlign w:val="center"/>
            <w:hideMark/>
          </w:tcPr>
          <w:p w:rsidR="00E51D83" w:rsidRPr="00E51D83" w:rsidRDefault="00E51D83" w:rsidP="00E51D83">
            <w:pPr>
              <w:jc w:val="center"/>
              <w:rPr>
                <w:b/>
                <w:bCs/>
                <w:color w:val="000000"/>
                <w:sz w:val="16"/>
                <w:szCs w:val="16"/>
              </w:rPr>
            </w:pPr>
            <w:r w:rsidRPr="00E51D83">
              <w:rPr>
                <w:b/>
                <w:bCs/>
                <w:color w:val="000000"/>
                <w:sz w:val="16"/>
                <w:szCs w:val="16"/>
              </w:rPr>
              <w:t xml:space="preserve">e/a </w:t>
            </w:r>
          </w:p>
        </w:tc>
        <w:tc>
          <w:tcPr>
            <w:tcW w:w="213" w:type="pct"/>
            <w:vMerge/>
            <w:tcBorders>
              <w:top w:val="nil"/>
              <w:left w:val="single" w:sz="4" w:space="0" w:color="1F497D"/>
              <w:bottom w:val="single" w:sz="4" w:space="0" w:color="1F497D"/>
              <w:right w:val="single" w:sz="4" w:space="0" w:color="1F497D"/>
            </w:tcBorders>
            <w:vAlign w:val="center"/>
            <w:hideMark/>
          </w:tcPr>
          <w:p w:rsidR="00E51D83" w:rsidRPr="00E51D83" w:rsidRDefault="00E51D83" w:rsidP="00E51D83">
            <w:pPr>
              <w:rPr>
                <w:b/>
                <w:bCs/>
                <w:color w:val="000000"/>
                <w:sz w:val="16"/>
                <w:szCs w:val="16"/>
              </w:rPr>
            </w:pPr>
          </w:p>
        </w:tc>
        <w:tc>
          <w:tcPr>
            <w:tcW w:w="260" w:type="pct"/>
            <w:tcBorders>
              <w:top w:val="nil"/>
              <w:left w:val="nil"/>
              <w:bottom w:val="single" w:sz="4" w:space="0" w:color="1F497D"/>
              <w:right w:val="single" w:sz="4" w:space="0" w:color="1F497D"/>
            </w:tcBorders>
            <w:shd w:val="clear" w:color="000000" w:fill="DCE6F1"/>
            <w:vAlign w:val="center"/>
            <w:hideMark/>
          </w:tcPr>
          <w:p w:rsidR="00E51D83" w:rsidRPr="00E51D83" w:rsidRDefault="00E51D83" w:rsidP="00E51D83">
            <w:pPr>
              <w:jc w:val="center"/>
              <w:rPr>
                <w:b/>
                <w:bCs/>
                <w:color w:val="000000"/>
                <w:sz w:val="16"/>
                <w:szCs w:val="16"/>
              </w:rPr>
            </w:pPr>
            <w:r w:rsidRPr="00E51D83">
              <w:rPr>
                <w:b/>
                <w:bCs/>
                <w:color w:val="000000"/>
                <w:sz w:val="16"/>
                <w:szCs w:val="16"/>
              </w:rPr>
              <w:t>f</w:t>
            </w:r>
          </w:p>
        </w:tc>
        <w:tc>
          <w:tcPr>
            <w:tcW w:w="227" w:type="pct"/>
            <w:tcBorders>
              <w:top w:val="nil"/>
              <w:left w:val="nil"/>
              <w:bottom w:val="single" w:sz="4" w:space="0" w:color="1F497D"/>
              <w:right w:val="single" w:sz="4" w:space="0" w:color="1F497D"/>
            </w:tcBorders>
            <w:shd w:val="clear" w:color="000000" w:fill="DCE6F1"/>
            <w:vAlign w:val="center"/>
            <w:hideMark/>
          </w:tcPr>
          <w:p w:rsidR="00E51D83" w:rsidRPr="00E51D83" w:rsidRDefault="00E51D83" w:rsidP="00E51D83">
            <w:pPr>
              <w:jc w:val="center"/>
              <w:rPr>
                <w:b/>
                <w:bCs/>
                <w:color w:val="000000"/>
                <w:sz w:val="16"/>
                <w:szCs w:val="16"/>
              </w:rPr>
            </w:pPr>
            <w:r w:rsidRPr="00E51D83">
              <w:rPr>
                <w:b/>
                <w:bCs/>
                <w:color w:val="000000"/>
                <w:sz w:val="16"/>
                <w:szCs w:val="16"/>
              </w:rPr>
              <w:t xml:space="preserve">f/a </w:t>
            </w:r>
          </w:p>
        </w:tc>
        <w:tc>
          <w:tcPr>
            <w:tcW w:w="253" w:type="pct"/>
            <w:vMerge/>
            <w:tcBorders>
              <w:top w:val="nil"/>
              <w:left w:val="single" w:sz="4" w:space="0" w:color="1F497D"/>
              <w:bottom w:val="single" w:sz="4" w:space="0" w:color="1F497D"/>
              <w:right w:val="single" w:sz="4" w:space="0" w:color="1F497D"/>
            </w:tcBorders>
            <w:vAlign w:val="center"/>
            <w:hideMark/>
          </w:tcPr>
          <w:p w:rsidR="00E51D83" w:rsidRPr="00E51D83" w:rsidRDefault="00E51D83" w:rsidP="00E51D83">
            <w:pPr>
              <w:rPr>
                <w:b/>
                <w:bCs/>
                <w:color w:val="000000"/>
                <w:sz w:val="16"/>
                <w:szCs w:val="16"/>
              </w:rPr>
            </w:pPr>
          </w:p>
        </w:tc>
        <w:tc>
          <w:tcPr>
            <w:tcW w:w="287" w:type="pct"/>
            <w:tcBorders>
              <w:top w:val="nil"/>
              <w:left w:val="nil"/>
              <w:bottom w:val="single" w:sz="4" w:space="0" w:color="1F497D"/>
              <w:right w:val="single" w:sz="4" w:space="0" w:color="1F497D"/>
            </w:tcBorders>
            <w:shd w:val="clear" w:color="000000" w:fill="DCE6F1"/>
            <w:vAlign w:val="center"/>
            <w:hideMark/>
          </w:tcPr>
          <w:p w:rsidR="00E51D83" w:rsidRPr="00E51D83" w:rsidRDefault="00E51D83" w:rsidP="00E51D83">
            <w:pPr>
              <w:jc w:val="center"/>
              <w:rPr>
                <w:b/>
                <w:bCs/>
                <w:color w:val="000000"/>
                <w:sz w:val="16"/>
                <w:szCs w:val="16"/>
              </w:rPr>
            </w:pPr>
            <w:r w:rsidRPr="00E51D83">
              <w:rPr>
                <w:b/>
                <w:bCs/>
                <w:color w:val="000000"/>
                <w:sz w:val="16"/>
                <w:szCs w:val="16"/>
              </w:rPr>
              <w:t>g</w:t>
            </w:r>
          </w:p>
        </w:tc>
        <w:tc>
          <w:tcPr>
            <w:tcW w:w="213" w:type="pct"/>
            <w:tcBorders>
              <w:top w:val="nil"/>
              <w:left w:val="nil"/>
              <w:bottom w:val="single" w:sz="4" w:space="0" w:color="1F497D"/>
              <w:right w:val="single" w:sz="4" w:space="0" w:color="1F497D"/>
            </w:tcBorders>
            <w:shd w:val="clear" w:color="000000" w:fill="DCE6F1"/>
            <w:vAlign w:val="center"/>
            <w:hideMark/>
          </w:tcPr>
          <w:p w:rsidR="00E51D83" w:rsidRPr="00E51D83" w:rsidRDefault="00E51D83" w:rsidP="00E51D83">
            <w:pPr>
              <w:jc w:val="center"/>
              <w:rPr>
                <w:b/>
                <w:bCs/>
                <w:color w:val="000000"/>
                <w:sz w:val="16"/>
                <w:szCs w:val="16"/>
              </w:rPr>
            </w:pPr>
            <w:r w:rsidRPr="00E51D83">
              <w:rPr>
                <w:b/>
                <w:bCs/>
                <w:color w:val="000000"/>
                <w:sz w:val="16"/>
                <w:szCs w:val="16"/>
              </w:rPr>
              <w:t xml:space="preserve">g/a </w:t>
            </w:r>
          </w:p>
        </w:tc>
        <w:tc>
          <w:tcPr>
            <w:tcW w:w="253" w:type="pct"/>
            <w:vMerge/>
            <w:tcBorders>
              <w:top w:val="nil"/>
              <w:left w:val="single" w:sz="4" w:space="0" w:color="1F497D"/>
              <w:bottom w:val="single" w:sz="4" w:space="0" w:color="1F497D"/>
              <w:right w:val="single" w:sz="4" w:space="0" w:color="1F497D"/>
            </w:tcBorders>
            <w:vAlign w:val="center"/>
            <w:hideMark/>
          </w:tcPr>
          <w:p w:rsidR="00E51D83" w:rsidRPr="00E51D83" w:rsidRDefault="00E51D83" w:rsidP="00E51D83">
            <w:pPr>
              <w:rPr>
                <w:b/>
                <w:bCs/>
                <w:color w:val="000000"/>
                <w:sz w:val="16"/>
                <w:szCs w:val="16"/>
              </w:rPr>
            </w:pPr>
          </w:p>
        </w:tc>
        <w:tc>
          <w:tcPr>
            <w:tcW w:w="273" w:type="pct"/>
            <w:tcBorders>
              <w:top w:val="nil"/>
              <w:left w:val="nil"/>
              <w:bottom w:val="single" w:sz="4" w:space="0" w:color="1F497D"/>
              <w:right w:val="single" w:sz="4" w:space="0" w:color="1F497D"/>
            </w:tcBorders>
            <w:shd w:val="clear" w:color="000000" w:fill="DCE6F1"/>
            <w:vAlign w:val="center"/>
            <w:hideMark/>
          </w:tcPr>
          <w:p w:rsidR="00E51D83" w:rsidRPr="00E51D83" w:rsidRDefault="00E51D83" w:rsidP="00E51D83">
            <w:pPr>
              <w:jc w:val="center"/>
              <w:rPr>
                <w:b/>
                <w:bCs/>
                <w:color w:val="000000"/>
                <w:sz w:val="16"/>
                <w:szCs w:val="16"/>
              </w:rPr>
            </w:pPr>
            <w:r w:rsidRPr="00E51D83">
              <w:rPr>
                <w:b/>
                <w:bCs/>
                <w:color w:val="000000"/>
                <w:sz w:val="16"/>
                <w:szCs w:val="16"/>
              </w:rPr>
              <w:t>h</w:t>
            </w:r>
          </w:p>
        </w:tc>
        <w:tc>
          <w:tcPr>
            <w:tcW w:w="206" w:type="pct"/>
            <w:tcBorders>
              <w:top w:val="nil"/>
              <w:left w:val="nil"/>
              <w:bottom w:val="single" w:sz="4" w:space="0" w:color="1F497D"/>
              <w:right w:val="single" w:sz="4" w:space="0" w:color="1F497D"/>
            </w:tcBorders>
            <w:shd w:val="clear" w:color="000000" w:fill="DCE6F1"/>
            <w:vAlign w:val="center"/>
            <w:hideMark/>
          </w:tcPr>
          <w:p w:rsidR="00E51D83" w:rsidRPr="00E51D83" w:rsidRDefault="00E51D83" w:rsidP="00E51D83">
            <w:pPr>
              <w:jc w:val="center"/>
              <w:rPr>
                <w:b/>
                <w:bCs/>
                <w:color w:val="000000"/>
                <w:sz w:val="16"/>
                <w:szCs w:val="16"/>
              </w:rPr>
            </w:pPr>
            <w:r w:rsidRPr="00E51D83">
              <w:rPr>
                <w:b/>
                <w:bCs/>
                <w:color w:val="000000"/>
                <w:sz w:val="16"/>
                <w:szCs w:val="16"/>
              </w:rPr>
              <w:t xml:space="preserve">h/a </w:t>
            </w:r>
          </w:p>
        </w:tc>
        <w:tc>
          <w:tcPr>
            <w:tcW w:w="207" w:type="pct"/>
            <w:vMerge/>
            <w:tcBorders>
              <w:top w:val="nil"/>
              <w:left w:val="single" w:sz="4" w:space="0" w:color="1F497D"/>
              <w:bottom w:val="single" w:sz="4" w:space="0" w:color="1F497D"/>
              <w:right w:val="single" w:sz="4" w:space="0" w:color="1F497D"/>
            </w:tcBorders>
            <w:vAlign w:val="center"/>
            <w:hideMark/>
          </w:tcPr>
          <w:p w:rsidR="00E51D83" w:rsidRPr="00E51D83" w:rsidRDefault="00E51D83" w:rsidP="00E51D83">
            <w:pPr>
              <w:rPr>
                <w:b/>
                <w:bCs/>
                <w:color w:val="000000"/>
                <w:sz w:val="16"/>
                <w:szCs w:val="16"/>
              </w:rPr>
            </w:pPr>
          </w:p>
        </w:tc>
      </w:tr>
      <w:tr w:rsidR="00E51D83" w:rsidRPr="00E51D83" w:rsidTr="00264EC4">
        <w:trPr>
          <w:trHeight w:val="225"/>
        </w:trPr>
        <w:tc>
          <w:tcPr>
            <w:tcW w:w="254" w:type="pct"/>
            <w:vMerge w:val="restart"/>
            <w:tcBorders>
              <w:top w:val="nil"/>
              <w:left w:val="single" w:sz="4" w:space="0" w:color="1F497D"/>
              <w:bottom w:val="single" w:sz="4" w:space="0" w:color="1F497D"/>
              <w:right w:val="single" w:sz="4" w:space="0" w:color="1F497D"/>
            </w:tcBorders>
            <w:shd w:val="clear" w:color="000000" w:fill="FFFFFF"/>
            <w:vAlign w:val="center"/>
            <w:hideMark/>
          </w:tcPr>
          <w:p w:rsidR="00E51D83" w:rsidRPr="00E51D83" w:rsidRDefault="00E51D83" w:rsidP="00E51D83">
            <w:pPr>
              <w:jc w:val="center"/>
              <w:rPr>
                <w:color w:val="000000"/>
                <w:sz w:val="16"/>
                <w:szCs w:val="16"/>
              </w:rPr>
            </w:pPr>
            <w:r w:rsidRPr="00E51D83">
              <w:rPr>
                <w:color w:val="000000"/>
                <w:sz w:val="16"/>
                <w:szCs w:val="16"/>
              </w:rPr>
              <w:t xml:space="preserve">6.1a </w:t>
            </w:r>
          </w:p>
        </w:tc>
        <w:tc>
          <w:tcPr>
            <w:tcW w:w="334" w:type="pct"/>
            <w:tcBorders>
              <w:top w:val="nil"/>
              <w:left w:val="nil"/>
              <w:bottom w:val="single" w:sz="4" w:space="0" w:color="1F497D"/>
              <w:right w:val="single" w:sz="4" w:space="0" w:color="1F497D"/>
            </w:tcBorders>
            <w:shd w:val="clear" w:color="000000" w:fill="FFFFFF"/>
            <w:vAlign w:val="center"/>
            <w:hideMark/>
          </w:tcPr>
          <w:p w:rsidR="00E51D83" w:rsidRPr="00E51D83" w:rsidRDefault="00E51D83" w:rsidP="00264EC4">
            <w:pPr>
              <w:jc w:val="center"/>
              <w:rPr>
                <w:color w:val="000000"/>
                <w:sz w:val="16"/>
                <w:szCs w:val="16"/>
              </w:rPr>
            </w:pPr>
            <w:r w:rsidRPr="00E51D83">
              <w:rPr>
                <w:color w:val="000000"/>
                <w:sz w:val="16"/>
                <w:szCs w:val="16"/>
              </w:rPr>
              <w:t>2015/04/17</w:t>
            </w:r>
          </w:p>
        </w:tc>
        <w:tc>
          <w:tcPr>
            <w:tcW w:w="240" w:type="pct"/>
            <w:tcBorders>
              <w:top w:val="nil"/>
              <w:left w:val="nil"/>
              <w:bottom w:val="single" w:sz="4" w:space="0" w:color="1F497D"/>
              <w:right w:val="single" w:sz="4" w:space="0" w:color="1F497D"/>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706,80</w:t>
            </w:r>
          </w:p>
        </w:tc>
        <w:tc>
          <w:tcPr>
            <w:tcW w:w="240" w:type="pct"/>
            <w:tcBorders>
              <w:top w:val="nil"/>
              <w:left w:val="nil"/>
              <w:bottom w:val="single" w:sz="4" w:space="0" w:color="1F497D"/>
              <w:right w:val="single" w:sz="4" w:space="0" w:color="1F497D"/>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27,18</w:t>
            </w:r>
          </w:p>
        </w:tc>
        <w:tc>
          <w:tcPr>
            <w:tcW w:w="182" w:type="pct"/>
            <w:tcBorders>
              <w:top w:val="nil"/>
              <w:left w:val="nil"/>
              <w:bottom w:val="single" w:sz="4" w:space="0" w:color="1F497D"/>
              <w:right w:val="single" w:sz="4" w:space="0" w:color="1F497D"/>
            </w:tcBorders>
            <w:shd w:val="clear" w:color="000000" w:fill="FFFFFF"/>
            <w:vAlign w:val="center"/>
            <w:hideMark/>
          </w:tcPr>
          <w:p w:rsidR="00E51D83" w:rsidRPr="00E51D83" w:rsidRDefault="00E51D83" w:rsidP="00264EC4">
            <w:pPr>
              <w:jc w:val="center"/>
              <w:rPr>
                <w:color w:val="000000"/>
                <w:sz w:val="16"/>
                <w:szCs w:val="16"/>
              </w:rPr>
            </w:pPr>
            <w:r w:rsidRPr="00E51D83">
              <w:rPr>
                <w:color w:val="000000"/>
                <w:sz w:val="16"/>
                <w:szCs w:val="16"/>
              </w:rPr>
              <w:t>53</w:t>
            </w:r>
          </w:p>
        </w:tc>
        <w:tc>
          <w:tcPr>
            <w:tcW w:w="267" w:type="pct"/>
            <w:tcBorders>
              <w:top w:val="nil"/>
              <w:left w:val="nil"/>
              <w:bottom w:val="single" w:sz="4" w:space="0" w:color="1F497D"/>
              <w:right w:val="single" w:sz="4" w:space="0" w:color="1F497D"/>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1 178,53</w:t>
            </w:r>
          </w:p>
        </w:tc>
        <w:tc>
          <w:tcPr>
            <w:tcW w:w="206" w:type="pct"/>
            <w:tcBorders>
              <w:top w:val="nil"/>
              <w:left w:val="nil"/>
              <w:bottom w:val="single" w:sz="4" w:space="0" w:color="1F497D"/>
              <w:right w:val="single" w:sz="4" w:space="0" w:color="1F497D"/>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166,74</w:t>
            </w:r>
          </w:p>
        </w:tc>
        <w:tc>
          <w:tcPr>
            <w:tcW w:w="233" w:type="pct"/>
            <w:tcBorders>
              <w:top w:val="nil"/>
              <w:left w:val="nil"/>
              <w:bottom w:val="single" w:sz="4" w:space="0" w:color="1F497D"/>
              <w:right w:val="single" w:sz="4" w:space="0" w:color="1F497D"/>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44,35</w:t>
            </w:r>
          </w:p>
        </w:tc>
        <w:tc>
          <w:tcPr>
            <w:tcW w:w="182" w:type="pct"/>
            <w:tcBorders>
              <w:top w:val="nil"/>
              <w:left w:val="nil"/>
              <w:bottom w:val="single" w:sz="4" w:space="0" w:color="1F497D"/>
              <w:right w:val="single" w:sz="4" w:space="0" w:color="1F497D"/>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49</w:t>
            </w:r>
          </w:p>
        </w:tc>
        <w:tc>
          <w:tcPr>
            <w:tcW w:w="260" w:type="pct"/>
            <w:tcBorders>
              <w:top w:val="nil"/>
              <w:left w:val="nil"/>
              <w:bottom w:val="single" w:sz="4" w:space="0" w:color="1F497D"/>
              <w:right w:val="single" w:sz="4" w:space="0" w:color="1F497D"/>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854,10</w:t>
            </w:r>
          </w:p>
        </w:tc>
        <w:tc>
          <w:tcPr>
            <w:tcW w:w="213" w:type="pct"/>
            <w:tcBorders>
              <w:top w:val="nil"/>
              <w:left w:val="nil"/>
              <w:bottom w:val="single" w:sz="4" w:space="0" w:color="1F497D"/>
              <w:right w:val="single" w:sz="4" w:space="0" w:color="1F497D"/>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120,84</w:t>
            </w:r>
          </w:p>
        </w:tc>
        <w:tc>
          <w:tcPr>
            <w:tcW w:w="213" w:type="pct"/>
            <w:tcBorders>
              <w:top w:val="nil"/>
              <w:left w:val="nil"/>
              <w:bottom w:val="single" w:sz="4" w:space="0" w:color="1F497D"/>
              <w:right w:val="single" w:sz="4" w:space="0" w:color="1F497D"/>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32,54</w:t>
            </w:r>
          </w:p>
        </w:tc>
        <w:tc>
          <w:tcPr>
            <w:tcW w:w="260" w:type="pct"/>
            <w:tcBorders>
              <w:top w:val="nil"/>
              <w:left w:val="nil"/>
              <w:bottom w:val="single" w:sz="4" w:space="0" w:color="1F497D"/>
              <w:right w:val="single" w:sz="4" w:space="0" w:color="1F497D"/>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568,52</w:t>
            </w:r>
          </w:p>
        </w:tc>
        <w:tc>
          <w:tcPr>
            <w:tcW w:w="227" w:type="pct"/>
            <w:tcBorders>
              <w:top w:val="nil"/>
              <w:left w:val="nil"/>
              <w:bottom w:val="single" w:sz="4" w:space="0" w:color="1F497D"/>
              <w:right w:val="single" w:sz="4" w:space="0" w:color="1F497D"/>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80,44</w:t>
            </w:r>
          </w:p>
        </w:tc>
        <w:tc>
          <w:tcPr>
            <w:tcW w:w="253" w:type="pct"/>
            <w:tcBorders>
              <w:top w:val="nil"/>
              <w:left w:val="nil"/>
              <w:bottom w:val="single" w:sz="4" w:space="0" w:color="1F497D"/>
              <w:right w:val="single" w:sz="4" w:space="0" w:color="1F497D"/>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22,14</w:t>
            </w:r>
          </w:p>
        </w:tc>
        <w:tc>
          <w:tcPr>
            <w:tcW w:w="287" w:type="pct"/>
            <w:tcBorders>
              <w:top w:val="nil"/>
              <w:left w:val="nil"/>
              <w:bottom w:val="single" w:sz="4" w:space="0" w:color="1F497D"/>
              <w:right w:val="single" w:sz="4" w:space="0" w:color="1F497D"/>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551,17</w:t>
            </w:r>
          </w:p>
        </w:tc>
        <w:tc>
          <w:tcPr>
            <w:tcW w:w="213" w:type="pct"/>
            <w:tcBorders>
              <w:top w:val="nil"/>
              <w:left w:val="nil"/>
              <w:bottom w:val="single" w:sz="4" w:space="0" w:color="1F497D"/>
              <w:right w:val="single" w:sz="4" w:space="0" w:color="1F497D"/>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77,98</w:t>
            </w:r>
          </w:p>
        </w:tc>
        <w:tc>
          <w:tcPr>
            <w:tcW w:w="253" w:type="pct"/>
            <w:tcBorders>
              <w:top w:val="nil"/>
              <w:left w:val="nil"/>
              <w:bottom w:val="single" w:sz="4" w:space="0" w:color="1F497D"/>
              <w:right w:val="single" w:sz="4" w:space="0" w:color="1F497D"/>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21,51</w:t>
            </w:r>
          </w:p>
        </w:tc>
        <w:tc>
          <w:tcPr>
            <w:tcW w:w="27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523,06</w:t>
            </w:r>
          </w:p>
        </w:tc>
        <w:tc>
          <w:tcPr>
            <w:tcW w:w="206" w:type="pct"/>
            <w:tcBorders>
              <w:top w:val="single" w:sz="4" w:space="0" w:color="auto"/>
              <w:left w:val="nil"/>
              <w:bottom w:val="single" w:sz="4" w:space="0" w:color="auto"/>
              <w:right w:val="single" w:sz="4" w:space="0" w:color="auto"/>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74,00</w:t>
            </w:r>
          </w:p>
        </w:tc>
        <w:tc>
          <w:tcPr>
            <w:tcW w:w="207" w:type="pct"/>
            <w:tcBorders>
              <w:top w:val="single" w:sz="4" w:space="0" w:color="auto"/>
              <w:left w:val="nil"/>
              <w:bottom w:val="single" w:sz="4" w:space="0" w:color="auto"/>
              <w:right w:val="single" w:sz="4" w:space="0" w:color="auto"/>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20,37</w:t>
            </w:r>
          </w:p>
        </w:tc>
      </w:tr>
      <w:tr w:rsidR="00E51D83" w:rsidRPr="00E51D83" w:rsidTr="00264EC4">
        <w:trPr>
          <w:trHeight w:val="225"/>
        </w:trPr>
        <w:tc>
          <w:tcPr>
            <w:tcW w:w="254" w:type="pct"/>
            <w:vMerge/>
            <w:tcBorders>
              <w:top w:val="nil"/>
              <w:left w:val="single" w:sz="4" w:space="0" w:color="1F497D"/>
              <w:bottom w:val="single" w:sz="4" w:space="0" w:color="1F497D"/>
              <w:right w:val="single" w:sz="4" w:space="0" w:color="1F497D"/>
            </w:tcBorders>
            <w:vAlign w:val="center"/>
            <w:hideMark/>
          </w:tcPr>
          <w:p w:rsidR="00E51D83" w:rsidRPr="00E51D83" w:rsidRDefault="00E51D83" w:rsidP="00E51D83">
            <w:pPr>
              <w:rPr>
                <w:color w:val="000000"/>
                <w:sz w:val="16"/>
                <w:szCs w:val="16"/>
              </w:rPr>
            </w:pPr>
          </w:p>
        </w:tc>
        <w:tc>
          <w:tcPr>
            <w:tcW w:w="334" w:type="pct"/>
            <w:tcBorders>
              <w:top w:val="nil"/>
              <w:left w:val="nil"/>
              <w:bottom w:val="single" w:sz="4" w:space="0" w:color="1F497D"/>
              <w:right w:val="single" w:sz="4" w:space="0" w:color="1F497D"/>
            </w:tcBorders>
            <w:shd w:val="clear" w:color="000000" w:fill="FFFFFF"/>
            <w:vAlign w:val="center"/>
            <w:hideMark/>
          </w:tcPr>
          <w:p w:rsidR="00E51D83" w:rsidRPr="00E51D83" w:rsidRDefault="00E51D83" w:rsidP="00264EC4">
            <w:pPr>
              <w:jc w:val="center"/>
              <w:rPr>
                <w:color w:val="000000"/>
                <w:sz w:val="16"/>
                <w:szCs w:val="16"/>
              </w:rPr>
            </w:pPr>
            <w:r w:rsidRPr="00E51D83">
              <w:rPr>
                <w:color w:val="000000"/>
                <w:sz w:val="16"/>
                <w:szCs w:val="16"/>
              </w:rPr>
              <w:t>2015/10/02</w:t>
            </w:r>
          </w:p>
        </w:tc>
        <w:tc>
          <w:tcPr>
            <w:tcW w:w="240" w:type="pct"/>
            <w:tcBorders>
              <w:top w:val="nil"/>
              <w:left w:val="nil"/>
              <w:bottom w:val="single" w:sz="4" w:space="0" w:color="1F497D"/>
              <w:right w:val="single" w:sz="4" w:space="0" w:color="1F497D"/>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705,34</w:t>
            </w:r>
          </w:p>
        </w:tc>
        <w:tc>
          <w:tcPr>
            <w:tcW w:w="240" w:type="pct"/>
            <w:tcBorders>
              <w:top w:val="nil"/>
              <w:left w:val="nil"/>
              <w:bottom w:val="single" w:sz="4" w:space="0" w:color="1F497D"/>
              <w:right w:val="single" w:sz="4" w:space="0" w:color="1F497D"/>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27,18</w:t>
            </w:r>
          </w:p>
        </w:tc>
        <w:tc>
          <w:tcPr>
            <w:tcW w:w="182" w:type="pct"/>
            <w:tcBorders>
              <w:top w:val="nil"/>
              <w:left w:val="nil"/>
              <w:bottom w:val="single" w:sz="4" w:space="0" w:color="1F497D"/>
              <w:right w:val="single" w:sz="4" w:space="0" w:color="1F497D"/>
            </w:tcBorders>
            <w:shd w:val="clear" w:color="000000" w:fill="FFFFFF"/>
            <w:vAlign w:val="center"/>
            <w:hideMark/>
          </w:tcPr>
          <w:p w:rsidR="00E51D83" w:rsidRPr="00E51D83" w:rsidRDefault="00E51D83" w:rsidP="00264EC4">
            <w:pPr>
              <w:jc w:val="center"/>
              <w:rPr>
                <w:color w:val="000000"/>
                <w:sz w:val="16"/>
                <w:szCs w:val="16"/>
              </w:rPr>
            </w:pPr>
            <w:r w:rsidRPr="00E51D83">
              <w:rPr>
                <w:color w:val="000000"/>
                <w:sz w:val="16"/>
                <w:szCs w:val="16"/>
              </w:rPr>
              <w:t>55</w:t>
            </w:r>
          </w:p>
        </w:tc>
        <w:tc>
          <w:tcPr>
            <w:tcW w:w="267" w:type="pct"/>
            <w:tcBorders>
              <w:top w:val="nil"/>
              <w:left w:val="nil"/>
              <w:bottom w:val="single" w:sz="4" w:space="0" w:color="1F497D"/>
              <w:right w:val="single" w:sz="4" w:space="0" w:color="1F497D"/>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1 231,07</w:t>
            </w:r>
          </w:p>
        </w:tc>
        <w:tc>
          <w:tcPr>
            <w:tcW w:w="206" w:type="pct"/>
            <w:tcBorders>
              <w:top w:val="nil"/>
              <w:left w:val="nil"/>
              <w:bottom w:val="single" w:sz="4" w:space="0" w:color="1F497D"/>
              <w:right w:val="single" w:sz="4" w:space="0" w:color="1F497D"/>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174,54</w:t>
            </w:r>
          </w:p>
        </w:tc>
        <w:tc>
          <w:tcPr>
            <w:tcW w:w="233" w:type="pct"/>
            <w:tcBorders>
              <w:top w:val="nil"/>
              <w:left w:val="nil"/>
              <w:bottom w:val="single" w:sz="4" w:space="0" w:color="1F497D"/>
              <w:right w:val="single" w:sz="4" w:space="0" w:color="1F497D"/>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46,50</w:t>
            </w:r>
          </w:p>
        </w:tc>
        <w:tc>
          <w:tcPr>
            <w:tcW w:w="182" w:type="pct"/>
            <w:tcBorders>
              <w:top w:val="nil"/>
              <w:left w:val="nil"/>
              <w:bottom w:val="single" w:sz="4" w:space="0" w:color="1F497D"/>
              <w:right w:val="single" w:sz="4" w:space="0" w:color="1F497D"/>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50</w:t>
            </w:r>
          </w:p>
        </w:tc>
        <w:tc>
          <w:tcPr>
            <w:tcW w:w="260" w:type="pct"/>
            <w:tcBorders>
              <w:top w:val="nil"/>
              <w:left w:val="nil"/>
              <w:bottom w:val="single" w:sz="4" w:space="0" w:color="1F497D"/>
              <w:right w:val="single" w:sz="4" w:space="0" w:color="1F497D"/>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813,19</w:t>
            </w:r>
          </w:p>
        </w:tc>
        <w:tc>
          <w:tcPr>
            <w:tcW w:w="213" w:type="pct"/>
            <w:tcBorders>
              <w:top w:val="nil"/>
              <w:left w:val="nil"/>
              <w:bottom w:val="single" w:sz="4" w:space="0" w:color="1F497D"/>
              <w:right w:val="single" w:sz="4" w:space="0" w:color="1F497D"/>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115,29</w:t>
            </w:r>
          </w:p>
        </w:tc>
        <w:tc>
          <w:tcPr>
            <w:tcW w:w="213" w:type="pct"/>
            <w:tcBorders>
              <w:top w:val="nil"/>
              <w:left w:val="nil"/>
              <w:bottom w:val="single" w:sz="4" w:space="0" w:color="1F497D"/>
              <w:right w:val="single" w:sz="4" w:space="0" w:color="1F497D"/>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31,14</w:t>
            </w:r>
          </w:p>
        </w:tc>
        <w:tc>
          <w:tcPr>
            <w:tcW w:w="260" w:type="pct"/>
            <w:tcBorders>
              <w:top w:val="nil"/>
              <w:left w:val="nil"/>
              <w:bottom w:val="single" w:sz="4" w:space="0" w:color="1F497D"/>
              <w:right w:val="single" w:sz="4" w:space="0" w:color="1F497D"/>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606,00</w:t>
            </w:r>
          </w:p>
        </w:tc>
        <w:tc>
          <w:tcPr>
            <w:tcW w:w="227" w:type="pct"/>
            <w:tcBorders>
              <w:top w:val="nil"/>
              <w:left w:val="nil"/>
              <w:bottom w:val="single" w:sz="4" w:space="0" w:color="1F497D"/>
              <w:right w:val="single" w:sz="4" w:space="0" w:color="1F497D"/>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85,92</w:t>
            </w:r>
          </w:p>
        </w:tc>
        <w:tc>
          <w:tcPr>
            <w:tcW w:w="253" w:type="pct"/>
            <w:tcBorders>
              <w:top w:val="nil"/>
              <w:left w:val="nil"/>
              <w:bottom w:val="single" w:sz="4" w:space="0" w:color="1F497D"/>
              <w:right w:val="single" w:sz="4" w:space="0" w:color="1F497D"/>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23,53</w:t>
            </w:r>
          </w:p>
        </w:tc>
        <w:tc>
          <w:tcPr>
            <w:tcW w:w="287" w:type="pct"/>
            <w:tcBorders>
              <w:top w:val="nil"/>
              <w:left w:val="nil"/>
              <w:bottom w:val="single" w:sz="4" w:space="0" w:color="1F497D"/>
              <w:right w:val="single" w:sz="4" w:space="0" w:color="1F497D"/>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600,33</w:t>
            </w:r>
          </w:p>
        </w:tc>
        <w:tc>
          <w:tcPr>
            <w:tcW w:w="213" w:type="pct"/>
            <w:tcBorders>
              <w:top w:val="nil"/>
              <w:left w:val="nil"/>
              <w:bottom w:val="single" w:sz="4" w:space="0" w:color="1F497D"/>
              <w:right w:val="single" w:sz="4" w:space="0" w:color="1F497D"/>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85,11</w:t>
            </w:r>
          </w:p>
        </w:tc>
        <w:tc>
          <w:tcPr>
            <w:tcW w:w="253" w:type="pct"/>
            <w:tcBorders>
              <w:top w:val="nil"/>
              <w:left w:val="nil"/>
              <w:bottom w:val="single" w:sz="4" w:space="0" w:color="1F497D"/>
              <w:right w:val="single" w:sz="4" w:space="0" w:color="1F497D"/>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23,32</w:t>
            </w:r>
          </w:p>
        </w:tc>
        <w:tc>
          <w:tcPr>
            <w:tcW w:w="273" w:type="pct"/>
            <w:tcBorders>
              <w:top w:val="nil"/>
              <w:left w:val="single" w:sz="4" w:space="0" w:color="auto"/>
              <w:bottom w:val="single" w:sz="4" w:space="0" w:color="auto"/>
              <w:right w:val="single" w:sz="4" w:space="0" w:color="auto"/>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550,22</w:t>
            </w:r>
          </w:p>
        </w:tc>
        <w:tc>
          <w:tcPr>
            <w:tcW w:w="206" w:type="pct"/>
            <w:tcBorders>
              <w:top w:val="nil"/>
              <w:left w:val="nil"/>
              <w:bottom w:val="single" w:sz="4" w:space="0" w:color="auto"/>
              <w:right w:val="single" w:sz="4" w:space="0" w:color="auto"/>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78,01</w:t>
            </w:r>
          </w:p>
        </w:tc>
        <w:tc>
          <w:tcPr>
            <w:tcW w:w="207" w:type="pct"/>
            <w:tcBorders>
              <w:top w:val="nil"/>
              <w:left w:val="nil"/>
              <w:bottom w:val="single" w:sz="4" w:space="0" w:color="auto"/>
              <w:right w:val="single" w:sz="4" w:space="0" w:color="auto"/>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21,36</w:t>
            </w:r>
          </w:p>
        </w:tc>
      </w:tr>
      <w:tr w:rsidR="00E51D83" w:rsidRPr="00E51D83" w:rsidTr="00264EC4">
        <w:trPr>
          <w:trHeight w:val="225"/>
        </w:trPr>
        <w:tc>
          <w:tcPr>
            <w:tcW w:w="254" w:type="pct"/>
            <w:vMerge/>
            <w:tcBorders>
              <w:top w:val="nil"/>
              <w:left w:val="single" w:sz="4" w:space="0" w:color="1F497D"/>
              <w:bottom w:val="single" w:sz="4" w:space="0" w:color="1F497D"/>
              <w:right w:val="single" w:sz="4" w:space="0" w:color="1F497D"/>
            </w:tcBorders>
            <w:vAlign w:val="center"/>
            <w:hideMark/>
          </w:tcPr>
          <w:p w:rsidR="00E51D83" w:rsidRPr="00E51D83" w:rsidRDefault="00E51D83" w:rsidP="00E51D83">
            <w:pPr>
              <w:rPr>
                <w:color w:val="000000"/>
                <w:sz w:val="16"/>
                <w:szCs w:val="16"/>
              </w:rPr>
            </w:pPr>
          </w:p>
        </w:tc>
        <w:tc>
          <w:tcPr>
            <w:tcW w:w="334" w:type="pct"/>
            <w:tcBorders>
              <w:top w:val="nil"/>
              <w:left w:val="nil"/>
              <w:bottom w:val="single" w:sz="4" w:space="0" w:color="1F497D"/>
              <w:right w:val="single" w:sz="4" w:space="0" w:color="1F497D"/>
            </w:tcBorders>
            <w:shd w:val="clear" w:color="000000" w:fill="FFFFFF"/>
            <w:vAlign w:val="center"/>
            <w:hideMark/>
          </w:tcPr>
          <w:p w:rsidR="00E51D83" w:rsidRPr="00E51D83" w:rsidRDefault="00E51D83" w:rsidP="00264EC4">
            <w:pPr>
              <w:jc w:val="center"/>
              <w:rPr>
                <w:color w:val="000000"/>
                <w:sz w:val="16"/>
                <w:szCs w:val="16"/>
              </w:rPr>
            </w:pPr>
            <w:r w:rsidRPr="00E51D83">
              <w:rPr>
                <w:color w:val="000000"/>
                <w:sz w:val="16"/>
                <w:szCs w:val="16"/>
              </w:rPr>
              <w:t>Rozdíl</w:t>
            </w:r>
          </w:p>
        </w:tc>
        <w:tc>
          <w:tcPr>
            <w:tcW w:w="240" w:type="pct"/>
            <w:tcBorders>
              <w:top w:val="nil"/>
              <w:left w:val="nil"/>
              <w:bottom w:val="single" w:sz="4" w:space="0" w:color="1F497D"/>
              <w:right w:val="single" w:sz="4" w:space="0" w:color="1F497D"/>
            </w:tcBorders>
            <w:shd w:val="clear" w:color="000000" w:fill="FFFFFF"/>
            <w:noWrap/>
            <w:vAlign w:val="center"/>
            <w:hideMark/>
          </w:tcPr>
          <w:p w:rsidR="00E51D83" w:rsidRPr="00E51D83" w:rsidRDefault="00E51D83" w:rsidP="00264EC4">
            <w:pPr>
              <w:jc w:val="center"/>
              <w:rPr>
                <w:color w:val="000000"/>
                <w:sz w:val="16"/>
                <w:szCs w:val="16"/>
              </w:rPr>
            </w:pPr>
          </w:p>
        </w:tc>
        <w:tc>
          <w:tcPr>
            <w:tcW w:w="240" w:type="pct"/>
            <w:tcBorders>
              <w:top w:val="nil"/>
              <w:left w:val="nil"/>
              <w:bottom w:val="single" w:sz="4" w:space="0" w:color="1F497D"/>
              <w:right w:val="single" w:sz="4" w:space="0" w:color="1F497D"/>
            </w:tcBorders>
            <w:shd w:val="clear" w:color="000000" w:fill="FFFFFF"/>
            <w:noWrap/>
            <w:vAlign w:val="center"/>
            <w:hideMark/>
          </w:tcPr>
          <w:p w:rsidR="00E51D83" w:rsidRPr="00E51D83" w:rsidRDefault="00E51D83" w:rsidP="00264EC4">
            <w:pPr>
              <w:jc w:val="center"/>
              <w:rPr>
                <w:color w:val="000000"/>
                <w:sz w:val="16"/>
                <w:szCs w:val="16"/>
              </w:rPr>
            </w:pPr>
          </w:p>
        </w:tc>
        <w:tc>
          <w:tcPr>
            <w:tcW w:w="182" w:type="pct"/>
            <w:tcBorders>
              <w:top w:val="nil"/>
              <w:left w:val="nil"/>
              <w:bottom w:val="single" w:sz="4" w:space="0" w:color="1F497D"/>
              <w:right w:val="single" w:sz="4" w:space="0" w:color="1F497D"/>
            </w:tcBorders>
            <w:shd w:val="clear" w:color="000000" w:fill="FFFFFF"/>
            <w:vAlign w:val="center"/>
            <w:hideMark/>
          </w:tcPr>
          <w:p w:rsidR="00E51D83" w:rsidRPr="00E51D83" w:rsidRDefault="00E51D83" w:rsidP="00264EC4">
            <w:pPr>
              <w:jc w:val="center"/>
              <w:rPr>
                <w:color w:val="000000"/>
                <w:sz w:val="16"/>
                <w:szCs w:val="16"/>
              </w:rPr>
            </w:pPr>
            <w:r w:rsidRPr="00E51D83">
              <w:rPr>
                <w:color w:val="000000"/>
                <w:sz w:val="16"/>
                <w:szCs w:val="16"/>
              </w:rPr>
              <w:t>2</w:t>
            </w:r>
          </w:p>
        </w:tc>
        <w:tc>
          <w:tcPr>
            <w:tcW w:w="267" w:type="pct"/>
            <w:tcBorders>
              <w:top w:val="nil"/>
              <w:left w:val="nil"/>
              <w:bottom w:val="single" w:sz="4" w:space="0" w:color="1F497D"/>
              <w:right w:val="single" w:sz="4" w:space="0" w:color="1F497D"/>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52,54</w:t>
            </w:r>
          </w:p>
        </w:tc>
        <w:tc>
          <w:tcPr>
            <w:tcW w:w="206" w:type="pct"/>
            <w:tcBorders>
              <w:top w:val="nil"/>
              <w:left w:val="nil"/>
              <w:bottom w:val="single" w:sz="4" w:space="0" w:color="1F497D"/>
              <w:right w:val="single" w:sz="4" w:space="0" w:color="1F497D"/>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7,45</w:t>
            </w:r>
          </w:p>
        </w:tc>
        <w:tc>
          <w:tcPr>
            <w:tcW w:w="233" w:type="pct"/>
            <w:tcBorders>
              <w:top w:val="nil"/>
              <w:left w:val="nil"/>
              <w:bottom w:val="single" w:sz="4" w:space="0" w:color="1F497D"/>
              <w:right w:val="single" w:sz="4" w:space="0" w:color="1F497D"/>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2,15</w:t>
            </w:r>
          </w:p>
        </w:tc>
        <w:tc>
          <w:tcPr>
            <w:tcW w:w="182" w:type="pct"/>
            <w:tcBorders>
              <w:top w:val="nil"/>
              <w:left w:val="nil"/>
              <w:bottom w:val="single" w:sz="4" w:space="0" w:color="1F497D"/>
              <w:right w:val="single" w:sz="4" w:space="0" w:color="1F497D"/>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1</w:t>
            </w:r>
          </w:p>
        </w:tc>
        <w:tc>
          <w:tcPr>
            <w:tcW w:w="260" w:type="pct"/>
            <w:tcBorders>
              <w:top w:val="nil"/>
              <w:left w:val="nil"/>
              <w:bottom w:val="single" w:sz="4" w:space="0" w:color="1F497D"/>
              <w:right w:val="single" w:sz="4" w:space="0" w:color="1F497D"/>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-40,91</w:t>
            </w:r>
          </w:p>
        </w:tc>
        <w:tc>
          <w:tcPr>
            <w:tcW w:w="213" w:type="pct"/>
            <w:tcBorders>
              <w:top w:val="nil"/>
              <w:left w:val="nil"/>
              <w:bottom w:val="single" w:sz="4" w:space="0" w:color="1F497D"/>
              <w:right w:val="single" w:sz="4" w:space="0" w:color="1F497D"/>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-5,80</w:t>
            </w:r>
          </w:p>
        </w:tc>
        <w:tc>
          <w:tcPr>
            <w:tcW w:w="213" w:type="pct"/>
            <w:tcBorders>
              <w:top w:val="nil"/>
              <w:left w:val="nil"/>
              <w:bottom w:val="single" w:sz="4" w:space="0" w:color="1F497D"/>
              <w:right w:val="single" w:sz="4" w:space="0" w:color="1F497D"/>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-1,40</w:t>
            </w:r>
          </w:p>
        </w:tc>
        <w:tc>
          <w:tcPr>
            <w:tcW w:w="260" w:type="pct"/>
            <w:tcBorders>
              <w:top w:val="nil"/>
              <w:left w:val="nil"/>
              <w:bottom w:val="single" w:sz="4" w:space="0" w:color="1F497D"/>
              <w:right w:val="single" w:sz="4" w:space="0" w:color="1F497D"/>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37,48</w:t>
            </w:r>
          </w:p>
        </w:tc>
        <w:tc>
          <w:tcPr>
            <w:tcW w:w="227" w:type="pct"/>
            <w:tcBorders>
              <w:top w:val="nil"/>
              <w:left w:val="nil"/>
              <w:bottom w:val="single" w:sz="4" w:space="0" w:color="1F497D"/>
              <w:right w:val="single" w:sz="4" w:space="0" w:color="1F497D"/>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5,31</w:t>
            </w:r>
          </w:p>
        </w:tc>
        <w:tc>
          <w:tcPr>
            <w:tcW w:w="253" w:type="pct"/>
            <w:tcBorders>
              <w:top w:val="nil"/>
              <w:left w:val="nil"/>
              <w:bottom w:val="single" w:sz="4" w:space="0" w:color="1F497D"/>
              <w:right w:val="single" w:sz="4" w:space="0" w:color="1F497D"/>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1,38</w:t>
            </w:r>
          </w:p>
        </w:tc>
        <w:tc>
          <w:tcPr>
            <w:tcW w:w="287" w:type="pct"/>
            <w:tcBorders>
              <w:top w:val="nil"/>
              <w:left w:val="nil"/>
              <w:bottom w:val="single" w:sz="4" w:space="0" w:color="1F497D"/>
              <w:right w:val="single" w:sz="4" w:space="0" w:color="1F497D"/>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49,16</w:t>
            </w:r>
          </w:p>
        </w:tc>
        <w:tc>
          <w:tcPr>
            <w:tcW w:w="213" w:type="pct"/>
            <w:tcBorders>
              <w:top w:val="nil"/>
              <w:left w:val="nil"/>
              <w:bottom w:val="single" w:sz="4" w:space="0" w:color="1F497D"/>
              <w:right w:val="single" w:sz="4" w:space="0" w:color="1F497D"/>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6,97</w:t>
            </w:r>
          </w:p>
        </w:tc>
        <w:tc>
          <w:tcPr>
            <w:tcW w:w="253" w:type="pct"/>
            <w:tcBorders>
              <w:top w:val="nil"/>
              <w:left w:val="nil"/>
              <w:bottom w:val="single" w:sz="4" w:space="0" w:color="1F497D"/>
              <w:right w:val="single" w:sz="4" w:space="0" w:color="1F497D"/>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1,81</w:t>
            </w:r>
          </w:p>
        </w:tc>
        <w:tc>
          <w:tcPr>
            <w:tcW w:w="273" w:type="pct"/>
            <w:tcBorders>
              <w:top w:val="nil"/>
              <w:left w:val="single" w:sz="4" w:space="0" w:color="auto"/>
              <w:bottom w:val="single" w:sz="4" w:space="0" w:color="auto"/>
              <w:right w:val="single" w:sz="4" w:space="0" w:color="auto"/>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27,16</w:t>
            </w:r>
          </w:p>
        </w:tc>
        <w:tc>
          <w:tcPr>
            <w:tcW w:w="206" w:type="pct"/>
            <w:tcBorders>
              <w:top w:val="nil"/>
              <w:left w:val="nil"/>
              <w:bottom w:val="single" w:sz="4" w:space="0" w:color="auto"/>
              <w:right w:val="single" w:sz="4" w:space="0" w:color="auto"/>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3,85</w:t>
            </w:r>
          </w:p>
        </w:tc>
        <w:tc>
          <w:tcPr>
            <w:tcW w:w="207" w:type="pct"/>
            <w:tcBorders>
              <w:top w:val="nil"/>
              <w:left w:val="nil"/>
              <w:bottom w:val="single" w:sz="4" w:space="0" w:color="auto"/>
              <w:right w:val="single" w:sz="4" w:space="0" w:color="auto"/>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0,99</w:t>
            </w:r>
          </w:p>
        </w:tc>
      </w:tr>
      <w:tr w:rsidR="00E51D83" w:rsidRPr="00E51D83" w:rsidTr="00264EC4">
        <w:trPr>
          <w:trHeight w:val="225"/>
        </w:trPr>
        <w:tc>
          <w:tcPr>
            <w:tcW w:w="254" w:type="pct"/>
            <w:vMerge w:val="restart"/>
            <w:tcBorders>
              <w:top w:val="nil"/>
              <w:left w:val="single" w:sz="4" w:space="0" w:color="1F497D"/>
              <w:bottom w:val="single" w:sz="4" w:space="0" w:color="1F497D"/>
              <w:right w:val="single" w:sz="4" w:space="0" w:color="1F497D"/>
            </w:tcBorders>
            <w:shd w:val="clear" w:color="000000" w:fill="FFFFFF"/>
            <w:vAlign w:val="center"/>
            <w:hideMark/>
          </w:tcPr>
          <w:p w:rsidR="00E51D83" w:rsidRPr="00E51D83" w:rsidRDefault="00E51D83" w:rsidP="00E51D83">
            <w:pPr>
              <w:jc w:val="center"/>
              <w:rPr>
                <w:color w:val="000000"/>
                <w:sz w:val="16"/>
                <w:szCs w:val="16"/>
              </w:rPr>
            </w:pPr>
            <w:r w:rsidRPr="00E51D83">
              <w:rPr>
                <w:color w:val="000000"/>
                <w:sz w:val="16"/>
                <w:szCs w:val="16"/>
              </w:rPr>
              <w:t>6.1b</w:t>
            </w:r>
          </w:p>
        </w:tc>
        <w:tc>
          <w:tcPr>
            <w:tcW w:w="334" w:type="pct"/>
            <w:tcBorders>
              <w:top w:val="nil"/>
              <w:left w:val="nil"/>
              <w:bottom w:val="single" w:sz="4" w:space="0" w:color="1F497D"/>
              <w:right w:val="single" w:sz="4" w:space="0" w:color="1F497D"/>
            </w:tcBorders>
            <w:shd w:val="clear" w:color="000000" w:fill="FFFFFF"/>
            <w:vAlign w:val="center"/>
            <w:hideMark/>
          </w:tcPr>
          <w:p w:rsidR="00E51D83" w:rsidRPr="00E51D83" w:rsidRDefault="00E51D83" w:rsidP="00264EC4">
            <w:pPr>
              <w:jc w:val="center"/>
              <w:rPr>
                <w:color w:val="000000"/>
                <w:sz w:val="16"/>
                <w:szCs w:val="16"/>
              </w:rPr>
            </w:pPr>
            <w:r w:rsidRPr="00E51D83">
              <w:rPr>
                <w:color w:val="000000"/>
                <w:sz w:val="16"/>
                <w:szCs w:val="16"/>
              </w:rPr>
              <w:t>2015/04/17</w:t>
            </w:r>
          </w:p>
        </w:tc>
        <w:tc>
          <w:tcPr>
            <w:tcW w:w="240" w:type="pct"/>
            <w:tcBorders>
              <w:top w:val="nil"/>
              <w:left w:val="nil"/>
              <w:bottom w:val="single" w:sz="4" w:space="0" w:color="1F497D"/>
              <w:right w:val="single" w:sz="4" w:space="0" w:color="1F497D"/>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12,99</w:t>
            </w:r>
          </w:p>
        </w:tc>
        <w:tc>
          <w:tcPr>
            <w:tcW w:w="240" w:type="pct"/>
            <w:tcBorders>
              <w:top w:val="nil"/>
              <w:left w:val="nil"/>
              <w:bottom w:val="single" w:sz="4" w:space="0" w:color="1F497D"/>
              <w:right w:val="single" w:sz="4" w:space="0" w:color="1F497D"/>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0,50</w:t>
            </w:r>
          </w:p>
        </w:tc>
        <w:tc>
          <w:tcPr>
            <w:tcW w:w="182" w:type="pct"/>
            <w:tcBorders>
              <w:top w:val="nil"/>
              <w:left w:val="nil"/>
              <w:bottom w:val="single" w:sz="4" w:space="0" w:color="1F497D"/>
              <w:right w:val="single" w:sz="4" w:space="0" w:color="1F497D"/>
            </w:tcBorders>
            <w:shd w:val="clear" w:color="000000" w:fill="FFFFFF"/>
            <w:vAlign w:val="center"/>
            <w:hideMark/>
          </w:tcPr>
          <w:p w:rsidR="00E51D83" w:rsidRPr="00E51D83" w:rsidRDefault="00E51D83" w:rsidP="00264EC4">
            <w:pPr>
              <w:jc w:val="center"/>
              <w:rPr>
                <w:color w:val="000000"/>
                <w:sz w:val="16"/>
                <w:szCs w:val="16"/>
              </w:rPr>
            </w:pPr>
            <w:r w:rsidRPr="00E51D83">
              <w:rPr>
                <w:color w:val="000000"/>
                <w:sz w:val="16"/>
                <w:szCs w:val="16"/>
              </w:rPr>
              <w:t>0</w:t>
            </w:r>
          </w:p>
        </w:tc>
        <w:tc>
          <w:tcPr>
            <w:tcW w:w="267" w:type="pct"/>
            <w:tcBorders>
              <w:top w:val="nil"/>
              <w:left w:val="nil"/>
              <w:bottom w:val="single" w:sz="4" w:space="0" w:color="1F497D"/>
              <w:right w:val="single" w:sz="4" w:space="0" w:color="1F497D"/>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21,67</w:t>
            </w:r>
          </w:p>
        </w:tc>
        <w:tc>
          <w:tcPr>
            <w:tcW w:w="206" w:type="pct"/>
            <w:tcBorders>
              <w:top w:val="nil"/>
              <w:left w:val="nil"/>
              <w:bottom w:val="single" w:sz="4" w:space="0" w:color="1F497D"/>
              <w:right w:val="single" w:sz="4" w:space="0" w:color="1F497D"/>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166,76</w:t>
            </w:r>
          </w:p>
        </w:tc>
        <w:tc>
          <w:tcPr>
            <w:tcW w:w="233" w:type="pct"/>
            <w:tcBorders>
              <w:top w:val="nil"/>
              <w:left w:val="nil"/>
              <w:bottom w:val="single" w:sz="4" w:space="0" w:color="1F497D"/>
              <w:right w:val="single" w:sz="4" w:space="0" w:color="1F497D"/>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0,82</w:t>
            </w:r>
          </w:p>
        </w:tc>
        <w:tc>
          <w:tcPr>
            <w:tcW w:w="182" w:type="pct"/>
            <w:tcBorders>
              <w:top w:val="nil"/>
              <w:left w:val="nil"/>
              <w:bottom w:val="single" w:sz="4" w:space="0" w:color="1F497D"/>
              <w:right w:val="single" w:sz="4" w:space="0" w:color="1F497D"/>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0</w:t>
            </w:r>
          </w:p>
        </w:tc>
        <w:tc>
          <w:tcPr>
            <w:tcW w:w="260" w:type="pct"/>
            <w:tcBorders>
              <w:top w:val="nil"/>
              <w:left w:val="nil"/>
              <w:bottom w:val="single" w:sz="4" w:space="0" w:color="1F497D"/>
              <w:right w:val="single" w:sz="4" w:space="0" w:color="1F497D"/>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15,70</w:t>
            </w:r>
          </w:p>
        </w:tc>
        <w:tc>
          <w:tcPr>
            <w:tcW w:w="213" w:type="pct"/>
            <w:tcBorders>
              <w:top w:val="nil"/>
              <w:left w:val="nil"/>
              <w:bottom w:val="single" w:sz="4" w:space="0" w:color="1F497D"/>
              <w:right w:val="single" w:sz="4" w:space="0" w:color="1F497D"/>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120,85</w:t>
            </w:r>
          </w:p>
        </w:tc>
        <w:tc>
          <w:tcPr>
            <w:tcW w:w="213" w:type="pct"/>
            <w:tcBorders>
              <w:top w:val="nil"/>
              <w:left w:val="nil"/>
              <w:bottom w:val="single" w:sz="4" w:space="0" w:color="1F497D"/>
              <w:right w:val="single" w:sz="4" w:space="0" w:color="1F497D"/>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0,60</w:t>
            </w:r>
          </w:p>
        </w:tc>
        <w:tc>
          <w:tcPr>
            <w:tcW w:w="260" w:type="pct"/>
            <w:tcBorders>
              <w:top w:val="nil"/>
              <w:left w:val="nil"/>
              <w:bottom w:val="single" w:sz="4" w:space="0" w:color="1F497D"/>
              <w:right w:val="single" w:sz="4" w:space="0" w:color="1F497D"/>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10,45</w:t>
            </w:r>
          </w:p>
        </w:tc>
        <w:tc>
          <w:tcPr>
            <w:tcW w:w="227" w:type="pct"/>
            <w:tcBorders>
              <w:top w:val="nil"/>
              <w:left w:val="nil"/>
              <w:bottom w:val="single" w:sz="4" w:space="0" w:color="1F497D"/>
              <w:right w:val="single" w:sz="4" w:space="0" w:color="1F497D"/>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80,46</w:t>
            </w:r>
          </w:p>
        </w:tc>
        <w:tc>
          <w:tcPr>
            <w:tcW w:w="253" w:type="pct"/>
            <w:tcBorders>
              <w:top w:val="nil"/>
              <w:left w:val="nil"/>
              <w:bottom w:val="single" w:sz="4" w:space="0" w:color="1F497D"/>
              <w:right w:val="single" w:sz="4" w:space="0" w:color="1F497D"/>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0,41</w:t>
            </w:r>
          </w:p>
        </w:tc>
        <w:tc>
          <w:tcPr>
            <w:tcW w:w="287" w:type="pct"/>
            <w:tcBorders>
              <w:top w:val="nil"/>
              <w:left w:val="nil"/>
              <w:bottom w:val="single" w:sz="4" w:space="0" w:color="1F497D"/>
              <w:right w:val="single" w:sz="4" w:space="0" w:color="1F497D"/>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10,14</w:t>
            </w:r>
          </w:p>
        </w:tc>
        <w:tc>
          <w:tcPr>
            <w:tcW w:w="213" w:type="pct"/>
            <w:tcBorders>
              <w:top w:val="nil"/>
              <w:left w:val="nil"/>
              <w:bottom w:val="single" w:sz="4" w:space="0" w:color="1F497D"/>
              <w:right w:val="single" w:sz="4" w:space="0" w:color="1F497D"/>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78,01</w:t>
            </w:r>
          </w:p>
        </w:tc>
        <w:tc>
          <w:tcPr>
            <w:tcW w:w="253" w:type="pct"/>
            <w:tcBorders>
              <w:top w:val="nil"/>
              <w:left w:val="nil"/>
              <w:bottom w:val="single" w:sz="4" w:space="0" w:color="1F497D"/>
              <w:right w:val="single" w:sz="4" w:space="0" w:color="1F497D"/>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0,40</w:t>
            </w:r>
          </w:p>
        </w:tc>
        <w:tc>
          <w:tcPr>
            <w:tcW w:w="273" w:type="pct"/>
            <w:tcBorders>
              <w:top w:val="nil"/>
              <w:left w:val="single" w:sz="4" w:space="0" w:color="auto"/>
              <w:bottom w:val="single" w:sz="4" w:space="0" w:color="auto"/>
              <w:right w:val="single" w:sz="4" w:space="0" w:color="auto"/>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9,62</w:t>
            </w:r>
          </w:p>
        </w:tc>
        <w:tc>
          <w:tcPr>
            <w:tcW w:w="206" w:type="pct"/>
            <w:tcBorders>
              <w:top w:val="nil"/>
              <w:left w:val="nil"/>
              <w:bottom w:val="single" w:sz="4" w:space="0" w:color="auto"/>
              <w:right w:val="single" w:sz="4" w:space="0" w:color="auto"/>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74,03</w:t>
            </w:r>
          </w:p>
        </w:tc>
        <w:tc>
          <w:tcPr>
            <w:tcW w:w="207" w:type="pct"/>
            <w:tcBorders>
              <w:top w:val="nil"/>
              <w:left w:val="nil"/>
              <w:bottom w:val="single" w:sz="4" w:space="0" w:color="auto"/>
              <w:right w:val="single" w:sz="4" w:space="0" w:color="auto"/>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0,37</w:t>
            </w:r>
          </w:p>
        </w:tc>
      </w:tr>
      <w:tr w:rsidR="00E51D83" w:rsidRPr="00E51D83" w:rsidTr="00264EC4">
        <w:trPr>
          <w:trHeight w:val="225"/>
        </w:trPr>
        <w:tc>
          <w:tcPr>
            <w:tcW w:w="254" w:type="pct"/>
            <w:vMerge/>
            <w:tcBorders>
              <w:top w:val="nil"/>
              <w:left w:val="single" w:sz="4" w:space="0" w:color="1F497D"/>
              <w:bottom w:val="single" w:sz="4" w:space="0" w:color="1F497D"/>
              <w:right w:val="single" w:sz="4" w:space="0" w:color="1F497D"/>
            </w:tcBorders>
            <w:vAlign w:val="center"/>
            <w:hideMark/>
          </w:tcPr>
          <w:p w:rsidR="00E51D83" w:rsidRPr="00E51D83" w:rsidRDefault="00E51D83" w:rsidP="00E51D83">
            <w:pPr>
              <w:rPr>
                <w:color w:val="000000"/>
                <w:sz w:val="16"/>
                <w:szCs w:val="16"/>
              </w:rPr>
            </w:pPr>
          </w:p>
        </w:tc>
        <w:tc>
          <w:tcPr>
            <w:tcW w:w="334" w:type="pct"/>
            <w:tcBorders>
              <w:top w:val="nil"/>
              <w:left w:val="nil"/>
              <w:bottom w:val="single" w:sz="4" w:space="0" w:color="1F497D"/>
              <w:right w:val="single" w:sz="4" w:space="0" w:color="1F497D"/>
            </w:tcBorders>
            <w:shd w:val="clear" w:color="000000" w:fill="FFFFFF"/>
            <w:vAlign w:val="center"/>
            <w:hideMark/>
          </w:tcPr>
          <w:p w:rsidR="00E51D83" w:rsidRPr="00E51D83" w:rsidRDefault="00E51D83" w:rsidP="00264EC4">
            <w:pPr>
              <w:jc w:val="center"/>
              <w:rPr>
                <w:color w:val="000000"/>
                <w:sz w:val="16"/>
                <w:szCs w:val="16"/>
              </w:rPr>
            </w:pPr>
            <w:r w:rsidRPr="00E51D83">
              <w:rPr>
                <w:color w:val="000000"/>
                <w:sz w:val="16"/>
                <w:szCs w:val="16"/>
              </w:rPr>
              <w:t>2015/10/02</w:t>
            </w:r>
          </w:p>
        </w:tc>
        <w:tc>
          <w:tcPr>
            <w:tcW w:w="240" w:type="pct"/>
            <w:tcBorders>
              <w:top w:val="nil"/>
              <w:left w:val="nil"/>
              <w:bottom w:val="single" w:sz="4" w:space="0" w:color="1F497D"/>
              <w:right w:val="single" w:sz="4" w:space="0" w:color="1F497D"/>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12,97</w:t>
            </w:r>
          </w:p>
        </w:tc>
        <w:tc>
          <w:tcPr>
            <w:tcW w:w="240" w:type="pct"/>
            <w:tcBorders>
              <w:top w:val="nil"/>
              <w:left w:val="nil"/>
              <w:bottom w:val="single" w:sz="4" w:space="0" w:color="1F497D"/>
              <w:right w:val="single" w:sz="4" w:space="0" w:color="1F497D"/>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0,50</w:t>
            </w:r>
          </w:p>
        </w:tc>
        <w:tc>
          <w:tcPr>
            <w:tcW w:w="182" w:type="pct"/>
            <w:tcBorders>
              <w:top w:val="nil"/>
              <w:left w:val="nil"/>
              <w:bottom w:val="single" w:sz="4" w:space="0" w:color="1F497D"/>
              <w:right w:val="single" w:sz="4" w:space="0" w:color="1F497D"/>
            </w:tcBorders>
            <w:shd w:val="clear" w:color="000000" w:fill="FFFFFF"/>
            <w:vAlign w:val="center"/>
            <w:hideMark/>
          </w:tcPr>
          <w:p w:rsidR="00E51D83" w:rsidRPr="00E51D83" w:rsidRDefault="00E51D83" w:rsidP="00264EC4">
            <w:pPr>
              <w:jc w:val="center"/>
              <w:rPr>
                <w:color w:val="000000"/>
                <w:sz w:val="16"/>
                <w:szCs w:val="16"/>
              </w:rPr>
            </w:pPr>
            <w:r w:rsidRPr="00E51D83">
              <w:rPr>
                <w:color w:val="000000"/>
                <w:sz w:val="16"/>
                <w:szCs w:val="16"/>
              </w:rPr>
              <w:t>0</w:t>
            </w:r>
          </w:p>
        </w:tc>
        <w:tc>
          <w:tcPr>
            <w:tcW w:w="267" w:type="pct"/>
            <w:tcBorders>
              <w:top w:val="nil"/>
              <w:left w:val="nil"/>
              <w:bottom w:val="single" w:sz="4" w:space="0" w:color="1F497D"/>
              <w:right w:val="single" w:sz="4" w:space="0" w:color="1F497D"/>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22,63</w:t>
            </w:r>
          </w:p>
        </w:tc>
        <w:tc>
          <w:tcPr>
            <w:tcW w:w="206" w:type="pct"/>
            <w:tcBorders>
              <w:top w:val="nil"/>
              <w:left w:val="nil"/>
              <w:bottom w:val="single" w:sz="4" w:space="0" w:color="1F497D"/>
              <w:right w:val="single" w:sz="4" w:space="0" w:color="1F497D"/>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174,55</w:t>
            </w:r>
          </w:p>
        </w:tc>
        <w:tc>
          <w:tcPr>
            <w:tcW w:w="233" w:type="pct"/>
            <w:tcBorders>
              <w:top w:val="nil"/>
              <w:left w:val="nil"/>
              <w:bottom w:val="single" w:sz="4" w:space="0" w:color="1F497D"/>
              <w:right w:val="single" w:sz="4" w:space="0" w:color="1F497D"/>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0,85</w:t>
            </w:r>
          </w:p>
        </w:tc>
        <w:tc>
          <w:tcPr>
            <w:tcW w:w="182" w:type="pct"/>
            <w:tcBorders>
              <w:top w:val="nil"/>
              <w:left w:val="nil"/>
              <w:bottom w:val="single" w:sz="4" w:space="0" w:color="1F497D"/>
              <w:right w:val="single" w:sz="4" w:space="0" w:color="1F497D"/>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0</w:t>
            </w:r>
          </w:p>
        </w:tc>
        <w:tc>
          <w:tcPr>
            <w:tcW w:w="260" w:type="pct"/>
            <w:tcBorders>
              <w:top w:val="nil"/>
              <w:left w:val="nil"/>
              <w:bottom w:val="single" w:sz="4" w:space="0" w:color="1F497D"/>
              <w:right w:val="single" w:sz="4" w:space="0" w:color="1F497D"/>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14,95</w:t>
            </w:r>
          </w:p>
        </w:tc>
        <w:tc>
          <w:tcPr>
            <w:tcW w:w="213" w:type="pct"/>
            <w:tcBorders>
              <w:top w:val="nil"/>
              <w:left w:val="nil"/>
              <w:bottom w:val="single" w:sz="4" w:space="0" w:color="1F497D"/>
              <w:right w:val="single" w:sz="4" w:space="0" w:color="1F497D"/>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115,30</w:t>
            </w:r>
          </w:p>
        </w:tc>
        <w:tc>
          <w:tcPr>
            <w:tcW w:w="213" w:type="pct"/>
            <w:tcBorders>
              <w:top w:val="nil"/>
              <w:left w:val="nil"/>
              <w:bottom w:val="single" w:sz="4" w:space="0" w:color="1F497D"/>
              <w:right w:val="single" w:sz="4" w:space="0" w:color="1F497D"/>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0,57</w:t>
            </w:r>
          </w:p>
        </w:tc>
        <w:tc>
          <w:tcPr>
            <w:tcW w:w="260" w:type="pct"/>
            <w:tcBorders>
              <w:top w:val="nil"/>
              <w:left w:val="nil"/>
              <w:bottom w:val="single" w:sz="4" w:space="0" w:color="1F497D"/>
              <w:right w:val="single" w:sz="4" w:space="0" w:color="1F497D"/>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11,14</w:t>
            </w:r>
          </w:p>
        </w:tc>
        <w:tc>
          <w:tcPr>
            <w:tcW w:w="227" w:type="pct"/>
            <w:tcBorders>
              <w:top w:val="nil"/>
              <w:left w:val="nil"/>
              <w:bottom w:val="single" w:sz="4" w:space="0" w:color="1F497D"/>
              <w:right w:val="single" w:sz="4" w:space="0" w:color="1F497D"/>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85,94</w:t>
            </w:r>
          </w:p>
        </w:tc>
        <w:tc>
          <w:tcPr>
            <w:tcW w:w="253" w:type="pct"/>
            <w:tcBorders>
              <w:top w:val="nil"/>
              <w:left w:val="nil"/>
              <w:bottom w:val="single" w:sz="4" w:space="0" w:color="1F497D"/>
              <w:right w:val="single" w:sz="4" w:space="0" w:color="1F497D"/>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0,43</w:t>
            </w:r>
          </w:p>
        </w:tc>
        <w:tc>
          <w:tcPr>
            <w:tcW w:w="287" w:type="pct"/>
            <w:tcBorders>
              <w:top w:val="nil"/>
              <w:left w:val="nil"/>
              <w:bottom w:val="single" w:sz="4" w:space="0" w:color="1F497D"/>
              <w:right w:val="single" w:sz="4" w:space="0" w:color="1F497D"/>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11,04</w:t>
            </w:r>
          </w:p>
        </w:tc>
        <w:tc>
          <w:tcPr>
            <w:tcW w:w="213" w:type="pct"/>
            <w:tcBorders>
              <w:top w:val="nil"/>
              <w:left w:val="nil"/>
              <w:bottom w:val="single" w:sz="4" w:space="0" w:color="1F497D"/>
              <w:right w:val="single" w:sz="4" w:space="0" w:color="1F497D"/>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85,14</w:t>
            </w:r>
          </w:p>
        </w:tc>
        <w:tc>
          <w:tcPr>
            <w:tcW w:w="253" w:type="pct"/>
            <w:tcBorders>
              <w:top w:val="nil"/>
              <w:left w:val="nil"/>
              <w:bottom w:val="single" w:sz="4" w:space="0" w:color="1F497D"/>
              <w:right w:val="single" w:sz="4" w:space="0" w:color="1F497D"/>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0,43</w:t>
            </w:r>
          </w:p>
        </w:tc>
        <w:tc>
          <w:tcPr>
            <w:tcW w:w="273" w:type="pct"/>
            <w:tcBorders>
              <w:top w:val="nil"/>
              <w:left w:val="single" w:sz="4" w:space="0" w:color="auto"/>
              <w:bottom w:val="single" w:sz="4" w:space="0" w:color="auto"/>
              <w:right w:val="single" w:sz="4" w:space="0" w:color="auto"/>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10,12</w:t>
            </w:r>
          </w:p>
        </w:tc>
        <w:tc>
          <w:tcPr>
            <w:tcW w:w="206" w:type="pct"/>
            <w:tcBorders>
              <w:top w:val="nil"/>
              <w:left w:val="nil"/>
              <w:bottom w:val="single" w:sz="4" w:space="0" w:color="auto"/>
              <w:right w:val="single" w:sz="4" w:space="0" w:color="auto"/>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78,03</w:t>
            </w:r>
          </w:p>
        </w:tc>
        <w:tc>
          <w:tcPr>
            <w:tcW w:w="207" w:type="pct"/>
            <w:tcBorders>
              <w:top w:val="nil"/>
              <w:left w:val="nil"/>
              <w:bottom w:val="single" w:sz="4" w:space="0" w:color="auto"/>
              <w:right w:val="single" w:sz="4" w:space="0" w:color="auto"/>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0,39</w:t>
            </w:r>
          </w:p>
        </w:tc>
      </w:tr>
      <w:tr w:rsidR="00E51D83" w:rsidRPr="00E51D83" w:rsidTr="00264EC4">
        <w:trPr>
          <w:trHeight w:val="225"/>
        </w:trPr>
        <w:tc>
          <w:tcPr>
            <w:tcW w:w="254" w:type="pct"/>
            <w:vMerge/>
            <w:tcBorders>
              <w:top w:val="nil"/>
              <w:left w:val="single" w:sz="4" w:space="0" w:color="1F497D"/>
              <w:bottom w:val="single" w:sz="4" w:space="0" w:color="1F497D"/>
              <w:right w:val="single" w:sz="4" w:space="0" w:color="1F497D"/>
            </w:tcBorders>
            <w:vAlign w:val="center"/>
            <w:hideMark/>
          </w:tcPr>
          <w:p w:rsidR="00E51D83" w:rsidRPr="00E51D83" w:rsidRDefault="00E51D83" w:rsidP="00E51D83">
            <w:pPr>
              <w:rPr>
                <w:color w:val="000000"/>
                <w:sz w:val="16"/>
                <w:szCs w:val="16"/>
              </w:rPr>
            </w:pPr>
          </w:p>
        </w:tc>
        <w:tc>
          <w:tcPr>
            <w:tcW w:w="334" w:type="pct"/>
            <w:tcBorders>
              <w:top w:val="nil"/>
              <w:left w:val="nil"/>
              <w:bottom w:val="single" w:sz="4" w:space="0" w:color="1F497D"/>
              <w:right w:val="single" w:sz="4" w:space="0" w:color="1F497D"/>
            </w:tcBorders>
            <w:shd w:val="clear" w:color="000000" w:fill="FFFFFF"/>
            <w:vAlign w:val="center"/>
            <w:hideMark/>
          </w:tcPr>
          <w:p w:rsidR="00E51D83" w:rsidRPr="00E51D83" w:rsidRDefault="00E51D83" w:rsidP="00264EC4">
            <w:pPr>
              <w:jc w:val="center"/>
              <w:rPr>
                <w:color w:val="000000"/>
                <w:sz w:val="16"/>
                <w:szCs w:val="16"/>
              </w:rPr>
            </w:pPr>
            <w:r w:rsidRPr="00E51D83">
              <w:rPr>
                <w:color w:val="000000"/>
                <w:sz w:val="16"/>
                <w:szCs w:val="16"/>
              </w:rPr>
              <w:t>Rozdíl</w:t>
            </w:r>
          </w:p>
        </w:tc>
        <w:tc>
          <w:tcPr>
            <w:tcW w:w="240" w:type="pct"/>
            <w:tcBorders>
              <w:top w:val="nil"/>
              <w:left w:val="nil"/>
              <w:bottom w:val="single" w:sz="4" w:space="0" w:color="1F497D"/>
              <w:right w:val="single" w:sz="4" w:space="0" w:color="1F497D"/>
            </w:tcBorders>
            <w:shd w:val="clear" w:color="000000" w:fill="FFFFFF"/>
            <w:noWrap/>
            <w:vAlign w:val="center"/>
            <w:hideMark/>
          </w:tcPr>
          <w:p w:rsidR="00E51D83" w:rsidRPr="00E51D83" w:rsidRDefault="00E51D83" w:rsidP="00264EC4">
            <w:pPr>
              <w:jc w:val="center"/>
              <w:rPr>
                <w:color w:val="000000"/>
                <w:sz w:val="16"/>
                <w:szCs w:val="16"/>
              </w:rPr>
            </w:pPr>
          </w:p>
        </w:tc>
        <w:tc>
          <w:tcPr>
            <w:tcW w:w="240" w:type="pct"/>
            <w:tcBorders>
              <w:top w:val="nil"/>
              <w:left w:val="nil"/>
              <w:bottom w:val="single" w:sz="4" w:space="0" w:color="1F497D"/>
              <w:right w:val="single" w:sz="4" w:space="0" w:color="1F497D"/>
            </w:tcBorders>
            <w:shd w:val="clear" w:color="000000" w:fill="FFFFFF"/>
            <w:noWrap/>
            <w:vAlign w:val="center"/>
            <w:hideMark/>
          </w:tcPr>
          <w:p w:rsidR="00E51D83" w:rsidRPr="00E51D83" w:rsidRDefault="00E51D83" w:rsidP="00264EC4">
            <w:pPr>
              <w:jc w:val="center"/>
              <w:rPr>
                <w:color w:val="000000"/>
                <w:sz w:val="16"/>
                <w:szCs w:val="16"/>
              </w:rPr>
            </w:pPr>
          </w:p>
        </w:tc>
        <w:tc>
          <w:tcPr>
            <w:tcW w:w="182" w:type="pct"/>
            <w:tcBorders>
              <w:top w:val="nil"/>
              <w:left w:val="nil"/>
              <w:bottom w:val="single" w:sz="4" w:space="0" w:color="1F497D"/>
              <w:right w:val="single" w:sz="4" w:space="0" w:color="1F497D"/>
            </w:tcBorders>
            <w:shd w:val="clear" w:color="000000" w:fill="FFFFFF"/>
            <w:vAlign w:val="center"/>
            <w:hideMark/>
          </w:tcPr>
          <w:p w:rsidR="00E51D83" w:rsidRPr="00E51D83" w:rsidRDefault="00B011E8" w:rsidP="00264EC4">
            <w:pPr>
              <w:jc w:val="center"/>
              <w:rPr>
                <w:color w:val="000000"/>
                <w:sz w:val="16"/>
                <w:szCs w:val="16"/>
              </w:rPr>
            </w:pPr>
            <w:r>
              <w:rPr>
                <w:color w:val="000000"/>
                <w:sz w:val="16"/>
                <w:szCs w:val="16"/>
              </w:rPr>
              <w:t>0</w:t>
            </w:r>
          </w:p>
        </w:tc>
        <w:tc>
          <w:tcPr>
            <w:tcW w:w="267" w:type="pct"/>
            <w:tcBorders>
              <w:top w:val="nil"/>
              <w:left w:val="nil"/>
              <w:bottom w:val="single" w:sz="4" w:space="0" w:color="1F497D"/>
              <w:right w:val="single" w:sz="4" w:space="0" w:color="1F497D"/>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0,97</w:t>
            </w:r>
          </w:p>
        </w:tc>
        <w:tc>
          <w:tcPr>
            <w:tcW w:w="206" w:type="pct"/>
            <w:tcBorders>
              <w:top w:val="nil"/>
              <w:left w:val="nil"/>
              <w:bottom w:val="single" w:sz="4" w:space="0" w:color="1F497D"/>
              <w:right w:val="single" w:sz="4" w:space="0" w:color="1F497D"/>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7,45</w:t>
            </w:r>
          </w:p>
        </w:tc>
        <w:tc>
          <w:tcPr>
            <w:tcW w:w="233" w:type="pct"/>
            <w:tcBorders>
              <w:top w:val="nil"/>
              <w:left w:val="nil"/>
              <w:bottom w:val="single" w:sz="4" w:space="0" w:color="1F497D"/>
              <w:right w:val="single" w:sz="4" w:space="0" w:color="1F497D"/>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0,04</w:t>
            </w:r>
          </w:p>
        </w:tc>
        <w:tc>
          <w:tcPr>
            <w:tcW w:w="182" w:type="pct"/>
            <w:tcBorders>
              <w:top w:val="nil"/>
              <w:left w:val="nil"/>
              <w:bottom w:val="single" w:sz="4" w:space="0" w:color="1F497D"/>
              <w:right w:val="single" w:sz="4" w:space="0" w:color="1F497D"/>
            </w:tcBorders>
            <w:shd w:val="clear" w:color="000000" w:fill="FFFFFF"/>
            <w:noWrap/>
            <w:vAlign w:val="center"/>
            <w:hideMark/>
          </w:tcPr>
          <w:p w:rsidR="00E51D83" w:rsidRPr="00E51D83" w:rsidRDefault="00B011E8" w:rsidP="00264EC4">
            <w:pPr>
              <w:jc w:val="center"/>
              <w:rPr>
                <w:color w:val="000000"/>
                <w:sz w:val="16"/>
                <w:szCs w:val="16"/>
              </w:rPr>
            </w:pPr>
            <w:r>
              <w:rPr>
                <w:color w:val="000000"/>
                <w:sz w:val="16"/>
                <w:szCs w:val="16"/>
              </w:rPr>
              <w:t>0</w:t>
            </w:r>
          </w:p>
        </w:tc>
        <w:tc>
          <w:tcPr>
            <w:tcW w:w="260" w:type="pct"/>
            <w:tcBorders>
              <w:top w:val="nil"/>
              <w:left w:val="nil"/>
              <w:bottom w:val="single" w:sz="4" w:space="0" w:color="1F497D"/>
              <w:right w:val="single" w:sz="4" w:space="0" w:color="1F497D"/>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-0,75</w:t>
            </w:r>
          </w:p>
        </w:tc>
        <w:tc>
          <w:tcPr>
            <w:tcW w:w="213" w:type="pct"/>
            <w:tcBorders>
              <w:top w:val="nil"/>
              <w:left w:val="nil"/>
              <w:bottom w:val="single" w:sz="4" w:space="0" w:color="1F497D"/>
              <w:right w:val="single" w:sz="4" w:space="0" w:color="1F497D"/>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-5,80</w:t>
            </w:r>
          </w:p>
        </w:tc>
        <w:tc>
          <w:tcPr>
            <w:tcW w:w="213" w:type="pct"/>
            <w:tcBorders>
              <w:top w:val="nil"/>
              <w:left w:val="nil"/>
              <w:bottom w:val="single" w:sz="4" w:space="0" w:color="1F497D"/>
              <w:right w:val="single" w:sz="4" w:space="0" w:color="1F497D"/>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-0,03</w:t>
            </w:r>
          </w:p>
        </w:tc>
        <w:tc>
          <w:tcPr>
            <w:tcW w:w="260" w:type="pct"/>
            <w:tcBorders>
              <w:top w:val="nil"/>
              <w:left w:val="nil"/>
              <w:bottom w:val="single" w:sz="4" w:space="0" w:color="1F497D"/>
              <w:right w:val="single" w:sz="4" w:space="0" w:color="1F497D"/>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0,69</w:t>
            </w:r>
          </w:p>
        </w:tc>
        <w:tc>
          <w:tcPr>
            <w:tcW w:w="227" w:type="pct"/>
            <w:tcBorders>
              <w:top w:val="nil"/>
              <w:left w:val="nil"/>
              <w:bottom w:val="single" w:sz="4" w:space="0" w:color="1F497D"/>
              <w:right w:val="single" w:sz="4" w:space="0" w:color="1F497D"/>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5,31</w:t>
            </w:r>
          </w:p>
        </w:tc>
        <w:tc>
          <w:tcPr>
            <w:tcW w:w="253" w:type="pct"/>
            <w:tcBorders>
              <w:top w:val="nil"/>
              <w:left w:val="nil"/>
              <w:bottom w:val="single" w:sz="4" w:space="0" w:color="1F497D"/>
              <w:right w:val="single" w:sz="4" w:space="0" w:color="1F497D"/>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0,03</w:t>
            </w:r>
          </w:p>
        </w:tc>
        <w:tc>
          <w:tcPr>
            <w:tcW w:w="287" w:type="pct"/>
            <w:tcBorders>
              <w:top w:val="nil"/>
              <w:left w:val="nil"/>
              <w:bottom w:val="single" w:sz="4" w:space="0" w:color="1F497D"/>
              <w:right w:val="single" w:sz="4" w:space="0" w:color="1F497D"/>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0,90</w:t>
            </w:r>
          </w:p>
        </w:tc>
        <w:tc>
          <w:tcPr>
            <w:tcW w:w="213" w:type="pct"/>
            <w:tcBorders>
              <w:top w:val="nil"/>
              <w:left w:val="nil"/>
              <w:bottom w:val="single" w:sz="4" w:space="0" w:color="1F497D"/>
              <w:right w:val="single" w:sz="4" w:space="0" w:color="1F497D"/>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6,97</w:t>
            </w:r>
          </w:p>
        </w:tc>
        <w:tc>
          <w:tcPr>
            <w:tcW w:w="253" w:type="pct"/>
            <w:tcBorders>
              <w:top w:val="nil"/>
              <w:left w:val="nil"/>
              <w:bottom w:val="single" w:sz="4" w:space="0" w:color="1F497D"/>
              <w:right w:val="single" w:sz="4" w:space="0" w:color="1F497D"/>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0,03</w:t>
            </w:r>
          </w:p>
        </w:tc>
        <w:tc>
          <w:tcPr>
            <w:tcW w:w="273" w:type="pct"/>
            <w:tcBorders>
              <w:top w:val="nil"/>
              <w:left w:val="single" w:sz="4" w:space="0" w:color="auto"/>
              <w:bottom w:val="single" w:sz="4" w:space="0" w:color="auto"/>
              <w:right w:val="single" w:sz="4" w:space="0" w:color="auto"/>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0,50</w:t>
            </w:r>
          </w:p>
        </w:tc>
        <w:tc>
          <w:tcPr>
            <w:tcW w:w="206" w:type="pct"/>
            <w:tcBorders>
              <w:top w:val="nil"/>
              <w:left w:val="nil"/>
              <w:bottom w:val="single" w:sz="4" w:space="0" w:color="auto"/>
              <w:right w:val="single" w:sz="4" w:space="0" w:color="auto"/>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3,85</w:t>
            </w:r>
          </w:p>
        </w:tc>
        <w:tc>
          <w:tcPr>
            <w:tcW w:w="207" w:type="pct"/>
            <w:tcBorders>
              <w:top w:val="nil"/>
              <w:left w:val="nil"/>
              <w:bottom w:val="single" w:sz="4" w:space="0" w:color="auto"/>
              <w:right w:val="single" w:sz="4" w:space="0" w:color="auto"/>
            </w:tcBorders>
            <w:shd w:val="clear" w:color="000000" w:fill="FFFFFF"/>
            <w:noWrap/>
            <w:vAlign w:val="center"/>
            <w:hideMark/>
          </w:tcPr>
          <w:p w:rsidR="00E51D83" w:rsidRPr="00E51D83" w:rsidRDefault="00E51D83" w:rsidP="00264EC4">
            <w:pPr>
              <w:jc w:val="center"/>
              <w:rPr>
                <w:color w:val="000000"/>
                <w:sz w:val="16"/>
                <w:szCs w:val="16"/>
              </w:rPr>
            </w:pPr>
            <w:r w:rsidRPr="00E51D83">
              <w:rPr>
                <w:color w:val="000000"/>
                <w:sz w:val="16"/>
                <w:szCs w:val="16"/>
              </w:rPr>
              <w:t>0,02</w:t>
            </w:r>
          </w:p>
        </w:tc>
      </w:tr>
    </w:tbl>
    <w:p w:rsidR="006F4A68" w:rsidRPr="00F42CC8" w:rsidRDefault="006F4A68" w:rsidP="00D15C73">
      <w:pPr>
        <w:rPr>
          <w:i/>
          <w:sz w:val="18"/>
          <w:szCs w:val="18"/>
        </w:rPr>
      </w:pPr>
      <w:r w:rsidRPr="00C9059F">
        <w:rPr>
          <w:i/>
          <w:sz w:val="18"/>
          <w:szCs w:val="18"/>
        </w:rPr>
        <w:t xml:space="preserve">Zdroj: Aktuální </w:t>
      </w:r>
      <w:proofErr w:type="spellStart"/>
      <w:r w:rsidRPr="00C9059F">
        <w:rPr>
          <w:i/>
          <w:sz w:val="18"/>
          <w:szCs w:val="18"/>
        </w:rPr>
        <w:t>MoV</w:t>
      </w:r>
      <w:proofErr w:type="spellEnd"/>
      <w:r w:rsidRPr="00C9059F">
        <w:rPr>
          <w:i/>
          <w:sz w:val="18"/>
          <w:szCs w:val="18"/>
        </w:rPr>
        <w:t xml:space="preserve"> – MSC2007 ke </w:t>
      </w:r>
      <w:r w:rsidRPr="00F42CC8">
        <w:rPr>
          <w:i/>
          <w:sz w:val="18"/>
          <w:szCs w:val="18"/>
        </w:rPr>
        <w:t xml:space="preserve">dni </w:t>
      </w:r>
      <w:r w:rsidR="0015783A">
        <w:rPr>
          <w:i/>
          <w:sz w:val="18"/>
          <w:szCs w:val="18"/>
        </w:rPr>
        <w:t>30. 9. 2015</w:t>
      </w:r>
      <w:r w:rsidR="00D15C73">
        <w:rPr>
          <w:i/>
          <w:sz w:val="18"/>
          <w:szCs w:val="18"/>
        </w:rPr>
        <w:t xml:space="preserve">; Data za certifikované prostředky byla v celé zprávě generována k datu 8. 10. 2015, důvodem je technická chyba způsobena chybným přenosem dat </w:t>
      </w:r>
      <w:proofErr w:type="gramStart"/>
      <w:r w:rsidR="00D15C73">
        <w:rPr>
          <w:i/>
          <w:sz w:val="18"/>
          <w:szCs w:val="18"/>
        </w:rPr>
        <w:t>mezi</w:t>
      </w:r>
      <w:proofErr w:type="gramEnd"/>
      <w:r w:rsidR="00D15C73">
        <w:rPr>
          <w:i/>
          <w:sz w:val="18"/>
          <w:szCs w:val="18"/>
        </w:rPr>
        <w:t xml:space="preserve"> IS Viola a MSC2007</w:t>
      </w:r>
    </w:p>
    <w:p w:rsidR="006F4A68" w:rsidRPr="00F42CC8" w:rsidRDefault="006F4A68" w:rsidP="006F4A68">
      <w:pPr>
        <w:jc w:val="both"/>
        <w:rPr>
          <w:i/>
          <w:sz w:val="18"/>
          <w:szCs w:val="18"/>
        </w:rPr>
      </w:pPr>
      <w:r w:rsidRPr="00F42CC8">
        <w:rPr>
          <w:i/>
          <w:sz w:val="18"/>
          <w:szCs w:val="18"/>
        </w:rPr>
        <w:t xml:space="preserve">           Předchozí </w:t>
      </w:r>
      <w:proofErr w:type="spellStart"/>
      <w:r w:rsidRPr="00F42CC8">
        <w:rPr>
          <w:i/>
          <w:sz w:val="18"/>
          <w:szCs w:val="18"/>
        </w:rPr>
        <w:t>MoV</w:t>
      </w:r>
      <w:proofErr w:type="spellEnd"/>
      <w:r w:rsidRPr="00F42CC8">
        <w:rPr>
          <w:i/>
          <w:sz w:val="18"/>
          <w:szCs w:val="18"/>
        </w:rPr>
        <w:t xml:space="preserve"> – MSC2007+ ke dni.</w:t>
      </w:r>
      <w:r w:rsidR="003C0A2C" w:rsidRPr="003C0A2C">
        <w:rPr>
          <w:i/>
          <w:sz w:val="18"/>
          <w:szCs w:val="18"/>
        </w:rPr>
        <w:t xml:space="preserve"> </w:t>
      </w:r>
      <w:r w:rsidR="006E4E35">
        <w:rPr>
          <w:i/>
          <w:sz w:val="18"/>
          <w:szCs w:val="18"/>
        </w:rPr>
        <w:t>16. 4. 2015</w:t>
      </w:r>
    </w:p>
    <w:p w:rsidR="006F4A68" w:rsidRPr="00277C9A" w:rsidRDefault="006F4A68" w:rsidP="006F4A68">
      <w:pPr>
        <w:jc w:val="both"/>
        <w:rPr>
          <w:i/>
          <w:sz w:val="18"/>
          <w:szCs w:val="18"/>
        </w:rPr>
      </w:pPr>
      <w:r w:rsidRPr="00277C9A">
        <w:rPr>
          <w:i/>
          <w:sz w:val="18"/>
          <w:szCs w:val="18"/>
        </w:rPr>
        <w:t xml:space="preserve"> Kurz CZK/EUR: Aktuální </w:t>
      </w:r>
      <w:proofErr w:type="spellStart"/>
      <w:r w:rsidRPr="00277C9A">
        <w:rPr>
          <w:i/>
          <w:sz w:val="18"/>
          <w:szCs w:val="18"/>
        </w:rPr>
        <w:t>MoV</w:t>
      </w:r>
      <w:proofErr w:type="spellEnd"/>
      <w:r w:rsidRPr="00277C9A">
        <w:rPr>
          <w:i/>
          <w:sz w:val="18"/>
          <w:szCs w:val="18"/>
        </w:rPr>
        <w:t xml:space="preserve"> </w:t>
      </w:r>
      <w:r w:rsidRPr="00737479">
        <w:rPr>
          <w:i/>
          <w:sz w:val="18"/>
          <w:szCs w:val="18"/>
        </w:rPr>
        <w:t xml:space="preserve">– </w:t>
      </w:r>
      <w:r w:rsidR="006E4E35">
        <w:rPr>
          <w:i/>
          <w:sz w:val="18"/>
          <w:szCs w:val="18"/>
        </w:rPr>
        <w:t>27,208</w:t>
      </w:r>
    </w:p>
    <w:p w:rsidR="006F4A68" w:rsidRPr="00277C9A" w:rsidRDefault="006F4A68" w:rsidP="006F4A68">
      <w:pPr>
        <w:jc w:val="both"/>
        <w:rPr>
          <w:i/>
          <w:sz w:val="18"/>
          <w:szCs w:val="18"/>
        </w:rPr>
      </w:pPr>
      <w:r w:rsidRPr="00277C9A">
        <w:rPr>
          <w:i/>
          <w:sz w:val="18"/>
          <w:szCs w:val="18"/>
        </w:rPr>
        <w:t xml:space="preserve">                            Předchozí </w:t>
      </w:r>
      <w:proofErr w:type="spellStart"/>
      <w:r w:rsidRPr="00277C9A">
        <w:rPr>
          <w:i/>
          <w:sz w:val="18"/>
          <w:szCs w:val="18"/>
        </w:rPr>
        <w:t>MoV</w:t>
      </w:r>
      <w:proofErr w:type="spellEnd"/>
      <w:r>
        <w:rPr>
          <w:i/>
          <w:sz w:val="18"/>
          <w:szCs w:val="18"/>
        </w:rPr>
        <w:t xml:space="preserve"> </w:t>
      </w:r>
      <w:r w:rsidRPr="00277C9A">
        <w:rPr>
          <w:i/>
          <w:sz w:val="18"/>
          <w:szCs w:val="18"/>
        </w:rPr>
        <w:t xml:space="preserve">– </w:t>
      </w:r>
      <w:r w:rsidR="006E4E35">
        <w:rPr>
          <w:i/>
          <w:sz w:val="18"/>
          <w:szCs w:val="18"/>
        </w:rPr>
        <w:t>27,473</w:t>
      </w:r>
    </w:p>
    <w:p w:rsidR="006F4A68" w:rsidRDefault="006F4A68" w:rsidP="006F4A68">
      <w:pPr>
        <w:rPr>
          <w:i/>
          <w:sz w:val="18"/>
          <w:szCs w:val="18"/>
        </w:rPr>
      </w:pPr>
      <w:r w:rsidRPr="00277C9A">
        <w:rPr>
          <w:i/>
          <w:sz w:val="18"/>
          <w:szCs w:val="18"/>
        </w:rPr>
        <w:t xml:space="preserve">Zdroj financování – </w:t>
      </w:r>
      <w:r>
        <w:rPr>
          <w:i/>
          <w:sz w:val="18"/>
          <w:szCs w:val="18"/>
        </w:rPr>
        <w:t>podíl EU</w:t>
      </w:r>
    </w:p>
    <w:p w:rsidR="00DF3B19" w:rsidRDefault="00DF3B19" w:rsidP="006F4A68">
      <w:pPr>
        <w:rPr>
          <w:i/>
          <w:sz w:val="18"/>
          <w:szCs w:val="18"/>
        </w:rPr>
      </w:pPr>
    </w:p>
    <w:p w:rsidR="00DF3B19" w:rsidRDefault="00DF3B19" w:rsidP="006F4A68">
      <w:pPr>
        <w:rPr>
          <w:i/>
          <w:sz w:val="18"/>
          <w:szCs w:val="18"/>
        </w:rPr>
      </w:pPr>
    </w:p>
    <w:p w:rsidR="002E5B61" w:rsidRDefault="002E5B61" w:rsidP="006F4A68">
      <w:pPr>
        <w:rPr>
          <w:i/>
          <w:sz w:val="18"/>
          <w:szCs w:val="18"/>
        </w:rPr>
      </w:pPr>
    </w:p>
    <w:p w:rsidR="002E5B61" w:rsidRDefault="002E5B61" w:rsidP="006F4A68">
      <w:pPr>
        <w:rPr>
          <w:i/>
          <w:sz w:val="18"/>
          <w:szCs w:val="18"/>
        </w:rPr>
      </w:pPr>
    </w:p>
    <w:p w:rsidR="002E5B61" w:rsidRDefault="002E5B61" w:rsidP="006F4A68">
      <w:pPr>
        <w:rPr>
          <w:i/>
          <w:sz w:val="18"/>
          <w:szCs w:val="18"/>
        </w:rPr>
      </w:pPr>
    </w:p>
    <w:p w:rsidR="002E5B61" w:rsidRDefault="002E5B61" w:rsidP="006F4A68">
      <w:pPr>
        <w:rPr>
          <w:i/>
          <w:sz w:val="18"/>
          <w:szCs w:val="18"/>
        </w:rPr>
      </w:pPr>
    </w:p>
    <w:p w:rsidR="002E5B61" w:rsidRDefault="002E5B61" w:rsidP="006F4A68">
      <w:pPr>
        <w:rPr>
          <w:i/>
          <w:sz w:val="18"/>
          <w:szCs w:val="18"/>
        </w:rPr>
      </w:pPr>
    </w:p>
    <w:p w:rsidR="002E5B61" w:rsidRDefault="002E5B61" w:rsidP="006F4A68">
      <w:pPr>
        <w:rPr>
          <w:i/>
          <w:sz w:val="18"/>
          <w:szCs w:val="18"/>
        </w:rPr>
      </w:pPr>
    </w:p>
    <w:p w:rsidR="0084246F" w:rsidRPr="00D31DD1" w:rsidRDefault="00D63C2E" w:rsidP="00D31DD1">
      <w:pPr>
        <w:rPr>
          <w:i/>
          <w:sz w:val="18"/>
          <w:szCs w:val="18"/>
        </w:rPr>
      </w:pPr>
      <w:r>
        <w:rPr>
          <w:i/>
          <w:sz w:val="18"/>
          <w:szCs w:val="18"/>
        </w:rPr>
        <w:t xml:space="preserve"> </w:t>
      </w:r>
    </w:p>
    <w:p w:rsidR="00451E8E" w:rsidRDefault="00451E8E" w:rsidP="002E5B61">
      <w:pPr>
        <w:rPr>
          <w:rFonts w:eastAsia="Calibri"/>
          <w:sz w:val="22"/>
          <w:szCs w:val="22"/>
          <w:lang w:eastAsia="en-US"/>
        </w:rPr>
      </w:pPr>
      <w:r w:rsidRPr="00DC6EFF">
        <w:rPr>
          <w:b/>
          <w:sz w:val="22"/>
          <w:szCs w:val="22"/>
        </w:rPr>
        <w:lastRenderedPageBreak/>
        <w:t>V oblastech intervence 6.</w:t>
      </w:r>
      <w:r>
        <w:rPr>
          <w:b/>
          <w:sz w:val="22"/>
          <w:szCs w:val="22"/>
        </w:rPr>
        <w:t>2</w:t>
      </w:r>
      <w:r w:rsidRPr="00DC6EFF">
        <w:rPr>
          <w:b/>
          <w:sz w:val="22"/>
          <w:szCs w:val="22"/>
        </w:rPr>
        <w:t>a a 6.</w:t>
      </w:r>
      <w:r>
        <w:rPr>
          <w:b/>
          <w:sz w:val="22"/>
          <w:szCs w:val="22"/>
        </w:rPr>
        <w:t>2</w:t>
      </w:r>
      <w:r w:rsidRPr="00DC6EFF">
        <w:rPr>
          <w:b/>
          <w:sz w:val="22"/>
          <w:szCs w:val="22"/>
        </w:rPr>
        <w:t>b</w:t>
      </w:r>
      <w:r>
        <w:rPr>
          <w:sz w:val="22"/>
          <w:szCs w:val="22"/>
        </w:rPr>
        <w:t xml:space="preserve"> </w:t>
      </w:r>
      <w:r w:rsidR="00D31DD1" w:rsidRPr="00C06CE3">
        <w:rPr>
          <w:rFonts w:eastAsia="Calibri"/>
          <w:b/>
          <w:sz w:val="22"/>
          <w:szCs w:val="22"/>
          <w:lang w:eastAsia="en-US"/>
        </w:rPr>
        <w:t>V oblasti intervence 6.2a a 6.2b</w:t>
      </w:r>
      <w:r w:rsidR="00D31DD1" w:rsidRPr="00C06CE3">
        <w:rPr>
          <w:rFonts w:eastAsia="Calibri"/>
          <w:sz w:val="22"/>
          <w:szCs w:val="22"/>
          <w:lang w:eastAsia="en-US"/>
        </w:rPr>
        <w:t xml:space="preserve"> byly ve sledovaném období podány 4 nové žádosti o dotaci s požadovanou dotací ve výši 1,</w:t>
      </w:r>
      <w:r w:rsidR="005320AB">
        <w:rPr>
          <w:rFonts w:eastAsia="Calibri"/>
          <w:sz w:val="22"/>
          <w:szCs w:val="22"/>
          <w:lang w:eastAsia="en-US"/>
        </w:rPr>
        <w:t>28</w:t>
      </w:r>
      <w:r w:rsidR="00D31DD1" w:rsidRPr="00C06CE3">
        <w:rPr>
          <w:rFonts w:eastAsia="Calibri"/>
          <w:sz w:val="22"/>
          <w:szCs w:val="22"/>
          <w:lang w:eastAsia="en-US"/>
        </w:rPr>
        <w:t xml:space="preserve"> mil. EUR. Schváleno bylo celkem 76 projektů za 7,24 mil. EUR. Proplaceno bylo celkem 4,19 mil. EUR, což činí 57,94 % alokace této oblast</w:t>
      </w:r>
      <w:r w:rsidR="00D31DD1">
        <w:rPr>
          <w:rFonts w:eastAsia="Calibri"/>
          <w:sz w:val="22"/>
          <w:szCs w:val="22"/>
          <w:lang w:eastAsia="en-US"/>
        </w:rPr>
        <w:t xml:space="preserve">i intervence. Certifikováno k </w:t>
      </w:r>
      <w:r w:rsidR="00170169">
        <w:rPr>
          <w:rFonts w:eastAsia="Calibri"/>
          <w:sz w:val="22"/>
          <w:szCs w:val="22"/>
          <w:lang w:eastAsia="en-US"/>
        </w:rPr>
        <w:t>1. 10. 2015</w:t>
      </w:r>
      <w:r w:rsidR="00D31DD1" w:rsidRPr="00C06CE3">
        <w:rPr>
          <w:rFonts w:eastAsia="Calibri"/>
          <w:sz w:val="22"/>
          <w:szCs w:val="22"/>
          <w:lang w:eastAsia="en-US"/>
        </w:rPr>
        <w:t xml:space="preserve"> bylo </w:t>
      </w:r>
      <w:r w:rsidR="005320AB">
        <w:rPr>
          <w:rFonts w:eastAsia="Calibri"/>
          <w:sz w:val="22"/>
          <w:szCs w:val="22"/>
          <w:lang w:eastAsia="en-US"/>
        </w:rPr>
        <w:t>4,04</w:t>
      </w:r>
      <w:r w:rsidR="00D31DD1" w:rsidRPr="00C06CE3">
        <w:rPr>
          <w:rFonts w:eastAsia="Calibri"/>
          <w:sz w:val="22"/>
          <w:szCs w:val="22"/>
          <w:lang w:eastAsia="en-US"/>
        </w:rPr>
        <w:t xml:space="preserve"> mil. EUR, což představuje </w:t>
      </w:r>
      <w:r w:rsidR="005320AB">
        <w:rPr>
          <w:rFonts w:eastAsia="Calibri"/>
          <w:sz w:val="22"/>
          <w:szCs w:val="22"/>
          <w:lang w:eastAsia="en-US"/>
        </w:rPr>
        <w:t>55,97</w:t>
      </w:r>
      <w:r w:rsidR="00D31DD1" w:rsidRPr="00C06CE3">
        <w:rPr>
          <w:rFonts w:eastAsia="Calibri"/>
          <w:sz w:val="22"/>
          <w:szCs w:val="22"/>
          <w:lang w:eastAsia="en-US"/>
        </w:rPr>
        <w:t xml:space="preserve"> % alokac</w:t>
      </w:r>
      <w:r w:rsidR="002E5B61">
        <w:rPr>
          <w:rFonts w:eastAsia="Calibri"/>
          <w:sz w:val="22"/>
          <w:szCs w:val="22"/>
          <w:lang w:eastAsia="en-US"/>
        </w:rPr>
        <w:t>e.</w:t>
      </w:r>
    </w:p>
    <w:p w:rsidR="002E5B61" w:rsidRDefault="002E5B61" w:rsidP="002E5B61">
      <w:pPr>
        <w:rPr>
          <w:sz w:val="22"/>
          <w:szCs w:val="22"/>
        </w:rPr>
      </w:pPr>
    </w:p>
    <w:p w:rsidR="00480879" w:rsidRPr="00480879" w:rsidRDefault="00301207" w:rsidP="00480879">
      <w:pPr>
        <w:pStyle w:val="Tabulkanzev"/>
        <w:rPr>
          <w:sz w:val="22"/>
          <w:szCs w:val="22"/>
        </w:rPr>
      </w:pPr>
      <w:bookmarkStart w:id="143" w:name="_Toc433873573"/>
      <w:r w:rsidRPr="00396EB2">
        <w:rPr>
          <w:rStyle w:val="Siln"/>
        </w:rPr>
        <w:t>Kumulativní pokrok na úrovni oblastí intervence 6.2a a 6.2b (v mil. CZK/EUR)</w:t>
      </w:r>
      <w:r w:rsidRPr="00396EB2">
        <w:rPr>
          <w:rStyle w:val="Znakapoznpodarou"/>
          <w:sz w:val="22"/>
          <w:szCs w:val="22"/>
        </w:rPr>
        <w:t xml:space="preserve"> </w:t>
      </w:r>
      <w:r w:rsidR="006D4327">
        <w:rPr>
          <w:rStyle w:val="Znakapoznpodarou"/>
          <w:sz w:val="22"/>
          <w:szCs w:val="22"/>
        </w:rPr>
        <w:footnoteReference w:id="6"/>
      </w:r>
      <w:bookmarkEnd w:id="143"/>
    </w:p>
    <w:tbl>
      <w:tblPr>
        <w:tblW w:w="5000" w:type="pct"/>
        <w:tblCellMar>
          <w:left w:w="70" w:type="dxa"/>
          <w:right w:w="70" w:type="dxa"/>
        </w:tblCellMar>
        <w:tblLook w:val="04A0" w:firstRow="1" w:lastRow="0" w:firstColumn="1" w:lastColumn="0" w:noHBand="0" w:noVBand="1"/>
      </w:tblPr>
      <w:tblGrid>
        <w:gridCol w:w="718"/>
        <w:gridCol w:w="944"/>
        <w:gridCol w:w="678"/>
        <w:gridCol w:w="678"/>
        <w:gridCol w:w="514"/>
        <w:gridCol w:w="754"/>
        <w:gridCol w:w="583"/>
        <w:gridCol w:w="659"/>
        <w:gridCol w:w="514"/>
        <w:gridCol w:w="735"/>
        <w:gridCol w:w="602"/>
        <w:gridCol w:w="602"/>
        <w:gridCol w:w="735"/>
        <w:gridCol w:w="642"/>
        <w:gridCol w:w="716"/>
        <w:gridCol w:w="812"/>
        <w:gridCol w:w="602"/>
        <w:gridCol w:w="716"/>
        <w:gridCol w:w="772"/>
        <w:gridCol w:w="583"/>
        <w:gridCol w:w="585"/>
      </w:tblGrid>
      <w:tr w:rsidR="00F947E9" w:rsidRPr="00F947E9" w:rsidTr="00F947E9">
        <w:trPr>
          <w:trHeight w:val="630"/>
        </w:trPr>
        <w:tc>
          <w:tcPr>
            <w:tcW w:w="241" w:type="pct"/>
            <w:vMerge w:val="restart"/>
            <w:tcBorders>
              <w:top w:val="single" w:sz="4" w:space="0" w:color="1F497D"/>
              <w:left w:val="single" w:sz="4" w:space="0" w:color="1F497D"/>
              <w:bottom w:val="single" w:sz="4" w:space="0" w:color="1F497D"/>
              <w:right w:val="single" w:sz="4" w:space="0" w:color="1F497D"/>
            </w:tcBorders>
            <w:shd w:val="clear" w:color="000000" w:fill="DCE6F1"/>
            <w:vAlign w:val="center"/>
            <w:hideMark/>
          </w:tcPr>
          <w:p w:rsidR="00F947E9" w:rsidRPr="00F947E9" w:rsidRDefault="00F947E9" w:rsidP="00F947E9">
            <w:pPr>
              <w:jc w:val="center"/>
              <w:rPr>
                <w:b/>
                <w:bCs/>
                <w:color w:val="000000"/>
                <w:sz w:val="16"/>
                <w:szCs w:val="16"/>
              </w:rPr>
            </w:pPr>
            <w:r w:rsidRPr="00F947E9">
              <w:rPr>
                <w:b/>
                <w:bCs/>
                <w:color w:val="000000"/>
                <w:sz w:val="16"/>
                <w:szCs w:val="16"/>
              </w:rPr>
              <w:t>Oblast podpory</w:t>
            </w:r>
          </w:p>
        </w:tc>
        <w:tc>
          <w:tcPr>
            <w:tcW w:w="335" w:type="pct"/>
            <w:tcBorders>
              <w:top w:val="single" w:sz="4" w:space="0" w:color="1F497D"/>
              <w:left w:val="nil"/>
              <w:bottom w:val="single" w:sz="4" w:space="0" w:color="1F497D"/>
              <w:right w:val="single" w:sz="4" w:space="0" w:color="1F497D"/>
            </w:tcBorders>
            <w:shd w:val="clear" w:color="000000" w:fill="DCE6F1"/>
            <w:vAlign w:val="center"/>
            <w:hideMark/>
          </w:tcPr>
          <w:p w:rsidR="00F947E9" w:rsidRPr="00F947E9" w:rsidRDefault="00F947E9" w:rsidP="00F947E9">
            <w:pPr>
              <w:jc w:val="center"/>
              <w:rPr>
                <w:b/>
                <w:bCs/>
                <w:color w:val="000000"/>
                <w:sz w:val="16"/>
                <w:szCs w:val="16"/>
              </w:rPr>
            </w:pPr>
            <w:r w:rsidRPr="00F947E9">
              <w:rPr>
                <w:b/>
                <w:bCs/>
                <w:color w:val="000000"/>
                <w:sz w:val="16"/>
                <w:szCs w:val="16"/>
              </w:rPr>
              <w:t>Datum snímku</w:t>
            </w:r>
          </w:p>
        </w:tc>
        <w:tc>
          <w:tcPr>
            <w:tcW w:w="482" w:type="pct"/>
            <w:gridSpan w:val="2"/>
            <w:tcBorders>
              <w:top w:val="single" w:sz="4" w:space="0" w:color="1F497D"/>
              <w:left w:val="nil"/>
              <w:bottom w:val="single" w:sz="4" w:space="0" w:color="1F497D"/>
              <w:right w:val="single" w:sz="4" w:space="0" w:color="1F497D"/>
            </w:tcBorders>
            <w:shd w:val="clear" w:color="000000" w:fill="DCE6F1"/>
            <w:vAlign w:val="center"/>
            <w:hideMark/>
          </w:tcPr>
          <w:p w:rsidR="00F947E9" w:rsidRPr="00F947E9" w:rsidRDefault="00F947E9" w:rsidP="00F947E9">
            <w:pPr>
              <w:jc w:val="center"/>
              <w:rPr>
                <w:b/>
                <w:bCs/>
                <w:color w:val="000000"/>
                <w:sz w:val="16"/>
                <w:szCs w:val="16"/>
              </w:rPr>
            </w:pPr>
            <w:r w:rsidRPr="00F947E9">
              <w:rPr>
                <w:b/>
                <w:bCs/>
                <w:color w:val="000000"/>
                <w:sz w:val="16"/>
                <w:szCs w:val="16"/>
              </w:rPr>
              <w:t>Celková alokace podpory 2007-2013</w:t>
            </w:r>
          </w:p>
        </w:tc>
        <w:tc>
          <w:tcPr>
            <w:tcW w:w="890" w:type="pct"/>
            <w:gridSpan w:val="4"/>
            <w:tcBorders>
              <w:top w:val="single" w:sz="4" w:space="0" w:color="1F497D"/>
              <w:left w:val="nil"/>
              <w:bottom w:val="single" w:sz="4" w:space="0" w:color="1F497D"/>
              <w:right w:val="single" w:sz="4" w:space="0" w:color="1F497D"/>
            </w:tcBorders>
            <w:shd w:val="clear" w:color="000000" w:fill="DCE6F1"/>
            <w:vAlign w:val="center"/>
            <w:hideMark/>
          </w:tcPr>
          <w:p w:rsidR="00F947E9" w:rsidRPr="00F947E9" w:rsidRDefault="00F947E9" w:rsidP="00F947E9">
            <w:pPr>
              <w:jc w:val="center"/>
              <w:rPr>
                <w:b/>
                <w:bCs/>
                <w:color w:val="000000"/>
                <w:sz w:val="16"/>
                <w:szCs w:val="16"/>
              </w:rPr>
            </w:pPr>
            <w:r w:rsidRPr="00F947E9">
              <w:rPr>
                <w:b/>
                <w:bCs/>
                <w:color w:val="000000"/>
                <w:sz w:val="16"/>
                <w:szCs w:val="16"/>
              </w:rPr>
              <w:t>Podané žádosti</w:t>
            </w:r>
          </w:p>
        </w:tc>
        <w:tc>
          <w:tcPr>
            <w:tcW w:w="863" w:type="pct"/>
            <w:gridSpan w:val="4"/>
            <w:tcBorders>
              <w:top w:val="single" w:sz="4" w:space="0" w:color="1F497D"/>
              <w:left w:val="nil"/>
              <w:bottom w:val="single" w:sz="4" w:space="0" w:color="1F497D"/>
              <w:right w:val="single" w:sz="4" w:space="0" w:color="1F497D"/>
            </w:tcBorders>
            <w:shd w:val="clear" w:color="000000" w:fill="DCE6F1"/>
            <w:vAlign w:val="center"/>
            <w:hideMark/>
          </w:tcPr>
          <w:p w:rsidR="00F947E9" w:rsidRPr="00F947E9" w:rsidRDefault="00F947E9" w:rsidP="00F947E9">
            <w:pPr>
              <w:jc w:val="center"/>
              <w:rPr>
                <w:b/>
                <w:bCs/>
                <w:color w:val="000000"/>
                <w:sz w:val="16"/>
                <w:szCs w:val="16"/>
              </w:rPr>
            </w:pPr>
            <w:r w:rsidRPr="00F947E9">
              <w:rPr>
                <w:b/>
                <w:bCs/>
                <w:color w:val="000000"/>
                <w:sz w:val="16"/>
                <w:szCs w:val="16"/>
              </w:rPr>
              <w:t>Prostředky kryté Rozhodnutím / Smlouvou (dodatkem)</w:t>
            </w:r>
          </w:p>
        </w:tc>
        <w:tc>
          <w:tcPr>
            <w:tcW w:w="743" w:type="pct"/>
            <w:gridSpan w:val="3"/>
            <w:tcBorders>
              <w:top w:val="single" w:sz="4" w:space="0" w:color="1F497D"/>
              <w:left w:val="nil"/>
              <w:bottom w:val="single" w:sz="4" w:space="0" w:color="1F497D"/>
              <w:right w:val="single" w:sz="4" w:space="0" w:color="1F497D"/>
            </w:tcBorders>
            <w:shd w:val="clear" w:color="000000" w:fill="DCE6F1"/>
            <w:vAlign w:val="center"/>
            <w:hideMark/>
          </w:tcPr>
          <w:p w:rsidR="00F947E9" w:rsidRPr="00F947E9" w:rsidRDefault="00F947E9" w:rsidP="00F947E9">
            <w:pPr>
              <w:jc w:val="center"/>
              <w:rPr>
                <w:b/>
                <w:bCs/>
                <w:color w:val="000000"/>
                <w:sz w:val="16"/>
                <w:szCs w:val="16"/>
              </w:rPr>
            </w:pPr>
            <w:r w:rsidRPr="00F947E9">
              <w:rPr>
                <w:b/>
                <w:bCs/>
                <w:color w:val="000000"/>
                <w:sz w:val="16"/>
                <w:szCs w:val="16"/>
              </w:rPr>
              <w:t>Proplacené prostředky příjemcům (vyúčtované prostředky)</w:t>
            </w:r>
          </w:p>
        </w:tc>
        <w:tc>
          <w:tcPr>
            <w:tcW w:w="756" w:type="pct"/>
            <w:gridSpan w:val="3"/>
            <w:tcBorders>
              <w:top w:val="single" w:sz="4" w:space="0" w:color="1F497D"/>
              <w:left w:val="nil"/>
              <w:bottom w:val="single" w:sz="4" w:space="0" w:color="1F497D"/>
              <w:right w:val="single" w:sz="4" w:space="0" w:color="1F497D"/>
            </w:tcBorders>
            <w:shd w:val="clear" w:color="000000" w:fill="DCE6F1"/>
            <w:vAlign w:val="center"/>
            <w:hideMark/>
          </w:tcPr>
          <w:p w:rsidR="00F947E9" w:rsidRPr="00F947E9" w:rsidRDefault="00F947E9" w:rsidP="00F947E9">
            <w:pPr>
              <w:jc w:val="center"/>
              <w:rPr>
                <w:b/>
                <w:bCs/>
                <w:color w:val="000000"/>
                <w:sz w:val="16"/>
                <w:szCs w:val="16"/>
              </w:rPr>
            </w:pPr>
            <w:r w:rsidRPr="00F947E9">
              <w:rPr>
                <w:b/>
                <w:bCs/>
                <w:color w:val="000000"/>
                <w:sz w:val="16"/>
                <w:szCs w:val="16"/>
              </w:rPr>
              <w:t>Souhrnné žádosti zaúčtované PCO</w:t>
            </w:r>
          </w:p>
        </w:tc>
        <w:tc>
          <w:tcPr>
            <w:tcW w:w="689" w:type="pct"/>
            <w:gridSpan w:val="3"/>
            <w:tcBorders>
              <w:top w:val="single" w:sz="4" w:space="0" w:color="1F497D"/>
              <w:left w:val="nil"/>
              <w:bottom w:val="single" w:sz="4" w:space="0" w:color="1F497D"/>
              <w:right w:val="single" w:sz="4" w:space="0" w:color="1F497D"/>
            </w:tcBorders>
            <w:shd w:val="clear" w:color="000000" w:fill="DCE6F1"/>
            <w:vAlign w:val="center"/>
            <w:hideMark/>
          </w:tcPr>
          <w:p w:rsidR="00F947E9" w:rsidRPr="00F947E9" w:rsidRDefault="00F947E9" w:rsidP="00F947E9">
            <w:pPr>
              <w:jc w:val="center"/>
              <w:rPr>
                <w:b/>
                <w:bCs/>
                <w:color w:val="000000"/>
                <w:sz w:val="16"/>
                <w:szCs w:val="16"/>
              </w:rPr>
            </w:pPr>
            <w:r w:rsidRPr="00F947E9">
              <w:rPr>
                <w:b/>
                <w:bCs/>
                <w:color w:val="000000"/>
                <w:sz w:val="16"/>
                <w:szCs w:val="16"/>
              </w:rPr>
              <w:t>Certifikované prostředky (včetně vratek)</w:t>
            </w:r>
          </w:p>
        </w:tc>
      </w:tr>
      <w:tr w:rsidR="00F947E9" w:rsidRPr="00F947E9" w:rsidTr="00F947E9">
        <w:trPr>
          <w:trHeight w:val="420"/>
        </w:trPr>
        <w:tc>
          <w:tcPr>
            <w:tcW w:w="241" w:type="pct"/>
            <w:vMerge/>
            <w:tcBorders>
              <w:top w:val="single" w:sz="4" w:space="0" w:color="1F497D"/>
              <w:left w:val="single" w:sz="4" w:space="0" w:color="1F497D"/>
              <w:bottom w:val="single" w:sz="4" w:space="0" w:color="1F497D"/>
              <w:right w:val="single" w:sz="4" w:space="0" w:color="1F497D"/>
            </w:tcBorders>
            <w:vAlign w:val="center"/>
            <w:hideMark/>
          </w:tcPr>
          <w:p w:rsidR="00F947E9" w:rsidRPr="00F947E9" w:rsidRDefault="00F947E9" w:rsidP="00F947E9">
            <w:pPr>
              <w:rPr>
                <w:b/>
                <w:bCs/>
                <w:color w:val="000000"/>
                <w:sz w:val="16"/>
                <w:szCs w:val="16"/>
              </w:rPr>
            </w:pPr>
          </w:p>
        </w:tc>
        <w:tc>
          <w:tcPr>
            <w:tcW w:w="335" w:type="pct"/>
            <w:vMerge w:val="restart"/>
            <w:tcBorders>
              <w:top w:val="nil"/>
              <w:left w:val="single" w:sz="4" w:space="0" w:color="1F497D"/>
              <w:bottom w:val="single" w:sz="4" w:space="0" w:color="1F497D"/>
              <w:right w:val="single" w:sz="4" w:space="0" w:color="1F497D"/>
            </w:tcBorders>
            <w:shd w:val="clear" w:color="000000" w:fill="DCE6F1"/>
            <w:vAlign w:val="center"/>
            <w:hideMark/>
          </w:tcPr>
          <w:p w:rsidR="00F947E9" w:rsidRPr="00F947E9" w:rsidRDefault="00F947E9" w:rsidP="00F947E9">
            <w:pPr>
              <w:jc w:val="center"/>
              <w:rPr>
                <w:b/>
                <w:bCs/>
                <w:color w:val="000000"/>
                <w:sz w:val="16"/>
                <w:szCs w:val="16"/>
              </w:rPr>
            </w:pPr>
            <w:r w:rsidRPr="00F947E9">
              <w:rPr>
                <w:b/>
                <w:bCs/>
                <w:color w:val="000000"/>
                <w:sz w:val="16"/>
                <w:szCs w:val="16"/>
              </w:rPr>
              <w:t>Den</w:t>
            </w:r>
          </w:p>
        </w:tc>
        <w:tc>
          <w:tcPr>
            <w:tcW w:w="241" w:type="pct"/>
            <w:tcBorders>
              <w:top w:val="nil"/>
              <w:left w:val="nil"/>
              <w:bottom w:val="single" w:sz="4" w:space="0" w:color="1F497D"/>
              <w:right w:val="single" w:sz="4" w:space="0" w:color="1F497D"/>
            </w:tcBorders>
            <w:shd w:val="clear" w:color="000000" w:fill="DCE6F1"/>
            <w:vAlign w:val="center"/>
            <w:hideMark/>
          </w:tcPr>
          <w:p w:rsidR="00F947E9" w:rsidRPr="00F947E9" w:rsidRDefault="00F947E9" w:rsidP="00F947E9">
            <w:pPr>
              <w:jc w:val="center"/>
              <w:rPr>
                <w:b/>
                <w:bCs/>
                <w:color w:val="000000"/>
                <w:sz w:val="16"/>
                <w:szCs w:val="16"/>
              </w:rPr>
            </w:pPr>
            <w:r w:rsidRPr="00F947E9">
              <w:rPr>
                <w:b/>
                <w:bCs/>
                <w:color w:val="000000"/>
                <w:sz w:val="16"/>
                <w:szCs w:val="16"/>
              </w:rPr>
              <w:t>mil. CZK</w:t>
            </w:r>
          </w:p>
        </w:tc>
        <w:tc>
          <w:tcPr>
            <w:tcW w:w="241" w:type="pct"/>
            <w:vMerge w:val="restart"/>
            <w:tcBorders>
              <w:top w:val="nil"/>
              <w:left w:val="single" w:sz="4" w:space="0" w:color="1F497D"/>
              <w:bottom w:val="single" w:sz="4" w:space="0" w:color="1F497D"/>
              <w:right w:val="single" w:sz="4" w:space="0" w:color="1F497D"/>
            </w:tcBorders>
            <w:shd w:val="clear" w:color="000000" w:fill="DCE6F1"/>
            <w:vAlign w:val="center"/>
            <w:hideMark/>
          </w:tcPr>
          <w:p w:rsidR="00F947E9" w:rsidRPr="00F947E9" w:rsidRDefault="00F947E9" w:rsidP="00F947E9">
            <w:pPr>
              <w:jc w:val="center"/>
              <w:rPr>
                <w:b/>
                <w:bCs/>
                <w:color w:val="000000"/>
                <w:sz w:val="16"/>
                <w:szCs w:val="16"/>
              </w:rPr>
            </w:pPr>
            <w:r w:rsidRPr="00F947E9">
              <w:rPr>
                <w:b/>
                <w:bCs/>
                <w:color w:val="000000"/>
                <w:sz w:val="16"/>
                <w:szCs w:val="16"/>
              </w:rPr>
              <w:t>mil. EUR</w:t>
            </w:r>
          </w:p>
        </w:tc>
        <w:tc>
          <w:tcPr>
            <w:tcW w:w="181" w:type="pct"/>
            <w:tcBorders>
              <w:top w:val="nil"/>
              <w:left w:val="nil"/>
              <w:bottom w:val="single" w:sz="4" w:space="0" w:color="1F497D"/>
              <w:right w:val="single" w:sz="4" w:space="0" w:color="1F497D"/>
            </w:tcBorders>
            <w:shd w:val="clear" w:color="000000" w:fill="DCE6F1"/>
            <w:vAlign w:val="center"/>
            <w:hideMark/>
          </w:tcPr>
          <w:p w:rsidR="00F947E9" w:rsidRPr="00F947E9" w:rsidRDefault="00F947E9" w:rsidP="00F947E9">
            <w:pPr>
              <w:jc w:val="center"/>
              <w:rPr>
                <w:b/>
                <w:bCs/>
                <w:color w:val="000000"/>
                <w:sz w:val="16"/>
                <w:szCs w:val="16"/>
              </w:rPr>
            </w:pPr>
            <w:r w:rsidRPr="00F947E9">
              <w:rPr>
                <w:b/>
                <w:bCs/>
                <w:color w:val="000000"/>
                <w:sz w:val="16"/>
                <w:szCs w:val="16"/>
              </w:rPr>
              <w:t>Počet</w:t>
            </w:r>
          </w:p>
        </w:tc>
        <w:tc>
          <w:tcPr>
            <w:tcW w:w="268" w:type="pct"/>
            <w:tcBorders>
              <w:top w:val="nil"/>
              <w:left w:val="nil"/>
              <w:bottom w:val="single" w:sz="4" w:space="0" w:color="1F497D"/>
              <w:right w:val="single" w:sz="4" w:space="0" w:color="1F497D"/>
            </w:tcBorders>
            <w:shd w:val="clear" w:color="000000" w:fill="DCE6F1"/>
            <w:vAlign w:val="center"/>
            <w:hideMark/>
          </w:tcPr>
          <w:p w:rsidR="00F947E9" w:rsidRPr="00F947E9" w:rsidRDefault="00F947E9" w:rsidP="00F947E9">
            <w:pPr>
              <w:jc w:val="center"/>
              <w:rPr>
                <w:b/>
                <w:bCs/>
                <w:color w:val="000000"/>
                <w:sz w:val="16"/>
                <w:szCs w:val="16"/>
              </w:rPr>
            </w:pPr>
            <w:r w:rsidRPr="00F947E9">
              <w:rPr>
                <w:b/>
                <w:bCs/>
                <w:color w:val="000000"/>
                <w:sz w:val="16"/>
                <w:szCs w:val="16"/>
              </w:rPr>
              <w:t>mil. CZK</w:t>
            </w:r>
          </w:p>
        </w:tc>
        <w:tc>
          <w:tcPr>
            <w:tcW w:w="207" w:type="pct"/>
            <w:tcBorders>
              <w:top w:val="nil"/>
              <w:left w:val="nil"/>
              <w:bottom w:val="single" w:sz="4" w:space="0" w:color="1F497D"/>
              <w:right w:val="single" w:sz="4" w:space="0" w:color="1F497D"/>
            </w:tcBorders>
            <w:shd w:val="clear" w:color="000000" w:fill="DCE6F1"/>
            <w:vAlign w:val="center"/>
            <w:hideMark/>
          </w:tcPr>
          <w:p w:rsidR="00F947E9" w:rsidRPr="00F947E9" w:rsidRDefault="00F947E9" w:rsidP="00F947E9">
            <w:pPr>
              <w:jc w:val="center"/>
              <w:rPr>
                <w:b/>
                <w:bCs/>
                <w:color w:val="000000"/>
                <w:sz w:val="16"/>
                <w:szCs w:val="16"/>
              </w:rPr>
            </w:pPr>
            <w:r w:rsidRPr="00F947E9">
              <w:rPr>
                <w:b/>
                <w:bCs/>
                <w:color w:val="000000"/>
                <w:sz w:val="16"/>
                <w:szCs w:val="16"/>
              </w:rPr>
              <w:t>%</w:t>
            </w:r>
          </w:p>
        </w:tc>
        <w:tc>
          <w:tcPr>
            <w:tcW w:w="234" w:type="pct"/>
            <w:vMerge w:val="restart"/>
            <w:tcBorders>
              <w:top w:val="nil"/>
              <w:left w:val="single" w:sz="4" w:space="0" w:color="1F497D"/>
              <w:bottom w:val="single" w:sz="4" w:space="0" w:color="1F497D"/>
              <w:right w:val="single" w:sz="4" w:space="0" w:color="1F497D"/>
            </w:tcBorders>
            <w:shd w:val="clear" w:color="000000" w:fill="DCE6F1"/>
            <w:vAlign w:val="center"/>
            <w:hideMark/>
          </w:tcPr>
          <w:p w:rsidR="00F947E9" w:rsidRPr="00F947E9" w:rsidRDefault="00F947E9" w:rsidP="00F947E9">
            <w:pPr>
              <w:jc w:val="center"/>
              <w:rPr>
                <w:b/>
                <w:bCs/>
                <w:color w:val="000000"/>
                <w:sz w:val="16"/>
                <w:szCs w:val="16"/>
              </w:rPr>
            </w:pPr>
            <w:r w:rsidRPr="00F947E9">
              <w:rPr>
                <w:b/>
                <w:bCs/>
                <w:color w:val="000000"/>
                <w:sz w:val="16"/>
                <w:szCs w:val="16"/>
              </w:rPr>
              <w:t>mil. EUR</w:t>
            </w:r>
          </w:p>
        </w:tc>
        <w:tc>
          <w:tcPr>
            <w:tcW w:w="174" w:type="pct"/>
            <w:tcBorders>
              <w:top w:val="nil"/>
              <w:left w:val="nil"/>
              <w:bottom w:val="single" w:sz="4" w:space="0" w:color="1F497D"/>
              <w:right w:val="single" w:sz="4" w:space="0" w:color="1F497D"/>
            </w:tcBorders>
            <w:shd w:val="clear" w:color="000000" w:fill="DCE6F1"/>
            <w:vAlign w:val="center"/>
            <w:hideMark/>
          </w:tcPr>
          <w:p w:rsidR="00F947E9" w:rsidRPr="00F947E9" w:rsidRDefault="00F947E9" w:rsidP="00F947E9">
            <w:pPr>
              <w:jc w:val="center"/>
              <w:rPr>
                <w:b/>
                <w:bCs/>
                <w:color w:val="000000"/>
                <w:sz w:val="16"/>
                <w:szCs w:val="16"/>
              </w:rPr>
            </w:pPr>
            <w:r w:rsidRPr="00F947E9">
              <w:rPr>
                <w:b/>
                <w:bCs/>
                <w:color w:val="000000"/>
                <w:sz w:val="16"/>
                <w:szCs w:val="16"/>
              </w:rPr>
              <w:t>Počet</w:t>
            </w:r>
          </w:p>
        </w:tc>
        <w:tc>
          <w:tcPr>
            <w:tcW w:w="261" w:type="pct"/>
            <w:tcBorders>
              <w:top w:val="nil"/>
              <w:left w:val="nil"/>
              <w:bottom w:val="single" w:sz="4" w:space="0" w:color="1F497D"/>
              <w:right w:val="single" w:sz="4" w:space="0" w:color="1F497D"/>
            </w:tcBorders>
            <w:shd w:val="clear" w:color="000000" w:fill="DCE6F1"/>
            <w:vAlign w:val="center"/>
            <w:hideMark/>
          </w:tcPr>
          <w:p w:rsidR="00F947E9" w:rsidRPr="00F947E9" w:rsidRDefault="00F947E9" w:rsidP="00F947E9">
            <w:pPr>
              <w:jc w:val="center"/>
              <w:rPr>
                <w:b/>
                <w:bCs/>
                <w:color w:val="000000"/>
                <w:sz w:val="16"/>
                <w:szCs w:val="16"/>
              </w:rPr>
            </w:pPr>
            <w:r w:rsidRPr="00F947E9">
              <w:rPr>
                <w:b/>
                <w:bCs/>
                <w:color w:val="000000"/>
                <w:sz w:val="16"/>
                <w:szCs w:val="16"/>
              </w:rPr>
              <w:t>mil. CZK</w:t>
            </w:r>
          </w:p>
        </w:tc>
        <w:tc>
          <w:tcPr>
            <w:tcW w:w="214" w:type="pct"/>
            <w:tcBorders>
              <w:top w:val="nil"/>
              <w:left w:val="nil"/>
              <w:bottom w:val="single" w:sz="4" w:space="0" w:color="1F497D"/>
              <w:right w:val="single" w:sz="4" w:space="0" w:color="1F497D"/>
            </w:tcBorders>
            <w:shd w:val="clear" w:color="000000" w:fill="DCE6F1"/>
            <w:vAlign w:val="center"/>
            <w:hideMark/>
          </w:tcPr>
          <w:p w:rsidR="00F947E9" w:rsidRPr="00F947E9" w:rsidRDefault="00F947E9" w:rsidP="00F947E9">
            <w:pPr>
              <w:jc w:val="center"/>
              <w:rPr>
                <w:b/>
                <w:bCs/>
                <w:color w:val="000000"/>
                <w:sz w:val="16"/>
                <w:szCs w:val="16"/>
              </w:rPr>
            </w:pPr>
            <w:r w:rsidRPr="00F947E9">
              <w:rPr>
                <w:b/>
                <w:bCs/>
                <w:color w:val="000000"/>
                <w:sz w:val="16"/>
                <w:szCs w:val="16"/>
              </w:rPr>
              <w:t>%</w:t>
            </w:r>
          </w:p>
        </w:tc>
        <w:tc>
          <w:tcPr>
            <w:tcW w:w="214" w:type="pct"/>
            <w:vMerge w:val="restart"/>
            <w:tcBorders>
              <w:top w:val="nil"/>
              <w:left w:val="single" w:sz="4" w:space="0" w:color="1F497D"/>
              <w:bottom w:val="single" w:sz="4" w:space="0" w:color="1F497D"/>
              <w:right w:val="single" w:sz="4" w:space="0" w:color="1F497D"/>
            </w:tcBorders>
            <w:shd w:val="clear" w:color="000000" w:fill="DCE6F1"/>
            <w:vAlign w:val="center"/>
            <w:hideMark/>
          </w:tcPr>
          <w:p w:rsidR="00F947E9" w:rsidRPr="00F947E9" w:rsidRDefault="00F947E9" w:rsidP="00F947E9">
            <w:pPr>
              <w:jc w:val="center"/>
              <w:rPr>
                <w:b/>
                <w:bCs/>
                <w:color w:val="000000"/>
                <w:sz w:val="16"/>
                <w:szCs w:val="16"/>
              </w:rPr>
            </w:pPr>
            <w:r w:rsidRPr="00F947E9">
              <w:rPr>
                <w:b/>
                <w:bCs/>
                <w:color w:val="000000"/>
                <w:sz w:val="16"/>
                <w:szCs w:val="16"/>
              </w:rPr>
              <w:t>mil. EUR</w:t>
            </w:r>
          </w:p>
        </w:tc>
        <w:tc>
          <w:tcPr>
            <w:tcW w:w="261" w:type="pct"/>
            <w:tcBorders>
              <w:top w:val="nil"/>
              <w:left w:val="nil"/>
              <w:bottom w:val="single" w:sz="4" w:space="0" w:color="1F497D"/>
              <w:right w:val="single" w:sz="4" w:space="0" w:color="1F497D"/>
            </w:tcBorders>
            <w:shd w:val="clear" w:color="000000" w:fill="DCE6F1"/>
            <w:vAlign w:val="center"/>
            <w:hideMark/>
          </w:tcPr>
          <w:p w:rsidR="00F947E9" w:rsidRPr="00F947E9" w:rsidRDefault="00F947E9" w:rsidP="00F947E9">
            <w:pPr>
              <w:jc w:val="center"/>
              <w:rPr>
                <w:b/>
                <w:bCs/>
                <w:color w:val="000000"/>
                <w:sz w:val="16"/>
                <w:szCs w:val="16"/>
              </w:rPr>
            </w:pPr>
            <w:r w:rsidRPr="00F947E9">
              <w:rPr>
                <w:b/>
                <w:bCs/>
                <w:color w:val="000000"/>
                <w:sz w:val="16"/>
                <w:szCs w:val="16"/>
              </w:rPr>
              <w:t>mil. CZK</w:t>
            </w:r>
          </w:p>
        </w:tc>
        <w:tc>
          <w:tcPr>
            <w:tcW w:w="228" w:type="pct"/>
            <w:tcBorders>
              <w:top w:val="nil"/>
              <w:left w:val="nil"/>
              <w:bottom w:val="single" w:sz="4" w:space="0" w:color="1F497D"/>
              <w:right w:val="single" w:sz="4" w:space="0" w:color="1F497D"/>
            </w:tcBorders>
            <w:shd w:val="clear" w:color="000000" w:fill="DCE6F1"/>
            <w:vAlign w:val="center"/>
            <w:hideMark/>
          </w:tcPr>
          <w:p w:rsidR="00F947E9" w:rsidRPr="00F947E9" w:rsidRDefault="00F947E9" w:rsidP="00F947E9">
            <w:pPr>
              <w:jc w:val="center"/>
              <w:rPr>
                <w:b/>
                <w:bCs/>
                <w:color w:val="000000"/>
                <w:sz w:val="16"/>
                <w:szCs w:val="16"/>
              </w:rPr>
            </w:pPr>
            <w:r w:rsidRPr="00F947E9">
              <w:rPr>
                <w:b/>
                <w:bCs/>
                <w:color w:val="000000"/>
                <w:sz w:val="16"/>
                <w:szCs w:val="16"/>
              </w:rPr>
              <w:t>%</w:t>
            </w:r>
          </w:p>
        </w:tc>
        <w:tc>
          <w:tcPr>
            <w:tcW w:w="254" w:type="pct"/>
            <w:vMerge w:val="restart"/>
            <w:tcBorders>
              <w:top w:val="nil"/>
              <w:left w:val="single" w:sz="4" w:space="0" w:color="1F497D"/>
              <w:bottom w:val="single" w:sz="4" w:space="0" w:color="1F497D"/>
              <w:right w:val="single" w:sz="4" w:space="0" w:color="1F497D"/>
            </w:tcBorders>
            <w:shd w:val="clear" w:color="000000" w:fill="DCE6F1"/>
            <w:vAlign w:val="center"/>
            <w:hideMark/>
          </w:tcPr>
          <w:p w:rsidR="00F947E9" w:rsidRPr="00F947E9" w:rsidRDefault="00F947E9" w:rsidP="00F947E9">
            <w:pPr>
              <w:jc w:val="center"/>
              <w:rPr>
                <w:b/>
                <w:bCs/>
                <w:color w:val="000000"/>
                <w:sz w:val="16"/>
                <w:szCs w:val="16"/>
              </w:rPr>
            </w:pPr>
            <w:r w:rsidRPr="00F947E9">
              <w:rPr>
                <w:b/>
                <w:bCs/>
                <w:color w:val="000000"/>
                <w:sz w:val="16"/>
                <w:szCs w:val="16"/>
              </w:rPr>
              <w:t>mil. EUR</w:t>
            </w:r>
          </w:p>
        </w:tc>
        <w:tc>
          <w:tcPr>
            <w:tcW w:w="288" w:type="pct"/>
            <w:tcBorders>
              <w:top w:val="nil"/>
              <w:left w:val="nil"/>
              <w:bottom w:val="single" w:sz="4" w:space="0" w:color="1F497D"/>
              <w:right w:val="single" w:sz="4" w:space="0" w:color="1F497D"/>
            </w:tcBorders>
            <w:shd w:val="clear" w:color="000000" w:fill="DCE6F1"/>
            <w:vAlign w:val="center"/>
            <w:hideMark/>
          </w:tcPr>
          <w:p w:rsidR="00F947E9" w:rsidRPr="00F947E9" w:rsidRDefault="00F947E9" w:rsidP="00F947E9">
            <w:pPr>
              <w:jc w:val="center"/>
              <w:rPr>
                <w:b/>
                <w:bCs/>
                <w:color w:val="000000"/>
                <w:sz w:val="16"/>
                <w:szCs w:val="16"/>
              </w:rPr>
            </w:pPr>
            <w:r w:rsidRPr="00F947E9">
              <w:rPr>
                <w:b/>
                <w:bCs/>
                <w:color w:val="000000"/>
                <w:sz w:val="16"/>
                <w:szCs w:val="16"/>
              </w:rPr>
              <w:t>mil. CZK</w:t>
            </w:r>
          </w:p>
        </w:tc>
        <w:tc>
          <w:tcPr>
            <w:tcW w:w="214" w:type="pct"/>
            <w:tcBorders>
              <w:top w:val="nil"/>
              <w:left w:val="nil"/>
              <w:bottom w:val="single" w:sz="4" w:space="0" w:color="1F497D"/>
              <w:right w:val="single" w:sz="4" w:space="0" w:color="1F497D"/>
            </w:tcBorders>
            <w:shd w:val="clear" w:color="000000" w:fill="DCE6F1"/>
            <w:vAlign w:val="center"/>
            <w:hideMark/>
          </w:tcPr>
          <w:p w:rsidR="00F947E9" w:rsidRPr="00F947E9" w:rsidRDefault="00F947E9" w:rsidP="00F947E9">
            <w:pPr>
              <w:jc w:val="center"/>
              <w:rPr>
                <w:b/>
                <w:bCs/>
                <w:color w:val="000000"/>
                <w:sz w:val="16"/>
                <w:szCs w:val="16"/>
              </w:rPr>
            </w:pPr>
            <w:r w:rsidRPr="00F947E9">
              <w:rPr>
                <w:b/>
                <w:bCs/>
                <w:color w:val="000000"/>
                <w:sz w:val="16"/>
                <w:szCs w:val="16"/>
              </w:rPr>
              <w:t>%</w:t>
            </w:r>
          </w:p>
        </w:tc>
        <w:tc>
          <w:tcPr>
            <w:tcW w:w="254" w:type="pct"/>
            <w:vMerge w:val="restart"/>
            <w:tcBorders>
              <w:top w:val="nil"/>
              <w:left w:val="single" w:sz="4" w:space="0" w:color="1F497D"/>
              <w:bottom w:val="single" w:sz="4" w:space="0" w:color="1F497D"/>
              <w:right w:val="single" w:sz="4" w:space="0" w:color="1F497D"/>
            </w:tcBorders>
            <w:shd w:val="clear" w:color="000000" w:fill="DCE6F1"/>
            <w:vAlign w:val="center"/>
            <w:hideMark/>
          </w:tcPr>
          <w:p w:rsidR="00F947E9" w:rsidRPr="00F947E9" w:rsidRDefault="00F947E9" w:rsidP="00F947E9">
            <w:pPr>
              <w:jc w:val="center"/>
              <w:rPr>
                <w:b/>
                <w:bCs/>
                <w:color w:val="000000"/>
                <w:sz w:val="16"/>
                <w:szCs w:val="16"/>
              </w:rPr>
            </w:pPr>
            <w:r w:rsidRPr="00F947E9">
              <w:rPr>
                <w:b/>
                <w:bCs/>
                <w:color w:val="000000"/>
                <w:sz w:val="16"/>
                <w:szCs w:val="16"/>
              </w:rPr>
              <w:t>mil. EUR</w:t>
            </w:r>
          </w:p>
        </w:tc>
        <w:tc>
          <w:tcPr>
            <w:tcW w:w="274" w:type="pct"/>
            <w:tcBorders>
              <w:top w:val="nil"/>
              <w:left w:val="nil"/>
              <w:bottom w:val="single" w:sz="4" w:space="0" w:color="1F497D"/>
              <w:right w:val="single" w:sz="4" w:space="0" w:color="1F497D"/>
            </w:tcBorders>
            <w:shd w:val="clear" w:color="000000" w:fill="DCE6F1"/>
            <w:vAlign w:val="center"/>
            <w:hideMark/>
          </w:tcPr>
          <w:p w:rsidR="00F947E9" w:rsidRPr="00F947E9" w:rsidRDefault="00F947E9" w:rsidP="00F947E9">
            <w:pPr>
              <w:jc w:val="center"/>
              <w:rPr>
                <w:b/>
                <w:bCs/>
                <w:color w:val="000000"/>
                <w:sz w:val="16"/>
                <w:szCs w:val="16"/>
              </w:rPr>
            </w:pPr>
            <w:r w:rsidRPr="00F947E9">
              <w:rPr>
                <w:b/>
                <w:bCs/>
                <w:color w:val="000000"/>
                <w:sz w:val="16"/>
                <w:szCs w:val="16"/>
              </w:rPr>
              <w:t>mil. CZK</w:t>
            </w:r>
          </w:p>
        </w:tc>
        <w:tc>
          <w:tcPr>
            <w:tcW w:w="207" w:type="pct"/>
            <w:tcBorders>
              <w:top w:val="nil"/>
              <w:left w:val="nil"/>
              <w:bottom w:val="single" w:sz="4" w:space="0" w:color="1F497D"/>
              <w:right w:val="single" w:sz="4" w:space="0" w:color="1F497D"/>
            </w:tcBorders>
            <w:shd w:val="clear" w:color="000000" w:fill="DCE6F1"/>
            <w:vAlign w:val="center"/>
            <w:hideMark/>
          </w:tcPr>
          <w:p w:rsidR="00F947E9" w:rsidRPr="00F947E9" w:rsidRDefault="00F947E9" w:rsidP="00F947E9">
            <w:pPr>
              <w:jc w:val="center"/>
              <w:rPr>
                <w:b/>
                <w:bCs/>
                <w:color w:val="000000"/>
                <w:sz w:val="16"/>
                <w:szCs w:val="16"/>
              </w:rPr>
            </w:pPr>
            <w:r w:rsidRPr="00F947E9">
              <w:rPr>
                <w:b/>
                <w:bCs/>
                <w:color w:val="000000"/>
                <w:sz w:val="16"/>
                <w:szCs w:val="16"/>
              </w:rPr>
              <w:t>%</w:t>
            </w:r>
          </w:p>
        </w:tc>
        <w:tc>
          <w:tcPr>
            <w:tcW w:w="207" w:type="pct"/>
            <w:vMerge w:val="restart"/>
            <w:tcBorders>
              <w:top w:val="nil"/>
              <w:left w:val="single" w:sz="4" w:space="0" w:color="1F497D"/>
              <w:bottom w:val="single" w:sz="4" w:space="0" w:color="1F497D"/>
              <w:right w:val="single" w:sz="4" w:space="0" w:color="1F497D"/>
            </w:tcBorders>
            <w:shd w:val="clear" w:color="000000" w:fill="DCE6F1"/>
            <w:vAlign w:val="center"/>
            <w:hideMark/>
          </w:tcPr>
          <w:p w:rsidR="00F947E9" w:rsidRPr="00F947E9" w:rsidRDefault="00F947E9" w:rsidP="00F947E9">
            <w:pPr>
              <w:jc w:val="center"/>
              <w:rPr>
                <w:b/>
                <w:bCs/>
                <w:color w:val="000000"/>
                <w:sz w:val="16"/>
                <w:szCs w:val="16"/>
              </w:rPr>
            </w:pPr>
            <w:r w:rsidRPr="00F947E9">
              <w:rPr>
                <w:b/>
                <w:bCs/>
                <w:color w:val="000000"/>
                <w:sz w:val="16"/>
                <w:szCs w:val="16"/>
              </w:rPr>
              <w:t>mil. EUR</w:t>
            </w:r>
          </w:p>
        </w:tc>
      </w:tr>
      <w:tr w:rsidR="00F947E9" w:rsidRPr="00F947E9" w:rsidTr="00F947E9">
        <w:trPr>
          <w:trHeight w:val="240"/>
        </w:trPr>
        <w:tc>
          <w:tcPr>
            <w:tcW w:w="241" w:type="pct"/>
            <w:vMerge/>
            <w:tcBorders>
              <w:top w:val="single" w:sz="4" w:space="0" w:color="1F497D"/>
              <w:left w:val="single" w:sz="4" w:space="0" w:color="1F497D"/>
              <w:bottom w:val="single" w:sz="4" w:space="0" w:color="1F497D"/>
              <w:right w:val="single" w:sz="4" w:space="0" w:color="1F497D"/>
            </w:tcBorders>
            <w:vAlign w:val="center"/>
            <w:hideMark/>
          </w:tcPr>
          <w:p w:rsidR="00F947E9" w:rsidRPr="00F947E9" w:rsidRDefault="00F947E9" w:rsidP="00F947E9">
            <w:pPr>
              <w:rPr>
                <w:b/>
                <w:bCs/>
                <w:color w:val="000000"/>
                <w:sz w:val="16"/>
                <w:szCs w:val="16"/>
              </w:rPr>
            </w:pPr>
          </w:p>
        </w:tc>
        <w:tc>
          <w:tcPr>
            <w:tcW w:w="335" w:type="pct"/>
            <w:vMerge/>
            <w:tcBorders>
              <w:top w:val="nil"/>
              <w:left w:val="single" w:sz="4" w:space="0" w:color="1F497D"/>
              <w:bottom w:val="single" w:sz="4" w:space="0" w:color="1F497D"/>
              <w:right w:val="single" w:sz="4" w:space="0" w:color="1F497D"/>
            </w:tcBorders>
            <w:vAlign w:val="center"/>
            <w:hideMark/>
          </w:tcPr>
          <w:p w:rsidR="00F947E9" w:rsidRPr="00F947E9" w:rsidRDefault="00F947E9" w:rsidP="00F947E9">
            <w:pPr>
              <w:rPr>
                <w:b/>
                <w:bCs/>
                <w:color w:val="000000"/>
                <w:sz w:val="16"/>
                <w:szCs w:val="16"/>
              </w:rPr>
            </w:pPr>
          </w:p>
        </w:tc>
        <w:tc>
          <w:tcPr>
            <w:tcW w:w="241" w:type="pct"/>
            <w:tcBorders>
              <w:top w:val="nil"/>
              <w:left w:val="nil"/>
              <w:bottom w:val="single" w:sz="4" w:space="0" w:color="1F497D"/>
              <w:right w:val="single" w:sz="4" w:space="0" w:color="1F497D"/>
            </w:tcBorders>
            <w:shd w:val="clear" w:color="000000" w:fill="DCE6F1"/>
            <w:vAlign w:val="center"/>
            <w:hideMark/>
          </w:tcPr>
          <w:p w:rsidR="00F947E9" w:rsidRPr="00F947E9" w:rsidRDefault="00F947E9" w:rsidP="00F947E9">
            <w:pPr>
              <w:jc w:val="center"/>
              <w:rPr>
                <w:b/>
                <w:bCs/>
                <w:color w:val="000000"/>
                <w:sz w:val="16"/>
                <w:szCs w:val="16"/>
              </w:rPr>
            </w:pPr>
            <w:r w:rsidRPr="00F947E9">
              <w:rPr>
                <w:b/>
                <w:bCs/>
                <w:color w:val="000000"/>
                <w:sz w:val="16"/>
                <w:szCs w:val="16"/>
              </w:rPr>
              <w:t xml:space="preserve">a </w:t>
            </w:r>
          </w:p>
        </w:tc>
        <w:tc>
          <w:tcPr>
            <w:tcW w:w="241" w:type="pct"/>
            <w:vMerge/>
            <w:tcBorders>
              <w:top w:val="nil"/>
              <w:left w:val="single" w:sz="4" w:space="0" w:color="1F497D"/>
              <w:bottom w:val="single" w:sz="4" w:space="0" w:color="1F497D"/>
              <w:right w:val="single" w:sz="4" w:space="0" w:color="1F497D"/>
            </w:tcBorders>
            <w:vAlign w:val="center"/>
            <w:hideMark/>
          </w:tcPr>
          <w:p w:rsidR="00F947E9" w:rsidRPr="00F947E9" w:rsidRDefault="00F947E9" w:rsidP="00F947E9">
            <w:pPr>
              <w:rPr>
                <w:b/>
                <w:bCs/>
                <w:color w:val="000000"/>
                <w:sz w:val="16"/>
                <w:szCs w:val="16"/>
              </w:rPr>
            </w:pPr>
          </w:p>
        </w:tc>
        <w:tc>
          <w:tcPr>
            <w:tcW w:w="181" w:type="pct"/>
            <w:tcBorders>
              <w:top w:val="nil"/>
              <w:left w:val="nil"/>
              <w:bottom w:val="single" w:sz="4" w:space="0" w:color="1F497D"/>
              <w:right w:val="single" w:sz="4" w:space="0" w:color="1F497D"/>
            </w:tcBorders>
            <w:shd w:val="clear" w:color="000000" w:fill="DCE6F1"/>
            <w:vAlign w:val="center"/>
            <w:hideMark/>
          </w:tcPr>
          <w:p w:rsidR="00F947E9" w:rsidRPr="00F947E9" w:rsidRDefault="00F947E9" w:rsidP="00F947E9">
            <w:pPr>
              <w:jc w:val="center"/>
              <w:rPr>
                <w:b/>
                <w:bCs/>
                <w:color w:val="000000"/>
                <w:sz w:val="16"/>
                <w:szCs w:val="16"/>
              </w:rPr>
            </w:pPr>
            <w:r w:rsidRPr="00F947E9">
              <w:rPr>
                <w:b/>
                <w:bCs/>
                <w:color w:val="000000"/>
                <w:sz w:val="16"/>
                <w:szCs w:val="16"/>
              </w:rPr>
              <w:t>b</w:t>
            </w:r>
          </w:p>
        </w:tc>
        <w:tc>
          <w:tcPr>
            <w:tcW w:w="268" w:type="pct"/>
            <w:tcBorders>
              <w:top w:val="nil"/>
              <w:left w:val="nil"/>
              <w:bottom w:val="single" w:sz="4" w:space="0" w:color="1F497D"/>
              <w:right w:val="single" w:sz="4" w:space="0" w:color="1F497D"/>
            </w:tcBorders>
            <w:shd w:val="clear" w:color="000000" w:fill="DCE6F1"/>
            <w:vAlign w:val="center"/>
            <w:hideMark/>
          </w:tcPr>
          <w:p w:rsidR="00F947E9" w:rsidRPr="00F947E9" w:rsidRDefault="00F947E9" w:rsidP="00F947E9">
            <w:pPr>
              <w:jc w:val="center"/>
              <w:rPr>
                <w:b/>
                <w:bCs/>
                <w:color w:val="000000"/>
                <w:sz w:val="16"/>
                <w:szCs w:val="16"/>
              </w:rPr>
            </w:pPr>
            <w:r w:rsidRPr="00F947E9">
              <w:rPr>
                <w:b/>
                <w:bCs/>
                <w:color w:val="000000"/>
                <w:sz w:val="16"/>
                <w:szCs w:val="16"/>
              </w:rPr>
              <w:t>c</w:t>
            </w:r>
          </w:p>
        </w:tc>
        <w:tc>
          <w:tcPr>
            <w:tcW w:w="207" w:type="pct"/>
            <w:tcBorders>
              <w:top w:val="nil"/>
              <w:left w:val="nil"/>
              <w:bottom w:val="single" w:sz="4" w:space="0" w:color="1F497D"/>
              <w:right w:val="single" w:sz="4" w:space="0" w:color="1F497D"/>
            </w:tcBorders>
            <w:shd w:val="clear" w:color="000000" w:fill="DCE6F1"/>
            <w:vAlign w:val="center"/>
            <w:hideMark/>
          </w:tcPr>
          <w:p w:rsidR="00F947E9" w:rsidRPr="00F947E9" w:rsidRDefault="00F947E9" w:rsidP="00F947E9">
            <w:pPr>
              <w:jc w:val="center"/>
              <w:rPr>
                <w:b/>
                <w:bCs/>
                <w:color w:val="000000"/>
                <w:sz w:val="16"/>
                <w:szCs w:val="16"/>
              </w:rPr>
            </w:pPr>
            <w:r w:rsidRPr="00F947E9">
              <w:rPr>
                <w:b/>
                <w:bCs/>
                <w:color w:val="000000"/>
                <w:sz w:val="16"/>
                <w:szCs w:val="16"/>
              </w:rPr>
              <w:t>c/a</w:t>
            </w:r>
          </w:p>
        </w:tc>
        <w:tc>
          <w:tcPr>
            <w:tcW w:w="234" w:type="pct"/>
            <w:vMerge/>
            <w:tcBorders>
              <w:top w:val="nil"/>
              <w:left w:val="single" w:sz="4" w:space="0" w:color="1F497D"/>
              <w:bottom w:val="single" w:sz="4" w:space="0" w:color="1F497D"/>
              <w:right w:val="single" w:sz="4" w:space="0" w:color="1F497D"/>
            </w:tcBorders>
            <w:vAlign w:val="center"/>
            <w:hideMark/>
          </w:tcPr>
          <w:p w:rsidR="00F947E9" w:rsidRPr="00F947E9" w:rsidRDefault="00F947E9" w:rsidP="00F947E9">
            <w:pPr>
              <w:rPr>
                <w:b/>
                <w:bCs/>
                <w:color w:val="000000"/>
                <w:sz w:val="16"/>
                <w:szCs w:val="16"/>
              </w:rPr>
            </w:pPr>
          </w:p>
        </w:tc>
        <w:tc>
          <w:tcPr>
            <w:tcW w:w="174" w:type="pct"/>
            <w:tcBorders>
              <w:top w:val="nil"/>
              <w:left w:val="nil"/>
              <w:bottom w:val="single" w:sz="4" w:space="0" w:color="1F497D"/>
              <w:right w:val="single" w:sz="4" w:space="0" w:color="1F497D"/>
            </w:tcBorders>
            <w:shd w:val="clear" w:color="000000" w:fill="DCE6F1"/>
            <w:vAlign w:val="center"/>
            <w:hideMark/>
          </w:tcPr>
          <w:p w:rsidR="00F947E9" w:rsidRPr="00F947E9" w:rsidRDefault="00F947E9" w:rsidP="00F947E9">
            <w:pPr>
              <w:jc w:val="center"/>
              <w:rPr>
                <w:b/>
                <w:bCs/>
                <w:color w:val="000000"/>
                <w:sz w:val="16"/>
                <w:szCs w:val="16"/>
              </w:rPr>
            </w:pPr>
            <w:r w:rsidRPr="00F947E9">
              <w:rPr>
                <w:b/>
                <w:bCs/>
                <w:color w:val="000000"/>
                <w:sz w:val="16"/>
                <w:szCs w:val="16"/>
              </w:rPr>
              <w:t>d</w:t>
            </w:r>
          </w:p>
        </w:tc>
        <w:tc>
          <w:tcPr>
            <w:tcW w:w="261" w:type="pct"/>
            <w:tcBorders>
              <w:top w:val="nil"/>
              <w:left w:val="nil"/>
              <w:bottom w:val="single" w:sz="4" w:space="0" w:color="1F497D"/>
              <w:right w:val="single" w:sz="4" w:space="0" w:color="1F497D"/>
            </w:tcBorders>
            <w:shd w:val="clear" w:color="000000" w:fill="DCE6F1"/>
            <w:vAlign w:val="center"/>
            <w:hideMark/>
          </w:tcPr>
          <w:p w:rsidR="00F947E9" w:rsidRPr="00F947E9" w:rsidRDefault="00F947E9" w:rsidP="00F947E9">
            <w:pPr>
              <w:jc w:val="center"/>
              <w:rPr>
                <w:b/>
                <w:bCs/>
                <w:color w:val="000000"/>
                <w:sz w:val="16"/>
                <w:szCs w:val="16"/>
              </w:rPr>
            </w:pPr>
            <w:r w:rsidRPr="00F947E9">
              <w:rPr>
                <w:b/>
                <w:bCs/>
                <w:color w:val="000000"/>
                <w:sz w:val="16"/>
                <w:szCs w:val="16"/>
              </w:rPr>
              <w:t>e</w:t>
            </w:r>
          </w:p>
        </w:tc>
        <w:tc>
          <w:tcPr>
            <w:tcW w:w="214" w:type="pct"/>
            <w:tcBorders>
              <w:top w:val="nil"/>
              <w:left w:val="nil"/>
              <w:bottom w:val="single" w:sz="4" w:space="0" w:color="1F497D"/>
              <w:right w:val="single" w:sz="4" w:space="0" w:color="1F497D"/>
            </w:tcBorders>
            <w:shd w:val="clear" w:color="000000" w:fill="DCE6F1"/>
            <w:vAlign w:val="center"/>
            <w:hideMark/>
          </w:tcPr>
          <w:p w:rsidR="00F947E9" w:rsidRPr="00F947E9" w:rsidRDefault="00F947E9" w:rsidP="00F947E9">
            <w:pPr>
              <w:jc w:val="center"/>
              <w:rPr>
                <w:b/>
                <w:bCs/>
                <w:color w:val="000000"/>
                <w:sz w:val="16"/>
                <w:szCs w:val="16"/>
              </w:rPr>
            </w:pPr>
            <w:r w:rsidRPr="00F947E9">
              <w:rPr>
                <w:b/>
                <w:bCs/>
                <w:color w:val="000000"/>
                <w:sz w:val="16"/>
                <w:szCs w:val="16"/>
              </w:rPr>
              <w:t xml:space="preserve">e/a </w:t>
            </w:r>
          </w:p>
        </w:tc>
        <w:tc>
          <w:tcPr>
            <w:tcW w:w="214" w:type="pct"/>
            <w:vMerge/>
            <w:tcBorders>
              <w:top w:val="nil"/>
              <w:left w:val="single" w:sz="4" w:space="0" w:color="1F497D"/>
              <w:bottom w:val="single" w:sz="4" w:space="0" w:color="1F497D"/>
              <w:right w:val="single" w:sz="4" w:space="0" w:color="1F497D"/>
            </w:tcBorders>
            <w:vAlign w:val="center"/>
            <w:hideMark/>
          </w:tcPr>
          <w:p w:rsidR="00F947E9" w:rsidRPr="00F947E9" w:rsidRDefault="00F947E9" w:rsidP="00F947E9">
            <w:pPr>
              <w:rPr>
                <w:b/>
                <w:bCs/>
                <w:color w:val="000000"/>
                <w:sz w:val="16"/>
                <w:szCs w:val="16"/>
              </w:rPr>
            </w:pPr>
          </w:p>
        </w:tc>
        <w:tc>
          <w:tcPr>
            <w:tcW w:w="261" w:type="pct"/>
            <w:tcBorders>
              <w:top w:val="nil"/>
              <w:left w:val="nil"/>
              <w:bottom w:val="single" w:sz="4" w:space="0" w:color="1F497D"/>
              <w:right w:val="single" w:sz="4" w:space="0" w:color="1F497D"/>
            </w:tcBorders>
            <w:shd w:val="clear" w:color="000000" w:fill="DCE6F1"/>
            <w:vAlign w:val="center"/>
            <w:hideMark/>
          </w:tcPr>
          <w:p w:rsidR="00F947E9" w:rsidRPr="00F947E9" w:rsidRDefault="00F947E9" w:rsidP="00F947E9">
            <w:pPr>
              <w:jc w:val="center"/>
              <w:rPr>
                <w:b/>
                <w:bCs/>
                <w:color w:val="000000"/>
                <w:sz w:val="16"/>
                <w:szCs w:val="16"/>
              </w:rPr>
            </w:pPr>
            <w:r w:rsidRPr="00F947E9">
              <w:rPr>
                <w:b/>
                <w:bCs/>
                <w:color w:val="000000"/>
                <w:sz w:val="16"/>
                <w:szCs w:val="16"/>
              </w:rPr>
              <w:t>f</w:t>
            </w:r>
          </w:p>
        </w:tc>
        <w:tc>
          <w:tcPr>
            <w:tcW w:w="228" w:type="pct"/>
            <w:tcBorders>
              <w:top w:val="nil"/>
              <w:left w:val="nil"/>
              <w:bottom w:val="single" w:sz="4" w:space="0" w:color="1F497D"/>
              <w:right w:val="single" w:sz="4" w:space="0" w:color="1F497D"/>
            </w:tcBorders>
            <w:shd w:val="clear" w:color="000000" w:fill="DCE6F1"/>
            <w:vAlign w:val="center"/>
            <w:hideMark/>
          </w:tcPr>
          <w:p w:rsidR="00F947E9" w:rsidRPr="00F947E9" w:rsidRDefault="00F947E9" w:rsidP="00F947E9">
            <w:pPr>
              <w:jc w:val="center"/>
              <w:rPr>
                <w:b/>
                <w:bCs/>
                <w:color w:val="000000"/>
                <w:sz w:val="16"/>
                <w:szCs w:val="16"/>
              </w:rPr>
            </w:pPr>
            <w:r w:rsidRPr="00F947E9">
              <w:rPr>
                <w:b/>
                <w:bCs/>
                <w:color w:val="000000"/>
                <w:sz w:val="16"/>
                <w:szCs w:val="16"/>
              </w:rPr>
              <w:t xml:space="preserve">f/a </w:t>
            </w:r>
          </w:p>
        </w:tc>
        <w:tc>
          <w:tcPr>
            <w:tcW w:w="254" w:type="pct"/>
            <w:vMerge/>
            <w:tcBorders>
              <w:top w:val="nil"/>
              <w:left w:val="single" w:sz="4" w:space="0" w:color="1F497D"/>
              <w:bottom w:val="single" w:sz="4" w:space="0" w:color="1F497D"/>
              <w:right w:val="single" w:sz="4" w:space="0" w:color="1F497D"/>
            </w:tcBorders>
            <w:vAlign w:val="center"/>
            <w:hideMark/>
          </w:tcPr>
          <w:p w:rsidR="00F947E9" w:rsidRPr="00F947E9" w:rsidRDefault="00F947E9" w:rsidP="00F947E9">
            <w:pPr>
              <w:rPr>
                <w:b/>
                <w:bCs/>
                <w:color w:val="000000"/>
                <w:sz w:val="16"/>
                <w:szCs w:val="16"/>
              </w:rPr>
            </w:pPr>
          </w:p>
        </w:tc>
        <w:tc>
          <w:tcPr>
            <w:tcW w:w="288" w:type="pct"/>
            <w:tcBorders>
              <w:top w:val="nil"/>
              <w:left w:val="nil"/>
              <w:bottom w:val="single" w:sz="4" w:space="0" w:color="1F497D"/>
              <w:right w:val="single" w:sz="4" w:space="0" w:color="1F497D"/>
            </w:tcBorders>
            <w:shd w:val="clear" w:color="000000" w:fill="DCE6F1"/>
            <w:vAlign w:val="center"/>
            <w:hideMark/>
          </w:tcPr>
          <w:p w:rsidR="00F947E9" w:rsidRPr="00F947E9" w:rsidRDefault="00F947E9" w:rsidP="00F947E9">
            <w:pPr>
              <w:jc w:val="center"/>
              <w:rPr>
                <w:b/>
                <w:bCs/>
                <w:color w:val="000000"/>
                <w:sz w:val="16"/>
                <w:szCs w:val="16"/>
              </w:rPr>
            </w:pPr>
            <w:r w:rsidRPr="00F947E9">
              <w:rPr>
                <w:b/>
                <w:bCs/>
                <w:color w:val="000000"/>
                <w:sz w:val="16"/>
                <w:szCs w:val="16"/>
              </w:rPr>
              <w:t>g</w:t>
            </w:r>
          </w:p>
        </w:tc>
        <w:tc>
          <w:tcPr>
            <w:tcW w:w="214" w:type="pct"/>
            <w:tcBorders>
              <w:top w:val="nil"/>
              <w:left w:val="nil"/>
              <w:bottom w:val="single" w:sz="4" w:space="0" w:color="1F497D"/>
              <w:right w:val="single" w:sz="4" w:space="0" w:color="1F497D"/>
            </w:tcBorders>
            <w:shd w:val="clear" w:color="000000" w:fill="DCE6F1"/>
            <w:vAlign w:val="center"/>
            <w:hideMark/>
          </w:tcPr>
          <w:p w:rsidR="00F947E9" w:rsidRPr="00F947E9" w:rsidRDefault="00F947E9" w:rsidP="00F947E9">
            <w:pPr>
              <w:jc w:val="center"/>
              <w:rPr>
                <w:b/>
                <w:bCs/>
                <w:color w:val="000000"/>
                <w:sz w:val="16"/>
                <w:szCs w:val="16"/>
              </w:rPr>
            </w:pPr>
            <w:r w:rsidRPr="00F947E9">
              <w:rPr>
                <w:b/>
                <w:bCs/>
                <w:color w:val="000000"/>
                <w:sz w:val="16"/>
                <w:szCs w:val="16"/>
              </w:rPr>
              <w:t xml:space="preserve">g/a </w:t>
            </w:r>
          </w:p>
        </w:tc>
        <w:tc>
          <w:tcPr>
            <w:tcW w:w="254" w:type="pct"/>
            <w:vMerge/>
            <w:tcBorders>
              <w:top w:val="nil"/>
              <w:left w:val="single" w:sz="4" w:space="0" w:color="1F497D"/>
              <w:bottom w:val="single" w:sz="4" w:space="0" w:color="1F497D"/>
              <w:right w:val="single" w:sz="4" w:space="0" w:color="1F497D"/>
            </w:tcBorders>
            <w:vAlign w:val="center"/>
            <w:hideMark/>
          </w:tcPr>
          <w:p w:rsidR="00F947E9" w:rsidRPr="00F947E9" w:rsidRDefault="00F947E9" w:rsidP="00F947E9">
            <w:pPr>
              <w:rPr>
                <w:b/>
                <w:bCs/>
                <w:color w:val="000000"/>
                <w:sz w:val="16"/>
                <w:szCs w:val="16"/>
              </w:rPr>
            </w:pPr>
          </w:p>
        </w:tc>
        <w:tc>
          <w:tcPr>
            <w:tcW w:w="274" w:type="pct"/>
            <w:tcBorders>
              <w:top w:val="nil"/>
              <w:left w:val="nil"/>
              <w:bottom w:val="single" w:sz="4" w:space="0" w:color="1F497D"/>
              <w:right w:val="single" w:sz="4" w:space="0" w:color="1F497D"/>
            </w:tcBorders>
            <w:shd w:val="clear" w:color="000000" w:fill="DCE6F1"/>
            <w:vAlign w:val="center"/>
            <w:hideMark/>
          </w:tcPr>
          <w:p w:rsidR="00F947E9" w:rsidRPr="00F947E9" w:rsidRDefault="00F947E9" w:rsidP="00F947E9">
            <w:pPr>
              <w:jc w:val="center"/>
              <w:rPr>
                <w:b/>
                <w:bCs/>
                <w:color w:val="000000"/>
                <w:sz w:val="16"/>
                <w:szCs w:val="16"/>
              </w:rPr>
            </w:pPr>
            <w:r w:rsidRPr="00F947E9">
              <w:rPr>
                <w:b/>
                <w:bCs/>
                <w:color w:val="000000"/>
                <w:sz w:val="16"/>
                <w:szCs w:val="16"/>
              </w:rPr>
              <w:t>h</w:t>
            </w:r>
          </w:p>
        </w:tc>
        <w:tc>
          <w:tcPr>
            <w:tcW w:w="207" w:type="pct"/>
            <w:tcBorders>
              <w:top w:val="nil"/>
              <w:left w:val="nil"/>
              <w:bottom w:val="single" w:sz="4" w:space="0" w:color="1F497D"/>
              <w:right w:val="single" w:sz="4" w:space="0" w:color="1F497D"/>
            </w:tcBorders>
            <w:shd w:val="clear" w:color="000000" w:fill="DCE6F1"/>
            <w:vAlign w:val="center"/>
            <w:hideMark/>
          </w:tcPr>
          <w:p w:rsidR="00F947E9" w:rsidRPr="00F947E9" w:rsidRDefault="00F947E9" w:rsidP="00F947E9">
            <w:pPr>
              <w:jc w:val="center"/>
              <w:rPr>
                <w:b/>
                <w:bCs/>
                <w:color w:val="000000"/>
                <w:sz w:val="16"/>
                <w:szCs w:val="16"/>
              </w:rPr>
            </w:pPr>
            <w:r w:rsidRPr="00F947E9">
              <w:rPr>
                <w:b/>
                <w:bCs/>
                <w:color w:val="000000"/>
                <w:sz w:val="16"/>
                <w:szCs w:val="16"/>
              </w:rPr>
              <w:t xml:space="preserve">h/a </w:t>
            </w:r>
          </w:p>
        </w:tc>
        <w:tc>
          <w:tcPr>
            <w:tcW w:w="207" w:type="pct"/>
            <w:vMerge/>
            <w:tcBorders>
              <w:top w:val="nil"/>
              <w:left w:val="single" w:sz="4" w:space="0" w:color="1F497D"/>
              <w:bottom w:val="single" w:sz="4" w:space="0" w:color="1F497D"/>
              <w:right w:val="single" w:sz="4" w:space="0" w:color="1F497D"/>
            </w:tcBorders>
            <w:vAlign w:val="center"/>
            <w:hideMark/>
          </w:tcPr>
          <w:p w:rsidR="00F947E9" w:rsidRPr="00F947E9" w:rsidRDefault="00F947E9" w:rsidP="00F947E9">
            <w:pPr>
              <w:rPr>
                <w:b/>
                <w:bCs/>
                <w:color w:val="000000"/>
                <w:sz w:val="16"/>
                <w:szCs w:val="16"/>
              </w:rPr>
            </w:pPr>
          </w:p>
        </w:tc>
      </w:tr>
      <w:tr w:rsidR="00F947E9" w:rsidRPr="00F947E9" w:rsidTr="00F947E9">
        <w:trPr>
          <w:trHeight w:val="240"/>
        </w:trPr>
        <w:tc>
          <w:tcPr>
            <w:tcW w:w="241" w:type="pct"/>
            <w:vMerge w:val="restart"/>
            <w:tcBorders>
              <w:top w:val="nil"/>
              <w:left w:val="single" w:sz="4" w:space="0" w:color="1F497D"/>
              <w:bottom w:val="single" w:sz="4" w:space="0" w:color="1F497D"/>
              <w:right w:val="single" w:sz="4" w:space="0" w:color="1F497D"/>
            </w:tcBorders>
            <w:shd w:val="clear" w:color="000000" w:fill="FFFFFF"/>
            <w:vAlign w:val="center"/>
            <w:hideMark/>
          </w:tcPr>
          <w:p w:rsidR="00F947E9" w:rsidRPr="00F947E9" w:rsidRDefault="00F947E9" w:rsidP="00F947E9">
            <w:pPr>
              <w:jc w:val="center"/>
              <w:rPr>
                <w:color w:val="000000"/>
                <w:sz w:val="16"/>
                <w:szCs w:val="16"/>
              </w:rPr>
            </w:pPr>
            <w:r w:rsidRPr="00F947E9">
              <w:rPr>
                <w:color w:val="000000"/>
                <w:sz w:val="16"/>
                <w:szCs w:val="16"/>
              </w:rPr>
              <w:t>6.2a</w:t>
            </w:r>
          </w:p>
        </w:tc>
        <w:tc>
          <w:tcPr>
            <w:tcW w:w="335" w:type="pct"/>
            <w:tcBorders>
              <w:top w:val="nil"/>
              <w:left w:val="nil"/>
              <w:bottom w:val="single" w:sz="4" w:space="0" w:color="1F497D"/>
              <w:right w:val="single" w:sz="4" w:space="0" w:color="1F497D"/>
            </w:tcBorders>
            <w:shd w:val="clear" w:color="000000" w:fill="FFFFFF"/>
            <w:vAlign w:val="center"/>
            <w:hideMark/>
          </w:tcPr>
          <w:p w:rsidR="00F947E9" w:rsidRPr="00F947E9" w:rsidRDefault="00F947E9" w:rsidP="00F947E9">
            <w:pPr>
              <w:jc w:val="center"/>
              <w:rPr>
                <w:color w:val="000000"/>
                <w:sz w:val="16"/>
                <w:szCs w:val="16"/>
              </w:rPr>
            </w:pPr>
            <w:r w:rsidRPr="00F947E9">
              <w:rPr>
                <w:color w:val="000000"/>
                <w:sz w:val="16"/>
                <w:szCs w:val="16"/>
              </w:rPr>
              <w:t>2015/04/17</w:t>
            </w:r>
          </w:p>
        </w:tc>
        <w:tc>
          <w:tcPr>
            <w:tcW w:w="241" w:type="pct"/>
            <w:tcBorders>
              <w:top w:val="nil"/>
              <w:left w:val="nil"/>
              <w:bottom w:val="single" w:sz="4" w:space="0" w:color="1F497D"/>
              <w:right w:val="single" w:sz="4" w:space="0" w:color="1F497D"/>
            </w:tcBorders>
            <w:shd w:val="clear" w:color="000000" w:fill="FFFFFF"/>
            <w:noWrap/>
            <w:vAlign w:val="center"/>
            <w:hideMark/>
          </w:tcPr>
          <w:p w:rsidR="00F947E9" w:rsidRPr="00F947E9" w:rsidRDefault="00F947E9" w:rsidP="00F947E9">
            <w:pPr>
              <w:jc w:val="center"/>
              <w:rPr>
                <w:color w:val="000000"/>
                <w:sz w:val="16"/>
                <w:szCs w:val="16"/>
              </w:rPr>
            </w:pPr>
            <w:r w:rsidRPr="00F947E9">
              <w:rPr>
                <w:color w:val="000000"/>
                <w:sz w:val="16"/>
                <w:szCs w:val="16"/>
              </w:rPr>
              <w:t>181,33</w:t>
            </w:r>
          </w:p>
        </w:tc>
        <w:tc>
          <w:tcPr>
            <w:tcW w:w="241" w:type="pct"/>
            <w:tcBorders>
              <w:top w:val="nil"/>
              <w:left w:val="nil"/>
              <w:bottom w:val="single" w:sz="4" w:space="0" w:color="1F497D"/>
              <w:right w:val="single" w:sz="4" w:space="0" w:color="1F497D"/>
            </w:tcBorders>
            <w:shd w:val="clear" w:color="000000" w:fill="FFFFFF"/>
            <w:noWrap/>
            <w:vAlign w:val="center"/>
            <w:hideMark/>
          </w:tcPr>
          <w:p w:rsidR="00F947E9" w:rsidRPr="00F947E9" w:rsidRDefault="00F947E9" w:rsidP="00F947E9">
            <w:pPr>
              <w:jc w:val="center"/>
              <w:rPr>
                <w:color w:val="000000"/>
                <w:sz w:val="16"/>
                <w:szCs w:val="16"/>
              </w:rPr>
            </w:pPr>
            <w:r w:rsidRPr="00F947E9">
              <w:rPr>
                <w:color w:val="000000"/>
                <w:sz w:val="16"/>
                <w:szCs w:val="16"/>
              </w:rPr>
              <w:t>6,90</w:t>
            </w:r>
          </w:p>
        </w:tc>
        <w:tc>
          <w:tcPr>
            <w:tcW w:w="181" w:type="pct"/>
            <w:tcBorders>
              <w:top w:val="nil"/>
              <w:left w:val="nil"/>
              <w:bottom w:val="single" w:sz="4" w:space="0" w:color="1F497D"/>
              <w:right w:val="single" w:sz="4" w:space="0" w:color="1F497D"/>
            </w:tcBorders>
            <w:shd w:val="clear" w:color="000000" w:fill="FFFFFF"/>
            <w:vAlign w:val="center"/>
            <w:hideMark/>
          </w:tcPr>
          <w:p w:rsidR="00F947E9" w:rsidRPr="00F947E9" w:rsidRDefault="00F947E9" w:rsidP="00F947E9">
            <w:pPr>
              <w:jc w:val="center"/>
              <w:rPr>
                <w:color w:val="000000"/>
                <w:sz w:val="16"/>
                <w:szCs w:val="16"/>
              </w:rPr>
            </w:pPr>
            <w:r w:rsidRPr="00F947E9">
              <w:rPr>
                <w:color w:val="000000"/>
                <w:sz w:val="16"/>
                <w:szCs w:val="16"/>
              </w:rPr>
              <w:t>80</w:t>
            </w:r>
          </w:p>
        </w:tc>
        <w:tc>
          <w:tcPr>
            <w:tcW w:w="268" w:type="pct"/>
            <w:tcBorders>
              <w:top w:val="nil"/>
              <w:left w:val="nil"/>
              <w:bottom w:val="single" w:sz="4" w:space="0" w:color="1F497D"/>
              <w:right w:val="single" w:sz="4" w:space="0" w:color="1F497D"/>
            </w:tcBorders>
            <w:shd w:val="clear" w:color="000000" w:fill="FFFFFF"/>
            <w:noWrap/>
            <w:vAlign w:val="center"/>
            <w:hideMark/>
          </w:tcPr>
          <w:p w:rsidR="00F947E9" w:rsidRPr="00F947E9" w:rsidRDefault="00F947E9" w:rsidP="00F947E9">
            <w:pPr>
              <w:jc w:val="center"/>
              <w:rPr>
                <w:color w:val="000000"/>
                <w:sz w:val="16"/>
                <w:szCs w:val="16"/>
              </w:rPr>
            </w:pPr>
            <w:r w:rsidRPr="00F947E9">
              <w:rPr>
                <w:color w:val="000000"/>
                <w:sz w:val="16"/>
                <w:szCs w:val="16"/>
              </w:rPr>
              <w:t>351,10</w:t>
            </w:r>
          </w:p>
        </w:tc>
        <w:tc>
          <w:tcPr>
            <w:tcW w:w="207" w:type="pct"/>
            <w:tcBorders>
              <w:top w:val="nil"/>
              <w:left w:val="nil"/>
              <w:bottom w:val="single" w:sz="4" w:space="0" w:color="1F497D"/>
              <w:right w:val="single" w:sz="4" w:space="0" w:color="1F497D"/>
            </w:tcBorders>
            <w:shd w:val="clear" w:color="000000" w:fill="FFFFFF"/>
            <w:noWrap/>
            <w:vAlign w:val="center"/>
            <w:hideMark/>
          </w:tcPr>
          <w:p w:rsidR="00F947E9" w:rsidRPr="00F947E9" w:rsidRDefault="00F947E9" w:rsidP="00F947E9">
            <w:pPr>
              <w:jc w:val="center"/>
              <w:rPr>
                <w:color w:val="000000"/>
                <w:sz w:val="16"/>
                <w:szCs w:val="16"/>
              </w:rPr>
            </w:pPr>
            <w:r w:rsidRPr="00F947E9">
              <w:rPr>
                <w:color w:val="000000"/>
                <w:sz w:val="16"/>
                <w:szCs w:val="16"/>
              </w:rPr>
              <w:t>193,62</w:t>
            </w:r>
          </w:p>
        </w:tc>
        <w:tc>
          <w:tcPr>
            <w:tcW w:w="234" w:type="pct"/>
            <w:tcBorders>
              <w:top w:val="nil"/>
              <w:left w:val="nil"/>
              <w:bottom w:val="single" w:sz="4" w:space="0" w:color="1F497D"/>
              <w:right w:val="single" w:sz="4" w:space="0" w:color="1F497D"/>
            </w:tcBorders>
            <w:shd w:val="clear" w:color="000000" w:fill="FFFFFF"/>
            <w:noWrap/>
            <w:vAlign w:val="center"/>
            <w:hideMark/>
          </w:tcPr>
          <w:p w:rsidR="00F947E9" w:rsidRPr="00F947E9" w:rsidRDefault="00F947E9" w:rsidP="00F947E9">
            <w:pPr>
              <w:jc w:val="center"/>
              <w:rPr>
                <w:color w:val="000000"/>
                <w:sz w:val="16"/>
                <w:szCs w:val="16"/>
              </w:rPr>
            </w:pPr>
            <w:r w:rsidRPr="00F947E9">
              <w:rPr>
                <w:color w:val="000000"/>
                <w:sz w:val="16"/>
                <w:szCs w:val="16"/>
              </w:rPr>
              <w:t>13,08</w:t>
            </w:r>
          </w:p>
        </w:tc>
        <w:tc>
          <w:tcPr>
            <w:tcW w:w="174" w:type="pct"/>
            <w:tcBorders>
              <w:top w:val="nil"/>
              <w:left w:val="nil"/>
              <w:bottom w:val="single" w:sz="4" w:space="0" w:color="1F497D"/>
              <w:right w:val="single" w:sz="4" w:space="0" w:color="1F497D"/>
            </w:tcBorders>
            <w:shd w:val="clear" w:color="000000" w:fill="FFFFFF"/>
            <w:noWrap/>
            <w:vAlign w:val="center"/>
            <w:hideMark/>
          </w:tcPr>
          <w:p w:rsidR="00F947E9" w:rsidRPr="00F947E9" w:rsidRDefault="00F947E9" w:rsidP="00F947E9">
            <w:pPr>
              <w:jc w:val="center"/>
              <w:rPr>
                <w:color w:val="000000"/>
                <w:sz w:val="16"/>
                <w:szCs w:val="16"/>
              </w:rPr>
            </w:pPr>
            <w:r w:rsidRPr="00F947E9">
              <w:rPr>
                <w:color w:val="000000"/>
                <w:sz w:val="16"/>
                <w:szCs w:val="16"/>
              </w:rPr>
              <w:t>72</w:t>
            </w:r>
          </w:p>
        </w:tc>
        <w:tc>
          <w:tcPr>
            <w:tcW w:w="261" w:type="pct"/>
            <w:tcBorders>
              <w:top w:val="nil"/>
              <w:left w:val="nil"/>
              <w:bottom w:val="single" w:sz="4" w:space="0" w:color="1F497D"/>
              <w:right w:val="single" w:sz="4" w:space="0" w:color="1F497D"/>
            </w:tcBorders>
            <w:shd w:val="clear" w:color="000000" w:fill="FFFFFF"/>
            <w:noWrap/>
            <w:vAlign w:val="center"/>
            <w:hideMark/>
          </w:tcPr>
          <w:p w:rsidR="00F947E9" w:rsidRPr="00F947E9" w:rsidRDefault="00F947E9" w:rsidP="00F947E9">
            <w:pPr>
              <w:jc w:val="center"/>
              <w:rPr>
                <w:color w:val="000000"/>
                <w:sz w:val="16"/>
                <w:szCs w:val="16"/>
              </w:rPr>
            </w:pPr>
            <w:r w:rsidRPr="00F947E9">
              <w:rPr>
                <w:color w:val="000000"/>
                <w:sz w:val="16"/>
                <w:szCs w:val="16"/>
              </w:rPr>
              <w:t>187,49</w:t>
            </w:r>
          </w:p>
        </w:tc>
        <w:tc>
          <w:tcPr>
            <w:tcW w:w="214" w:type="pct"/>
            <w:tcBorders>
              <w:top w:val="nil"/>
              <w:left w:val="nil"/>
              <w:bottom w:val="single" w:sz="4" w:space="0" w:color="1F497D"/>
              <w:right w:val="single" w:sz="4" w:space="0" w:color="1F497D"/>
            </w:tcBorders>
            <w:shd w:val="clear" w:color="000000" w:fill="FFFFFF"/>
            <w:noWrap/>
            <w:vAlign w:val="center"/>
            <w:hideMark/>
          </w:tcPr>
          <w:p w:rsidR="00F947E9" w:rsidRPr="00F947E9" w:rsidRDefault="00F947E9" w:rsidP="00F947E9">
            <w:pPr>
              <w:jc w:val="center"/>
              <w:rPr>
                <w:color w:val="000000"/>
                <w:sz w:val="16"/>
                <w:szCs w:val="16"/>
              </w:rPr>
            </w:pPr>
            <w:r w:rsidRPr="00F947E9">
              <w:rPr>
                <w:color w:val="000000"/>
                <w:sz w:val="16"/>
                <w:szCs w:val="16"/>
              </w:rPr>
              <w:t>103,40</w:t>
            </w:r>
          </w:p>
        </w:tc>
        <w:tc>
          <w:tcPr>
            <w:tcW w:w="214" w:type="pct"/>
            <w:tcBorders>
              <w:top w:val="nil"/>
              <w:left w:val="nil"/>
              <w:bottom w:val="single" w:sz="4" w:space="0" w:color="1F497D"/>
              <w:right w:val="single" w:sz="4" w:space="0" w:color="1F497D"/>
            </w:tcBorders>
            <w:shd w:val="clear" w:color="000000" w:fill="FFFFFF"/>
            <w:noWrap/>
            <w:vAlign w:val="center"/>
            <w:hideMark/>
          </w:tcPr>
          <w:p w:rsidR="00F947E9" w:rsidRPr="00F947E9" w:rsidRDefault="00F947E9" w:rsidP="00F947E9">
            <w:pPr>
              <w:jc w:val="center"/>
              <w:rPr>
                <w:color w:val="000000"/>
                <w:sz w:val="16"/>
                <w:szCs w:val="16"/>
              </w:rPr>
            </w:pPr>
            <w:r w:rsidRPr="00F947E9">
              <w:rPr>
                <w:color w:val="000000"/>
                <w:sz w:val="16"/>
                <w:szCs w:val="16"/>
              </w:rPr>
              <w:t>7,12</w:t>
            </w:r>
          </w:p>
        </w:tc>
        <w:tc>
          <w:tcPr>
            <w:tcW w:w="261" w:type="pct"/>
            <w:tcBorders>
              <w:top w:val="nil"/>
              <w:left w:val="nil"/>
              <w:bottom w:val="single" w:sz="4" w:space="0" w:color="1F497D"/>
              <w:right w:val="single" w:sz="4" w:space="0" w:color="1F497D"/>
            </w:tcBorders>
            <w:shd w:val="clear" w:color="000000" w:fill="FFFFFF"/>
            <w:noWrap/>
            <w:vAlign w:val="center"/>
            <w:hideMark/>
          </w:tcPr>
          <w:p w:rsidR="00F947E9" w:rsidRPr="00F947E9" w:rsidRDefault="00F947E9" w:rsidP="00F947E9">
            <w:pPr>
              <w:jc w:val="center"/>
              <w:rPr>
                <w:color w:val="000000"/>
                <w:sz w:val="16"/>
                <w:szCs w:val="16"/>
              </w:rPr>
            </w:pPr>
            <w:r w:rsidRPr="00F947E9">
              <w:rPr>
                <w:color w:val="000000"/>
                <w:sz w:val="16"/>
                <w:szCs w:val="16"/>
              </w:rPr>
              <w:t>102,37</w:t>
            </w:r>
          </w:p>
        </w:tc>
        <w:tc>
          <w:tcPr>
            <w:tcW w:w="228" w:type="pct"/>
            <w:tcBorders>
              <w:top w:val="nil"/>
              <w:left w:val="nil"/>
              <w:bottom w:val="single" w:sz="4" w:space="0" w:color="1F497D"/>
              <w:right w:val="single" w:sz="4" w:space="0" w:color="1F497D"/>
            </w:tcBorders>
            <w:shd w:val="clear" w:color="000000" w:fill="FFFFFF"/>
            <w:noWrap/>
            <w:vAlign w:val="center"/>
            <w:hideMark/>
          </w:tcPr>
          <w:p w:rsidR="00F947E9" w:rsidRPr="00F947E9" w:rsidRDefault="00F947E9" w:rsidP="00F947E9">
            <w:pPr>
              <w:jc w:val="center"/>
              <w:rPr>
                <w:color w:val="000000"/>
                <w:sz w:val="16"/>
                <w:szCs w:val="16"/>
              </w:rPr>
            </w:pPr>
            <w:r w:rsidRPr="00F947E9">
              <w:rPr>
                <w:color w:val="000000"/>
                <w:sz w:val="16"/>
                <w:szCs w:val="16"/>
              </w:rPr>
              <w:t>56,46</w:t>
            </w:r>
          </w:p>
        </w:tc>
        <w:tc>
          <w:tcPr>
            <w:tcW w:w="254" w:type="pct"/>
            <w:tcBorders>
              <w:top w:val="nil"/>
              <w:left w:val="nil"/>
              <w:bottom w:val="single" w:sz="4" w:space="0" w:color="1F497D"/>
              <w:right w:val="single" w:sz="4" w:space="0" w:color="1F497D"/>
            </w:tcBorders>
            <w:shd w:val="clear" w:color="000000" w:fill="FFFFFF"/>
            <w:noWrap/>
            <w:vAlign w:val="center"/>
            <w:hideMark/>
          </w:tcPr>
          <w:p w:rsidR="00F947E9" w:rsidRPr="00F947E9" w:rsidRDefault="00F947E9" w:rsidP="00F947E9">
            <w:pPr>
              <w:jc w:val="center"/>
              <w:rPr>
                <w:color w:val="000000"/>
                <w:sz w:val="16"/>
                <w:szCs w:val="16"/>
              </w:rPr>
            </w:pPr>
            <w:r w:rsidRPr="00F947E9">
              <w:rPr>
                <w:color w:val="000000"/>
                <w:sz w:val="16"/>
                <w:szCs w:val="16"/>
              </w:rPr>
              <w:t>4,02</w:t>
            </w:r>
          </w:p>
        </w:tc>
        <w:tc>
          <w:tcPr>
            <w:tcW w:w="288" w:type="pct"/>
            <w:tcBorders>
              <w:top w:val="nil"/>
              <w:left w:val="nil"/>
              <w:bottom w:val="single" w:sz="4" w:space="0" w:color="1F497D"/>
              <w:right w:val="single" w:sz="4" w:space="0" w:color="1F497D"/>
            </w:tcBorders>
            <w:shd w:val="clear" w:color="000000" w:fill="FFFFFF"/>
            <w:noWrap/>
            <w:vAlign w:val="center"/>
            <w:hideMark/>
          </w:tcPr>
          <w:p w:rsidR="00F947E9" w:rsidRPr="00F947E9" w:rsidRDefault="00F947E9" w:rsidP="00F947E9">
            <w:pPr>
              <w:jc w:val="center"/>
              <w:rPr>
                <w:color w:val="000000"/>
                <w:sz w:val="16"/>
                <w:szCs w:val="16"/>
              </w:rPr>
            </w:pPr>
            <w:r w:rsidRPr="00F947E9">
              <w:rPr>
                <w:color w:val="000000"/>
                <w:sz w:val="16"/>
                <w:szCs w:val="16"/>
              </w:rPr>
              <w:t>99,10</w:t>
            </w:r>
          </w:p>
        </w:tc>
        <w:tc>
          <w:tcPr>
            <w:tcW w:w="214" w:type="pct"/>
            <w:tcBorders>
              <w:top w:val="nil"/>
              <w:left w:val="nil"/>
              <w:bottom w:val="single" w:sz="4" w:space="0" w:color="1F497D"/>
              <w:right w:val="single" w:sz="4" w:space="0" w:color="1F497D"/>
            </w:tcBorders>
            <w:shd w:val="clear" w:color="000000" w:fill="FFFFFF"/>
            <w:noWrap/>
            <w:vAlign w:val="center"/>
            <w:hideMark/>
          </w:tcPr>
          <w:p w:rsidR="00F947E9" w:rsidRPr="00F947E9" w:rsidRDefault="00F947E9" w:rsidP="00F947E9">
            <w:pPr>
              <w:jc w:val="center"/>
              <w:rPr>
                <w:color w:val="000000"/>
                <w:sz w:val="16"/>
                <w:szCs w:val="16"/>
              </w:rPr>
            </w:pPr>
            <w:r w:rsidRPr="00F947E9">
              <w:rPr>
                <w:color w:val="000000"/>
                <w:sz w:val="16"/>
                <w:szCs w:val="16"/>
              </w:rPr>
              <w:t>54,65</w:t>
            </w:r>
          </w:p>
        </w:tc>
        <w:tc>
          <w:tcPr>
            <w:tcW w:w="254" w:type="pct"/>
            <w:tcBorders>
              <w:top w:val="nil"/>
              <w:left w:val="nil"/>
              <w:bottom w:val="single" w:sz="4" w:space="0" w:color="1F497D"/>
              <w:right w:val="single" w:sz="4" w:space="0" w:color="1F497D"/>
            </w:tcBorders>
            <w:shd w:val="clear" w:color="000000" w:fill="FFFFFF"/>
            <w:noWrap/>
            <w:vAlign w:val="center"/>
            <w:hideMark/>
          </w:tcPr>
          <w:p w:rsidR="00F947E9" w:rsidRPr="00F947E9" w:rsidRDefault="00F947E9" w:rsidP="00F947E9">
            <w:pPr>
              <w:jc w:val="center"/>
              <w:rPr>
                <w:color w:val="000000"/>
                <w:sz w:val="16"/>
                <w:szCs w:val="16"/>
              </w:rPr>
            </w:pPr>
            <w:r w:rsidRPr="00F947E9">
              <w:rPr>
                <w:color w:val="000000"/>
                <w:sz w:val="16"/>
                <w:szCs w:val="16"/>
              </w:rPr>
              <w:t>3,90</w:t>
            </w:r>
          </w:p>
        </w:tc>
        <w:tc>
          <w:tcPr>
            <w:tcW w:w="27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947E9" w:rsidRPr="00F947E9" w:rsidRDefault="00F947E9" w:rsidP="00F947E9">
            <w:pPr>
              <w:jc w:val="center"/>
              <w:rPr>
                <w:color w:val="000000"/>
                <w:sz w:val="16"/>
                <w:szCs w:val="16"/>
              </w:rPr>
            </w:pPr>
            <w:r w:rsidRPr="00F947E9">
              <w:rPr>
                <w:color w:val="000000"/>
                <w:sz w:val="16"/>
                <w:szCs w:val="16"/>
              </w:rPr>
              <w:t>97,43</w:t>
            </w:r>
          </w:p>
        </w:tc>
        <w:tc>
          <w:tcPr>
            <w:tcW w:w="207" w:type="pct"/>
            <w:tcBorders>
              <w:top w:val="single" w:sz="4" w:space="0" w:color="auto"/>
              <w:left w:val="nil"/>
              <w:bottom w:val="single" w:sz="4" w:space="0" w:color="auto"/>
              <w:right w:val="single" w:sz="4" w:space="0" w:color="auto"/>
            </w:tcBorders>
            <w:shd w:val="clear" w:color="000000" w:fill="FFFFFF"/>
            <w:noWrap/>
            <w:vAlign w:val="center"/>
            <w:hideMark/>
          </w:tcPr>
          <w:p w:rsidR="00F947E9" w:rsidRPr="00F947E9" w:rsidRDefault="00F947E9" w:rsidP="00F947E9">
            <w:pPr>
              <w:jc w:val="center"/>
              <w:rPr>
                <w:color w:val="000000"/>
                <w:sz w:val="16"/>
                <w:szCs w:val="16"/>
              </w:rPr>
            </w:pPr>
            <w:r w:rsidRPr="00F947E9">
              <w:rPr>
                <w:color w:val="000000"/>
                <w:sz w:val="16"/>
                <w:szCs w:val="16"/>
              </w:rPr>
              <w:t>53,73</w:t>
            </w:r>
          </w:p>
        </w:tc>
        <w:tc>
          <w:tcPr>
            <w:tcW w:w="207" w:type="pct"/>
            <w:tcBorders>
              <w:top w:val="single" w:sz="4" w:space="0" w:color="auto"/>
              <w:left w:val="nil"/>
              <w:bottom w:val="single" w:sz="4" w:space="0" w:color="auto"/>
              <w:right w:val="single" w:sz="4" w:space="0" w:color="auto"/>
            </w:tcBorders>
            <w:shd w:val="clear" w:color="000000" w:fill="FFFFFF"/>
            <w:noWrap/>
            <w:vAlign w:val="center"/>
            <w:hideMark/>
          </w:tcPr>
          <w:p w:rsidR="00F947E9" w:rsidRPr="00F947E9" w:rsidRDefault="00F947E9" w:rsidP="00F947E9">
            <w:pPr>
              <w:jc w:val="center"/>
              <w:rPr>
                <w:color w:val="000000"/>
                <w:sz w:val="16"/>
                <w:szCs w:val="16"/>
              </w:rPr>
            </w:pPr>
            <w:r w:rsidRPr="00F947E9">
              <w:rPr>
                <w:color w:val="000000"/>
                <w:sz w:val="16"/>
                <w:szCs w:val="16"/>
              </w:rPr>
              <w:t>3,84</w:t>
            </w:r>
          </w:p>
        </w:tc>
      </w:tr>
      <w:tr w:rsidR="00F947E9" w:rsidRPr="00F947E9" w:rsidTr="00F947E9">
        <w:trPr>
          <w:trHeight w:val="225"/>
        </w:trPr>
        <w:tc>
          <w:tcPr>
            <w:tcW w:w="241" w:type="pct"/>
            <w:vMerge/>
            <w:tcBorders>
              <w:top w:val="nil"/>
              <w:left w:val="single" w:sz="4" w:space="0" w:color="1F497D"/>
              <w:bottom w:val="single" w:sz="4" w:space="0" w:color="1F497D"/>
              <w:right w:val="single" w:sz="4" w:space="0" w:color="1F497D"/>
            </w:tcBorders>
            <w:vAlign w:val="center"/>
            <w:hideMark/>
          </w:tcPr>
          <w:p w:rsidR="00F947E9" w:rsidRPr="00F947E9" w:rsidRDefault="00F947E9" w:rsidP="00F947E9">
            <w:pPr>
              <w:rPr>
                <w:color w:val="000000"/>
                <w:sz w:val="16"/>
                <w:szCs w:val="16"/>
              </w:rPr>
            </w:pPr>
          </w:p>
        </w:tc>
        <w:tc>
          <w:tcPr>
            <w:tcW w:w="335" w:type="pct"/>
            <w:tcBorders>
              <w:top w:val="nil"/>
              <w:left w:val="nil"/>
              <w:bottom w:val="single" w:sz="4" w:space="0" w:color="1F497D"/>
              <w:right w:val="single" w:sz="4" w:space="0" w:color="1F497D"/>
            </w:tcBorders>
            <w:shd w:val="clear" w:color="000000" w:fill="FFFFFF"/>
            <w:vAlign w:val="center"/>
            <w:hideMark/>
          </w:tcPr>
          <w:p w:rsidR="00F947E9" w:rsidRPr="00F947E9" w:rsidRDefault="00F947E9" w:rsidP="00F947E9">
            <w:pPr>
              <w:jc w:val="center"/>
              <w:rPr>
                <w:color w:val="000000"/>
                <w:sz w:val="16"/>
                <w:szCs w:val="16"/>
              </w:rPr>
            </w:pPr>
            <w:r w:rsidRPr="00F947E9">
              <w:rPr>
                <w:color w:val="000000"/>
                <w:sz w:val="16"/>
                <w:szCs w:val="16"/>
              </w:rPr>
              <w:t>2015/10/02</w:t>
            </w:r>
          </w:p>
        </w:tc>
        <w:tc>
          <w:tcPr>
            <w:tcW w:w="241" w:type="pct"/>
            <w:tcBorders>
              <w:top w:val="nil"/>
              <w:left w:val="nil"/>
              <w:bottom w:val="single" w:sz="4" w:space="0" w:color="1F497D"/>
              <w:right w:val="single" w:sz="4" w:space="0" w:color="1F497D"/>
            </w:tcBorders>
            <w:shd w:val="clear" w:color="000000" w:fill="FFFFFF"/>
            <w:noWrap/>
            <w:vAlign w:val="center"/>
            <w:hideMark/>
          </w:tcPr>
          <w:p w:rsidR="00F947E9" w:rsidRPr="00F947E9" w:rsidRDefault="00F947E9" w:rsidP="00F947E9">
            <w:pPr>
              <w:jc w:val="center"/>
              <w:rPr>
                <w:color w:val="000000"/>
                <w:sz w:val="16"/>
                <w:szCs w:val="16"/>
              </w:rPr>
            </w:pPr>
            <w:r w:rsidRPr="00F947E9">
              <w:rPr>
                <w:color w:val="000000"/>
                <w:sz w:val="16"/>
                <w:szCs w:val="16"/>
              </w:rPr>
              <w:t>180,56</w:t>
            </w:r>
          </w:p>
        </w:tc>
        <w:tc>
          <w:tcPr>
            <w:tcW w:w="241" w:type="pct"/>
            <w:tcBorders>
              <w:top w:val="nil"/>
              <w:left w:val="nil"/>
              <w:bottom w:val="single" w:sz="4" w:space="0" w:color="1F497D"/>
              <w:right w:val="single" w:sz="4" w:space="0" w:color="1F497D"/>
            </w:tcBorders>
            <w:shd w:val="clear" w:color="000000" w:fill="FFFFFF"/>
            <w:noWrap/>
            <w:vAlign w:val="center"/>
            <w:hideMark/>
          </w:tcPr>
          <w:p w:rsidR="00F947E9" w:rsidRPr="00F947E9" w:rsidRDefault="00F947E9" w:rsidP="00F947E9">
            <w:pPr>
              <w:jc w:val="center"/>
              <w:rPr>
                <w:color w:val="000000"/>
                <w:sz w:val="16"/>
                <w:szCs w:val="16"/>
              </w:rPr>
            </w:pPr>
            <w:r w:rsidRPr="00F947E9">
              <w:rPr>
                <w:color w:val="000000"/>
                <w:sz w:val="16"/>
                <w:szCs w:val="16"/>
              </w:rPr>
              <w:t>6,90</w:t>
            </w:r>
          </w:p>
        </w:tc>
        <w:tc>
          <w:tcPr>
            <w:tcW w:w="181" w:type="pct"/>
            <w:tcBorders>
              <w:top w:val="nil"/>
              <w:left w:val="nil"/>
              <w:bottom w:val="single" w:sz="4" w:space="0" w:color="1F497D"/>
              <w:right w:val="single" w:sz="4" w:space="0" w:color="1F497D"/>
            </w:tcBorders>
            <w:shd w:val="clear" w:color="000000" w:fill="FFFFFF"/>
            <w:vAlign w:val="center"/>
            <w:hideMark/>
          </w:tcPr>
          <w:p w:rsidR="00F947E9" w:rsidRPr="00F947E9" w:rsidRDefault="00F947E9" w:rsidP="00F947E9">
            <w:pPr>
              <w:jc w:val="center"/>
              <w:rPr>
                <w:color w:val="000000"/>
                <w:sz w:val="16"/>
                <w:szCs w:val="16"/>
              </w:rPr>
            </w:pPr>
            <w:r w:rsidRPr="00F947E9">
              <w:rPr>
                <w:color w:val="000000"/>
                <w:sz w:val="16"/>
                <w:szCs w:val="16"/>
              </w:rPr>
              <w:t>84</w:t>
            </w:r>
          </w:p>
        </w:tc>
        <w:tc>
          <w:tcPr>
            <w:tcW w:w="268" w:type="pct"/>
            <w:tcBorders>
              <w:top w:val="nil"/>
              <w:left w:val="nil"/>
              <w:bottom w:val="single" w:sz="4" w:space="0" w:color="1F497D"/>
              <w:right w:val="single" w:sz="4" w:space="0" w:color="1F497D"/>
            </w:tcBorders>
            <w:shd w:val="clear" w:color="000000" w:fill="FFFFFF"/>
            <w:noWrap/>
            <w:vAlign w:val="center"/>
            <w:hideMark/>
          </w:tcPr>
          <w:p w:rsidR="00F947E9" w:rsidRPr="00F947E9" w:rsidRDefault="00F947E9" w:rsidP="00F947E9">
            <w:pPr>
              <w:jc w:val="center"/>
              <w:rPr>
                <w:color w:val="000000"/>
                <w:sz w:val="16"/>
                <w:szCs w:val="16"/>
              </w:rPr>
            </w:pPr>
            <w:r w:rsidRPr="00F947E9">
              <w:rPr>
                <w:color w:val="000000"/>
                <w:sz w:val="16"/>
                <w:szCs w:val="16"/>
              </w:rPr>
              <w:t>382,89</w:t>
            </w:r>
          </w:p>
        </w:tc>
        <w:tc>
          <w:tcPr>
            <w:tcW w:w="207" w:type="pct"/>
            <w:tcBorders>
              <w:top w:val="nil"/>
              <w:left w:val="nil"/>
              <w:bottom w:val="single" w:sz="4" w:space="0" w:color="1F497D"/>
              <w:right w:val="single" w:sz="4" w:space="0" w:color="1F497D"/>
            </w:tcBorders>
            <w:shd w:val="clear" w:color="000000" w:fill="FFFFFF"/>
            <w:noWrap/>
            <w:vAlign w:val="center"/>
            <w:hideMark/>
          </w:tcPr>
          <w:p w:rsidR="00F947E9" w:rsidRPr="00F947E9" w:rsidRDefault="00F947E9" w:rsidP="00F947E9">
            <w:pPr>
              <w:jc w:val="center"/>
              <w:rPr>
                <w:color w:val="000000"/>
                <w:sz w:val="16"/>
                <w:szCs w:val="16"/>
              </w:rPr>
            </w:pPr>
            <w:r w:rsidRPr="00F947E9">
              <w:rPr>
                <w:color w:val="000000"/>
                <w:sz w:val="16"/>
                <w:szCs w:val="16"/>
              </w:rPr>
              <w:t>212,05</w:t>
            </w:r>
          </w:p>
        </w:tc>
        <w:tc>
          <w:tcPr>
            <w:tcW w:w="234" w:type="pct"/>
            <w:tcBorders>
              <w:top w:val="nil"/>
              <w:left w:val="nil"/>
              <w:bottom w:val="single" w:sz="4" w:space="0" w:color="1F497D"/>
              <w:right w:val="single" w:sz="4" w:space="0" w:color="1F497D"/>
            </w:tcBorders>
            <w:shd w:val="clear" w:color="000000" w:fill="FFFFFF"/>
            <w:noWrap/>
            <w:vAlign w:val="center"/>
            <w:hideMark/>
          </w:tcPr>
          <w:p w:rsidR="00F947E9" w:rsidRPr="00F947E9" w:rsidRDefault="00F947E9" w:rsidP="00F947E9">
            <w:pPr>
              <w:jc w:val="center"/>
              <w:rPr>
                <w:color w:val="000000"/>
                <w:sz w:val="16"/>
                <w:szCs w:val="16"/>
              </w:rPr>
            </w:pPr>
            <w:r w:rsidRPr="00F947E9">
              <w:rPr>
                <w:color w:val="000000"/>
                <w:sz w:val="16"/>
                <w:szCs w:val="16"/>
              </w:rPr>
              <w:t>14,33</w:t>
            </w:r>
          </w:p>
        </w:tc>
        <w:tc>
          <w:tcPr>
            <w:tcW w:w="174" w:type="pct"/>
            <w:tcBorders>
              <w:top w:val="nil"/>
              <w:left w:val="nil"/>
              <w:bottom w:val="single" w:sz="4" w:space="0" w:color="1F497D"/>
              <w:right w:val="single" w:sz="4" w:space="0" w:color="1F497D"/>
            </w:tcBorders>
            <w:shd w:val="clear" w:color="000000" w:fill="FFFFFF"/>
            <w:noWrap/>
            <w:vAlign w:val="center"/>
            <w:hideMark/>
          </w:tcPr>
          <w:p w:rsidR="00F947E9" w:rsidRPr="00F947E9" w:rsidRDefault="00F947E9" w:rsidP="00F947E9">
            <w:pPr>
              <w:jc w:val="center"/>
              <w:rPr>
                <w:color w:val="000000"/>
                <w:sz w:val="16"/>
                <w:szCs w:val="16"/>
              </w:rPr>
            </w:pPr>
            <w:r w:rsidRPr="00F947E9">
              <w:rPr>
                <w:color w:val="000000"/>
                <w:sz w:val="16"/>
                <w:szCs w:val="16"/>
              </w:rPr>
              <w:t>76</w:t>
            </w:r>
          </w:p>
        </w:tc>
        <w:tc>
          <w:tcPr>
            <w:tcW w:w="261" w:type="pct"/>
            <w:tcBorders>
              <w:top w:val="nil"/>
              <w:left w:val="nil"/>
              <w:bottom w:val="single" w:sz="4" w:space="0" w:color="1F497D"/>
              <w:right w:val="single" w:sz="4" w:space="0" w:color="1F497D"/>
            </w:tcBorders>
            <w:shd w:val="clear" w:color="000000" w:fill="FFFFFF"/>
            <w:noWrap/>
            <w:vAlign w:val="center"/>
            <w:hideMark/>
          </w:tcPr>
          <w:p w:rsidR="00F947E9" w:rsidRPr="00F947E9" w:rsidRDefault="00F947E9" w:rsidP="00F947E9">
            <w:pPr>
              <w:jc w:val="center"/>
              <w:rPr>
                <w:color w:val="000000"/>
                <w:sz w:val="16"/>
                <w:szCs w:val="16"/>
              </w:rPr>
            </w:pPr>
            <w:r w:rsidRPr="00F947E9">
              <w:rPr>
                <w:color w:val="000000"/>
                <w:sz w:val="16"/>
                <w:szCs w:val="16"/>
              </w:rPr>
              <w:t>186,26</w:t>
            </w:r>
          </w:p>
        </w:tc>
        <w:tc>
          <w:tcPr>
            <w:tcW w:w="214" w:type="pct"/>
            <w:tcBorders>
              <w:top w:val="nil"/>
              <w:left w:val="nil"/>
              <w:bottom w:val="single" w:sz="4" w:space="0" w:color="1F497D"/>
              <w:right w:val="single" w:sz="4" w:space="0" w:color="1F497D"/>
            </w:tcBorders>
            <w:shd w:val="clear" w:color="000000" w:fill="FFFFFF"/>
            <w:noWrap/>
            <w:vAlign w:val="center"/>
            <w:hideMark/>
          </w:tcPr>
          <w:p w:rsidR="00F947E9" w:rsidRPr="00F947E9" w:rsidRDefault="00F947E9" w:rsidP="00F947E9">
            <w:pPr>
              <w:jc w:val="center"/>
              <w:rPr>
                <w:color w:val="000000"/>
                <w:sz w:val="16"/>
                <w:szCs w:val="16"/>
              </w:rPr>
            </w:pPr>
            <w:r w:rsidRPr="00F947E9">
              <w:rPr>
                <w:color w:val="000000"/>
                <w:sz w:val="16"/>
                <w:szCs w:val="16"/>
              </w:rPr>
              <w:t>103,15</w:t>
            </w:r>
          </w:p>
        </w:tc>
        <w:tc>
          <w:tcPr>
            <w:tcW w:w="214" w:type="pct"/>
            <w:tcBorders>
              <w:top w:val="nil"/>
              <w:left w:val="nil"/>
              <w:bottom w:val="single" w:sz="4" w:space="0" w:color="1F497D"/>
              <w:right w:val="single" w:sz="4" w:space="0" w:color="1F497D"/>
            </w:tcBorders>
            <w:shd w:val="clear" w:color="000000" w:fill="FFFFFF"/>
            <w:noWrap/>
            <w:vAlign w:val="center"/>
            <w:hideMark/>
          </w:tcPr>
          <w:p w:rsidR="00F947E9" w:rsidRPr="00F947E9" w:rsidRDefault="00F947E9" w:rsidP="00F947E9">
            <w:pPr>
              <w:jc w:val="center"/>
              <w:rPr>
                <w:color w:val="000000"/>
                <w:sz w:val="16"/>
                <w:szCs w:val="16"/>
              </w:rPr>
            </w:pPr>
            <w:r w:rsidRPr="00F947E9">
              <w:rPr>
                <w:color w:val="000000"/>
                <w:sz w:val="16"/>
                <w:szCs w:val="16"/>
              </w:rPr>
              <w:t>7,11</w:t>
            </w:r>
          </w:p>
        </w:tc>
        <w:tc>
          <w:tcPr>
            <w:tcW w:w="261" w:type="pct"/>
            <w:tcBorders>
              <w:top w:val="nil"/>
              <w:left w:val="nil"/>
              <w:bottom w:val="single" w:sz="4" w:space="0" w:color="1F497D"/>
              <w:right w:val="single" w:sz="4" w:space="0" w:color="1F497D"/>
            </w:tcBorders>
            <w:shd w:val="clear" w:color="000000" w:fill="FFFFFF"/>
            <w:noWrap/>
            <w:vAlign w:val="center"/>
            <w:hideMark/>
          </w:tcPr>
          <w:p w:rsidR="00F947E9" w:rsidRPr="00F947E9" w:rsidRDefault="00F947E9" w:rsidP="00F947E9">
            <w:pPr>
              <w:jc w:val="center"/>
              <w:rPr>
                <w:color w:val="000000"/>
                <w:sz w:val="16"/>
                <w:szCs w:val="16"/>
              </w:rPr>
            </w:pPr>
            <w:r w:rsidRPr="00F947E9">
              <w:rPr>
                <w:color w:val="000000"/>
                <w:sz w:val="16"/>
                <w:szCs w:val="16"/>
              </w:rPr>
              <w:t>104,62</w:t>
            </w:r>
          </w:p>
        </w:tc>
        <w:tc>
          <w:tcPr>
            <w:tcW w:w="228" w:type="pct"/>
            <w:tcBorders>
              <w:top w:val="nil"/>
              <w:left w:val="nil"/>
              <w:bottom w:val="single" w:sz="4" w:space="0" w:color="1F497D"/>
              <w:right w:val="single" w:sz="4" w:space="0" w:color="1F497D"/>
            </w:tcBorders>
            <w:shd w:val="clear" w:color="000000" w:fill="FFFFFF"/>
            <w:noWrap/>
            <w:vAlign w:val="center"/>
            <w:hideMark/>
          </w:tcPr>
          <w:p w:rsidR="00F947E9" w:rsidRPr="00F947E9" w:rsidRDefault="00F947E9" w:rsidP="00F947E9">
            <w:pPr>
              <w:jc w:val="center"/>
              <w:rPr>
                <w:color w:val="000000"/>
                <w:sz w:val="16"/>
                <w:szCs w:val="16"/>
              </w:rPr>
            </w:pPr>
            <w:r w:rsidRPr="00F947E9">
              <w:rPr>
                <w:color w:val="000000"/>
                <w:sz w:val="16"/>
                <w:szCs w:val="16"/>
              </w:rPr>
              <w:t>57,94</w:t>
            </w:r>
          </w:p>
        </w:tc>
        <w:tc>
          <w:tcPr>
            <w:tcW w:w="254" w:type="pct"/>
            <w:tcBorders>
              <w:top w:val="nil"/>
              <w:left w:val="nil"/>
              <w:bottom w:val="single" w:sz="4" w:space="0" w:color="1F497D"/>
              <w:right w:val="single" w:sz="4" w:space="0" w:color="1F497D"/>
            </w:tcBorders>
            <w:shd w:val="clear" w:color="000000" w:fill="FFFFFF"/>
            <w:noWrap/>
            <w:vAlign w:val="center"/>
            <w:hideMark/>
          </w:tcPr>
          <w:p w:rsidR="00F947E9" w:rsidRPr="00F947E9" w:rsidRDefault="00F947E9" w:rsidP="00F947E9">
            <w:pPr>
              <w:jc w:val="center"/>
              <w:rPr>
                <w:color w:val="000000"/>
                <w:sz w:val="16"/>
                <w:szCs w:val="16"/>
              </w:rPr>
            </w:pPr>
            <w:r w:rsidRPr="00F947E9">
              <w:rPr>
                <w:color w:val="000000"/>
                <w:sz w:val="16"/>
                <w:szCs w:val="16"/>
              </w:rPr>
              <w:t>4,11</w:t>
            </w:r>
          </w:p>
        </w:tc>
        <w:tc>
          <w:tcPr>
            <w:tcW w:w="288" w:type="pct"/>
            <w:tcBorders>
              <w:top w:val="nil"/>
              <w:left w:val="nil"/>
              <w:bottom w:val="single" w:sz="4" w:space="0" w:color="1F497D"/>
              <w:right w:val="single" w:sz="4" w:space="0" w:color="1F497D"/>
            </w:tcBorders>
            <w:shd w:val="clear" w:color="000000" w:fill="FFFFFF"/>
            <w:noWrap/>
            <w:vAlign w:val="center"/>
            <w:hideMark/>
          </w:tcPr>
          <w:p w:rsidR="00F947E9" w:rsidRPr="00F947E9" w:rsidRDefault="00F947E9" w:rsidP="00F947E9">
            <w:pPr>
              <w:jc w:val="center"/>
              <w:rPr>
                <w:color w:val="000000"/>
                <w:sz w:val="16"/>
                <w:szCs w:val="16"/>
              </w:rPr>
            </w:pPr>
            <w:r w:rsidRPr="00F947E9">
              <w:rPr>
                <w:color w:val="000000"/>
                <w:sz w:val="16"/>
                <w:szCs w:val="16"/>
              </w:rPr>
              <w:t>104,01</w:t>
            </w:r>
          </w:p>
        </w:tc>
        <w:tc>
          <w:tcPr>
            <w:tcW w:w="214" w:type="pct"/>
            <w:tcBorders>
              <w:top w:val="nil"/>
              <w:left w:val="nil"/>
              <w:bottom w:val="single" w:sz="4" w:space="0" w:color="1F497D"/>
              <w:right w:val="single" w:sz="4" w:space="0" w:color="1F497D"/>
            </w:tcBorders>
            <w:shd w:val="clear" w:color="000000" w:fill="FFFFFF"/>
            <w:noWrap/>
            <w:vAlign w:val="center"/>
            <w:hideMark/>
          </w:tcPr>
          <w:p w:rsidR="00F947E9" w:rsidRPr="00F947E9" w:rsidRDefault="00F947E9" w:rsidP="00F947E9">
            <w:pPr>
              <w:jc w:val="center"/>
              <w:rPr>
                <w:color w:val="000000"/>
                <w:sz w:val="16"/>
                <w:szCs w:val="16"/>
              </w:rPr>
            </w:pPr>
            <w:r w:rsidRPr="00F947E9">
              <w:rPr>
                <w:color w:val="000000"/>
                <w:sz w:val="16"/>
                <w:szCs w:val="16"/>
              </w:rPr>
              <w:t>57,60</w:t>
            </w:r>
          </w:p>
        </w:tc>
        <w:tc>
          <w:tcPr>
            <w:tcW w:w="254" w:type="pct"/>
            <w:tcBorders>
              <w:top w:val="nil"/>
              <w:left w:val="nil"/>
              <w:bottom w:val="single" w:sz="4" w:space="0" w:color="1F497D"/>
              <w:right w:val="single" w:sz="4" w:space="0" w:color="1F497D"/>
            </w:tcBorders>
            <w:shd w:val="clear" w:color="000000" w:fill="FFFFFF"/>
            <w:noWrap/>
            <w:vAlign w:val="center"/>
            <w:hideMark/>
          </w:tcPr>
          <w:p w:rsidR="00F947E9" w:rsidRPr="00F947E9" w:rsidRDefault="00F947E9" w:rsidP="00F947E9">
            <w:pPr>
              <w:jc w:val="center"/>
              <w:rPr>
                <w:color w:val="000000"/>
                <w:sz w:val="16"/>
                <w:szCs w:val="16"/>
              </w:rPr>
            </w:pPr>
            <w:r w:rsidRPr="00F947E9">
              <w:rPr>
                <w:color w:val="000000"/>
                <w:sz w:val="16"/>
                <w:szCs w:val="16"/>
              </w:rPr>
              <w:t>4,08</w:t>
            </w:r>
          </w:p>
        </w:tc>
        <w:tc>
          <w:tcPr>
            <w:tcW w:w="274" w:type="pct"/>
            <w:tcBorders>
              <w:top w:val="nil"/>
              <w:left w:val="single" w:sz="4" w:space="0" w:color="auto"/>
              <w:bottom w:val="single" w:sz="4" w:space="0" w:color="auto"/>
              <w:right w:val="single" w:sz="4" w:space="0" w:color="auto"/>
            </w:tcBorders>
            <w:shd w:val="clear" w:color="000000" w:fill="FFFFFF"/>
            <w:noWrap/>
            <w:vAlign w:val="center"/>
            <w:hideMark/>
          </w:tcPr>
          <w:p w:rsidR="00F947E9" w:rsidRPr="00F947E9" w:rsidRDefault="00F947E9" w:rsidP="00F947E9">
            <w:pPr>
              <w:jc w:val="center"/>
              <w:rPr>
                <w:color w:val="000000"/>
                <w:sz w:val="16"/>
                <w:szCs w:val="16"/>
              </w:rPr>
            </w:pPr>
            <w:r w:rsidRPr="00F947E9">
              <w:rPr>
                <w:color w:val="000000"/>
                <w:sz w:val="16"/>
                <w:szCs w:val="16"/>
              </w:rPr>
              <w:t>101,06</w:t>
            </w:r>
          </w:p>
        </w:tc>
        <w:tc>
          <w:tcPr>
            <w:tcW w:w="207" w:type="pct"/>
            <w:tcBorders>
              <w:top w:val="nil"/>
              <w:left w:val="nil"/>
              <w:bottom w:val="single" w:sz="4" w:space="0" w:color="auto"/>
              <w:right w:val="single" w:sz="4" w:space="0" w:color="auto"/>
            </w:tcBorders>
            <w:shd w:val="clear" w:color="000000" w:fill="FFFFFF"/>
            <w:noWrap/>
            <w:vAlign w:val="center"/>
            <w:hideMark/>
          </w:tcPr>
          <w:p w:rsidR="00F947E9" w:rsidRPr="00F947E9" w:rsidRDefault="00F947E9" w:rsidP="00F947E9">
            <w:pPr>
              <w:jc w:val="center"/>
              <w:rPr>
                <w:color w:val="000000"/>
                <w:sz w:val="16"/>
                <w:szCs w:val="16"/>
              </w:rPr>
            </w:pPr>
            <w:r w:rsidRPr="00F947E9">
              <w:rPr>
                <w:color w:val="000000"/>
                <w:sz w:val="16"/>
                <w:szCs w:val="16"/>
              </w:rPr>
              <w:t>55,97</w:t>
            </w:r>
          </w:p>
        </w:tc>
        <w:tc>
          <w:tcPr>
            <w:tcW w:w="207" w:type="pct"/>
            <w:tcBorders>
              <w:top w:val="nil"/>
              <w:left w:val="nil"/>
              <w:bottom w:val="single" w:sz="4" w:space="0" w:color="auto"/>
              <w:right w:val="single" w:sz="4" w:space="0" w:color="auto"/>
            </w:tcBorders>
            <w:shd w:val="clear" w:color="000000" w:fill="FFFFFF"/>
            <w:noWrap/>
            <w:vAlign w:val="center"/>
            <w:hideMark/>
          </w:tcPr>
          <w:p w:rsidR="00F947E9" w:rsidRPr="00F947E9" w:rsidRDefault="00F947E9" w:rsidP="00F947E9">
            <w:pPr>
              <w:jc w:val="center"/>
              <w:rPr>
                <w:color w:val="000000"/>
                <w:sz w:val="16"/>
                <w:szCs w:val="16"/>
              </w:rPr>
            </w:pPr>
            <w:r w:rsidRPr="00F947E9">
              <w:rPr>
                <w:color w:val="000000"/>
                <w:sz w:val="16"/>
                <w:szCs w:val="16"/>
              </w:rPr>
              <w:t>3,97</w:t>
            </w:r>
          </w:p>
        </w:tc>
      </w:tr>
      <w:tr w:rsidR="00F947E9" w:rsidRPr="00F947E9" w:rsidTr="00F947E9">
        <w:trPr>
          <w:trHeight w:val="240"/>
        </w:trPr>
        <w:tc>
          <w:tcPr>
            <w:tcW w:w="241" w:type="pct"/>
            <w:vMerge/>
            <w:tcBorders>
              <w:top w:val="nil"/>
              <w:left w:val="single" w:sz="4" w:space="0" w:color="1F497D"/>
              <w:bottom w:val="single" w:sz="4" w:space="0" w:color="1F497D"/>
              <w:right w:val="single" w:sz="4" w:space="0" w:color="1F497D"/>
            </w:tcBorders>
            <w:vAlign w:val="center"/>
            <w:hideMark/>
          </w:tcPr>
          <w:p w:rsidR="00F947E9" w:rsidRPr="00F947E9" w:rsidRDefault="00F947E9" w:rsidP="00F947E9">
            <w:pPr>
              <w:rPr>
                <w:color w:val="000000"/>
                <w:sz w:val="16"/>
                <w:szCs w:val="16"/>
              </w:rPr>
            </w:pPr>
          </w:p>
        </w:tc>
        <w:tc>
          <w:tcPr>
            <w:tcW w:w="335" w:type="pct"/>
            <w:tcBorders>
              <w:top w:val="nil"/>
              <w:left w:val="nil"/>
              <w:bottom w:val="single" w:sz="4" w:space="0" w:color="1F497D"/>
              <w:right w:val="single" w:sz="4" w:space="0" w:color="1F497D"/>
            </w:tcBorders>
            <w:shd w:val="clear" w:color="000000" w:fill="FFFFFF"/>
            <w:vAlign w:val="center"/>
            <w:hideMark/>
          </w:tcPr>
          <w:p w:rsidR="00F947E9" w:rsidRPr="00F947E9" w:rsidRDefault="00F947E9" w:rsidP="00F947E9">
            <w:pPr>
              <w:jc w:val="center"/>
              <w:rPr>
                <w:color w:val="000000"/>
                <w:sz w:val="16"/>
                <w:szCs w:val="16"/>
              </w:rPr>
            </w:pPr>
            <w:r w:rsidRPr="00F947E9">
              <w:rPr>
                <w:color w:val="000000"/>
                <w:sz w:val="16"/>
                <w:szCs w:val="16"/>
              </w:rPr>
              <w:t>Rozdíl</w:t>
            </w:r>
          </w:p>
        </w:tc>
        <w:tc>
          <w:tcPr>
            <w:tcW w:w="241" w:type="pct"/>
            <w:tcBorders>
              <w:top w:val="nil"/>
              <w:left w:val="nil"/>
              <w:bottom w:val="single" w:sz="4" w:space="0" w:color="1F497D"/>
              <w:right w:val="single" w:sz="4" w:space="0" w:color="1F497D"/>
            </w:tcBorders>
            <w:shd w:val="clear" w:color="000000" w:fill="FFFFFF"/>
            <w:noWrap/>
            <w:vAlign w:val="center"/>
            <w:hideMark/>
          </w:tcPr>
          <w:p w:rsidR="00F947E9" w:rsidRPr="00F947E9" w:rsidRDefault="00F947E9" w:rsidP="00F947E9">
            <w:pPr>
              <w:jc w:val="center"/>
              <w:rPr>
                <w:color w:val="000000"/>
                <w:sz w:val="16"/>
                <w:szCs w:val="16"/>
              </w:rPr>
            </w:pPr>
          </w:p>
        </w:tc>
        <w:tc>
          <w:tcPr>
            <w:tcW w:w="241" w:type="pct"/>
            <w:tcBorders>
              <w:top w:val="nil"/>
              <w:left w:val="nil"/>
              <w:bottom w:val="single" w:sz="4" w:space="0" w:color="1F497D"/>
              <w:right w:val="single" w:sz="4" w:space="0" w:color="1F497D"/>
            </w:tcBorders>
            <w:shd w:val="clear" w:color="000000" w:fill="FFFFFF"/>
            <w:noWrap/>
            <w:vAlign w:val="center"/>
            <w:hideMark/>
          </w:tcPr>
          <w:p w:rsidR="00F947E9" w:rsidRPr="00F947E9" w:rsidRDefault="00F947E9" w:rsidP="00F947E9">
            <w:pPr>
              <w:jc w:val="center"/>
              <w:rPr>
                <w:color w:val="000000"/>
                <w:sz w:val="16"/>
                <w:szCs w:val="16"/>
              </w:rPr>
            </w:pPr>
          </w:p>
        </w:tc>
        <w:tc>
          <w:tcPr>
            <w:tcW w:w="181" w:type="pct"/>
            <w:tcBorders>
              <w:top w:val="nil"/>
              <w:left w:val="nil"/>
              <w:bottom w:val="single" w:sz="4" w:space="0" w:color="1F497D"/>
              <w:right w:val="single" w:sz="4" w:space="0" w:color="1F497D"/>
            </w:tcBorders>
            <w:shd w:val="clear" w:color="000000" w:fill="FFFFFF"/>
            <w:vAlign w:val="center"/>
            <w:hideMark/>
          </w:tcPr>
          <w:p w:rsidR="00F947E9" w:rsidRPr="00F947E9" w:rsidRDefault="00F947E9" w:rsidP="00F947E9">
            <w:pPr>
              <w:jc w:val="center"/>
              <w:rPr>
                <w:color w:val="000000"/>
                <w:sz w:val="16"/>
                <w:szCs w:val="16"/>
              </w:rPr>
            </w:pPr>
            <w:r w:rsidRPr="00F947E9">
              <w:rPr>
                <w:color w:val="000000"/>
                <w:sz w:val="16"/>
                <w:szCs w:val="16"/>
              </w:rPr>
              <w:t>4</w:t>
            </w:r>
          </w:p>
        </w:tc>
        <w:tc>
          <w:tcPr>
            <w:tcW w:w="268" w:type="pct"/>
            <w:tcBorders>
              <w:top w:val="nil"/>
              <w:left w:val="nil"/>
              <w:bottom w:val="single" w:sz="4" w:space="0" w:color="1F497D"/>
              <w:right w:val="single" w:sz="4" w:space="0" w:color="1F497D"/>
            </w:tcBorders>
            <w:shd w:val="clear" w:color="000000" w:fill="FFFFFF"/>
            <w:noWrap/>
            <w:vAlign w:val="center"/>
            <w:hideMark/>
          </w:tcPr>
          <w:p w:rsidR="00F947E9" w:rsidRPr="00F947E9" w:rsidRDefault="00F947E9" w:rsidP="00F947E9">
            <w:pPr>
              <w:jc w:val="center"/>
              <w:rPr>
                <w:color w:val="000000"/>
                <w:sz w:val="16"/>
                <w:szCs w:val="16"/>
              </w:rPr>
            </w:pPr>
            <w:r w:rsidRPr="00F947E9">
              <w:rPr>
                <w:color w:val="000000"/>
                <w:sz w:val="16"/>
                <w:szCs w:val="16"/>
              </w:rPr>
              <w:t>31,79</w:t>
            </w:r>
          </w:p>
        </w:tc>
        <w:tc>
          <w:tcPr>
            <w:tcW w:w="207" w:type="pct"/>
            <w:tcBorders>
              <w:top w:val="nil"/>
              <w:left w:val="nil"/>
              <w:bottom w:val="single" w:sz="4" w:space="0" w:color="1F497D"/>
              <w:right w:val="single" w:sz="4" w:space="0" w:color="1F497D"/>
            </w:tcBorders>
            <w:shd w:val="clear" w:color="000000" w:fill="FFFFFF"/>
            <w:noWrap/>
            <w:vAlign w:val="center"/>
            <w:hideMark/>
          </w:tcPr>
          <w:p w:rsidR="00F947E9" w:rsidRPr="00F947E9" w:rsidRDefault="00F947E9" w:rsidP="00F947E9">
            <w:pPr>
              <w:jc w:val="center"/>
              <w:rPr>
                <w:color w:val="000000"/>
                <w:sz w:val="16"/>
                <w:szCs w:val="16"/>
              </w:rPr>
            </w:pPr>
            <w:r w:rsidRPr="00F947E9">
              <w:rPr>
                <w:color w:val="000000"/>
                <w:sz w:val="16"/>
                <w:szCs w:val="16"/>
              </w:rPr>
              <w:t>17,61</w:t>
            </w:r>
          </w:p>
        </w:tc>
        <w:tc>
          <w:tcPr>
            <w:tcW w:w="234" w:type="pct"/>
            <w:tcBorders>
              <w:top w:val="nil"/>
              <w:left w:val="nil"/>
              <w:bottom w:val="single" w:sz="4" w:space="0" w:color="1F497D"/>
              <w:right w:val="single" w:sz="4" w:space="0" w:color="1F497D"/>
            </w:tcBorders>
            <w:shd w:val="clear" w:color="000000" w:fill="FFFFFF"/>
            <w:noWrap/>
            <w:vAlign w:val="center"/>
            <w:hideMark/>
          </w:tcPr>
          <w:p w:rsidR="00F947E9" w:rsidRPr="00F947E9" w:rsidRDefault="00F947E9" w:rsidP="00F947E9">
            <w:pPr>
              <w:jc w:val="center"/>
              <w:rPr>
                <w:color w:val="000000"/>
                <w:sz w:val="16"/>
                <w:szCs w:val="16"/>
              </w:rPr>
            </w:pPr>
            <w:r w:rsidRPr="00F947E9">
              <w:rPr>
                <w:color w:val="000000"/>
                <w:sz w:val="16"/>
                <w:szCs w:val="16"/>
              </w:rPr>
              <w:t>1,26</w:t>
            </w:r>
          </w:p>
        </w:tc>
        <w:tc>
          <w:tcPr>
            <w:tcW w:w="174" w:type="pct"/>
            <w:tcBorders>
              <w:top w:val="nil"/>
              <w:left w:val="nil"/>
              <w:bottom w:val="single" w:sz="4" w:space="0" w:color="1F497D"/>
              <w:right w:val="single" w:sz="4" w:space="0" w:color="1F497D"/>
            </w:tcBorders>
            <w:shd w:val="clear" w:color="000000" w:fill="FFFFFF"/>
            <w:noWrap/>
            <w:vAlign w:val="center"/>
            <w:hideMark/>
          </w:tcPr>
          <w:p w:rsidR="00F947E9" w:rsidRPr="00F947E9" w:rsidRDefault="00F947E9" w:rsidP="00F947E9">
            <w:pPr>
              <w:jc w:val="center"/>
              <w:rPr>
                <w:color w:val="000000"/>
                <w:sz w:val="16"/>
                <w:szCs w:val="16"/>
              </w:rPr>
            </w:pPr>
            <w:r w:rsidRPr="00F947E9">
              <w:rPr>
                <w:color w:val="000000"/>
                <w:sz w:val="16"/>
                <w:szCs w:val="16"/>
              </w:rPr>
              <w:t>4</w:t>
            </w:r>
          </w:p>
        </w:tc>
        <w:tc>
          <w:tcPr>
            <w:tcW w:w="261" w:type="pct"/>
            <w:tcBorders>
              <w:top w:val="nil"/>
              <w:left w:val="nil"/>
              <w:bottom w:val="single" w:sz="4" w:space="0" w:color="1F497D"/>
              <w:right w:val="single" w:sz="4" w:space="0" w:color="1F497D"/>
            </w:tcBorders>
            <w:shd w:val="clear" w:color="000000" w:fill="FFFFFF"/>
            <w:noWrap/>
            <w:vAlign w:val="center"/>
            <w:hideMark/>
          </w:tcPr>
          <w:p w:rsidR="00F947E9" w:rsidRPr="00F947E9" w:rsidRDefault="00F947E9" w:rsidP="00F947E9">
            <w:pPr>
              <w:jc w:val="center"/>
              <w:rPr>
                <w:color w:val="000000"/>
                <w:sz w:val="16"/>
                <w:szCs w:val="16"/>
              </w:rPr>
            </w:pPr>
            <w:r w:rsidRPr="00F947E9">
              <w:rPr>
                <w:color w:val="000000"/>
                <w:sz w:val="16"/>
                <w:szCs w:val="16"/>
              </w:rPr>
              <w:t>-1,23</w:t>
            </w:r>
          </w:p>
        </w:tc>
        <w:tc>
          <w:tcPr>
            <w:tcW w:w="214" w:type="pct"/>
            <w:tcBorders>
              <w:top w:val="nil"/>
              <w:left w:val="nil"/>
              <w:bottom w:val="single" w:sz="4" w:space="0" w:color="1F497D"/>
              <w:right w:val="single" w:sz="4" w:space="0" w:color="1F497D"/>
            </w:tcBorders>
            <w:shd w:val="clear" w:color="000000" w:fill="FFFFFF"/>
            <w:noWrap/>
            <w:vAlign w:val="center"/>
            <w:hideMark/>
          </w:tcPr>
          <w:p w:rsidR="00F947E9" w:rsidRPr="00F947E9" w:rsidRDefault="00F947E9" w:rsidP="00F947E9">
            <w:pPr>
              <w:jc w:val="center"/>
              <w:rPr>
                <w:color w:val="000000"/>
                <w:sz w:val="16"/>
                <w:szCs w:val="16"/>
              </w:rPr>
            </w:pPr>
            <w:r w:rsidRPr="00F947E9">
              <w:rPr>
                <w:color w:val="000000"/>
                <w:sz w:val="16"/>
                <w:szCs w:val="16"/>
              </w:rPr>
              <w:t>-0,68</w:t>
            </w:r>
          </w:p>
        </w:tc>
        <w:tc>
          <w:tcPr>
            <w:tcW w:w="214" w:type="pct"/>
            <w:tcBorders>
              <w:top w:val="nil"/>
              <w:left w:val="nil"/>
              <w:bottom w:val="single" w:sz="4" w:space="0" w:color="1F497D"/>
              <w:right w:val="single" w:sz="4" w:space="0" w:color="1F497D"/>
            </w:tcBorders>
            <w:shd w:val="clear" w:color="000000" w:fill="FFFFFF"/>
            <w:noWrap/>
            <w:vAlign w:val="center"/>
            <w:hideMark/>
          </w:tcPr>
          <w:p w:rsidR="00F947E9" w:rsidRPr="00F947E9" w:rsidRDefault="00F947E9" w:rsidP="00F947E9">
            <w:pPr>
              <w:jc w:val="center"/>
              <w:rPr>
                <w:color w:val="000000"/>
                <w:sz w:val="16"/>
                <w:szCs w:val="16"/>
              </w:rPr>
            </w:pPr>
            <w:r w:rsidRPr="00F947E9">
              <w:rPr>
                <w:color w:val="000000"/>
                <w:sz w:val="16"/>
                <w:szCs w:val="16"/>
              </w:rPr>
              <w:t>-0,01</w:t>
            </w:r>
          </w:p>
        </w:tc>
        <w:tc>
          <w:tcPr>
            <w:tcW w:w="261" w:type="pct"/>
            <w:tcBorders>
              <w:top w:val="nil"/>
              <w:left w:val="nil"/>
              <w:bottom w:val="single" w:sz="4" w:space="0" w:color="1F497D"/>
              <w:right w:val="single" w:sz="4" w:space="0" w:color="1F497D"/>
            </w:tcBorders>
            <w:shd w:val="clear" w:color="000000" w:fill="FFFFFF"/>
            <w:noWrap/>
            <w:vAlign w:val="center"/>
            <w:hideMark/>
          </w:tcPr>
          <w:p w:rsidR="00F947E9" w:rsidRPr="00F947E9" w:rsidRDefault="00F947E9" w:rsidP="00F947E9">
            <w:pPr>
              <w:jc w:val="center"/>
              <w:rPr>
                <w:color w:val="000000"/>
                <w:sz w:val="16"/>
                <w:szCs w:val="16"/>
              </w:rPr>
            </w:pPr>
            <w:r w:rsidRPr="00F947E9">
              <w:rPr>
                <w:color w:val="000000"/>
                <w:sz w:val="16"/>
                <w:szCs w:val="16"/>
              </w:rPr>
              <w:t>2,25</w:t>
            </w:r>
          </w:p>
        </w:tc>
        <w:tc>
          <w:tcPr>
            <w:tcW w:w="228" w:type="pct"/>
            <w:tcBorders>
              <w:top w:val="nil"/>
              <w:left w:val="nil"/>
              <w:bottom w:val="single" w:sz="4" w:space="0" w:color="1F497D"/>
              <w:right w:val="single" w:sz="4" w:space="0" w:color="1F497D"/>
            </w:tcBorders>
            <w:shd w:val="clear" w:color="000000" w:fill="FFFFFF"/>
            <w:noWrap/>
            <w:vAlign w:val="center"/>
            <w:hideMark/>
          </w:tcPr>
          <w:p w:rsidR="00F947E9" w:rsidRPr="00F947E9" w:rsidRDefault="00F947E9" w:rsidP="00F947E9">
            <w:pPr>
              <w:jc w:val="center"/>
              <w:rPr>
                <w:color w:val="000000"/>
                <w:sz w:val="16"/>
                <w:szCs w:val="16"/>
              </w:rPr>
            </w:pPr>
            <w:r w:rsidRPr="00F947E9">
              <w:rPr>
                <w:color w:val="000000"/>
                <w:sz w:val="16"/>
                <w:szCs w:val="16"/>
              </w:rPr>
              <w:t>1,24</w:t>
            </w:r>
          </w:p>
        </w:tc>
        <w:tc>
          <w:tcPr>
            <w:tcW w:w="254" w:type="pct"/>
            <w:tcBorders>
              <w:top w:val="nil"/>
              <w:left w:val="nil"/>
              <w:bottom w:val="single" w:sz="4" w:space="0" w:color="1F497D"/>
              <w:right w:val="single" w:sz="4" w:space="0" w:color="1F497D"/>
            </w:tcBorders>
            <w:shd w:val="clear" w:color="000000" w:fill="FFFFFF"/>
            <w:noWrap/>
            <w:vAlign w:val="center"/>
            <w:hideMark/>
          </w:tcPr>
          <w:p w:rsidR="00F947E9" w:rsidRPr="00F947E9" w:rsidRDefault="00F947E9" w:rsidP="00F947E9">
            <w:pPr>
              <w:jc w:val="center"/>
              <w:rPr>
                <w:color w:val="000000"/>
                <w:sz w:val="16"/>
                <w:szCs w:val="16"/>
              </w:rPr>
            </w:pPr>
            <w:r w:rsidRPr="00F947E9">
              <w:rPr>
                <w:color w:val="000000"/>
                <w:sz w:val="16"/>
                <w:szCs w:val="16"/>
              </w:rPr>
              <w:t>0,08</w:t>
            </w:r>
          </w:p>
        </w:tc>
        <w:tc>
          <w:tcPr>
            <w:tcW w:w="288" w:type="pct"/>
            <w:tcBorders>
              <w:top w:val="nil"/>
              <w:left w:val="nil"/>
              <w:bottom w:val="single" w:sz="4" w:space="0" w:color="1F497D"/>
              <w:right w:val="single" w:sz="4" w:space="0" w:color="1F497D"/>
            </w:tcBorders>
            <w:shd w:val="clear" w:color="000000" w:fill="FFFFFF"/>
            <w:noWrap/>
            <w:vAlign w:val="center"/>
            <w:hideMark/>
          </w:tcPr>
          <w:p w:rsidR="00F947E9" w:rsidRPr="00F947E9" w:rsidRDefault="00F947E9" w:rsidP="00F947E9">
            <w:pPr>
              <w:jc w:val="center"/>
              <w:rPr>
                <w:color w:val="000000"/>
                <w:sz w:val="16"/>
                <w:szCs w:val="16"/>
              </w:rPr>
            </w:pPr>
            <w:r w:rsidRPr="00F947E9">
              <w:rPr>
                <w:color w:val="000000"/>
                <w:sz w:val="16"/>
                <w:szCs w:val="16"/>
              </w:rPr>
              <w:t>4,90</w:t>
            </w:r>
          </w:p>
        </w:tc>
        <w:tc>
          <w:tcPr>
            <w:tcW w:w="214" w:type="pct"/>
            <w:tcBorders>
              <w:top w:val="nil"/>
              <w:left w:val="nil"/>
              <w:bottom w:val="single" w:sz="4" w:space="0" w:color="1F497D"/>
              <w:right w:val="single" w:sz="4" w:space="0" w:color="1F497D"/>
            </w:tcBorders>
            <w:shd w:val="clear" w:color="000000" w:fill="FFFFFF"/>
            <w:noWrap/>
            <w:vAlign w:val="center"/>
            <w:hideMark/>
          </w:tcPr>
          <w:p w:rsidR="00F947E9" w:rsidRPr="00F947E9" w:rsidRDefault="00F947E9" w:rsidP="00F947E9">
            <w:pPr>
              <w:jc w:val="center"/>
              <w:rPr>
                <w:color w:val="000000"/>
                <w:sz w:val="16"/>
                <w:szCs w:val="16"/>
              </w:rPr>
            </w:pPr>
            <w:r w:rsidRPr="00F947E9">
              <w:rPr>
                <w:color w:val="000000"/>
                <w:sz w:val="16"/>
                <w:szCs w:val="16"/>
              </w:rPr>
              <w:t>2,71</w:t>
            </w:r>
          </w:p>
        </w:tc>
        <w:tc>
          <w:tcPr>
            <w:tcW w:w="254" w:type="pct"/>
            <w:tcBorders>
              <w:top w:val="nil"/>
              <w:left w:val="nil"/>
              <w:bottom w:val="single" w:sz="4" w:space="0" w:color="1F497D"/>
              <w:right w:val="single" w:sz="4" w:space="0" w:color="1F497D"/>
            </w:tcBorders>
            <w:shd w:val="clear" w:color="000000" w:fill="FFFFFF"/>
            <w:noWrap/>
            <w:vAlign w:val="center"/>
            <w:hideMark/>
          </w:tcPr>
          <w:p w:rsidR="00F947E9" w:rsidRPr="00F947E9" w:rsidRDefault="00F947E9" w:rsidP="00F947E9">
            <w:pPr>
              <w:jc w:val="center"/>
              <w:rPr>
                <w:color w:val="000000"/>
                <w:sz w:val="16"/>
                <w:szCs w:val="16"/>
              </w:rPr>
            </w:pPr>
            <w:r w:rsidRPr="00F947E9">
              <w:rPr>
                <w:color w:val="000000"/>
                <w:sz w:val="16"/>
                <w:szCs w:val="16"/>
              </w:rPr>
              <w:t>0,18</w:t>
            </w:r>
          </w:p>
        </w:tc>
        <w:tc>
          <w:tcPr>
            <w:tcW w:w="274" w:type="pct"/>
            <w:tcBorders>
              <w:top w:val="nil"/>
              <w:left w:val="single" w:sz="4" w:space="0" w:color="auto"/>
              <w:bottom w:val="single" w:sz="4" w:space="0" w:color="auto"/>
              <w:right w:val="single" w:sz="4" w:space="0" w:color="auto"/>
            </w:tcBorders>
            <w:shd w:val="clear" w:color="000000" w:fill="FFFFFF"/>
            <w:noWrap/>
            <w:vAlign w:val="center"/>
            <w:hideMark/>
          </w:tcPr>
          <w:p w:rsidR="00F947E9" w:rsidRPr="00F947E9" w:rsidRDefault="00F947E9" w:rsidP="00F947E9">
            <w:pPr>
              <w:jc w:val="center"/>
              <w:rPr>
                <w:color w:val="000000"/>
                <w:sz w:val="16"/>
                <w:szCs w:val="16"/>
              </w:rPr>
            </w:pPr>
            <w:r w:rsidRPr="00F947E9">
              <w:rPr>
                <w:color w:val="000000"/>
                <w:sz w:val="16"/>
                <w:szCs w:val="16"/>
              </w:rPr>
              <w:t>3,62</w:t>
            </w:r>
          </w:p>
        </w:tc>
        <w:tc>
          <w:tcPr>
            <w:tcW w:w="207" w:type="pct"/>
            <w:tcBorders>
              <w:top w:val="nil"/>
              <w:left w:val="nil"/>
              <w:bottom w:val="single" w:sz="4" w:space="0" w:color="auto"/>
              <w:right w:val="single" w:sz="4" w:space="0" w:color="auto"/>
            </w:tcBorders>
            <w:shd w:val="clear" w:color="000000" w:fill="FFFFFF"/>
            <w:noWrap/>
            <w:vAlign w:val="center"/>
            <w:hideMark/>
          </w:tcPr>
          <w:p w:rsidR="00F947E9" w:rsidRPr="00F947E9" w:rsidRDefault="00F947E9" w:rsidP="00F947E9">
            <w:pPr>
              <w:jc w:val="center"/>
              <w:rPr>
                <w:color w:val="000000"/>
                <w:sz w:val="16"/>
                <w:szCs w:val="16"/>
              </w:rPr>
            </w:pPr>
            <w:r w:rsidRPr="00F947E9">
              <w:rPr>
                <w:color w:val="000000"/>
                <w:sz w:val="16"/>
                <w:szCs w:val="16"/>
              </w:rPr>
              <w:t>2,01</w:t>
            </w:r>
          </w:p>
        </w:tc>
        <w:tc>
          <w:tcPr>
            <w:tcW w:w="207" w:type="pct"/>
            <w:tcBorders>
              <w:top w:val="nil"/>
              <w:left w:val="nil"/>
              <w:bottom w:val="single" w:sz="4" w:space="0" w:color="auto"/>
              <w:right w:val="single" w:sz="4" w:space="0" w:color="auto"/>
            </w:tcBorders>
            <w:shd w:val="clear" w:color="000000" w:fill="FFFFFF"/>
            <w:noWrap/>
            <w:vAlign w:val="center"/>
            <w:hideMark/>
          </w:tcPr>
          <w:p w:rsidR="00F947E9" w:rsidRPr="00F947E9" w:rsidRDefault="00F947E9" w:rsidP="00F947E9">
            <w:pPr>
              <w:jc w:val="center"/>
              <w:rPr>
                <w:color w:val="000000"/>
                <w:sz w:val="16"/>
                <w:szCs w:val="16"/>
              </w:rPr>
            </w:pPr>
            <w:r w:rsidRPr="00F947E9">
              <w:rPr>
                <w:color w:val="000000"/>
                <w:sz w:val="16"/>
                <w:szCs w:val="16"/>
              </w:rPr>
              <w:t>0,13</w:t>
            </w:r>
          </w:p>
        </w:tc>
      </w:tr>
      <w:tr w:rsidR="00F947E9" w:rsidRPr="00F947E9" w:rsidTr="00F947E9">
        <w:trPr>
          <w:trHeight w:val="240"/>
        </w:trPr>
        <w:tc>
          <w:tcPr>
            <w:tcW w:w="241" w:type="pct"/>
            <w:vMerge w:val="restart"/>
            <w:tcBorders>
              <w:top w:val="nil"/>
              <w:left w:val="single" w:sz="4" w:space="0" w:color="1F497D"/>
              <w:bottom w:val="single" w:sz="4" w:space="0" w:color="1F497D"/>
              <w:right w:val="single" w:sz="4" w:space="0" w:color="1F497D"/>
            </w:tcBorders>
            <w:shd w:val="clear" w:color="000000" w:fill="FFFFFF"/>
            <w:vAlign w:val="center"/>
            <w:hideMark/>
          </w:tcPr>
          <w:p w:rsidR="00F947E9" w:rsidRPr="00F947E9" w:rsidRDefault="00F947E9" w:rsidP="00F947E9">
            <w:pPr>
              <w:jc w:val="center"/>
              <w:rPr>
                <w:color w:val="000000"/>
                <w:sz w:val="16"/>
                <w:szCs w:val="16"/>
              </w:rPr>
            </w:pPr>
            <w:r w:rsidRPr="00F947E9">
              <w:rPr>
                <w:color w:val="000000"/>
                <w:sz w:val="16"/>
                <w:szCs w:val="16"/>
              </w:rPr>
              <w:t xml:space="preserve">6.2b </w:t>
            </w:r>
          </w:p>
        </w:tc>
        <w:tc>
          <w:tcPr>
            <w:tcW w:w="335" w:type="pct"/>
            <w:tcBorders>
              <w:top w:val="nil"/>
              <w:left w:val="nil"/>
              <w:bottom w:val="single" w:sz="4" w:space="0" w:color="1F497D"/>
              <w:right w:val="single" w:sz="4" w:space="0" w:color="1F497D"/>
            </w:tcBorders>
            <w:shd w:val="clear" w:color="000000" w:fill="FFFFFF"/>
            <w:vAlign w:val="center"/>
            <w:hideMark/>
          </w:tcPr>
          <w:p w:rsidR="00F947E9" w:rsidRPr="00F947E9" w:rsidRDefault="00F947E9" w:rsidP="00F947E9">
            <w:pPr>
              <w:jc w:val="center"/>
              <w:rPr>
                <w:color w:val="000000"/>
                <w:sz w:val="16"/>
                <w:szCs w:val="16"/>
              </w:rPr>
            </w:pPr>
            <w:r w:rsidRPr="00F947E9">
              <w:rPr>
                <w:color w:val="000000"/>
                <w:sz w:val="16"/>
                <w:szCs w:val="16"/>
              </w:rPr>
              <w:t>2015/04/17</w:t>
            </w:r>
          </w:p>
        </w:tc>
        <w:tc>
          <w:tcPr>
            <w:tcW w:w="241" w:type="pct"/>
            <w:tcBorders>
              <w:top w:val="nil"/>
              <w:left w:val="nil"/>
              <w:bottom w:val="single" w:sz="4" w:space="0" w:color="1F497D"/>
              <w:right w:val="single" w:sz="4" w:space="0" w:color="1F497D"/>
            </w:tcBorders>
            <w:shd w:val="clear" w:color="000000" w:fill="FFFFFF"/>
            <w:noWrap/>
            <w:vAlign w:val="center"/>
            <w:hideMark/>
          </w:tcPr>
          <w:p w:rsidR="00F947E9" w:rsidRPr="00F947E9" w:rsidRDefault="00F947E9" w:rsidP="00F947E9">
            <w:pPr>
              <w:jc w:val="center"/>
              <w:rPr>
                <w:color w:val="000000"/>
                <w:sz w:val="16"/>
                <w:szCs w:val="16"/>
              </w:rPr>
            </w:pPr>
            <w:r w:rsidRPr="00F947E9">
              <w:rPr>
                <w:color w:val="000000"/>
                <w:sz w:val="16"/>
                <w:szCs w:val="16"/>
              </w:rPr>
              <w:t>3,33</w:t>
            </w:r>
          </w:p>
        </w:tc>
        <w:tc>
          <w:tcPr>
            <w:tcW w:w="241" w:type="pct"/>
            <w:tcBorders>
              <w:top w:val="nil"/>
              <w:left w:val="nil"/>
              <w:bottom w:val="single" w:sz="4" w:space="0" w:color="1F497D"/>
              <w:right w:val="single" w:sz="4" w:space="0" w:color="1F497D"/>
            </w:tcBorders>
            <w:shd w:val="clear" w:color="000000" w:fill="FFFFFF"/>
            <w:noWrap/>
            <w:vAlign w:val="center"/>
            <w:hideMark/>
          </w:tcPr>
          <w:p w:rsidR="00F947E9" w:rsidRPr="00F947E9" w:rsidRDefault="00F947E9" w:rsidP="00F947E9">
            <w:pPr>
              <w:jc w:val="center"/>
              <w:rPr>
                <w:color w:val="000000"/>
                <w:sz w:val="16"/>
                <w:szCs w:val="16"/>
              </w:rPr>
            </w:pPr>
            <w:r w:rsidRPr="00F947E9">
              <w:rPr>
                <w:color w:val="000000"/>
                <w:sz w:val="16"/>
                <w:szCs w:val="16"/>
              </w:rPr>
              <w:t>0,13</w:t>
            </w:r>
          </w:p>
        </w:tc>
        <w:tc>
          <w:tcPr>
            <w:tcW w:w="181" w:type="pct"/>
            <w:tcBorders>
              <w:top w:val="nil"/>
              <w:left w:val="nil"/>
              <w:bottom w:val="single" w:sz="4" w:space="0" w:color="1F497D"/>
              <w:right w:val="single" w:sz="4" w:space="0" w:color="1F497D"/>
            </w:tcBorders>
            <w:shd w:val="clear" w:color="000000" w:fill="FFFFFF"/>
            <w:vAlign w:val="center"/>
            <w:hideMark/>
          </w:tcPr>
          <w:p w:rsidR="00F947E9" w:rsidRPr="00F947E9" w:rsidRDefault="00D31DD1" w:rsidP="00F947E9">
            <w:pPr>
              <w:jc w:val="center"/>
              <w:rPr>
                <w:color w:val="000000"/>
                <w:sz w:val="16"/>
                <w:szCs w:val="16"/>
              </w:rPr>
            </w:pPr>
            <w:r>
              <w:rPr>
                <w:color w:val="000000"/>
                <w:sz w:val="16"/>
                <w:szCs w:val="16"/>
              </w:rPr>
              <w:t>80</w:t>
            </w:r>
          </w:p>
        </w:tc>
        <w:tc>
          <w:tcPr>
            <w:tcW w:w="268" w:type="pct"/>
            <w:tcBorders>
              <w:top w:val="nil"/>
              <w:left w:val="nil"/>
              <w:bottom w:val="single" w:sz="4" w:space="0" w:color="1F497D"/>
              <w:right w:val="single" w:sz="4" w:space="0" w:color="1F497D"/>
            </w:tcBorders>
            <w:shd w:val="clear" w:color="000000" w:fill="FFFFFF"/>
            <w:noWrap/>
            <w:vAlign w:val="center"/>
            <w:hideMark/>
          </w:tcPr>
          <w:p w:rsidR="00F947E9" w:rsidRPr="00F947E9" w:rsidRDefault="00F947E9" w:rsidP="00F947E9">
            <w:pPr>
              <w:jc w:val="center"/>
              <w:rPr>
                <w:color w:val="000000"/>
                <w:sz w:val="16"/>
                <w:szCs w:val="16"/>
              </w:rPr>
            </w:pPr>
            <w:r w:rsidRPr="00F947E9">
              <w:rPr>
                <w:color w:val="000000"/>
                <w:sz w:val="16"/>
                <w:szCs w:val="16"/>
              </w:rPr>
              <w:t>6,45</w:t>
            </w:r>
          </w:p>
        </w:tc>
        <w:tc>
          <w:tcPr>
            <w:tcW w:w="207" w:type="pct"/>
            <w:tcBorders>
              <w:top w:val="nil"/>
              <w:left w:val="nil"/>
              <w:bottom w:val="single" w:sz="4" w:space="0" w:color="1F497D"/>
              <w:right w:val="single" w:sz="4" w:space="0" w:color="1F497D"/>
            </w:tcBorders>
            <w:shd w:val="clear" w:color="000000" w:fill="FFFFFF"/>
            <w:noWrap/>
            <w:vAlign w:val="center"/>
            <w:hideMark/>
          </w:tcPr>
          <w:p w:rsidR="00F947E9" w:rsidRPr="00F947E9" w:rsidRDefault="00F947E9" w:rsidP="00F947E9">
            <w:pPr>
              <w:jc w:val="center"/>
              <w:rPr>
                <w:color w:val="000000"/>
                <w:sz w:val="16"/>
                <w:szCs w:val="16"/>
              </w:rPr>
            </w:pPr>
            <w:r w:rsidRPr="00F947E9">
              <w:rPr>
                <w:color w:val="000000"/>
                <w:sz w:val="16"/>
                <w:szCs w:val="16"/>
              </w:rPr>
              <w:t>193,60</w:t>
            </w:r>
          </w:p>
        </w:tc>
        <w:tc>
          <w:tcPr>
            <w:tcW w:w="234" w:type="pct"/>
            <w:tcBorders>
              <w:top w:val="nil"/>
              <w:left w:val="nil"/>
              <w:bottom w:val="single" w:sz="4" w:space="0" w:color="1F497D"/>
              <w:right w:val="single" w:sz="4" w:space="0" w:color="1F497D"/>
            </w:tcBorders>
            <w:shd w:val="clear" w:color="000000" w:fill="FFFFFF"/>
            <w:noWrap/>
            <w:vAlign w:val="center"/>
            <w:hideMark/>
          </w:tcPr>
          <w:p w:rsidR="00F947E9" w:rsidRPr="00F947E9" w:rsidRDefault="00F947E9" w:rsidP="00F947E9">
            <w:pPr>
              <w:jc w:val="center"/>
              <w:rPr>
                <w:color w:val="000000"/>
                <w:sz w:val="16"/>
                <w:szCs w:val="16"/>
              </w:rPr>
            </w:pPr>
            <w:r w:rsidRPr="00F947E9">
              <w:rPr>
                <w:color w:val="000000"/>
                <w:sz w:val="16"/>
                <w:szCs w:val="16"/>
              </w:rPr>
              <w:t>0,24</w:t>
            </w:r>
          </w:p>
        </w:tc>
        <w:tc>
          <w:tcPr>
            <w:tcW w:w="174" w:type="pct"/>
            <w:tcBorders>
              <w:top w:val="nil"/>
              <w:left w:val="nil"/>
              <w:bottom w:val="single" w:sz="4" w:space="0" w:color="1F497D"/>
              <w:right w:val="single" w:sz="4" w:space="0" w:color="1F497D"/>
            </w:tcBorders>
            <w:shd w:val="clear" w:color="000000" w:fill="FFFFFF"/>
            <w:noWrap/>
            <w:vAlign w:val="center"/>
            <w:hideMark/>
          </w:tcPr>
          <w:p w:rsidR="00F947E9" w:rsidRPr="00F947E9" w:rsidRDefault="00D31DD1" w:rsidP="00F947E9">
            <w:pPr>
              <w:jc w:val="center"/>
              <w:rPr>
                <w:color w:val="000000"/>
                <w:sz w:val="16"/>
                <w:szCs w:val="16"/>
              </w:rPr>
            </w:pPr>
            <w:r>
              <w:rPr>
                <w:color w:val="000000"/>
                <w:sz w:val="16"/>
                <w:szCs w:val="16"/>
              </w:rPr>
              <w:t>72</w:t>
            </w:r>
          </w:p>
        </w:tc>
        <w:tc>
          <w:tcPr>
            <w:tcW w:w="261" w:type="pct"/>
            <w:tcBorders>
              <w:top w:val="nil"/>
              <w:left w:val="nil"/>
              <w:bottom w:val="single" w:sz="4" w:space="0" w:color="1F497D"/>
              <w:right w:val="single" w:sz="4" w:space="0" w:color="1F497D"/>
            </w:tcBorders>
            <w:shd w:val="clear" w:color="000000" w:fill="FFFFFF"/>
            <w:noWrap/>
            <w:vAlign w:val="center"/>
            <w:hideMark/>
          </w:tcPr>
          <w:p w:rsidR="00F947E9" w:rsidRPr="00F947E9" w:rsidRDefault="00F947E9" w:rsidP="00F947E9">
            <w:pPr>
              <w:jc w:val="center"/>
              <w:rPr>
                <w:color w:val="000000"/>
                <w:sz w:val="16"/>
                <w:szCs w:val="16"/>
              </w:rPr>
            </w:pPr>
            <w:r w:rsidRPr="00F947E9">
              <w:rPr>
                <w:color w:val="000000"/>
                <w:sz w:val="16"/>
                <w:szCs w:val="16"/>
              </w:rPr>
              <w:t>3,45</w:t>
            </w:r>
          </w:p>
        </w:tc>
        <w:tc>
          <w:tcPr>
            <w:tcW w:w="214" w:type="pct"/>
            <w:tcBorders>
              <w:top w:val="nil"/>
              <w:left w:val="nil"/>
              <w:bottom w:val="single" w:sz="4" w:space="0" w:color="1F497D"/>
              <w:right w:val="single" w:sz="4" w:space="0" w:color="1F497D"/>
            </w:tcBorders>
            <w:shd w:val="clear" w:color="000000" w:fill="FFFFFF"/>
            <w:noWrap/>
            <w:vAlign w:val="center"/>
            <w:hideMark/>
          </w:tcPr>
          <w:p w:rsidR="00F947E9" w:rsidRPr="00F947E9" w:rsidRDefault="00F947E9" w:rsidP="00F947E9">
            <w:pPr>
              <w:jc w:val="center"/>
              <w:rPr>
                <w:color w:val="000000"/>
                <w:sz w:val="16"/>
                <w:szCs w:val="16"/>
              </w:rPr>
            </w:pPr>
            <w:r w:rsidRPr="00F947E9">
              <w:rPr>
                <w:color w:val="000000"/>
                <w:sz w:val="16"/>
                <w:szCs w:val="16"/>
              </w:rPr>
              <w:t>103,38</w:t>
            </w:r>
          </w:p>
        </w:tc>
        <w:tc>
          <w:tcPr>
            <w:tcW w:w="214" w:type="pct"/>
            <w:tcBorders>
              <w:top w:val="nil"/>
              <w:left w:val="nil"/>
              <w:bottom w:val="single" w:sz="4" w:space="0" w:color="1F497D"/>
              <w:right w:val="single" w:sz="4" w:space="0" w:color="1F497D"/>
            </w:tcBorders>
            <w:shd w:val="clear" w:color="000000" w:fill="FFFFFF"/>
            <w:noWrap/>
            <w:vAlign w:val="center"/>
            <w:hideMark/>
          </w:tcPr>
          <w:p w:rsidR="00F947E9" w:rsidRPr="00F947E9" w:rsidRDefault="00F947E9" w:rsidP="00F947E9">
            <w:pPr>
              <w:jc w:val="center"/>
              <w:rPr>
                <w:color w:val="000000"/>
                <w:sz w:val="16"/>
                <w:szCs w:val="16"/>
              </w:rPr>
            </w:pPr>
            <w:r w:rsidRPr="00F947E9">
              <w:rPr>
                <w:color w:val="000000"/>
                <w:sz w:val="16"/>
                <w:szCs w:val="16"/>
              </w:rPr>
              <w:t>0,13</w:t>
            </w:r>
          </w:p>
        </w:tc>
        <w:tc>
          <w:tcPr>
            <w:tcW w:w="261" w:type="pct"/>
            <w:tcBorders>
              <w:top w:val="nil"/>
              <w:left w:val="nil"/>
              <w:bottom w:val="single" w:sz="4" w:space="0" w:color="1F497D"/>
              <w:right w:val="single" w:sz="4" w:space="0" w:color="1F497D"/>
            </w:tcBorders>
            <w:shd w:val="clear" w:color="000000" w:fill="FFFFFF"/>
            <w:noWrap/>
            <w:vAlign w:val="center"/>
            <w:hideMark/>
          </w:tcPr>
          <w:p w:rsidR="00F947E9" w:rsidRPr="00F947E9" w:rsidRDefault="00F947E9" w:rsidP="00F947E9">
            <w:pPr>
              <w:jc w:val="center"/>
              <w:rPr>
                <w:color w:val="000000"/>
                <w:sz w:val="16"/>
                <w:szCs w:val="16"/>
              </w:rPr>
            </w:pPr>
            <w:r w:rsidRPr="00F947E9">
              <w:rPr>
                <w:color w:val="000000"/>
                <w:sz w:val="16"/>
                <w:szCs w:val="16"/>
              </w:rPr>
              <w:t>1,88</w:t>
            </w:r>
          </w:p>
        </w:tc>
        <w:tc>
          <w:tcPr>
            <w:tcW w:w="228" w:type="pct"/>
            <w:tcBorders>
              <w:top w:val="nil"/>
              <w:left w:val="nil"/>
              <w:bottom w:val="single" w:sz="4" w:space="0" w:color="1F497D"/>
              <w:right w:val="single" w:sz="4" w:space="0" w:color="1F497D"/>
            </w:tcBorders>
            <w:shd w:val="clear" w:color="000000" w:fill="FFFFFF"/>
            <w:noWrap/>
            <w:vAlign w:val="center"/>
            <w:hideMark/>
          </w:tcPr>
          <w:p w:rsidR="00F947E9" w:rsidRPr="00F947E9" w:rsidRDefault="00F947E9" w:rsidP="00F947E9">
            <w:pPr>
              <w:jc w:val="center"/>
              <w:rPr>
                <w:color w:val="000000"/>
                <w:sz w:val="16"/>
                <w:szCs w:val="16"/>
              </w:rPr>
            </w:pPr>
            <w:r w:rsidRPr="00F947E9">
              <w:rPr>
                <w:color w:val="000000"/>
                <w:sz w:val="16"/>
                <w:szCs w:val="16"/>
              </w:rPr>
              <w:t>56,47</w:t>
            </w:r>
          </w:p>
        </w:tc>
        <w:tc>
          <w:tcPr>
            <w:tcW w:w="254" w:type="pct"/>
            <w:tcBorders>
              <w:top w:val="nil"/>
              <w:left w:val="nil"/>
              <w:bottom w:val="single" w:sz="4" w:space="0" w:color="1F497D"/>
              <w:right w:val="single" w:sz="4" w:space="0" w:color="1F497D"/>
            </w:tcBorders>
            <w:shd w:val="clear" w:color="000000" w:fill="FFFFFF"/>
            <w:noWrap/>
            <w:vAlign w:val="center"/>
            <w:hideMark/>
          </w:tcPr>
          <w:p w:rsidR="00F947E9" w:rsidRPr="00F947E9" w:rsidRDefault="00F947E9" w:rsidP="00F947E9">
            <w:pPr>
              <w:jc w:val="center"/>
              <w:rPr>
                <w:color w:val="000000"/>
                <w:sz w:val="16"/>
                <w:szCs w:val="16"/>
              </w:rPr>
            </w:pPr>
            <w:r w:rsidRPr="00F947E9">
              <w:rPr>
                <w:color w:val="000000"/>
                <w:sz w:val="16"/>
                <w:szCs w:val="16"/>
              </w:rPr>
              <w:t>0,07</w:t>
            </w:r>
          </w:p>
        </w:tc>
        <w:tc>
          <w:tcPr>
            <w:tcW w:w="288" w:type="pct"/>
            <w:tcBorders>
              <w:top w:val="nil"/>
              <w:left w:val="nil"/>
              <w:bottom w:val="single" w:sz="4" w:space="0" w:color="1F497D"/>
              <w:right w:val="single" w:sz="4" w:space="0" w:color="1F497D"/>
            </w:tcBorders>
            <w:shd w:val="clear" w:color="000000" w:fill="FFFFFF"/>
            <w:noWrap/>
            <w:vAlign w:val="center"/>
            <w:hideMark/>
          </w:tcPr>
          <w:p w:rsidR="00F947E9" w:rsidRPr="00F947E9" w:rsidRDefault="00F947E9" w:rsidP="00F947E9">
            <w:pPr>
              <w:jc w:val="center"/>
              <w:rPr>
                <w:color w:val="000000"/>
                <w:sz w:val="16"/>
                <w:szCs w:val="16"/>
              </w:rPr>
            </w:pPr>
            <w:r w:rsidRPr="00F947E9">
              <w:rPr>
                <w:color w:val="000000"/>
                <w:sz w:val="16"/>
                <w:szCs w:val="16"/>
              </w:rPr>
              <w:t>1,82</w:t>
            </w:r>
          </w:p>
        </w:tc>
        <w:tc>
          <w:tcPr>
            <w:tcW w:w="214" w:type="pct"/>
            <w:tcBorders>
              <w:top w:val="nil"/>
              <w:left w:val="nil"/>
              <w:bottom w:val="single" w:sz="4" w:space="0" w:color="1F497D"/>
              <w:right w:val="single" w:sz="4" w:space="0" w:color="1F497D"/>
            </w:tcBorders>
            <w:shd w:val="clear" w:color="000000" w:fill="FFFFFF"/>
            <w:noWrap/>
            <w:vAlign w:val="center"/>
            <w:hideMark/>
          </w:tcPr>
          <w:p w:rsidR="00F947E9" w:rsidRPr="00F947E9" w:rsidRDefault="00F947E9" w:rsidP="00F947E9">
            <w:pPr>
              <w:jc w:val="center"/>
              <w:rPr>
                <w:color w:val="000000"/>
                <w:sz w:val="16"/>
                <w:szCs w:val="16"/>
              </w:rPr>
            </w:pPr>
            <w:r w:rsidRPr="00F947E9">
              <w:rPr>
                <w:color w:val="000000"/>
                <w:sz w:val="16"/>
                <w:szCs w:val="16"/>
              </w:rPr>
              <w:t>54,67</w:t>
            </w:r>
          </w:p>
        </w:tc>
        <w:tc>
          <w:tcPr>
            <w:tcW w:w="254" w:type="pct"/>
            <w:tcBorders>
              <w:top w:val="nil"/>
              <w:left w:val="nil"/>
              <w:bottom w:val="single" w:sz="4" w:space="0" w:color="1F497D"/>
              <w:right w:val="single" w:sz="4" w:space="0" w:color="1F497D"/>
            </w:tcBorders>
            <w:shd w:val="clear" w:color="000000" w:fill="FFFFFF"/>
            <w:noWrap/>
            <w:vAlign w:val="center"/>
            <w:hideMark/>
          </w:tcPr>
          <w:p w:rsidR="00F947E9" w:rsidRPr="00F947E9" w:rsidRDefault="00F947E9" w:rsidP="00F947E9">
            <w:pPr>
              <w:jc w:val="center"/>
              <w:rPr>
                <w:color w:val="000000"/>
                <w:sz w:val="16"/>
                <w:szCs w:val="16"/>
              </w:rPr>
            </w:pPr>
            <w:r w:rsidRPr="00F947E9">
              <w:rPr>
                <w:color w:val="000000"/>
                <w:sz w:val="16"/>
                <w:szCs w:val="16"/>
              </w:rPr>
              <w:t>0,07</w:t>
            </w:r>
          </w:p>
        </w:tc>
        <w:tc>
          <w:tcPr>
            <w:tcW w:w="274" w:type="pct"/>
            <w:tcBorders>
              <w:top w:val="nil"/>
              <w:left w:val="single" w:sz="4" w:space="0" w:color="auto"/>
              <w:bottom w:val="single" w:sz="4" w:space="0" w:color="auto"/>
              <w:right w:val="single" w:sz="4" w:space="0" w:color="auto"/>
            </w:tcBorders>
            <w:shd w:val="clear" w:color="000000" w:fill="FFFFFF"/>
            <w:noWrap/>
            <w:vAlign w:val="center"/>
            <w:hideMark/>
          </w:tcPr>
          <w:p w:rsidR="00F947E9" w:rsidRPr="00F947E9" w:rsidRDefault="00F947E9" w:rsidP="00F947E9">
            <w:pPr>
              <w:jc w:val="center"/>
              <w:rPr>
                <w:color w:val="000000"/>
                <w:sz w:val="16"/>
                <w:szCs w:val="16"/>
              </w:rPr>
            </w:pPr>
            <w:r w:rsidRPr="00F947E9">
              <w:rPr>
                <w:color w:val="000000"/>
                <w:sz w:val="16"/>
                <w:szCs w:val="16"/>
              </w:rPr>
              <w:t>1,79</w:t>
            </w:r>
          </w:p>
        </w:tc>
        <w:tc>
          <w:tcPr>
            <w:tcW w:w="207" w:type="pct"/>
            <w:tcBorders>
              <w:top w:val="nil"/>
              <w:left w:val="nil"/>
              <w:bottom w:val="single" w:sz="4" w:space="0" w:color="auto"/>
              <w:right w:val="single" w:sz="4" w:space="0" w:color="auto"/>
            </w:tcBorders>
            <w:shd w:val="clear" w:color="000000" w:fill="FFFFFF"/>
            <w:noWrap/>
            <w:vAlign w:val="center"/>
            <w:hideMark/>
          </w:tcPr>
          <w:p w:rsidR="00F947E9" w:rsidRPr="00F947E9" w:rsidRDefault="00F947E9" w:rsidP="00F947E9">
            <w:pPr>
              <w:jc w:val="center"/>
              <w:rPr>
                <w:color w:val="000000"/>
                <w:sz w:val="16"/>
                <w:szCs w:val="16"/>
              </w:rPr>
            </w:pPr>
            <w:r w:rsidRPr="00F947E9">
              <w:rPr>
                <w:color w:val="000000"/>
                <w:sz w:val="16"/>
                <w:szCs w:val="16"/>
              </w:rPr>
              <w:t>53,74</w:t>
            </w:r>
          </w:p>
        </w:tc>
        <w:tc>
          <w:tcPr>
            <w:tcW w:w="207" w:type="pct"/>
            <w:tcBorders>
              <w:top w:val="nil"/>
              <w:left w:val="nil"/>
              <w:bottom w:val="single" w:sz="4" w:space="0" w:color="auto"/>
              <w:right w:val="single" w:sz="4" w:space="0" w:color="auto"/>
            </w:tcBorders>
            <w:shd w:val="clear" w:color="000000" w:fill="FFFFFF"/>
            <w:noWrap/>
            <w:vAlign w:val="center"/>
            <w:hideMark/>
          </w:tcPr>
          <w:p w:rsidR="00F947E9" w:rsidRPr="00F947E9" w:rsidRDefault="00F947E9" w:rsidP="00F947E9">
            <w:pPr>
              <w:jc w:val="center"/>
              <w:rPr>
                <w:color w:val="000000"/>
                <w:sz w:val="16"/>
                <w:szCs w:val="16"/>
              </w:rPr>
            </w:pPr>
            <w:r w:rsidRPr="00F947E9">
              <w:rPr>
                <w:color w:val="000000"/>
                <w:sz w:val="16"/>
                <w:szCs w:val="16"/>
              </w:rPr>
              <w:t>0,07</w:t>
            </w:r>
          </w:p>
        </w:tc>
      </w:tr>
      <w:tr w:rsidR="00F947E9" w:rsidRPr="00F947E9" w:rsidTr="00F947E9">
        <w:trPr>
          <w:trHeight w:val="225"/>
        </w:trPr>
        <w:tc>
          <w:tcPr>
            <w:tcW w:w="241" w:type="pct"/>
            <w:vMerge/>
            <w:tcBorders>
              <w:top w:val="nil"/>
              <w:left w:val="single" w:sz="4" w:space="0" w:color="1F497D"/>
              <w:bottom w:val="single" w:sz="4" w:space="0" w:color="1F497D"/>
              <w:right w:val="single" w:sz="4" w:space="0" w:color="1F497D"/>
            </w:tcBorders>
            <w:vAlign w:val="center"/>
            <w:hideMark/>
          </w:tcPr>
          <w:p w:rsidR="00F947E9" w:rsidRPr="00F947E9" w:rsidRDefault="00F947E9" w:rsidP="00F947E9">
            <w:pPr>
              <w:rPr>
                <w:color w:val="000000"/>
                <w:sz w:val="16"/>
                <w:szCs w:val="16"/>
              </w:rPr>
            </w:pPr>
          </w:p>
        </w:tc>
        <w:tc>
          <w:tcPr>
            <w:tcW w:w="335" w:type="pct"/>
            <w:tcBorders>
              <w:top w:val="nil"/>
              <w:left w:val="nil"/>
              <w:bottom w:val="single" w:sz="4" w:space="0" w:color="1F497D"/>
              <w:right w:val="single" w:sz="4" w:space="0" w:color="1F497D"/>
            </w:tcBorders>
            <w:shd w:val="clear" w:color="000000" w:fill="FFFFFF"/>
            <w:vAlign w:val="center"/>
            <w:hideMark/>
          </w:tcPr>
          <w:p w:rsidR="00F947E9" w:rsidRPr="00F947E9" w:rsidRDefault="00F947E9" w:rsidP="00F947E9">
            <w:pPr>
              <w:jc w:val="center"/>
              <w:rPr>
                <w:color w:val="000000"/>
                <w:sz w:val="16"/>
                <w:szCs w:val="16"/>
              </w:rPr>
            </w:pPr>
            <w:r w:rsidRPr="00F947E9">
              <w:rPr>
                <w:color w:val="000000"/>
                <w:sz w:val="16"/>
                <w:szCs w:val="16"/>
              </w:rPr>
              <w:t>2015/10/02</w:t>
            </w:r>
          </w:p>
        </w:tc>
        <w:tc>
          <w:tcPr>
            <w:tcW w:w="241" w:type="pct"/>
            <w:tcBorders>
              <w:top w:val="nil"/>
              <w:left w:val="nil"/>
              <w:bottom w:val="single" w:sz="4" w:space="0" w:color="1F497D"/>
              <w:right w:val="single" w:sz="4" w:space="0" w:color="1F497D"/>
            </w:tcBorders>
            <w:shd w:val="clear" w:color="000000" w:fill="FFFFFF"/>
            <w:noWrap/>
            <w:vAlign w:val="center"/>
            <w:hideMark/>
          </w:tcPr>
          <w:p w:rsidR="00F947E9" w:rsidRPr="00F947E9" w:rsidRDefault="00F947E9" w:rsidP="00F947E9">
            <w:pPr>
              <w:jc w:val="center"/>
              <w:rPr>
                <w:color w:val="000000"/>
                <w:sz w:val="16"/>
                <w:szCs w:val="16"/>
              </w:rPr>
            </w:pPr>
            <w:r w:rsidRPr="00F947E9">
              <w:rPr>
                <w:color w:val="000000"/>
                <w:sz w:val="16"/>
                <w:szCs w:val="16"/>
              </w:rPr>
              <w:t>3,32</w:t>
            </w:r>
          </w:p>
        </w:tc>
        <w:tc>
          <w:tcPr>
            <w:tcW w:w="241" w:type="pct"/>
            <w:tcBorders>
              <w:top w:val="nil"/>
              <w:left w:val="nil"/>
              <w:bottom w:val="single" w:sz="4" w:space="0" w:color="1F497D"/>
              <w:right w:val="single" w:sz="4" w:space="0" w:color="1F497D"/>
            </w:tcBorders>
            <w:shd w:val="clear" w:color="000000" w:fill="FFFFFF"/>
            <w:noWrap/>
            <w:vAlign w:val="center"/>
            <w:hideMark/>
          </w:tcPr>
          <w:p w:rsidR="00F947E9" w:rsidRPr="00F947E9" w:rsidRDefault="00F947E9" w:rsidP="00F947E9">
            <w:pPr>
              <w:jc w:val="center"/>
              <w:rPr>
                <w:color w:val="000000"/>
                <w:sz w:val="16"/>
                <w:szCs w:val="16"/>
              </w:rPr>
            </w:pPr>
            <w:r w:rsidRPr="00F947E9">
              <w:rPr>
                <w:color w:val="000000"/>
                <w:sz w:val="16"/>
                <w:szCs w:val="16"/>
              </w:rPr>
              <w:t>0,13</w:t>
            </w:r>
          </w:p>
        </w:tc>
        <w:tc>
          <w:tcPr>
            <w:tcW w:w="181" w:type="pct"/>
            <w:tcBorders>
              <w:top w:val="nil"/>
              <w:left w:val="nil"/>
              <w:bottom w:val="single" w:sz="4" w:space="0" w:color="1F497D"/>
              <w:right w:val="single" w:sz="4" w:space="0" w:color="1F497D"/>
            </w:tcBorders>
            <w:shd w:val="clear" w:color="000000" w:fill="FFFFFF"/>
            <w:vAlign w:val="center"/>
            <w:hideMark/>
          </w:tcPr>
          <w:p w:rsidR="00F947E9" w:rsidRPr="00F947E9" w:rsidRDefault="00D31DD1" w:rsidP="00F947E9">
            <w:pPr>
              <w:jc w:val="center"/>
              <w:rPr>
                <w:color w:val="000000"/>
                <w:sz w:val="16"/>
                <w:szCs w:val="16"/>
              </w:rPr>
            </w:pPr>
            <w:r>
              <w:rPr>
                <w:color w:val="000000"/>
                <w:sz w:val="16"/>
                <w:szCs w:val="16"/>
              </w:rPr>
              <w:t>84</w:t>
            </w:r>
          </w:p>
        </w:tc>
        <w:tc>
          <w:tcPr>
            <w:tcW w:w="268" w:type="pct"/>
            <w:tcBorders>
              <w:top w:val="nil"/>
              <w:left w:val="nil"/>
              <w:bottom w:val="single" w:sz="4" w:space="0" w:color="1F497D"/>
              <w:right w:val="single" w:sz="4" w:space="0" w:color="1F497D"/>
            </w:tcBorders>
            <w:shd w:val="clear" w:color="000000" w:fill="FFFFFF"/>
            <w:noWrap/>
            <w:vAlign w:val="center"/>
            <w:hideMark/>
          </w:tcPr>
          <w:p w:rsidR="00F947E9" w:rsidRPr="00F947E9" w:rsidRDefault="00F947E9" w:rsidP="00F947E9">
            <w:pPr>
              <w:jc w:val="center"/>
              <w:rPr>
                <w:color w:val="000000"/>
                <w:sz w:val="16"/>
                <w:szCs w:val="16"/>
              </w:rPr>
            </w:pPr>
            <w:r w:rsidRPr="00F947E9">
              <w:rPr>
                <w:color w:val="000000"/>
                <w:sz w:val="16"/>
                <w:szCs w:val="16"/>
              </w:rPr>
              <w:t>7,04</w:t>
            </w:r>
          </w:p>
        </w:tc>
        <w:tc>
          <w:tcPr>
            <w:tcW w:w="207" w:type="pct"/>
            <w:tcBorders>
              <w:top w:val="nil"/>
              <w:left w:val="nil"/>
              <w:bottom w:val="single" w:sz="4" w:space="0" w:color="1F497D"/>
              <w:right w:val="single" w:sz="4" w:space="0" w:color="1F497D"/>
            </w:tcBorders>
            <w:shd w:val="clear" w:color="000000" w:fill="FFFFFF"/>
            <w:noWrap/>
            <w:vAlign w:val="center"/>
            <w:hideMark/>
          </w:tcPr>
          <w:p w:rsidR="00F947E9" w:rsidRPr="00F947E9" w:rsidRDefault="00F947E9" w:rsidP="00F947E9">
            <w:pPr>
              <w:jc w:val="center"/>
              <w:rPr>
                <w:color w:val="000000"/>
                <w:sz w:val="16"/>
                <w:szCs w:val="16"/>
              </w:rPr>
            </w:pPr>
            <w:r w:rsidRPr="00F947E9">
              <w:rPr>
                <w:color w:val="000000"/>
                <w:sz w:val="16"/>
                <w:szCs w:val="16"/>
              </w:rPr>
              <w:t>212,03</w:t>
            </w:r>
          </w:p>
        </w:tc>
        <w:tc>
          <w:tcPr>
            <w:tcW w:w="234" w:type="pct"/>
            <w:tcBorders>
              <w:top w:val="nil"/>
              <w:left w:val="nil"/>
              <w:bottom w:val="single" w:sz="4" w:space="0" w:color="1F497D"/>
              <w:right w:val="single" w:sz="4" w:space="0" w:color="1F497D"/>
            </w:tcBorders>
            <w:shd w:val="clear" w:color="000000" w:fill="FFFFFF"/>
            <w:noWrap/>
            <w:vAlign w:val="center"/>
            <w:hideMark/>
          </w:tcPr>
          <w:p w:rsidR="00F947E9" w:rsidRPr="00F947E9" w:rsidRDefault="00F947E9" w:rsidP="00F947E9">
            <w:pPr>
              <w:jc w:val="center"/>
              <w:rPr>
                <w:color w:val="000000"/>
                <w:sz w:val="16"/>
                <w:szCs w:val="16"/>
              </w:rPr>
            </w:pPr>
            <w:r w:rsidRPr="00F947E9">
              <w:rPr>
                <w:color w:val="000000"/>
                <w:sz w:val="16"/>
                <w:szCs w:val="16"/>
              </w:rPr>
              <w:t>0,26</w:t>
            </w:r>
          </w:p>
        </w:tc>
        <w:tc>
          <w:tcPr>
            <w:tcW w:w="174" w:type="pct"/>
            <w:tcBorders>
              <w:top w:val="nil"/>
              <w:left w:val="nil"/>
              <w:bottom w:val="single" w:sz="4" w:space="0" w:color="1F497D"/>
              <w:right w:val="single" w:sz="4" w:space="0" w:color="1F497D"/>
            </w:tcBorders>
            <w:shd w:val="clear" w:color="000000" w:fill="FFFFFF"/>
            <w:noWrap/>
            <w:vAlign w:val="center"/>
            <w:hideMark/>
          </w:tcPr>
          <w:p w:rsidR="00F947E9" w:rsidRPr="00F947E9" w:rsidRDefault="00D31DD1" w:rsidP="00F947E9">
            <w:pPr>
              <w:jc w:val="center"/>
              <w:rPr>
                <w:color w:val="000000"/>
                <w:sz w:val="16"/>
                <w:szCs w:val="16"/>
              </w:rPr>
            </w:pPr>
            <w:r>
              <w:rPr>
                <w:color w:val="000000"/>
                <w:sz w:val="16"/>
                <w:szCs w:val="16"/>
              </w:rPr>
              <w:t>76</w:t>
            </w:r>
          </w:p>
        </w:tc>
        <w:tc>
          <w:tcPr>
            <w:tcW w:w="261" w:type="pct"/>
            <w:tcBorders>
              <w:top w:val="nil"/>
              <w:left w:val="nil"/>
              <w:bottom w:val="single" w:sz="4" w:space="0" w:color="1F497D"/>
              <w:right w:val="single" w:sz="4" w:space="0" w:color="1F497D"/>
            </w:tcBorders>
            <w:shd w:val="clear" w:color="000000" w:fill="FFFFFF"/>
            <w:noWrap/>
            <w:vAlign w:val="center"/>
            <w:hideMark/>
          </w:tcPr>
          <w:p w:rsidR="00F947E9" w:rsidRPr="00F947E9" w:rsidRDefault="00F947E9" w:rsidP="00F947E9">
            <w:pPr>
              <w:jc w:val="center"/>
              <w:rPr>
                <w:color w:val="000000"/>
                <w:sz w:val="16"/>
                <w:szCs w:val="16"/>
              </w:rPr>
            </w:pPr>
            <w:r w:rsidRPr="00F947E9">
              <w:rPr>
                <w:color w:val="000000"/>
                <w:sz w:val="16"/>
                <w:szCs w:val="16"/>
              </w:rPr>
              <w:t>3,42</w:t>
            </w:r>
          </w:p>
        </w:tc>
        <w:tc>
          <w:tcPr>
            <w:tcW w:w="214" w:type="pct"/>
            <w:tcBorders>
              <w:top w:val="nil"/>
              <w:left w:val="nil"/>
              <w:bottom w:val="single" w:sz="4" w:space="0" w:color="1F497D"/>
              <w:right w:val="single" w:sz="4" w:space="0" w:color="1F497D"/>
            </w:tcBorders>
            <w:shd w:val="clear" w:color="000000" w:fill="FFFFFF"/>
            <w:noWrap/>
            <w:vAlign w:val="center"/>
            <w:hideMark/>
          </w:tcPr>
          <w:p w:rsidR="00F947E9" w:rsidRPr="00F947E9" w:rsidRDefault="00F947E9" w:rsidP="00F947E9">
            <w:pPr>
              <w:jc w:val="center"/>
              <w:rPr>
                <w:color w:val="000000"/>
                <w:sz w:val="16"/>
                <w:szCs w:val="16"/>
              </w:rPr>
            </w:pPr>
            <w:r w:rsidRPr="00F947E9">
              <w:rPr>
                <w:color w:val="000000"/>
                <w:sz w:val="16"/>
                <w:szCs w:val="16"/>
              </w:rPr>
              <w:t>103,14</w:t>
            </w:r>
          </w:p>
        </w:tc>
        <w:tc>
          <w:tcPr>
            <w:tcW w:w="214" w:type="pct"/>
            <w:tcBorders>
              <w:top w:val="nil"/>
              <w:left w:val="nil"/>
              <w:bottom w:val="single" w:sz="4" w:space="0" w:color="1F497D"/>
              <w:right w:val="single" w:sz="4" w:space="0" w:color="1F497D"/>
            </w:tcBorders>
            <w:shd w:val="clear" w:color="000000" w:fill="FFFFFF"/>
            <w:noWrap/>
            <w:vAlign w:val="center"/>
            <w:hideMark/>
          </w:tcPr>
          <w:p w:rsidR="00F947E9" w:rsidRPr="00F947E9" w:rsidRDefault="00F947E9" w:rsidP="00F947E9">
            <w:pPr>
              <w:jc w:val="center"/>
              <w:rPr>
                <w:color w:val="000000"/>
                <w:sz w:val="16"/>
                <w:szCs w:val="16"/>
              </w:rPr>
            </w:pPr>
            <w:r w:rsidRPr="00F947E9">
              <w:rPr>
                <w:color w:val="000000"/>
                <w:sz w:val="16"/>
                <w:szCs w:val="16"/>
              </w:rPr>
              <w:t>0,13</w:t>
            </w:r>
          </w:p>
        </w:tc>
        <w:tc>
          <w:tcPr>
            <w:tcW w:w="261" w:type="pct"/>
            <w:tcBorders>
              <w:top w:val="nil"/>
              <w:left w:val="nil"/>
              <w:bottom w:val="single" w:sz="4" w:space="0" w:color="1F497D"/>
              <w:right w:val="single" w:sz="4" w:space="0" w:color="1F497D"/>
            </w:tcBorders>
            <w:shd w:val="clear" w:color="000000" w:fill="FFFFFF"/>
            <w:noWrap/>
            <w:vAlign w:val="center"/>
            <w:hideMark/>
          </w:tcPr>
          <w:p w:rsidR="00F947E9" w:rsidRPr="00F947E9" w:rsidRDefault="00F947E9" w:rsidP="00F947E9">
            <w:pPr>
              <w:jc w:val="center"/>
              <w:rPr>
                <w:color w:val="000000"/>
                <w:sz w:val="16"/>
                <w:szCs w:val="16"/>
              </w:rPr>
            </w:pPr>
            <w:r w:rsidRPr="00F947E9">
              <w:rPr>
                <w:color w:val="000000"/>
                <w:sz w:val="16"/>
                <w:szCs w:val="16"/>
              </w:rPr>
              <w:t>1,92</w:t>
            </w:r>
          </w:p>
        </w:tc>
        <w:tc>
          <w:tcPr>
            <w:tcW w:w="228" w:type="pct"/>
            <w:tcBorders>
              <w:top w:val="nil"/>
              <w:left w:val="nil"/>
              <w:bottom w:val="single" w:sz="4" w:space="0" w:color="1F497D"/>
              <w:right w:val="single" w:sz="4" w:space="0" w:color="1F497D"/>
            </w:tcBorders>
            <w:shd w:val="clear" w:color="000000" w:fill="FFFFFF"/>
            <w:noWrap/>
            <w:vAlign w:val="center"/>
            <w:hideMark/>
          </w:tcPr>
          <w:p w:rsidR="00F947E9" w:rsidRPr="00F947E9" w:rsidRDefault="00F947E9" w:rsidP="00F947E9">
            <w:pPr>
              <w:jc w:val="center"/>
              <w:rPr>
                <w:color w:val="000000"/>
                <w:sz w:val="16"/>
                <w:szCs w:val="16"/>
              </w:rPr>
            </w:pPr>
            <w:r w:rsidRPr="00F947E9">
              <w:rPr>
                <w:color w:val="000000"/>
                <w:sz w:val="16"/>
                <w:szCs w:val="16"/>
              </w:rPr>
              <w:t>57,96</w:t>
            </w:r>
          </w:p>
        </w:tc>
        <w:tc>
          <w:tcPr>
            <w:tcW w:w="254" w:type="pct"/>
            <w:tcBorders>
              <w:top w:val="nil"/>
              <w:left w:val="nil"/>
              <w:bottom w:val="single" w:sz="4" w:space="0" w:color="1F497D"/>
              <w:right w:val="single" w:sz="4" w:space="0" w:color="1F497D"/>
            </w:tcBorders>
            <w:shd w:val="clear" w:color="000000" w:fill="FFFFFF"/>
            <w:noWrap/>
            <w:vAlign w:val="center"/>
            <w:hideMark/>
          </w:tcPr>
          <w:p w:rsidR="00F947E9" w:rsidRPr="00F947E9" w:rsidRDefault="00F947E9" w:rsidP="00F947E9">
            <w:pPr>
              <w:jc w:val="center"/>
              <w:rPr>
                <w:color w:val="000000"/>
                <w:sz w:val="16"/>
                <w:szCs w:val="16"/>
              </w:rPr>
            </w:pPr>
            <w:r w:rsidRPr="00F947E9">
              <w:rPr>
                <w:color w:val="000000"/>
                <w:sz w:val="16"/>
                <w:szCs w:val="16"/>
              </w:rPr>
              <w:t>0,08</w:t>
            </w:r>
          </w:p>
        </w:tc>
        <w:tc>
          <w:tcPr>
            <w:tcW w:w="288" w:type="pct"/>
            <w:tcBorders>
              <w:top w:val="nil"/>
              <w:left w:val="nil"/>
              <w:bottom w:val="single" w:sz="4" w:space="0" w:color="1F497D"/>
              <w:right w:val="single" w:sz="4" w:space="0" w:color="1F497D"/>
            </w:tcBorders>
            <w:shd w:val="clear" w:color="000000" w:fill="FFFFFF"/>
            <w:noWrap/>
            <w:vAlign w:val="center"/>
            <w:hideMark/>
          </w:tcPr>
          <w:p w:rsidR="00F947E9" w:rsidRPr="00F947E9" w:rsidRDefault="00F947E9" w:rsidP="00F947E9">
            <w:pPr>
              <w:jc w:val="center"/>
              <w:rPr>
                <w:color w:val="000000"/>
                <w:sz w:val="16"/>
                <w:szCs w:val="16"/>
              </w:rPr>
            </w:pPr>
            <w:r w:rsidRPr="00F947E9">
              <w:rPr>
                <w:color w:val="000000"/>
                <w:sz w:val="16"/>
                <w:szCs w:val="16"/>
              </w:rPr>
              <w:t>1,91</w:t>
            </w:r>
          </w:p>
        </w:tc>
        <w:tc>
          <w:tcPr>
            <w:tcW w:w="214" w:type="pct"/>
            <w:tcBorders>
              <w:top w:val="nil"/>
              <w:left w:val="nil"/>
              <w:bottom w:val="single" w:sz="4" w:space="0" w:color="1F497D"/>
              <w:right w:val="single" w:sz="4" w:space="0" w:color="1F497D"/>
            </w:tcBorders>
            <w:shd w:val="clear" w:color="000000" w:fill="FFFFFF"/>
            <w:noWrap/>
            <w:vAlign w:val="center"/>
            <w:hideMark/>
          </w:tcPr>
          <w:p w:rsidR="00F947E9" w:rsidRPr="00F947E9" w:rsidRDefault="00F947E9" w:rsidP="00F947E9">
            <w:pPr>
              <w:jc w:val="center"/>
              <w:rPr>
                <w:color w:val="000000"/>
                <w:sz w:val="16"/>
                <w:szCs w:val="16"/>
              </w:rPr>
            </w:pPr>
            <w:r w:rsidRPr="00F947E9">
              <w:rPr>
                <w:color w:val="000000"/>
                <w:sz w:val="16"/>
                <w:szCs w:val="16"/>
              </w:rPr>
              <w:t>57,61</w:t>
            </w:r>
          </w:p>
        </w:tc>
        <w:tc>
          <w:tcPr>
            <w:tcW w:w="254" w:type="pct"/>
            <w:tcBorders>
              <w:top w:val="nil"/>
              <w:left w:val="nil"/>
              <w:bottom w:val="single" w:sz="4" w:space="0" w:color="1F497D"/>
              <w:right w:val="single" w:sz="4" w:space="0" w:color="1F497D"/>
            </w:tcBorders>
            <w:shd w:val="clear" w:color="000000" w:fill="FFFFFF"/>
            <w:noWrap/>
            <w:vAlign w:val="center"/>
            <w:hideMark/>
          </w:tcPr>
          <w:p w:rsidR="00F947E9" w:rsidRPr="00F947E9" w:rsidRDefault="00F947E9" w:rsidP="00F947E9">
            <w:pPr>
              <w:jc w:val="center"/>
              <w:rPr>
                <w:color w:val="000000"/>
                <w:sz w:val="16"/>
                <w:szCs w:val="16"/>
              </w:rPr>
            </w:pPr>
            <w:r w:rsidRPr="00F947E9">
              <w:rPr>
                <w:color w:val="000000"/>
                <w:sz w:val="16"/>
                <w:szCs w:val="16"/>
              </w:rPr>
              <w:t>0,08</w:t>
            </w:r>
          </w:p>
        </w:tc>
        <w:tc>
          <w:tcPr>
            <w:tcW w:w="274" w:type="pct"/>
            <w:tcBorders>
              <w:top w:val="nil"/>
              <w:left w:val="single" w:sz="4" w:space="0" w:color="auto"/>
              <w:bottom w:val="single" w:sz="4" w:space="0" w:color="auto"/>
              <w:right w:val="single" w:sz="4" w:space="0" w:color="auto"/>
            </w:tcBorders>
            <w:shd w:val="clear" w:color="000000" w:fill="FFFFFF"/>
            <w:noWrap/>
            <w:vAlign w:val="center"/>
            <w:hideMark/>
          </w:tcPr>
          <w:p w:rsidR="00F947E9" w:rsidRPr="00F947E9" w:rsidRDefault="00F947E9" w:rsidP="00F947E9">
            <w:pPr>
              <w:jc w:val="center"/>
              <w:rPr>
                <w:color w:val="000000"/>
                <w:sz w:val="16"/>
                <w:szCs w:val="16"/>
              </w:rPr>
            </w:pPr>
            <w:r w:rsidRPr="00F947E9">
              <w:rPr>
                <w:color w:val="000000"/>
                <w:sz w:val="16"/>
                <w:szCs w:val="16"/>
              </w:rPr>
              <w:t>1,86</w:t>
            </w:r>
          </w:p>
        </w:tc>
        <w:tc>
          <w:tcPr>
            <w:tcW w:w="207" w:type="pct"/>
            <w:tcBorders>
              <w:top w:val="nil"/>
              <w:left w:val="nil"/>
              <w:bottom w:val="single" w:sz="4" w:space="0" w:color="auto"/>
              <w:right w:val="single" w:sz="4" w:space="0" w:color="auto"/>
            </w:tcBorders>
            <w:shd w:val="clear" w:color="000000" w:fill="FFFFFF"/>
            <w:noWrap/>
            <w:vAlign w:val="center"/>
            <w:hideMark/>
          </w:tcPr>
          <w:p w:rsidR="00F947E9" w:rsidRPr="00F947E9" w:rsidRDefault="00F947E9" w:rsidP="00F947E9">
            <w:pPr>
              <w:jc w:val="center"/>
              <w:rPr>
                <w:color w:val="000000"/>
                <w:sz w:val="16"/>
                <w:szCs w:val="16"/>
              </w:rPr>
            </w:pPr>
            <w:r w:rsidRPr="00F947E9">
              <w:rPr>
                <w:color w:val="000000"/>
                <w:sz w:val="16"/>
                <w:szCs w:val="16"/>
              </w:rPr>
              <w:t>55,98</w:t>
            </w:r>
          </w:p>
        </w:tc>
        <w:tc>
          <w:tcPr>
            <w:tcW w:w="207" w:type="pct"/>
            <w:tcBorders>
              <w:top w:val="nil"/>
              <w:left w:val="nil"/>
              <w:bottom w:val="single" w:sz="4" w:space="0" w:color="auto"/>
              <w:right w:val="single" w:sz="4" w:space="0" w:color="auto"/>
            </w:tcBorders>
            <w:shd w:val="clear" w:color="000000" w:fill="FFFFFF"/>
            <w:noWrap/>
            <w:vAlign w:val="center"/>
            <w:hideMark/>
          </w:tcPr>
          <w:p w:rsidR="00F947E9" w:rsidRPr="00F947E9" w:rsidRDefault="00F947E9" w:rsidP="00F947E9">
            <w:pPr>
              <w:jc w:val="center"/>
              <w:rPr>
                <w:color w:val="000000"/>
                <w:sz w:val="16"/>
                <w:szCs w:val="16"/>
              </w:rPr>
            </w:pPr>
            <w:r w:rsidRPr="00F947E9">
              <w:rPr>
                <w:color w:val="000000"/>
                <w:sz w:val="16"/>
                <w:szCs w:val="16"/>
              </w:rPr>
              <w:t>0,07</w:t>
            </w:r>
          </w:p>
        </w:tc>
      </w:tr>
      <w:tr w:rsidR="00F947E9" w:rsidRPr="00F947E9" w:rsidTr="00F947E9">
        <w:trPr>
          <w:trHeight w:val="240"/>
        </w:trPr>
        <w:tc>
          <w:tcPr>
            <w:tcW w:w="241" w:type="pct"/>
            <w:vMerge/>
            <w:tcBorders>
              <w:top w:val="nil"/>
              <w:left w:val="single" w:sz="4" w:space="0" w:color="1F497D"/>
              <w:bottom w:val="single" w:sz="4" w:space="0" w:color="1F497D"/>
              <w:right w:val="single" w:sz="4" w:space="0" w:color="1F497D"/>
            </w:tcBorders>
            <w:vAlign w:val="center"/>
            <w:hideMark/>
          </w:tcPr>
          <w:p w:rsidR="00F947E9" w:rsidRPr="00F947E9" w:rsidRDefault="00F947E9" w:rsidP="00F947E9">
            <w:pPr>
              <w:rPr>
                <w:color w:val="000000"/>
                <w:sz w:val="16"/>
                <w:szCs w:val="16"/>
              </w:rPr>
            </w:pPr>
          </w:p>
        </w:tc>
        <w:tc>
          <w:tcPr>
            <w:tcW w:w="335" w:type="pct"/>
            <w:tcBorders>
              <w:top w:val="nil"/>
              <w:left w:val="nil"/>
              <w:bottom w:val="single" w:sz="4" w:space="0" w:color="1F497D"/>
              <w:right w:val="single" w:sz="4" w:space="0" w:color="1F497D"/>
            </w:tcBorders>
            <w:shd w:val="clear" w:color="000000" w:fill="FFFFFF"/>
            <w:vAlign w:val="center"/>
            <w:hideMark/>
          </w:tcPr>
          <w:p w:rsidR="00F947E9" w:rsidRPr="00F947E9" w:rsidRDefault="00F947E9" w:rsidP="00F947E9">
            <w:pPr>
              <w:jc w:val="center"/>
              <w:rPr>
                <w:color w:val="000000"/>
                <w:sz w:val="16"/>
                <w:szCs w:val="16"/>
              </w:rPr>
            </w:pPr>
            <w:r w:rsidRPr="00F947E9">
              <w:rPr>
                <w:color w:val="000000"/>
                <w:sz w:val="16"/>
                <w:szCs w:val="16"/>
              </w:rPr>
              <w:t>Rozdíl</w:t>
            </w:r>
          </w:p>
        </w:tc>
        <w:tc>
          <w:tcPr>
            <w:tcW w:w="241" w:type="pct"/>
            <w:tcBorders>
              <w:top w:val="nil"/>
              <w:left w:val="nil"/>
              <w:bottom w:val="single" w:sz="4" w:space="0" w:color="1F497D"/>
              <w:right w:val="single" w:sz="4" w:space="0" w:color="1F497D"/>
            </w:tcBorders>
            <w:shd w:val="clear" w:color="000000" w:fill="FFFFFF"/>
            <w:noWrap/>
            <w:vAlign w:val="center"/>
            <w:hideMark/>
          </w:tcPr>
          <w:p w:rsidR="00F947E9" w:rsidRPr="00F947E9" w:rsidRDefault="00F947E9" w:rsidP="00F947E9">
            <w:pPr>
              <w:jc w:val="center"/>
              <w:rPr>
                <w:color w:val="000000"/>
                <w:sz w:val="16"/>
                <w:szCs w:val="16"/>
              </w:rPr>
            </w:pPr>
          </w:p>
        </w:tc>
        <w:tc>
          <w:tcPr>
            <w:tcW w:w="241" w:type="pct"/>
            <w:tcBorders>
              <w:top w:val="nil"/>
              <w:left w:val="nil"/>
              <w:bottom w:val="single" w:sz="4" w:space="0" w:color="1F497D"/>
              <w:right w:val="single" w:sz="4" w:space="0" w:color="1F497D"/>
            </w:tcBorders>
            <w:shd w:val="clear" w:color="000000" w:fill="FFFFFF"/>
            <w:noWrap/>
            <w:vAlign w:val="center"/>
            <w:hideMark/>
          </w:tcPr>
          <w:p w:rsidR="00F947E9" w:rsidRPr="00F947E9" w:rsidRDefault="00F947E9" w:rsidP="00F947E9">
            <w:pPr>
              <w:jc w:val="center"/>
              <w:rPr>
                <w:color w:val="000000"/>
                <w:sz w:val="16"/>
                <w:szCs w:val="16"/>
              </w:rPr>
            </w:pPr>
          </w:p>
        </w:tc>
        <w:tc>
          <w:tcPr>
            <w:tcW w:w="181" w:type="pct"/>
            <w:tcBorders>
              <w:top w:val="nil"/>
              <w:left w:val="nil"/>
              <w:bottom w:val="single" w:sz="4" w:space="0" w:color="1F497D"/>
              <w:right w:val="single" w:sz="4" w:space="0" w:color="1F497D"/>
            </w:tcBorders>
            <w:shd w:val="clear" w:color="000000" w:fill="FFFFFF"/>
            <w:vAlign w:val="center"/>
            <w:hideMark/>
          </w:tcPr>
          <w:p w:rsidR="00F947E9" w:rsidRPr="00F947E9" w:rsidRDefault="00B011E8" w:rsidP="00F947E9">
            <w:pPr>
              <w:jc w:val="center"/>
              <w:rPr>
                <w:color w:val="000000"/>
                <w:sz w:val="16"/>
                <w:szCs w:val="16"/>
              </w:rPr>
            </w:pPr>
            <w:r>
              <w:rPr>
                <w:color w:val="000000"/>
                <w:sz w:val="16"/>
                <w:szCs w:val="16"/>
              </w:rPr>
              <w:t>0</w:t>
            </w:r>
          </w:p>
        </w:tc>
        <w:tc>
          <w:tcPr>
            <w:tcW w:w="268" w:type="pct"/>
            <w:tcBorders>
              <w:top w:val="nil"/>
              <w:left w:val="nil"/>
              <w:bottom w:val="single" w:sz="4" w:space="0" w:color="1F497D"/>
              <w:right w:val="single" w:sz="4" w:space="0" w:color="1F497D"/>
            </w:tcBorders>
            <w:shd w:val="clear" w:color="000000" w:fill="FFFFFF"/>
            <w:noWrap/>
            <w:vAlign w:val="center"/>
            <w:hideMark/>
          </w:tcPr>
          <w:p w:rsidR="00F947E9" w:rsidRPr="00F947E9" w:rsidRDefault="00F947E9" w:rsidP="00F947E9">
            <w:pPr>
              <w:jc w:val="center"/>
              <w:rPr>
                <w:color w:val="000000"/>
                <w:sz w:val="16"/>
                <w:szCs w:val="16"/>
              </w:rPr>
            </w:pPr>
            <w:r w:rsidRPr="00F947E9">
              <w:rPr>
                <w:color w:val="000000"/>
                <w:sz w:val="16"/>
                <w:szCs w:val="16"/>
              </w:rPr>
              <w:t>0,58</w:t>
            </w:r>
          </w:p>
        </w:tc>
        <w:tc>
          <w:tcPr>
            <w:tcW w:w="207" w:type="pct"/>
            <w:tcBorders>
              <w:top w:val="nil"/>
              <w:left w:val="nil"/>
              <w:bottom w:val="single" w:sz="4" w:space="0" w:color="1F497D"/>
              <w:right w:val="single" w:sz="4" w:space="0" w:color="1F497D"/>
            </w:tcBorders>
            <w:shd w:val="clear" w:color="000000" w:fill="FFFFFF"/>
            <w:noWrap/>
            <w:vAlign w:val="center"/>
            <w:hideMark/>
          </w:tcPr>
          <w:p w:rsidR="00F947E9" w:rsidRPr="00F947E9" w:rsidRDefault="00F947E9" w:rsidP="00F947E9">
            <w:pPr>
              <w:jc w:val="center"/>
              <w:rPr>
                <w:color w:val="000000"/>
                <w:sz w:val="16"/>
                <w:szCs w:val="16"/>
              </w:rPr>
            </w:pPr>
            <w:r w:rsidRPr="00F947E9">
              <w:rPr>
                <w:color w:val="000000"/>
                <w:sz w:val="16"/>
                <w:szCs w:val="16"/>
              </w:rPr>
              <w:t>17,60</w:t>
            </w:r>
          </w:p>
        </w:tc>
        <w:tc>
          <w:tcPr>
            <w:tcW w:w="234" w:type="pct"/>
            <w:tcBorders>
              <w:top w:val="nil"/>
              <w:left w:val="nil"/>
              <w:bottom w:val="single" w:sz="4" w:space="0" w:color="1F497D"/>
              <w:right w:val="single" w:sz="4" w:space="0" w:color="1F497D"/>
            </w:tcBorders>
            <w:shd w:val="clear" w:color="000000" w:fill="FFFFFF"/>
            <w:noWrap/>
            <w:vAlign w:val="center"/>
            <w:hideMark/>
          </w:tcPr>
          <w:p w:rsidR="00F947E9" w:rsidRPr="00F947E9" w:rsidRDefault="00F947E9" w:rsidP="00F947E9">
            <w:pPr>
              <w:jc w:val="center"/>
              <w:rPr>
                <w:color w:val="000000"/>
                <w:sz w:val="16"/>
                <w:szCs w:val="16"/>
              </w:rPr>
            </w:pPr>
            <w:r w:rsidRPr="00F947E9">
              <w:rPr>
                <w:color w:val="000000"/>
                <w:sz w:val="16"/>
                <w:szCs w:val="16"/>
              </w:rPr>
              <w:t>0,02</w:t>
            </w:r>
          </w:p>
        </w:tc>
        <w:tc>
          <w:tcPr>
            <w:tcW w:w="174" w:type="pct"/>
            <w:tcBorders>
              <w:top w:val="nil"/>
              <w:left w:val="nil"/>
              <w:bottom w:val="single" w:sz="4" w:space="0" w:color="1F497D"/>
              <w:right w:val="single" w:sz="4" w:space="0" w:color="1F497D"/>
            </w:tcBorders>
            <w:shd w:val="clear" w:color="000000" w:fill="FFFFFF"/>
            <w:noWrap/>
            <w:vAlign w:val="center"/>
            <w:hideMark/>
          </w:tcPr>
          <w:p w:rsidR="00F947E9" w:rsidRPr="00F947E9" w:rsidRDefault="00B011E8" w:rsidP="00F947E9">
            <w:pPr>
              <w:jc w:val="center"/>
              <w:rPr>
                <w:color w:val="000000"/>
                <w:sz w:val="16"/>
                <w:szCs w:val="16"/>
              </w:rPr>
            </w:pPr>
            <w:r>
              <w:rPr>
                <w:color w:val="000000"/>
                <w:sz w:val="16"/>
                <w:szCs w:val="16"/>
              </w:rPr>
              <w:t>0</w:t>
            </w:r>
          </w:p>
        </w:tc>
        <w:tc>
          <w:tcPr>
            <w:tcW w:w="261" w:type="pct"/>
            <w:tcBorders>
              <w:top w:val="nil"/>
              <w:left w:val="nil"/>
              <w:bottom w:val="single" w:sz="4" w:space="0" w:color="1F497D"/>
              <w:right w:val="single" w:sz="4" w:space="0" w:color="1F497D"/>
            </w:tcBorders>
            <w:shd w:val="clear" w:color="000000" w:fill="FFFFFF"/>
            <w:noWrap/>
            <w:vAlign w:val="center"/>
            <w:hideMark/>
          </w:tcPr>
          <w:p w:rsidR="00F947E9" w:rsidRPr="00F947E9" w:rsidRDefault="00F947E9" w:rsidP="00F947E9">
            <w:pPr>
              <w:jc w:val="center"/>
              <w:rPr>
                <w:color w:val="000000"/>
                <w:sz w:val="16"/>
                <w:szCs w:val="16"/>
              </w:rPr>
            </w:pPr>
            <w:r w:rsidRPr="00F947E9">
              <w:rPr>
                <w:color w:val="000000"/>
                <w:sz w:val="16"/>
                <w:szCs w:val="16"/>
              </w:rPr>
              <w:t>-0,02</w:t>
            </w:r>
          </w:p>
        </w:tc>
        <w:tc>
          <w:tcPr>
            <w:tcW w:w="214" w:type="pct"/>
            <w:tcBorders>
              <w:top w:val="nil"/>
              <w:left w:val="nil"/>
              <w:bottom w:val="single" w:sz="4" w:space="0" w:color="1F497D"/>
              <w:right w:val="single" w:sz="4" w:space="0" w:color="1F497D"/>
            </w:tcBorders>
            <w:shd w:val="clear" w:color="000000" w:fill="FFFFFF"/>
            <w:noWrap/>
            <w:vAlign w:val="center"/>
            <w:hideMark/>
          </w:tcPr>
          <w:p w:rsidR="00F947E9" w:rsidRPr="00F947E9" w:rsidRDefault="00F947E9" w:rsidP="00F947E9">
            <w:pPr>
              <w:jc w:val="center"/>
              <w:rPr>
                <w:color w:val="000000"/>
                <w:sz w:val="16"/>
                <w:szCs w:val="16"/>
              </w:rPr>
            </w:pPr>
            <w:r w:rsidRPr="00F947E9">
              <w:rPr>
                <w:color w:val="000000"/>
                <w:sz w:val="16"/>
                <w:szCs w:val="16"/>
              </w:rPr>
              <w:t>-0,68</w:t>
            </w:r>
          </w:p>
        </w:tc>
        <w:tc>
          <w:tcPr>
            <w:tcW w:w="214" w:type="pct"/>
            <w:tcBorders>
              <w:top w:val="nil"/>
              <w:left w:val="nil"/>
              <w:bottom w:val="single" w:sz="4" w:space="0" w:color="1F497D"/>
              <w:right w:val="single" w:sz="4" w:space="0" w:color="1F497D"/>
            </w:tcBorders>
            <w:shd w:val="clear" w:color="000000" w:fill="FFFFFF"/>
            <w:noWrap/>
            <w:vAlign w:val="center"/>
            <w:hideMark/>
          </w:tcPr>
          <w:p w:rsidR="00F947E9" w:rsidRPr="00F947E9" w:rsidRDefault="00F947E9" w:rsidP="00F947E9">
            <w:pPr>
              <w:jc w:val="center"/>
              <w:rPr>
                <w:color w:val="000000"/>
                <w:sz w:val="16"/>
                <w:szCs w:val="16"/>
              </w:rPr>
            </w:pPr>
            <w:r w:rsidRPr="00F947E9">
              <w:rPr>
                <w:color w:val="000000"/>
                <w:sz w:val="16"/>
                <w:szCs w:val="16"/>
              </w:rPr>
              <w:t>0,00</w:t>
            </w:r>
          </w:p>
        </w:tc>
        <w:tc>
          <w:tcPr>
            <w:tcW w:w="261" w:type="pct"/>
            <w:tcBorders>
              <w:top w:val="nil"/>
              <w:left w:val="nil"/>
              <w:bottom w:val="single" w:sz="4" w:space="0" w:color="1F497D"/>
              <w:right w:val="single" w:sz="4" w:space="0" w:color="1F497D"/>
            </w:tcBorders>
            <w:shd w:val="clear" w:color="000000" w:fill="FFFFFF"/>
            <w:noWrap/>
            <w:vAlign w:val="center"/>
            <w:hideMark/>
          </w:tcPr>
          <w:p w:rsidR="00F947E9" w:rsidRPr="00F947E9" w:rsidRDefault="00F947E9" w:rsidP="00F947E9">
            <w:pPr>
              <w:jc w:val="center"/>
              <w:rPr>
                <w:color w:val="000000"/>
                <w:sz w:val="16"/>
                <w:szCs w:val="16"/>
              </w:rPr>
            </w:pPr>
            <w:r w:rsidRPr="00F947E9">
              <w:rPr>
                <w:color w:val="000000"/>
                <w:sz w:val="16"/>
                <w:szCs w:val="16"/>
              </w:rPr>
              <w:t>0,04</w:t>
            </w:r>
          </w:p>
        </w:tc>
        <w:tc>
          <w:tcPr>
            <w:tcW w:w="228" w:type="pct"/>
            <w:tcBorders>
              <w:top w:val="nil"/>
              <w:left w:val="nil"/>
              <w:bottom w:val="single" w:sz="4" w:space="0" w:color="1F497D"/>
              <w:right w:val="single" w:sz="4" w:space="0" w:color="1F497D"/>
            </w:tcBorders>
            <w:shd w:val="clear" w:color="000000" w:fill="FFFFFF"/>
            <w:noWrap/>
            <w:vAlign w:val="center"/>
            <w:hideMark/>
          </w:tcPr>
          <w:p w:rsidR="00F947E9" w:rsidRPr="00F947E9" w:rsidRDefault="00F947E9" w:rsidP="00F947E9">
            <w:pPr>
              <w:jc w:val="center"/>
              <w:rPr>
                <w:color w:val="000000"/>
                <w:sz w:val="16"/>
                <w:szCs w:val="16"/>
              </w:rPr>
            </w:pPr>
            <w:r w:rsidRPr="00F947E9">
              <w:rPr>
                <w:color w:val="000000"/>
                <w:sz w:val="16"/>
                <w:szCs w:val="16"/>
              </w:rPr>
              <w:t>1,24</w:t>
            </w:r>
          </w:p>
        </w:tc>
        <w:tc>
          <w:tcPr>
            <w:tcW w:w="254" w:type="pct"/>
            <w:tcBorders>
              <w:top w:val="nil"/>
              <w:left w:val="nil"/>
              <w:bottom w:val="single" w:sz="4" w:space="0" w:color="1F497D"/>
              <w:right w:val="single" w:sz="4" w:space="0" w:color="1F497D"/>
            </w:tcBorders>
            <w:shd w:val="clear" w:color="000000" w:fill="FFFFFF"/>
            <w:noWrap/>
            <w:vAlign w:val="center"/>
            <w:hideMark/>
          </w:tcPr>
          <w:p w:rsidR="00F947E9" w:rsidRPr="00F947E9" w:rsidRDefault="00F947E9" w:rsidP="00F947E9">
            <w:pPr>
              <w:jc w:val="center"/>
              <w:rPr>
                <w:color w:val="000000"/>
                <w:sz w:val="16"/>
                <w:szCs w:val="16"/>
              </w:rPr>
            </w:pPr>
            <w:r w:rsidRPr="00F947E9">
              <w:rPr>
                <w:color w:val="000000"/>
                <w:sz w:val="16"/>
                <w:szCs w:val="16"/>
              </w:rPr>
              <w:t>0,00</w:t>
            </w:r>
          </w:p>
        </w:tc>
        <w:tc>
          <w:tcPr>
            <w:tcW w:w="288" w:type="pct"/>
            <w:tcBorders>
              <w:top w:val="nil"/>
              <w:left w:val="nil"/>
              <w:bottom w:val="single" w:sz="4" w:space="0" w:color="1F497D"/>
              <w:right w:val="single" w:sz="4" w:space="0" w:color="1F497D"/>
            </w:tcBorders>
            <w:shd w:val="clear" w:color="000000" w:fill="FFFFFF"/>
            <w:noWrap/>
            <w:vAlign w:val="center"/>
            <w:hideMark/>
          </w:tcPr>
          <w:p w:rsidR="00F947E9" w:rsidRPr="00F947E9" w:rsidRDefault="00F947E9" w:rsidP="00F947E9">
            <w:pPr>
              <w:jc w:val="center"/>
              <w:rPr>
                <w:color w:val="000000"/>
                <w:sz w:val="16"/>
                <w:szCs w:val="16"/>
              </w:rPr>
            </w:pPr>
            <w:r w:rsidRPr="00F947E9">
              <w:rPr>
                <w:color w:val="000000"/>
                <w:sz w:val="16"/>
                <w:szCs w:val="16"/>
              </w:rPr>
              <w:t>0,09</w:t>
            </w:r>
          </w:p>
        </w:tc>
        <w:tc>
          <w:tcPr>
            <w:tcW w:w="214" w:type="pct"/>
            <w:tcBorders>
              <w:top w:val="nil"/>
              <w:left w:val="nil"/>
              <w:bottom w:val="single" w:sz="4" w:space="0" w:color="1F497D"/>
              <w:right w:val="single" w:sz="4" w:space="0" w:color="1F497D"/>
            </w:tcBorders>
            <w:shd w:val="clear" w:color="000000" w:fill="FFFFFF"/>
            <w:noWrap/>
            <w:vAlign w:val="center"/>
            <w:hideMark/>
          </w:tcPr>
          <w:p w:rsidR="00F947E9" w:rsidRPr="00F947E9" w:rsidRDefault="00F947E9" w:rsidP="00F947E9">
            <w:pPr>
              <w:jc w:val="center"/>
              <w:rPr>
                <w:color w:val="000000"/>
                <w:sz w:val="16"/>
                <w:szCs w:val="16"/>
              </w:rPr>
            </w:pPr>
            <w:r w:rsidRPr="00F947E9">
              <w:rPr>
                <w:color w:val="000000"/>
                <w:sz w:val="16"/>
                <w:szCs w:val="16"/>
              </w:rPr>
              <w:t>2,71</w:t>
            </w:r>
          </w:p>
        </w:tc>
        <w:tc>
          <w:tcPr>
            <w:tcW w:w="254" w:type="pct"/>
            <w:tcBorders>
              <w:top w:val="nil"/>
              <w:left w:val="nil"/>
              <w:bottom w:val="single" w:sz="4" w:space="0" w:color="1F497D"/>
              <w:right w:val="single" w:sz="4" w:space="0" w:color="1F497D"/>
            </w:tcBorders>
            <w:shd w:val="clear" w:color="000000" w:fill="FFFFFF"/>
            <w:noWrap/>
            <w:vAlign w:val="center"/>
            <w:hideMark/>
          </w:tcPr>
          <w:p w:rsidR="00F947E9" w:rsidRPr="00F947E9" w:rsidRDefault="00F947E9" w:rsidP="00F947E9">
            <w:pPr>
              <w:jc w:val="center"/>
              <w:rPr>
                <w:color w:val="000000"/>
                <w:sz w:val="16"/>
                <w:szCs w:val="16"/>
              </w:rPr>
            </w:pPr>
            <w:r w:rsidRPr="00F947E9">
              <w:rPr>
                <w:color w:val="000000"/>
                <w:sz w:val="16"/>
                <w:szCs w:val="16"/>
              </w:rPr>
              <w:t>0,00</w:t>
            </w:r>
          </w:p>
        </w:tc>
        <w:tc>
          <w:tcPr>
            <w:tcW w:w="274" w:type="pct"/>
            <w:tcBorders>
              <w:top w:val="nil"/>
              <w:left w:val="single" w:sz="4" w:space="0" w:color="auto"/>
              <w:bottom w:val="single" w:sz="4" w:space="0" w:color="auto"/>
              <w:right w:val="single" w:sz="4" w:space="0" w:color="auto"/>
            </w:tcBorders>
            <w:shd w:val="clear" w:color="000000" w:fill="FFFFFF"/>
            <w:noWrap/>
            <w:vAlign w:val="center"/>
            <w:hideMark/>
          </w:tcPr>
          <w:p w:rsidR="00F947E9" w:rsidRPr="00F947E9" w:rsidRDefault="00F947E9" w:rsidP="00F947E9">
            <w:pPr>
              <w:jc w:val="center"/>
              <w:rPr>
                <w:color w:val="000000"/>
                <w:sz w:val="16"/>
                <w:szCs w:val="16"/>
              </w:rPr>
            </w:pPr>
            <w:r w:rsidRPr="00F947E9">
              <w:rPr>
                <w:color w:val="000000"/>
                <w:sz w:val="16"/>
                <w:szCs w:val="16"/>
              </w:rPr>
              <w:t>0,07</w:t>
            </w:r>
          </w:p>
        </w:tc>
        <w:tc>
          <w:tcPr>
            <w:tcW w:w="207" w:type="pct"/>
            <w:tcBorders>
              <w:top w:val="nil"/>
              <w:left w:val="nil"/>
              <w:bottom w:val="single" w:sz="4" w:space="0" w:color="auto"/>
              <w:right w:val="single" w:sz="4" w:space="0" w:color="auto"/>
            </w:tcBorders>
            <w:shd w:val="clear" w:color="000000" w:fill="FFFFFF"/>
            <w:noWrap/>
            <w:vAlign w:val="center"/>
            <w:hideMark/>
          </w:tcPr>
          <w:p w:rsidR="00F947E9" w:rsidRPr="00F947E9" w:rsidRDefault="00F947E9" w:rsidP="00F947E9">
            <w:pPr>
              <w:jc w:val="center"/>
              <w:rPr>
                <w:color w:val="000000"/>
                <w:sz w:val="16"/>
                <w:szCs w:val="16"/>
              </w:rPr>
            </w:pPr>
            <w:r w:rsidRPr="00F947E9">
              <w:rPr>
                <w:color w:val="000000"/>
                <w:sz w:val="16"/>
                <w:szCs w:val="16"/>
              </w:rPr>
              <w:t>2,01</w:t>
            </w:r>
          </w:p>
        </w:tc>
        <w:tc>
          <w:tcPr>
            <w:tcW w:w="207" w:type="pct"/>
            <w:tcBorders>
              <w:top w:val="nil"/>
              <w:left w:val="nil"/>
              <w:bottom w:val="single" w:sz="4" w:space="0" w:color="auto"/>
              <w:right w:val="single" w:sz="4" w:space="0" w:color="auto"/>
            </w:tcBorders>
            <w:shd w:val="clear" w:color="000000" w:fill="FFFFFF"/>
            <w:noWrap/>
            <w:vAlign w:val="center"/>
            <w:hideMark/>
          </w:tcPr>
          <w:p w:rsidR="00F947E9" w:rsidRPr="00F947E9" w:rsidRDefault="00F947E9" w:rsidP="00F947E9">
            <w:pPr>
              <w:jc w:val="center"/>
              <w:rPr>
                <w:color w:val="000000"/>
                <w:sz w:val="16"/>
                <w:szCs w:val="16"/>
              </w:rPr>
            </w:pPr>
            <w:r w:rsidRPr="00F947E9">
              <w:rPr>
                <w:color w:val="000000"/>
                <w:sz w:val="16"/>
                <w:szCs w:val="16"/>
              </w:rPr>
              <w:t>0,00</w:t>
            </w:r>
          </w:p>
        </w:tc>
      </w:tr>
    </w:tbl>
    <w:p w:rsidR="006F4A68" w:rsidRPr="00F42CC8" w:rsidRDefault="006F4A68" w:rsidP="00B011E8">
      <w:pPr>
        <w:rPr>
          <w:i/>
          <w:sz w:val="18"/>
          <w:szCs w:val="18"/>
        </w:rPr>
      </w:pPr>
      <w:r w:rsidRPr="00C9059F">
        <w:rPr>
          <w:i/>
          <w:sz w:val="18"/>
          <w:szCs w:val="18"/>
        </w:rPr>
        <w:t xml:space="preserve">Zdroj: Aktuální </w:t>
      </w:r>
      <w:proofErr w:type="spellStart"/>
      <w:r w:rsidRPr="00C9059F">
        <w:rPr>
          <w:i/>
          <w:sz w:val="18"/>
          <w:szCs w:val="18"/>
        </w:rPr>
        <w:t>MoV</w:t>
      </w:r>
      <w:proofErr w:type="spellEnd"/>
      <w:r w:rsidRPr="00C9059F">
        <w:rPr>
          <w:i/>
          <w:sz w:val="18"/>
          <w:szCs w:val="18"/>
        </w:rPr>
        <w:t xml:space="preserve"> – MSC2007 ke </w:t>
      </w:r>
      <w:r w:rsidRPr="00F42CC8">
        <w:rPr>
          <w:i/>
          <w:sz w:val="18"/>
          <w:szCs w:val="18"/>
        </w:rPr>
        <w:t xml:space="preserve">dni </w:t>
      </w:r>
      <w:r w:rsidR="0015783A">
        <w:rPr>
          <w:i/>
          <w:sz w:val="18"/>
          <w:szCs w:val="18"/>
        </w:rPr>
        <w:t>30. 9. 2015</w:t>
      </w:r>
      <w:r w:rsidR="00B011E8">
        <w:rPr>
          <w:i/>
          <w:sz w:val="18"/>
          <w:szCs w:val="18"/>
        </w:rPr>
        <w:t xml:space="preserve">; Data za certifikované prostředky byla v celé zprávě generována k datu 8. 10. 2015, důvodem je technická chyba způsobena chybným přenosem dat </w:t>
      </w:r>
      <w:proofErr w:type="gramStart"/>
      <w:r w:rsidR="00B011E8">
        <w:rPr>
          <w:i/>
          <w:sz w:val="18"/>
          <w:szCs w:val="18"/>
        </w:rPr>
        <w:t>mezi</w:t>
      </w:r>
      <w:proofErr w:type="gramEnd"/>
      <w:r w:rsidR="00B011E8">
        <w:rPr>
          <w:i/>
          <w:sz w:val="18"/>
          <w:szCs w:val="18"/>
        </w:rPr>
        <w:t xml:space="preserve"> IS Viola a MSC2007</w:t>
      </w:r>
    </w:p>
    <w:p w:rsidR="006F4A68" w:rsidRPr="00F42CC8" w:rsidRDefault="006F4A68" w:rsidP="006F4A68">
      <w:pPr>
        <w:jc w:val="both"/>
        <w:rPr>
          <w:i/>
          <w:sz w:val="18"/>
          <w:szCs w:val="18"/>
        </w:rPr>
      </w:pPr>
      <w:r w:rsidRPr="00F42CC8">
        <w:rPr>
          <w:i/>
          <w:sz w:val="18"/>
          <w:szCs w:val="18"/>
        </w:rPr>
        <w:t xml:space="preserve">           Předchozí </w:t>
      </w:r>
      <w:proofErr w:type="spellStart"/>
      <w:r w:rsidRPr="00F42CC8">
        <w:rPr>
          <w:i/>
          <w:sz w:val="18"/>
          <w:szCs w:val="18"/>
        </w:rPr>
        <w:t>MoV</w:t>
      </w:r>
      <w:proofErr w:type="spellEnd"/>
      <w:r w:rsidRPr="00F42CC8">
        <w:rPr>
          <w:i/>
          <w:sz w:val="18"/>
          <w:szCs w:val="18"/>
        </w:rPr>
        <w:t xml:space="preserve"> – MSC2007+ ke dni.</w:t>
      </w:r>
      <w:r w:rsidR="003C0A2C" w:rsidRPr="003C0A2C">
        <w:rPr>
          <w:i/>
          <w:sz w:val="18"/>
          <w:szCs w:val="18"/>
        </w:rPr>
        <w:t xml:space="preserve"> </w:t>
      </w:r>
      <w:r w:rsidR="006731BF">
        <w:rPr>
          <w:i/>
          <w:sz w:val="18"/>
          <w:szCs w:val="18"/>
        </w:rPr>
        <w:t>16. 4. 2015</w:t>
      </w:r>
    </w:p>
    <w:p w:rsidR="006F4A68" w:rsidRPr="00277C9A" w:rsidRDefault="006F4A68" w:rsidP="006F4A68">
      <w:pPr>
        <w:jc w:val="both"/>
        <w:rPr>
          <w:i/>
          <w:sz w:val="18"/>
          <w:szCs w:val="18"/>
        </w:rPr>
      </w:pPr>
      <w:r w:rsidRPr="00277C9A">
        <w:rPr>
          <w:i/>
          <w:sz w:val="18"/>
          <w:szCs w:val="18"/>
        </w:rPr>
        <w:t xml:space="preserve"> Kurz CZK/EUR: Aktuální </w:t>
      </w:r>
      <w:proofErr w:type="spellStart"/>
      <w:r w:rsidRPr="00277C9A">
        <w:rPr>
          <w:i/>
          <w:sz w:val="18"/>
          <w:szCs w:val="18"/>
        </w:rPr>
        <w:t>MoV</w:t>
      </w:r>
      <w:proofErr w:type="spellEnd"/>
      <w:r w:rsidRPr="00277C9A">
        <w:rPr>
          <w:i/>
          <w:sz w:val="18"/>
          <w:szCs w:val="18"/>
        </w:rPr>
        <w:t xml:space="preserve"> </w:t>
      </w:r>
      <w:r w:rsidRPr="00737479">
        <w:rPr>
          <w:i/>
          <w:sz w:val="18"/>
          <w:szCs w:val="18"/>
        </w:rPr>
        <w:t xml:space="preserve">– </w:t>
      </w:r>
      <w:r w:rsidR="006731BF">
        <w:rPr>
          <w:i/>
          <w:sz w:val="18"/>
          <w:szCs w:val="18"/>
        </w:rPr>
        <w:t>27,208</w:t>
      </w:r>
    </w:p>
    <w:p w:rsidR="006F4A68" w:rsidRPr="00277C9A" w:rsidRDefault="006F4A68" w:rsidP="006F4A68">
      <w:pPr>
        <w:jc w:val="both"/>
        <w:rPr>
          <w:i/>
          <w:sz w:val="18"/>
          <w:szCs w:val="18"/>
        </w:rPr>
      </w:pPr>
      <w:r w:rsidRPr="00277C9A">
        <w:rPr>
          <w:i/>
          <w:sz w:val="18"/>
          <w:szCs w:val="18"/>
        </w:rPr>
        <w:t xml:space="preserve">                            Předchozí </w:t>
      </w:r>
      <w:proofErr w:type="spellStart"/>
      <w:r w:rsidRPr="00277C9A">
        <w:rPr>
          <w:i/>
          <w:sz w:val="18"/>
          <w:szCs w:val="18"/>
        </w:rPr>
        <w:t>MoV</w:t>
      </w:r>
      <w:proofErr w:type="spellEnd"/>
      <w:r>
        <w:rPr>
          <w:i/>
          <w:sz w:val="18"/>
          <w:szCs w:val="18"/>
        </w:rPr>
        <w:t xml:space="preserve"> </w:t>
      </w:r>
      <w:r w:rsidRPr="00277C9A">
        <w:rPr>
          <w:i/>
          <w:sz w:val="18"/>
          <w:szCs w:val="18"/>
        </w:rPr>
        <w:t xml:space="preserve">– </w:t>
      </w:r>
      <w:r w:rsidR="006731BF">
        <w:rPr>
          <w:i/>
          <w:sz w:val="18"/>
          <w:szCs w:val="18"/>
        </w:rPr>
        <w:t>27,473</w:t>
      </w:r>
    </w:p>
    <w:p w:rsidR="00BE3C40" w:rsidRDefault="006F4A68" w:rsidP="00F65779">
      <w:pPr>
        <w:rPr>
          <w:sz w:val="22"/>
          <w:szCs w:val="22"/>
        </w:rPr>
        <w:sectPr w:rsidR="00BE3C40" w:rsidSect="00356E21">
          <w:pgSz w:w="16840" w:h="11907" w:orient="landscape" w:code="9"/>
          <w:pgMar w:top="1418" w:right="1418" w:bottom="1418" w:left="1418" w:header="709" w:footer="709" w:gutter="0"/>
          <w:cols w:space="708"/>
          <w:docGrid w:linePitch="360"/>
        </w:sectPr>
      </w:pPr>
      <w:r w:rsidRPr="00277C9A">
        <w:rPr>
          <w:i/>
          <w:sz w:val="18"/>
          <w:szCs w:val="18"/>
        </w:rPr>
        <w:t xml:space="preserve">Zdroj financování – </w:t>
      </w:r>
      <w:r>
        <w:rPr>
          <w:i/>
          <w:sz w:val="18"/>
          <w:szCs w:val="18"/>
        </w:rPr>
        <w:t>podíl E</w:t>
      </w:r>
      <w:r w:rsidR="00F65779">
        <w:rPr>
          <w:i/>
          <w:sz w:val="18"/>
          <w:szCs w:val="18"/>
        </w:rPr>
        <w:t>U</w:t>
      </w:r>
    </w:p>
    <w:p w:rsidR="00FB2880" w:rsidRDefault="002F2C3F" w:rsidP="005A6810">
      <w:pPr>
        <w:jc w:val="both"/>
        <w:rPr>
          <w:b/>
          <w:sz w:val="24"/>
          <w:szCs w:val="24"/>
        </w:rPr>
      </w:pPr>
      <w:r w:rsidRPr="00B7725D">
        <w:rPr>
          <w:b/>
          <w:sz w:val="24"/>
          <w:szCs w:val="24"/>
        </w:rPr>
        <w:lastRenderedPageBreak/>
        <w:t>Přehled probíhajících výzev</w:t>
      </w:r>
      <w:r w:rsidRPr="00353A44">
        <w:rPr>
          <w:b/>
          <w:sz w:val="24"/>
          <w:szCs w:val="24"/>
        </w:rPr>
        <w:t xml:space="preserve"> </w:t>
      </w:r>
    </w:p>
    <w:p w:rsidR="00BB2452" w:rsidRPr="00C06CE3" w:rsidRDefault="00BB2452" w:rsidP="00BB2452">
      <w:pPr>
        <w:spacing w:after="200" w:line="276" w:lineRule="auto"/>
        <w:jc w:val="both"/>
        <w:rPr>
          <w:rFonts w:eastAsia="Calibri"/>
          <w:sz w:val="22"/>
          <w:szCs w:val="22"/>
          <w:lang w:eastAsia="en-US"/>
        </w:rPr>
      </w:pPr>
      <w:r w:rsidRPr="00C06CE3">
        <w:rPr>
          <w:rFonts w:eastAsia="Calibri"/>
          <w:sz w:val="22"/>
          <w:szCs w:val="22"/>
          <w:lang w:eastAsia="en-US"/>
        </w:rPr>
        <w:t xml:space="preserve">V oblasti intervence 6.1 pokračoval příjem žádostí v 1. kontinuální výzvě s alokací 29,70 mil. EUR. </w:t>
      </w:r>
      <w:r w:rsidR="00E72897">
        <w:rPr>
          <w:rFonts w:eastAsia="Calibri"/>
          <w:sz w:val="22"/>
          <w:szCs w:val="22"/>
          <w:lang w:eastAsia="en-US"/>
        </w:rPr>
        <w:br/>
      </w:r>
      <w:r w:rsidRPr="00C06CE3">
        <w:rPr>
          <w:rFonts w:eastAsia="Calibri"/>
          <w:sz w:val="22"/>
          <w:szCs w:val="22"/>
          <w:lang w:eastAsia="en-US"/>
        </w:rPr>
        <w:t xml:space="preserve">V této výzvě bylo předloženo 55 projektových žádostí v objemu 55,7 mil. EUR. Schváleno bylo 53 projektů v celkové hodnotě 47,5 mil. EUR. </w:t>
      </w:r>
    </w:p>
    <w:p w:rsidR="00BB2452" w:rsidRPr="00C06CE3" w:rsidRDefault="00BB2452" w:rsidP="00BB2452">
      <w:pPr>
        <w:spacing w:after="200" w:line="276" w:lineRule="auto"/>
        <w:jc w:val="both"/>
        <w:rPr>
          <w:rFonts w:eastAsia="Calibri"/>
          <w:sz w:val="22"/>
          <w:szCs w:val="22"/>
          <w:lang w:eastAsia="en-US"/>
        </w:rPr>
      </w:pPr>
      <w:r w:rsidRPr="00C06CE3">
        <w:rPr>
          <w:rFonts w:eastAsia="Calibri"/>
          <w:sz w:val="22"/>
          <w:szCs w:val="22"/>
          <w:lang w:eastAsia="en-US"/>
        </w:rPr>
        <w:t>V oblasti intervence 6.2 probíhala výzva č. 10 s alokací 11,64 mil. EUR. Bylo předloženo 60 projektů v objemu 7,78 mil. EUR. Schváleno bylo 57 pro</w:t>
      </w:r>
      <w:r>
        <w:rPr>
          <w:rFonts w:eastAsia="Calibri"/>
          <w:sz w:val="22"/>
          <w:szCs w:val="22"/>
          <w:lang w:eastAsia="en-US"/>
        </w:rPr>
        <w:t>jektových žádostí na částku 4,96</w:t>
      </w:r>
      <w:r w:rsidRPr="00C06CE3">
        <w:rPr>
          <w:rFonts w:eastAsia="Calibri"/>
          <w:sz w:val="22"/>
          <w:szCs w:val="22"/>
          <w:lang w:eastAsia="en-US"/>
        </w:rPr>
        <w:t xml:space="preserve"> mil. EUR.</w:t>
      </w:r>
    </w:p>
    <w:p w:rsidR="00281AD8" w:rsidRPr="00841D3A" w:rsidRDefault="00281AD8" w:rsidP="005A6810">
      <w:pPr>
        <w:jc w:val="both"/>
        <w:rPr>
          <w:sz w:val="22"/>
          <w:szCs w:val="22"/>
        </w:rPr>
      </w:pPr>
    </w:p>
    <w:p w:rsidR="002F2C3F" w:rsidRPr="00323322" w:rsidRDefault="00323322" w:rsidP="00323322">
      <w:pPr>
        <w:pStyle w:val="Tabulkanzev"/>
        <w:rPr>
          <w:rStyle w:val="Siln"/>
        </w:rPr>
      </w:pPr>
      <w:bookmarkStart w:id="144" w:name="_Toc433873574"/>
      <w:r w:rsidRPr="00323322">
        <w:rPr>
          <w:rStyle w:val="Siln"/>
        </w:rPr>
        <w:t>Přehled probíhajících výzev v PO 6</w:t>
      </w:r>
      <w:bookmarkEnd w:id="144"/>
    </w:p>
    <w:tbl>
      <w:tblPr>
        <w:tblW w:w="5000" w:type="pct"/>
        <w:tblBorders>
          <w:top w:val="single" w:sz="8" w:space="0" w:color="1F497D" w:themeColor="text2"/>
          <w:left w:val="single" w:sz="8" w:space="0" w:color="1F497D" w:themeColor="text2"/>
          <w:bottom w:val="single" w:sz="8" w:space="0" w:color="1F497D" w:themeColor="text2"/>
          <w:right w:val="single" w:sz="8" w:space="0" w:color="1F497D" w:themeColor="text2"/>
          <w:insideH w:val="single" w:sz="8" w:space="0" w:color="1F497D" w:themeColor="text2"/>
          <w:insideV w:val="single" w:sz="8" w:space="0" w:color="1F497D" w:themeColor="text2"/>
        </w:tblBorders>
        <w:tblCellMar>
          <w:left w:w="70" w:type="dxa"/>
          <w:right w:w="70" w:type="dxa"/>
        </w:tblCellMar>
        <w:tblLook w:val="04A0" w:firstRow="1" w:lastRow="0" w:firstColumn="1" w:lastColumn="0" w:noHBand="0" w:noVBand="1"/>
      </w:tblPr>
      <w:tblGrid>
        <w:gridCol w:w="693"/>
        <w:gridCol w:w="695"/>
        <w:gridCol w:w="1047"/>
        <w:gridCol w:w="860"/>
        <w:gridCol w:w="869"/>
        <w:gridCol w:w="695"/>
        <w:gridCol w:w="860"/>
        <w:gridCol w:w="695"/>
        <w:gridCol w:w="860"/>
        <w:gridCol w:w="669"/>
        <w:gridCol w:w="1268"/>
      </w:tblGrid>
      <w:tr w:rsidR="00C65E56" w:rsidRPr="00C65E56" w:rsidTr="00C65E56">
        <w:trPr>
          <w:trHeight w:val="315"/>
        </w:trPr>
        <w:tc>
          <w:tcPr>
            <w:tcW w:w="433" w:type="pct"/>
            <w:vMerge w:val="restart"/>
            <w:shd w:val="clear" w:color="000000" w:fill="B8CCE4"/>
            <w:vAlign w:val="center"/>
            <w:hideMark/>
          </w:tcPr>
          <w:p w:rsidR="00C65E56" w:rsidRPr="00C65E56" w:rsidRDefault="00C65E56" w:rsidP="00C65E56">
            <w:pPr>
              <w:jc w:val="center"/>
              <w:rPr>
                <w:b/>
                <w:bCs/>
                <w:color w:val="000000"/>
                <w:sz w:val="16"/>
                <w:szCs w:val="16"/>
              </w:rPr>
            </w:pPr>
            <w:r w:rsidRPr="00C65E56">
              <w:rPr>
                <w:b/>
                <w:bCs/>
                <w:color w:val="000000"/>
                <w:sz w:val="16"/>
                <w:szCs w:val="16"/>
              </w:rPr>
              <w:t>Pořadí výzvy</w:t>
            </w:r>
          </w:p>
        </w:tc>
        <w:tc>
          <w:tcPr>
            <w:tcW w:w="433" w:type="pct"/>
            <w:vMerge w:val="restart"/>
            <w:shd w:val="clear" w:color="000000" w:fill="B8CCE4"/>
            <w:vAlign w:val="center"/>
            <w:hideMark/>
          </w:tcPr>
          <w:p w:rsidR="00C65E56" w:rsidRPr="00C65E56" w:rsidRDefault="00C65E56" w:rsidP="00C65E56">
            <w:pPr>
              <w:jc w:val="center"/>
              <w:rPr>
                <w:b/>
                <w:bCs/>
                <w:color w:val="000000"/>
                <w:sz w:val="16"/>
                <w:szCs w:val="16"/>
              </w:rPr>
            </w:pPr>
            <w:r w:rsidRPr="00C65E56">
              <w:rPr>
                <w:b/>
                <w:bCs/>
                <w:color w:val="000000"/>
                <w:sz w:val="16"/>
                <w:szCs w:val="16"/>
              </w:rPr>
              <w:t>Číslo výzvy</w:t>
            </w:r>
          </w:p>
        </w:tc>
        <w:tc>
          <w:tcPr>
            <w:tcW w:w="866" w:type="pct"/>
            <w:gridSpan w:val="2"/>
            <w:vMerge w:val="restart"/>
            <w:shd w:val="clear" w:color="000000" w:fill="B8CCE4"/>
            <w:vAlign w:val="center"/>
            <w:hideMark/>
          </w:tcPr>
          <w:p w:rsidR="00C65E56" w:rsidRPr="00C65E56" w:rsidRDefault="00C65E56" w:rsidP="00C65E56">
            <w:pPr>
              <w:jc w:val="center"/>
              <w:rPr>
                <w:b/>
                <w:bCs/>
                <w:color w:val="000000"/>
                <w:sz w:val="16"/>
                <w:szCs w:val="16"/>
              </w:rPr>
            </w:pPr>
            <w:r w:rsidRPr="00C65E56">
              <w:rPr>
                <w:b/>
                <w:bCs/>
                <w:color w:val="000000"/>
                <w:sz w:val="16"/>
                <w:szCs w:val="16"/>
              </w:rPr>
              <w:t>Podání projektových žádostí</w:t>
            </w:r>
          </w:p>
        </w:tc>
        <w:tc>
          <w:tcPr>
            <w:tcW w:w="433" w:type="pct"/>
            <w:vMerge w:val="restart"/>
            <w:shd w:val="clear" w:color="000000" w:fill="B8CCE4"/>
            <w:vAlign w:val="center"/>
            <w:hideMark/>
          </w:tcPr>
          <w:p w:rsidR="00C65E56" w:rsidRPr="00C65E56" w:rsidRDefault="00C65E56" w:rsidP="00C65E56">
            <w:pPr>
              <w:jc w:val="center"/>
              <w:rPr>
                <w:b/>
                <w:bCs/>
                <w:color w:val="000000"/>
                <w:sz w:val="16"/>
                <w:szCs w:val="16"/>
              </w:rPr>
            </w:pPr>
            <w:r w:rsidRPr="00C65E56">
              <w:rPr>
                <w:b/>
                <w:bCs/>
                <w:color w:val="000000"/>
                <w:sz w:val="16"/>
                <w:szCs w:val="16"/>
              </w:rPr>
              <w:t>Druh výzvy</w:t>
            </w:r>
          </w:p>
        </w:tc>
        <w:tc>
          <w:tcPr>
            <w:tcW w:w="433" w:type="pct"/>
            <w:vMerge w:val="restart"/>
            <w:shd w:val="clear" w:color="000000" w:fill="B8CCE4"/>
            <w:vAlign w:val="center"/>
            <w:hideMark/>
          </w:tcPr>
          <w:p w:rsidR="00C65E56" w:rsidRPr="00C65E56" w:rsidRDefault="00C65E56" w:rsidP="00C65E56">
            <w:pPr>
              <w:jc w:val="center"/>
              <w:rPr>
                <w:b/>
                <w:bCs/>
                <w:color w:val="000000"/>
                <w:sz w:val="16"/>
                <w:szCs w:val="16"/>
              </w:rPr>
            </w:pPr>
            <w:r w:rsidRPr="00C65E56">
              <w:rPr>
                <w:b/>
                <w:bCs/>
                <w:color w:val="000000"/>
                <w:sz w:val="16"/>
                <w:szCs w:val="16"/>
              </w:rPr>
              <w:t>OI</w:t>
            </w:r>
          </w:p>
        </w:tc>
        <w:tc>
          <w:tcPr>
            <w:tcW w:w="523" w:type="pct"/>
            <w:vMerge w:val="restart"/>
            <w:shd w:val="clear" w:color="000000" w:fill="B8CCE4"/>
            <w:vAlign w:val="center"/>
            <w:hideMark/>
          </w:tcPr>
          <w:p w:rsidR="00C65E56" w:rsidRPr="00C65E56" w:rsidRDefault="00C65E56" w:rsidP="00C65E56">
            <w:pPr>
              <w:jc w:val="center"/>
              <w:rPr>
                <w:b/>
                <w:bCs/>
                <w:color w:val="000000"/>
                <w:sz w:val="16"/>
                <w:szCs w:val="16"/>
              </w:rPr>
            </w:pPr>
            <w:r w:rsidRPr="00C65E56">
              <w:rPr>
                <w:b/>
                <w:bCs/>
                <w:color w:val="000000"/>
                <w:sz w:val="16"/>
                <w:szCs w:val="16"/>
              </w:rPr>
              <w:t>Alokace na výzvu</w:t>
            </w:r>
          </w:p>
        </w:tc>
        <w:tc>
          <w:tcPr>
            <w:tcW w:w="939" w:type="pct"/>
            <w:gridSpan w:val="2"/>
            <w:vMerge w:val="restart"/>
            <w:shd w:val="clear" w:color="000000" w:fill="B8CCE4"/>
            <w:vAlign w:val="center"/>
            <w:hideMark/>
          </w:tcPr>
          <w:p w:rsidR="00C65E56" w:rsidRPr="00C65E56" w:rsidRDefault="00C65E56" w:rsidP="00C65E56">
            <w:pPr>
              <w:jc w:val="center"/>
              <w:rPr>
                <w:b/>
                <w:bCs/>
                <w:color w:val="000000"/>
                <w:sz w:val="16"/>
                <w:szCs w:val="16"/>
              </w:rPr>
            </w:pPr>
            <w:r w:rsidRPr="00C65E56">
              <w:rPr>
                <w:b/>
                <w:bCs/>
                <w:color w:val="000000"/>
                <w:sz w:val="16"/>
                <w:szCs w:val="16"/>
              </w:rPr>
              <w:t>Předložené žádosti o podporu</w:t>
            </w:r>
          </w:p>
        </w:tc>
        <w:tc>
          <w:tcPr>
            <w:tcW w:w="939" w:type="pct"/>
            <w:gridSpan w:val="2"/>
            <w:vMerge w:val="restart"/>
            <w:shd w:val="clear" w:color="000000" w:fill="B8CCE4"/>
            <w:vAlign w:val="center"/>
            <w:hideMark/>
          </w:tcPr>
          <w:p w:rsidR="00C65E56" w:rsidRPr="00C65E56" w:rsidRDefault="00C65E56" w:rsidP="00C65E56">
            <w:pPr>
              <w:jc w:val="center"/>
              <w:rPr>
                <w:b/>
                <w:bCs/>
                <w:color w:val="000000"/>
                <w:sz w:val="16"/>
                <w:szCs w:val="16"/>
              </w:rPr>
            </w:pPr>
            <w:r w:rsidRPr="00C65E56">
              <w:rPr>
                <w:b/>
                <w:bCs/>
                <w:color w:val="000000"/>
                <w:sz w:val="16"/>
                <w:szCs w:val="16"/>
              </w:rPr>
              <w:t>Projekty s vydaným Rozhodnutím/podepsanou Smlouvou</w:t>
            </w:r>
          </w:p>
        </w:tc>
      </w:tr>
      <w:tr w:rsidR="00C65E56" w:rsidRPr="00C65E56" w:rsidTr="00C65E56">
        <w:trPr>
          <w:trHeight w:val="315"/>
        </w:trPr>
        <w:tc>
          <w:tcPr>
            <w:tcW w:w="433" w:type="pct"/>
            <w:vMerge/>
            <w:vAlign w:val="center"/>
            <w:hideMark/>
          </w:tcPr>
          <w:p w:rsidR="00C65E56" w:rsidRPr="00C65E56" w:rsidRDefault="00C65E56" w:rsidP="00C65E56">
            <w:pPr>
              <w:rPr>
                <w:b/>
                <w:bCs/>
                <w:color w:val="000000"/>
                <w:sz w:val="16"/>
                <w:szCs w:val="16"/>
              </w:rPr>
            </w:pPr>
          </w:p>
        </w:tc>
        <w:tc>
          <w:tcPr>
            <w:tcW w:w="433" w:type="pct"/>
            <w:vMerge/>
            <w:vAlign w:val="center"/>
            <w:hideMark/>
          </w:tcPr>
          <w:p w:rsidR="00C65E56" w:rsidRPr="00C65E56" w:rsidRDefault="00C65E56" w:rsidP="00C65E56">
            <w:pPr>
              <w:rPr>
                <w:b/>
                <w:bCs/>
                <w:color w:val="000000"/>
                <w:sz w:val="16"/>
                <w:szCs w:val="16"/>
              </w:rPr>
            </w:pPr>
          </w:p>
        </w:tc>
        <w:tc>
          <w:tcPr>
            <w:tcW w:w="866" w:type="pct"/>
            <w:gridSpan w:val="2"/>
            <w:vMerge/>
            <w:vAlign w:val="center"/>
            <w:hideMark/>
          </w:tcPr>
          <w:p w:rsidR="00C65E56" w:rsidRPr="00C65E56" w:rsidRDefault="00C65E56" w:rsidP="00C65E56">
            <w:pPr>
              <w:rPr>
                <w:b/>
                <w:bCs/>
                <w:color w:val="000000"/>
                <w:sz w:val="16"/>
                <w:szCs w:val="16"/>
              </w:rPr>
            </w:pPr>
          </w:p>
        </w:tc>
        <w:tc>
          <w:tcPr>
            <w:tcW w:w="433" w:type="pct"/>
            <w:vMerge/>
            <w:vAlign w:val="center"/>
            <w:hideMark/>
          </w:tcPr>
          <w:p w:rsidR="00C65E56" w:rsidRPr="00C65E56" w:rsidRDefault="00C65E56" w:rsidP="00C65E56">
            <w:pPr>
              <w:rPr>
                <w:b/>
                <w:bCs/>
                <w:color w:val="000000"/>
                <w:sz w:val="16"/>
                <w:szCs w:val="16"/>
              </w:rPr>
            </w:pPr>
          </w:p>
        </w:tc>
        <w:tc>
          <w:tcPr>
            <w:tcW w:w="433" w:type="pct"/>
            <w:vMerge/>
            <w:vAlign w:val="center"/>
            <w:hideMark/>
          </w:tcPr>
          <w:p w:rsidR="00C65E56" w:rsidRPr="00C65E56" w:rsidRDefault="00C65E56" w:rsidP="00C65E56">
            <w:pPr>
              <w:rPr>
                <w:b/>
                <w:bCs/>
                <w:color w:val="000000"/>
                <w:sz w:val="16"/>
                <w:szCs w:val="16"/>
              </w:rPr>
            </w:pPr>
          </w:p>
        </w:tc>
        <w:tc>
          <w:tcPr>
            <w:tcW w:w="523" w:type="pct"/>
            <w:vMerge/>
            <w:vAlign w:val="center"/>
            <w:hideMark/>
          </w:tcPr>
          <w:p w:rsidR="00C65E56" w:rsidRPr="00C65E56" w:rsidRDefault="00C65E56" w:rsidP="00C65E56">
            <w:pPr>
              <w:rPr>
                <w:b/>
                <w:bCs/>
                <w:color w:val="000000"/>
                <w:sz w:val="16"/>
                <w:szCs w:val="16"/>
              </w:rPr>
            </w:pPr>
          </w:p>
        </w:tc>
        <w:tc>
          <w:tcPr>
            <w:tcW w:w="939" w:type="pct"/>
            <w:gridSpan w:val="2"/>
            <w:vMerge/>
            <w:vAlign w:val="center"/>
            <w:hideMark/>
          </w:tcPr>
          <w:p w:rsidR="00C65E56" w:rsidRPr="00C65E56" w:rsidRDefault="00C65E56" w:rsidP="00C65E56">
            <w:pPr>
              <w:rPr>
                <w:b/>
                <w:bCs/>
                <w:color w:val="000000"/>
                <w:sz w:val="16"/>
                <w:szCs w:val="16"/>
              </w:rPr>
            </w:pPr>
          </w:p>
        </w:tc>
        <w:tc>
          <w:tcPr>
            <w:tcW w:w="939" w:type="pct"/>
            <w:gridSpan w:val="2"/>
            <w:vMerge/>
            <w:vAlign w:val="center"/>
            <w:hideMark/>
          </w:tcPr>
          <w:p w:rsidR="00C65E56" w:rsidRPr="00C65E56" w:rsidRDefault="00C65E56" w:rsidP="00C65E56">
            <w:pPr>
              <w:rPr>
                <w:b/>
                <w:bCs/>
                <w:color w:val="000000"/>
                <w:sz w:val="16"/>
                <w:szCs w:val="16"/>
              </w:rPr>
            </w:pPr>
          </w:p>
        </w:tc>
      </w:tr>
      <w:tr w:rsidR="00C65E56" w:rsidRPr="00C65E56" w:rsidTr="00C65E56">
        <w:trPr>
          <w:trHeight w:val="1065"/>
        </w:trPr>
        <w:tc>
          <w:tcPr>
            <w:tcW w:w="433" w:type="pct"/>
            <w:vMerge/>
            <w:vAlign w:val="center"/>
            <w:hideMark/>
          </w:tcPr>
          <w:p w:rsidR="00C65E56" w:rsidRPr="00C65E56" w:rsidRDefault="00C65E56" w:rsidP="00C65E56">
            <w:pPr>
              <w:rPr>
                <w:b/>
                <w:bCs/>
                <w:color w:val="000000"/>
                <w:sz w:val="16"/>
                <w:szCs w:val="16"/>
              </w:rPr>
            </w:pPr>
          </w:p>
        </w:tc>
        <w:tc>
          <w:tcPr>
            <w:tcW w:w="433" w:type="pct"/>
            <w:vMerge/>
            <w:vAlign w:val="center"/>
            <w:hideMark/>
          </w:tcPr>
          <w:p w:rsidR="00C65E56" w:rsidRPr="00C65E56" w:rsidRDefault="00C65E56" w:rsidP="00C65E56">
            <w:pPr>
              <w:rPr>
                <w:b/>
                <w:bCs/>
                <w:color w:val="000000"/>
                <w:sz w:val="16"/>
                <w:szCs w:val="16"/>
              </w:rPr>
            </w:pPr>
          </w:p>
        </w:tc>
        <w:tc>
          <w:tcPr>
            <w:tcW w:w="472" w:type="pct"/>
            <w:shd w:val="clear" w:color="000000" w:fill="B8CCE4"/>
            <w:vAlign w:val="center"/>
            <w:hideMark/>
          </w:tcPr>
          <w:p w:rsidR="00C65E56" w:rsidRPr="00C65E56" w:rsidRDefault="00C65E56" w:rsidP="00C65E56">
            <w:pPr>
              <w:jc w:val="center"/>
              <w:rPr>
                <w:b/>
                <w:bCs/>
                <w:color w:val="000000"/>
                <w:sz w:val="16"/>
                <w:szCs w:val="16"/>
              </w:rPr>
            </w:pPr>
            <w:r w:rsidRPr="00C65E56">
              <w:rPr>
                <w:b/>
                <w:bCs/>
                <w:color w:val="000000"/>
                <w:sz w:val="16"/>
                <w:szCs w:val="16"/>
              </w:rPr>
              <w:t>Datum zahájení příjmu projektových žádostí</w:t>
            </w:r>
          </w:p>
        </w:tc>
        <w:tc>
          <w:tcPr>
            <w:tcW w:w="394" w:type="pct"/>
            <w:shd w:val="clear" w:color="000000" w:fill="B8CCE4"/>
            <w:vAlign w:val="center"/>
            <w:hideMark/>
          </w:tcPr>
          <w:p w:rsidR="00C65E56" w:rsidRPr="00C65E56" w:rsidRDefault="00C65E56" w:rsidP="00C65E56">
            <w:pPr>
              <w:jc w:val="center"/>
              <w:rPr>
                <w:b/>
                <w:bCs/>
                <w:color w:val="000000"/>
                <w:sz w:val="16"/>
                <w:szCs w:val="16"/>
              </w:rPr>
            </w:pPr>
            <w:r w:rsidRPr="00C65E56">
              <w:rPr>
                <w:b/>
                <w:bCs/>
                <w:color w:val="000000"/>
                <w:sz w:val="16"/>
                <w:szCs w:val="16"/>
              </w:rPr>
              <w:t>Datum ukončení výzvy</w:t>
            </w:r>
          </w:p>
        </w:tc>
        <w:tc>
          <w:tcPr>
            <w:tcW w:w="433" w:type="pct"/>
            <w:vMerge/>
            <w:vAlign w:val="center"/>
            <w:hideMark/>
          </w:tcPr>
          <w:p w:rsidR="00C65E56" w:rsidRPr="00C65E56" w:rsidRDefault="00C65E56" w:rsidP="00C65E56">
            <w:pPr>
              <w:rPr>
                <w:b/>
                <w:bCs/>
                <w:color w:val="000000"/>
                <w:sz w:val="16"/>
                <w:szCs w:val="16"/>
              </w:rPr>
            </w:pPr>
          </w:p>
        </w:tc>
        <w:tc>
          <w:tcPr>
            <w:tcW w:w="433" w:type="pct"/>
            <w:vMerge/>
            <w:vAlign w:val="center"/>
            <w:hideMark/>
          </w:tcPr>
          <w:p w:rsidR="00C65E56" w:rsidRPr="00C65E56" w:rsidRDefault="00C65E56" w:rsidP="00C65E56">
            <w:pPr>
              <w:rPr>
                <w:b/>
                <w:bCs/>
                <w:color w:val="000000"/>
                <w:sz w:val="16"/>
                <w:szCs w:val="16"/>
              </w:rPr>
            </w:pPr>
          </w:p>
        </w:tc>
        <w:tc>
          <w:tcPr>
            <w:tcW w:w="523" w:type="pct"/>
            <w:shd w:val="clear" w:color="000000" w:fill="B8CCE4"/>
            <w:vAlign w:val="center"/>
            <w:hideMark/>
          </w:tcPr>
          <w:p w:rsidR="00C65E56" w:rsidRPr="00C65E56" w:rsidRDefault="00C65E56" w:rsidP="00C65E56">
            <w:pPr>
              <w:jc w:val="center"/>
              <w:rPr>
                <w:b/>
                <w:bCs/>
                <w:color w:val="000000"/>
                <w:sz w:val="16"/>
                <w:szCs w:val="16"/>
              </w:rPr>
            </w:pPr>
            <w:r w:rsidRPr="00C65E56">
              <w:rPr>
                <w:b/>
                <w:bCs/>
                <w:color w:val="000000"/>
                <w:sz w:val="16"/>
                <w:szCs w:val="16"/>
              </w:rPr>
              <w:t xml:space="preserve">v </w:t>
            </w:r>
            <w:proofErr w:type="gramStart"/>
            <w:r w:rsidRPr="00C65E56">
              <w:rPr>
                <w:b/>
                <w:bCs/>
                <w:color w:val="000000"/>
                <w:sz w:val="16"/>
                <w:szCs w:val="16"/>
              </w:rPr>
              <w:t>EUR</w:t>
            </w:r>
            <w:proofErr w:type="gramEnd"/>
          </w:p>
        </w:tc>
        <w:tc>
          <w:tcPr>
            <w:tcW w:w="433" w:type="pct"/>
            <w:shd w:val="clear" w:color="000000" w:fill="B8CCE4"/>
            <w:vAlign w:val="center"/>
            <w:hideMark/>
          </w:tcPr>
          <w:p w:rsidR="00C65E56" w:rsidRPr="00C65E56" w:rsidRDefault="00C65E56" w:rsidP="00C65E56">
            <w:pPr>
              <w:jc w:val="center"/>
              <w:rPr>
                <w:b/>
                <w:bCs/>
                <w:color w:val="000000"/>
                <w:sz w:val="16"/>
                <w:szCs w:val="16"/>
              </w:rPr>
            </w:pPr>
            <w:r w:rsidRPr="00C65E56">
              <w:rPr>
                <w:b/>
                <w:bCs/>
                <w:color w:val="000000"/>
                <w:sz w:val="16"/>
                <w:szCs w:val="16"/>
              </w:rPr>
              <w:t>počet</w:t>
            </w:r>
          </w:p>
        </w:tc>
        <w:tc>
          <w:tcPr>
            <w:tcW w:w="505" w:type="pct"/>
            <w:shd w:val="clear" w:color="000000" w:fill="B8CCE4"/>
            <w:vAlign w:val="center"/>
            <w:hideMark/>
          </w:tcPr>
          <w:p w:rsidR="00C65E56" w:rsidRPr="00C65E56" w:rsidRDefault="00C65E56" w:rsidP="00C65E56">
            <w:pPr>
              <w:jc w:val="center"/>
              <w:rPr>
                <w:b/>
                <w:bCs/>
                <w:color w:val="000000"/>
                <w:sz w:val="16"/>
                <w:szCs w:val="16"/>
              </w:rPr>
            </w:pPr>
            <w:r w:rsidRPr="00C65E56">
              <w:rPr>
                <w:b/>
                <w:bCs/>
                <w:color w:val="000000"/>
                <w:sz w:val="16"/>
                <w:szCs w:val="16"/>
              </w:rPr>
              <w:t xml:space="preserve">v </w:t>
            </w:r>
            <w:proofErr w:type="gramStart"/>
            <w:r w:rsidRPr="00C65E56">
              <w:rPr>
                <w:b/>
                <w:bCs/>
                <w:color w:val="000000"/>
                <w:sz w:val="16"/>
                <w:szCs w:val="16"/>
              </w:rPr>
              <w:t>EUR</w:t>
            </w:r>
            <w:proofErr w:type="gramEnd"/>
          </w:p>
        </w:tc>
        <w:tc>
          <w:tcPr>
            <w:tcW w:w="324" w:type="pct"/>
            <w:shd w:val="clear" w:color="000000" w:fill="B8CCE4"/>
            <w:noWrap/>
            <w:vAlign w:val="center"/>
            <w:hideMark/>
          </w:tcPr>
          <w:p w:rsidR="00C65E56" w:rsidRPr="00C65E56" w:rsidRDefault="00C65E56" w:rsidP="00C65E56">
            <w:pPr>
              <w:jc w:val="center"/>
              <w:rPr>
                <w:b/>
                <w:bCs/>
                <w:color w:val="000000"/>
                <w:sz w:val="16"/>
                <w:szCs w:val="16"/>
              </w:rPr>
            </w:pPr>
            <w:r w:rsidRPr="00C65E56">
              <w:rPr>
                <w:b/>
                <w:bCs/>
                <w:color w:val="000000"/>
                <w:sz w:val="16"/>
                <w:szCs w:val="16"/>
              </w:rPr>
              <w:t xml:space="preserve">počet </w:t>
            </w:r>
          </w:p>
        </w:tc>
        <w:tc>
          <w:tcPr>
            <w:tcW w:w="615" w:type="pct"/>
            <w:shd w:val="clear" w:color="000000" w:fill="B8CCE4"/>
            <w:noWrap/>
            <w:vAlign w:val="center"/>
            <w:hideMark/>
          </w:tcPr>
          <w:p w:rsidR="00C65E56" w:rsidRPr="00C65E56" w:rsidRDefault="00C65E56" w:rsidP="00C65E56">
            <w:pPr>
              <w:jc w:val="center"/>
              <w:rPr>
                <w:b/>
                <w:bCs/>
                <w:color w:val="000000"/>
                <w:sz w:val="16"/>
                <w:szCs w:val="16"/>
              </w:rPr>
            </w:pPr>
            <w:r w:rsidRPr="00C65E56">
              <w:rPr>
                <w:b/>
                <w:bCs/>
                <w:color w:val="000000"/>
                <w:sz w:val="16"/>
                <w:szCs w:val="16"/>
              </w:rPr>
              <w:t xml:space="preserve">v </w:t>
            </w:r>
            <w:proofErr w:type="gramStart"/>
            <w:r w:rsidRPr="00C65E56">
              <w:rPr>
                <w:b/>
                <w:bCs/>
                <w:color w:val="000000"/>
                <w:sz w:val="16"/>
                <w:szCs w:val="16"/>
              </w:rPr>
              <w:t>EUR</w:t>
            </w:r>
            <w:proofErr w:type="gramEnd"/>
          </w:p>
        </w:tc>
      </w:tr>
      <w:tr w:rsidR="00C65E56" w:rsidRPr="00C65E56" w:rsidTr="00C65E56">
        <w:trPr>
          <w:trHeight w:val="315"/>
        </w:trPr>
        <w:tc>
          <w:tcPr>
            <w:tcW w:w="433" w:type="pct"/>
            <w:shd w:val="clear" w:color="000000" w:fill="FFFFFF"/>
            <w:noWrap/>
            <w:vAlign w:val="center"/>
            <w:hideMark/>
          </w:tcPr>
          <w:p w:rsidR="00C65E56" w:rsidRPr="00C65E56" w:rsidRDefault="00C65E56" w:rsidP="00C65E56">
            <w:pPr>
              <w:jc w:val="right"/>
              <w:rPr>
                <w:color w:val="000000"/>
                <w:sz w:val="16"/>
                <w:szCs w:val="16"/>
              </w:rPr>
            </w:pPr>
            <w:r w:rsidRPr="00C65E56">
              <w:rPr>
                <w:color w:val="000000"/>
                <w:sz w:val="16"/>
                <w:szCs w:val="16"/>
              </w:rPr>
              <w:t>5</w:t>
            </w:r>
          </w:p>
        </w:tc>
        <w:tc>
          <w:tcPr>
            <w:tcW w:w="433" w:type="pct"/>
            <w:shd w:val="clear" w:color="000000" w:fill="FFFFFF"/>
            <w:noWrap/>
            <w:vAlign w:val="center"/>
            <w:hideMark/>
          </w:tcPr>
          <w:p w:rsidR="00C65E56" w:rsidRPr="00C65E56" w:rsidRDefault="00C65E56" w:rsidP="00C65E56">
            <w:pPr>
              <w:jc w:val="right"/>
              <w:rPr>
                <w:color w:val="000000"/>
                <w:sz w:val="16"/>
                <w:szCs w:val="16"/>
              </w:rPr>
            </w:pPr>
            <w:r w:rsidRPr="00C65E56">
              <w:rPr>
                <w:color w:val="000000"/>
                <w:sz w:val="16"/>
                <w:szCs w:val="16"/>
              </w:rPr>
              <w:t>01</w:t>
            </w:r>
          </w:p>
        </w:tc>
        <w:tc>
          <w:tcPr>
            <w:tcW w:w="472" w:type="pct"/>
            <w:shd w:val="clear" w:color="000000" w:fill="FFFFFF"/>
            <w:vAlign w:val="center"/>
            <w:hideMark/>
          </w:tcPr>
          <w:p w:rsidR="00C65E56" w:rsidRPr="00C65E56" w:rsidRDefault="00F77AD7" w:rsidP="00C65E56">
            <w:pPr>
              <w:jc w:val="right"/>
              <w:rPr>
                <w:color w:val="000000"/>
                <w:sz w:val="16"/>
                <w:szCs w:val="16"/>
              </w:rPr>
            </w:pPr>
            <w:r w:rsidRPr="00C65E56">
              <w:rPr>
                <w:color w:val="000000"/>
                <w:sz w:val="16"/>
                <w:szCs w:val="16"/>
              </w:rPr>
              <w:t>5. 6. 2008</w:t>
            </w:r>
          </w:p>
        </w:tc>
        <w:tc>
          <w:tcPr>
            <w:tcW w:w="394" w:type="pct"/>
            <w:shd w:val="clear" w:color="000000" w:fill="FFFFFF"/>
            <w:vAlign w:val="center"/>
            <w:hideMark/>
          </w:tcPr>
          <w:p w:rsidR="00C65E56" w:rsidRPr="00C65E56" w:rsidRDefault="00C65E56" w:rsidP="00C65E56">
            <w:pPr>
              <w:jc w:val="right"/>
              <w:rPr>
                <w:color w:val="000000"/>
                <w:sz w:val="16"/>
                <w:szCs w:val="16"/>
              </w:rPr>
            </w:pPr>
            <w:proofErr w:type="gramStart"/>
            <w:r w:rsidRPr="00C65E56">
              <w:rPr>
                <w:color w:val="000000"/>
                <w:sz w:val="16"/>
                <w:szCs w:val="16"/>
              </w:rPr>
              <w:t>30.10.2015</w:t>
            </w:r>
            <w:proofErr w:type="gramEnd"/>
          </w:p>
        </w:tc>
        <w:tc>
          <w:tcPr>
            <w:tcW w:w="433" w:type="pct"/>
            <w:shd w:val="clear" w:color="000000" w:fill="FFFFFF"/>
            <w:noWrap/>
            <w:vAlign w:val="center"/>
            <w:hideMark/>
          </w:tcPr>
          <w:p w:rsidR="00C65E56" w:rsidRPr="00C65E56" w:rsidRDefault="00C65E56" w:rsidP="00C65E56">
            <w:pPr>
              <w:rPr>
                <w:color w:val="000000"/>
                <w:sz w:val="16"/>
                <w:szCs w:val="16"/>
              </w:rPr>
            </w:pPr>
            <w:r w:rsidRPr="00C65E56">
              <w:rPr>
                <w:color w:val="000000"/>
                <w:sz w:val="16"/>
                <w:szCs w:val="16"/>
              </w:rPr>
              <w:t>kontinuální</w:t>
            </w:r>
          </w:p>
        </w:tc>
        <w:tc>
          <w:tcPr>
            <w:tcW w:w="433" w:type="pct"/>
            <w:shd w:val="clear" w:color="000000" w:fill="FFFFFF"/>
            <w:noWrap/>
            <w:vAlign w:val="center"/>
            <w:hideMark/>
          </w:tcPr>
          <w:p w:rsidR="00C65E56" w:rsidRPr="00C65E56" w:rsidRDefault="00C65E56" w:rsidP="00C65E56">
            <w:pPr>
              <w:jc w:val="center"/>
              <w:rPr>
                <w:color w:val="000000"/>
                <w:sz w:val="16"/>
                <w:szCs w:val="16"/>
              </w:rPr>
            </w:pPr>
            <w:r w:rsidRPr="00C65E56">
              <w:rPr>
                <w:color w:val="000000"/>
                <w:sz w:val="16"/>
                <w:szCs w:val="16"/>
              </w:rPr>
              <w:t>6.1</w:t>
            </w:r>
          </w:p>
        </w:tc>
        <w:tc>
          <w:tcPr>
            <w:tcW w:w="523" w:type="pct"/>
            <w:shd w:val="clear" w:color="000000" w:fill="FFFFFF"/>
            <w:noWrap/>
            <w:vAlign w:val="center"/>
            <w:hideMark/>
          </w:tcPr>
          <w:p w:rsidR="00C65E56" w:rsidRPr="00C65E56" w:rsidRDefault="00C65E56" w:rsidP="00C65E56">
            <w:pPr>
              <w:jc w:val="right"/>
              <w:rPr>
                <w:color w:val="000000"/>
                <w:sz w:val="16"/>
                <w:szCs w:val="16"/>
              </w:rPr>
            </w:pPr>
            <w:r w:rsidRPr="00C65E56">
              <w:rPr>
                <w:color w:val="000000"/>
                <w:sz w:val="16"/>
                <w:szCs w:val="16"/>
              </w:rPr>
              <w:t>29 449 400</w:t>
            </w:r>
          </w:p>
        </w:tc>
        <w:tc>
          <w:tcPr>
            <w:tcW w:w="433" w:type="pct"/>
            <w:shd w:val="clear" w:color="000000" w:fill="FFFFFF"/>
            <w:noWrap/>
            <w:vAlign w:val="center"/>
            <w:hideMark/>
          </w:tcPr>
          <w:p w:rsidR="00C65E56" w:rsidRPr="00C65E56" w:rsidRDefault="00C65E56" w:rsidP="00C65E56">
            <w:pPr>
              <w:jc w:val="right"/>
              <w:rPr>
                <w:color w:val="000000"/>
                <w:sz w:val="16"/>
                <w:szCs w:val="16"/>
              </w:rPr>
            </w:pPr>
            <w:r w:rsidRPr="00C65E56">
              <w:rPr>
                <w:color w:val="000000"/>
                <w:sz w:val="16"/>
                <w:szCs w:val="16"/>
              </w:rPr>
              <w:t>55</w:t>
            </w:r>
          </w:p>
        </w:tc>
        <w:tc>
          <w:tcPr>
            <w:tcW w:w="505" w:type="pct"/>
            <w:shd w:val="clear" w:color="000000" w:fill="FFFFFF"/>
            <w:noWrap/>
            <w:vAlign w:val="center"/>
            <w:hideMark/>
          </w:tcPr>
          <w:p w:rsidR="00C65E56" w:rsidRPr="00C65E56" w:rsidRDefault="00C65E56" w:rsidP="00C65E56">
            <w:pPr>
              <w:jc w:val="right"/>
              <w:rPr>
                <w:color w:val="000000"/>
                <w:sz w:val="16"/>
                <w:szCs w:val="16"/>
              </w:rPr>
            </w:pPr>
            <w:r w:rsidRPr="00C65E56">
              <w:rPr>
                <w:color w:val="000000"/>
                <w:sz w:val="16"/>
                <w:szCs w:val="16"/>
              </w:rPr>
              <w:t>54 706 339</w:t>
            </w:r>
          </w:p>
        </w:tc>
        <w:tc>
          <w:tcPr>
            <w:tcW w:w="324" w:type="pct"/>
            <w:shd w:val="clear" w:color="000000" w:fill="FFFFFF"/>
            <w:noWrap/>
            <w:vAlign w:val="center"/>
            <w:hideMark/>
          </w:tcPr>
          <w:p w:rsidR="00C65E56" w:rsidRPr="00C65E56" w:rsidRDefault="00C65E56" w:rsidP="00C65E56">
            <w:pPr>
              <w:jc w:val="right"/>
              <w:rPr>
                <w:color w:val="000000"/>
                <w:sz w:val="16"/>
                <w:szCs w:val="16"/>
              </w:rPr>
            </w:pPr>
            <w:r w:rsidRPr="00C65E56">
              <w:rPr>
                <w:color w:val="000000"/>
                <w:sz w:val="16"/>
                <w:szCs w:val="16"/>
              </w:rPr>
              <w:t>53</w:t>
            </w:r>
          </w:p>
        </w:tc>
        <w:tc>
          <w:tcPr>
            <w:tcW w:w="615" w:type="pct"/>
            <w:shd w:val="clear" w:color="000000" w:fill="FFFFFF"/>
            <w:noWrap/>
            <w:vAlign w:val="center"/>
            <w:hideMark/>
          </w:tcPr>
          <w:p w:rsidR="00C65E56" w:rsidRPr="00C65E56" w:rsidRDefault="00C65E56" w:rsidP="00C65E56">
            <w:pPr>
              <w:jc w:val="right"/>
              <w:rPr>
                <w:color w:val="000000"/>
                <w:sz w:val="16"/>
                <w:szCs w:val="16"/>
              </w:rPr>
            </w:pPr>
            <w:r w:rsidRPr="00C65E56">
              <w:rPr>
                <w:color w:val="000000"/>
                <w:sz w:val="16"/>
                <w:szCs w:val="16"/>
              </w:rPr>
              <w:t>46</w:t>
            </w:r>
            <w:r w:rsidR="00E72897">
              <w:rPr>
                <w:color w:val="000000"/>
                <w:sz w:val="16"/>
                <w:szCs w:val="16"/>
              </w:rPr>
              <w:t xml:space="preserve"> </w:t>
            </w:r>
            <w:r w:rsidRPr="00C65E56">
              <w:rPr>
                <w:color w:val="000000"/>
                <w:sz w:val="16"/>
                <w:szCs w:val="16"/>
              </w:rPr>
              <w:t>719</w:t>
            </w:r>
            <w:r w:rsidR="00E72897">
              <w:rPr>
                <w:color w:val="000000"/>
                <w:sz w:val="16"/>
                <w:szCs w:val="16"/>
              </w:rPr>
              <w:t xml:space="preserve"> </w:t>
            </w:r>
            <w:r w:rsidRPr="00C65E56">
              <w:rPr>
                <w:color w:val="000000"/>
                <w:sz w:val="16"/>
                <w:szCs w:val="16"/>
              </w:rPr>
              <w:t>820</w:t>
            </w:r>
          </w:p>
        </w:tc>
      </w:tr>
      <w:tr w:rsidR="00C65E56" w:rsidRPr="00C65E56" w:rsidTr="00C65E56">
        <w:trPr>
          <w:trHeight w:val="315"/>
        </w:trPr>
        <w:tc>
          <w:tcPr>
            <w:tcW w:w="433" w:type="pct"/>
            <w:shd w:val="clear" w:color="000000" w:fill="FFFFFF"/>
            <w:noWrap/>
            <w:vAlign w:val="center"/>
            <w:hideMark/>
          </w:tcPr>
          <w:p w:rsidR="00C65E56" w:rsidRPr="00C65E56" w:rsidRDefault="00C65E56" w:rsidP="00C65E56">
            <w:pPr>
              <w:jc w:val="right"/>
              <w:rPr>
                <w:color w:val="000000"/>
                <w:sz w:val="16"/>
                <w:szCs w:val="16"/>
              </w:rPr>
            </w:pPr>
            <w:r w:rsidRPr="00C65E56">
              <w:rPr>
                <w:color w:val="000000"/>
                <w:sz w:val="16"/>
                <w:szCs w:val="16"/>
              </w:rPr>
              <w:t>5</w:t>
            </w:r>
          </w:p>
        </w:tc>
        <w:tc>
          <w:tcPr>
            <w:tcW w:w="433" w:type="pct"/>
            <w:shd w:val="clear" w:color="000000" w:fill="FFFFFF"/>
            <w:noWrap/>
            <w:vAlign w:val="center"/>
            <w:hideMark/>
          </w:tcPr>
          <w:p w:rsidR="00C65E56" w:rsidRPr="00C65E56" w:rsidRDefault="00C65E56" w:rsidP="00C65E56">
            <w:pPr>
              <w:jc w:val="right"/>
              <w:rPr>
                <w:color w:val="000000"/>
                <w:sz w:val="16"/>
                <w:szCs w:val="16"/>
              </w:rPr>
            </w:pPr>
            <w:r w:rsidRPr="00C65E56">
              <w:rPr>
                <w:color w:val="000000"/>
                <w:sz w:val="16"/>
                <w:szCs w:val="16"/>
              </w:rPr>
              <w:t>01</w:t>
            </w:r>
          </w:p>
        </w:tc>
        <w:tc>
          <w:tcPr>
            <w:tcW w:w="472" w:type="pct"/>
            <w:shd w:val="clear" w:color="000000" w:fill="FFFFFF"/>
            <w:vAlign w:val="center"/>
            <w:hideMark/>
          </w:tcPr>
          <w:p w:rsidR="00C65E56" w:rsidRPr="00C65E56" w:rsidRDefault="00F77AD7" w:rsidP="00C65E56">
            <w:pPr>
              <w:jc w:val="right"/>
              <w:rPr>
                <w:color w:val="000000"/>
                <w:sz w:val="16"/>
                <w:szCs w:val="16"/>
              </w:rPr>
            </w:pPr>
            <w:r w:rsidRPr="00C65E56">
              <w:rPr>
                <w:color w:val="000000"/>
                <w:sz w:val="16"/>
                <w:szCs w:val="16"/>
              </w:rPr>
              <w:t>5. 6. 2008</w:t>
            </w:r>
          </w:p>
        </w:tc>
        <w:tc>
          <w:tcPr>
            <w:tcW w:w="394" w:type="pct"/>
            <w:shd w:val="clear" w:color="000000" w:fill="FFFFFF"/>
            <w:vAlign w:val="center"/>
            <w:hideMark/>
          </w:tcPr>
          <w:p w:rsidR="00C65E56" w:rsidRPr="00C65E56" w:rsidRDefault="00C65E56" w:rsidP="00C65E56">
            <w:pPr>
              <w:jc w:val="right"/>
              <w:rPr>
                <w:color w:val="000000"/>
                <w:sz w:val="16"/>
                <w:szCs w:val="16"/>
              </w:rPr>
            </w:pPr>
            <w:proofErr w:type="gramStart"/>
            <w:r w:rsidRPr="00C65E56">
              <w:rPr>
                <w:color w:val="000000"/>
                <w:sz w:val="16"/>
                <w:szCs w:val="16"/>
              </w:rPr>
              <w:t>30.10.2015</w:t>
            </w:r>
            <w:proofErr w:type="gramEnd"/>
          </w:p>
        </w:tc>
        <w:tc>
          <w:tcPr>
            <w:tcW w:w="433" w:type="pct"/>
            <w:shd w:val="clear" w:color="000000" w:fill="FFFFFF"/>
            <w:noWrap/>
            <w:vAlign w:val="center"/>
            <w:hideMark/>
          </w:tcPr>
          <w:p w:rsidR="00C65E56" w:rsidRPr="00C65E56" w:rsidRDefault="00C65E56" w:rsidP="00C65E56">
            <w:pPr>
              <w:rPr>
                <w:color w:val="000000"/>
                <w:sz w:val="16"/>
                <w:szCs w:val="16"/>
              </w:rPr>
            </w:pPr>
            <w:r w:rsidRPr="00C65E56">
              <w:rPr>
                <w:color w:val="000000"/>
                <w:sz w:val="16"/>
                <w:szCs w:val="16"/>
              </w:rPr>
              <w:t> </w:t>
            </w:r>
          </w:p>
        </w:tc>
        <w:tc>
          <w:tcPr>
            <w:tcW w:w="433" w:type="pct"/>
            <w:shd w:val="clear" w:color="000000" w:fill="FFFFFF"/>
            <w:noWrap/>
            <w:vAlign w:val="center"/>
            <w:hideMark/>
          </w:tcPr>
          <w:p w:rsidR="00C65E56" w:rsidRPr="00C65E56" w:rsidRDefault="00C65E56" w:rsidP="00C65E56">
            <w:pPr>
              <w:jc w:val="center"/>
              <w:rPr>
                <w:color w:val="000000"/>
                <w:sz w:val="16"/>
                <w:szCs w:val="16"/>
              </w:rPr>
            </w:pPr>
            <w:r w:rsidRPr="00C65E56">
              <w:rPr>
                <w:color w:val="000000"/>
                <w:sz w:val="16"/>
                <w:szCs w:val="16"/>
              </w:rPr>
              <w:t> </w:t>
            </w:r>
          </w:p>
        </w:tc>
        <w:tc>
          <w:tcPr>
            <w:tcW w:w="523" w:type="pct"/>
            <w:shd w:val="clear" w:color="000000" w:fill="FFFFFF"/>
            <w:noWrap/>
            <w:vAlign w:val="center"/>
            <w:hideMark/>
          </w:tcPr>
          <w:p w:rsidR="00C65E56" w:rsidRPr="00C65E56" w:rsidRDefault="00C65E56" w:rsidP="00C65E56">
            <w:pPr>
              <w:jc w:val="right"/>
              <w:rPr>
                <w:color w:val="000000"/>
                <w:sz w:val="16"/>
                <w:szCs w:val="16"/>
              </w:rPr>
            </w:pPr>
            <w:r w:rsidRPr="00C65E56">
              <w:rPr>
                <w:color w:val="000000"/>
                <w:sz w:val="16"/>
                <w:szCs w:val="16"/>
              </w:rPr>
              <w:t>541 481</w:t>
            </w:r>
          </w:p>
        </w:tc>
        <w:tc>
          <w:tcPr>
            <w:tcW w:w="433" w:type="pct"/>
            <w:shd w:val="clear" w:color="000000" w:fill="FFFFFF"/>
            <w:noWrap/>
            <w:vAlign w:val="center"/>
            <w:hideMark/>
          </w:tcPr>
          <w:p w:rsidR="00C65E56" w:rsidRPr="00C65E56" w:rsidRDefault="00C65E56" w:rsidP="00C65E56">
            <w:pPr>
              <w:jc w:val="right"/>
              <w:rPr>
                <w:color w:val="000000"/>
                <w:sz w:val="16"/>
                <w:szCs w:val="16"/>
              </w:rPr>
            </w:pPr>
            <w:r w:rsidRPr="00C65E56">
              <w:rPr>
                <w:color w:val="000000"/>
                <w:sz w:val="16"/>
                <w:szCs w:val="16"/>
              </w:rPr>
              <w:t>0</w:t>
            </w:r>
          </w:p>
        </w:tc>
        <w:tc>
          <w:tcPr>
            <w:tcW w:w="505" w:type="pct"/>
            <w:shd w:val="clear" w:color="000000" w:fill="FFFFFF"/>
            <w:noWrap/>
            <w:vAlign w:val="center"/>
            <w:hideMark/>
          </w:tcPr>
          <w:p w:rsidR="00C65E56" w:rsidRPr="00C65E56" w:rsidRDefault="00C65E56" w:rsidP="00C65E56">
            <w:pPr>
              <w:jc w:val="right"/>
              <w:rPr>
                <w:color w:val="000000"/>
                <w:sz w:val="16"/>
                <w:szCs w:val="16"/>
              </w:rPr>
            </w:pPr>
            <w:r w:rsidRPr="00C65E56">
              <w:rPr>
                <w:color w:val="000000"/>
                <w:sz w:val="16"/>
                <w:szCs w:val="16"/>
              </w:rPr>
              <w:t>1 005 759</w:t>
            </w:r>
          </w:p>
        </w:tc>
        <w:tc>
          <w:tcPr>
            <w:tcW w:w="324" w:type="pct"/>
            <w:shd w:val="clear" w:color="000000" w:fill="FFFFFF"/>
            <w:noWrap/>
            <w:vAlign w:val="center"/>
            <w:hideMark/>
          </w:tcPr>
          <w:p w:rsidR="00C65E56" w:rsidRPr="00C65E56" w:rsidRDefault="00C65E56" w:rsidP="00C65E56">
            <w:pPr>
              <w:jc w:val="right"/>
              <w:rPr>
                <w:color w:val="000000"/>
                <w:sz w:val="16"/>
                <w:szCs w:val="16"/>
              </w:rPr>
            </w:pPr>
            <w:r w:rsidRPr="00C65E56">
              <w:rPr>
                <w:color w:val="000000"/>
                <w:sz w:val="16"/>
                <w:szCs w:val="16"/>
              </w:rPr>
              <w:t>0</w:t>
            </w:r>
          </w:p>
        </w:tc>
        <w:tc>
          <w:tcPr>
            <w:tcW w:w="615" w:type="pct"/>
            <w:shd w:val="clear" w:color="000000" w:fill="FFFFFF"/>
            <w:noWrap/>
            <w:vAlign w:val="center"/>
            <w:hideMark/>
          </w:tcPr>
          <w:p w:rsidR="00C65E56" w:rsidRPr="00C65E56" w:rsidRDefault="00C65E56" w:rsidP="00C65E56">
            <w:pPr>
              <w:jc w:val="right"/>
              <w:rPr>
                <w:color w:val="000000"/>
                <w:sz w:val="16"/>
                <w:szCs w:val="16"/>
              </w:rPr>
            </w:pPr>
            <w:r w:rsidRPr="00C65E56">
              <w:rPr>
                <w:color w:val="000000"/>
                <w:sz w:val="16"/>
                <w:szCs w:val="16"/>
              </w:rPr>
              <w:t>858 930</w:t>
            </w:r>
          </w:p>
        </w:tc>
      </w:tr>
      <w:tr w:rsidR="00C65E56" w:rsidRPr="00C65E56" w:rsidTr="00C65E56">
        <w:trPr>
          <w:trHeight w:val="315"/>
        </w:trPr>
        <w:tc>
          <w:tcPr>
            <w:tcW w:w="433" w:type="pct"/>
            <w:shd w:val="clear" w:color="000000" w:fill="DCE6F1"/>
            <w:noWrap/>
            <w:vAlign w:val="center"/>
            <w:hideMark/>
          </w:tcPr>
          <w:p w:rsidR="00C65E56" w:rsidRPr="00C65E56" w:rsidRDefault="00C65E56" w:rsidP="00C65E56">
            <w:pPr>
              <w:jc w:val="right"/>
              <w:rPr>
                <w:color w:val="000000"/>
                <w:sz w:val="16"/>
                <w:szCs w:val="16"/>
              </w:rPr>
            </w:pPr>
            <w:r w:rsidRPr="00C65E56">
              <w:rPr>
                <w:color w:val="000000"/>
                <w:sz w:val="16"/>
                <w:szCs w:val="16"/>
              </w:rPr>
              <w:t> </w:t>
            </w:r>
          </w:p>
        </w:tc>
        <w:tc>
          <w:tcPr>
            <w:tcW w:w="433" w:type="pct"/>
            <w:shd w:val="clear" w:color="000000" w:fill="DCE6F1"/>
            <w:noWrap/>
            <w:vAlign w:val="center"/>
            <w:hideMark/>
          </w:tcPr>
          <w:p w:rsidR="00C65E56" w:rsidRPr="00C65E56" w:rsidRDefault="00C65E56" w:rsidP="00C65E56">
            <w:pPr>
              <w:jc w:val="right"/>
              <w:rPr>
                <w:color w:val="000000"/>
                <w:sz w:val="16"/>
                <w:szCs w:val="16"/>
              </w:rPr>
            </w:pPr>
            <w:r w:rsidRPr="00C65E56">
              <w:rPr>
                <w:color w:val="000000"/>
                <w:sz w:val="16"/>
                <w:szCs w:val="16"/>
              </w:rPr>
              <w:t> </w:t>
            </w:r>
          </w:p>
        </w:tc>
        <w:tc>
          <w:tcPr>
            <w:tcW w:w="472" w:type="pct"/>
            <w:shd w:val="clear" w:color="000000" w:fill="DCE6F1"/>
            <w:vAlign w:val="center"/>
            <w:hideMark/>
          </w:tcPr>
          <w:p w:rsidR="00C65E56" w:rsidRPr="00C65E56" w:rsidRDefault="00C65E56" w:rsidP="00C65E56">
            <w:pPr>
              <w:jc w:val="right"/>
              <w:rPr>
                <w:color w:val="000000"/>
                <w:sz w:val="16"/>
                <w:szCs w:val="16"/>
              </w:rPr>
            </w:pPr>
            <w:r w:rsidRPr="00C65E56">
              <w:rPr>
                <w:color w:val="000000"/>
                <w:sz w:val="16"/>
                <w:szCs w:val="16"/>
              </w:rPr>
              <w:t> </w:t>
            </w:r>
          </w:p>
        </w:tc>
        <w:tc>
          <w:tcPr>
            <w:tcW w:w="394" w:type="pct"/>
            <w:shd w:val="clear" w:color="000000" w:fill="DCE6F1"/>
            <w:vAlign w:val="center"/>
            <w:hideMark/>
          </w:tcPr>
          <w:p w:rsidR="00C65E56" w:rsidRPr="00C65E56" w:rsidRDefault="00C65E56" w:rsidP="00C65E56">
            <w:pPr>
              <w:jc w:val="right"/>
              <w:rPr>
                <w:color w:val="000000"/>
                <w:sz w:val="16"/>
                <w:szCs w:val="16"/>
              </w:rPr>
            </w:pPr>
            <w:r w:rsidRPr="00C65E56">
              <w:rPr>
                <w:color w:val="000000"/>
                <w:sz w:val="16"/>
                <w:szCs w:val="16"/>
              </w:rPr>
              <w:t> </w:t>
            </w:r>
          </w:p>
        </w:tc>
        <w:tc>
          <w:tcPr>
            <w:tcW w:w="866" w:type="pct"/>
            <w:gridSpan w:val="2"/>
            <w:shd w:val="clear" w:color="000000" w:fill="DCE6F1"/>
            <w:noWrap/>
            <w:vAlign w:val="center"/>
            <w:hideMark/>
          </w:tcPr>
          <w:p w:rsidR="00C65E56" w:rsidRPr="00C65E56" w:rsidRDefault="00C65E56" w:rsidP="00C65E56">
            <w:pPr>
              <w:jc w:val="center"/>
              <w:rPr>
                <w:color w:val="000000"/>
                <w:sz w:val="16"/>
                <w:szCs w:val="16"/>
              </w:rPr>
            </w:pPr>
            <w:r w:rsidRPr="00C65E56">
              <w:rPr>
                <w:color w:val="000000"/>
                <w:sz w:val="16"/>
                <w:szCs w:val="16"/>
              </w:rPr>
              <w:t>celkem výzva</w:t>
            </w:r>
          </w:p>
        </w:tc>
        <w:tc>
          <w:tcPr>
            <w:tcW w:w="523" w:type="pct"/>
            <w:shd w:val="clear" w:color="000000" w:fill="DCE6F1"/>
            <w:noWrap/>
            <w:vAlign w:val="center"/>
            <w:hideMark/>
          </w:tcPr>
          <w:p w:rsidR="00C65E56" w:rsidRPr="00C65E56" w:rsidRDefault="00C65E56" w:rsidP="00C65E56">
            <w:pPr>
              <w:jc w:val="right"/>
              <w:rPr>
                <w:color w:val="000000"/>
                <w:sz w:val="16"/>
                <w:szCs w:val="16"/>
              </w:rPr>
            </w:pPr>
            <w:r w:rsidRPr="00C65E56">
              <w:rPr>
                <w:color w:val="000000"/>
                <w:sz w:val="16"/>
                <w:szCs w:val="16"/>
              </w:rPr>
              <w:t>29 990 881</w:t>
            </w:r>
          </w:p>
        </w:tc>
        <w:tc>
          <w:tcPr>
            <w:tcW w:w="433" w:type="pct"/>
            <w:shd w:val="clear" w:color="000000" w:fill="DCE6F1"/>
            <w:noWrap/>
            <w:vAlign w:val="center"/>
            <w:hideMark/>
          </w:tcPr>
          <w:p w:rsidR="00C65E56" w:rsidRPr="00C65E56" w:rsidRDefault="00C65E56" w:rsidP="00C65E56">
            <w:pPr>
              <w:jc w:val="right"/>
              <w:rPr>
                <w:color w:val="000000"/>
                <w:sz w:val="16"/>
                <w:szCs w:val="16"/>
              </w:rPr>
            </w:pPr>
            <w:r w:rsidRPr="00C65E56">
              <w:rPr>
                <w:color w:val="000000"/>
                <w:sz w:val="16"/>
                <w:szCs w:val="16"/>
              </w:rPr>
              <w:t>55</w:t>
            </w:r>
          </w:p>
        </w:tc>
        <w:tc>
          <w:tcPr>
            <w:tcW w:w="505" w:type="pct"/>
            <w:shd w:val="clear" w:color="000000" w:fill="DCE6F1"/>
            <w:noWrap/>
            <w:vAlign w:val="center"/>
            <w:hideMark/>
          </w:tcPr>
          <w:p w:rsidR="00C65E56" w:rsidRPr="00C65E56" w:rsidRDefault="00C65E56" w:rsidP="00C65E56">
            <w:pPr>
              <w:jc w:val="right"/>
              <w:rPr>
                <w:color w:val="000000"/>
                <w:sz w:val="16"/>
                <w:szCs w:val="16"/>
              </w:rPr>
            </w:pPr>
            <w:r w:rsidRPr="00C65E56">
              <w:rPr>
                <w:color w:val="000000"/>
                <w:sz w:val="16"/>
                <w:szCs w:val="16"/>
              </w:rPr>
              <w:t>55 712 098</w:t>
            </w:r>
          </w:p>
        </w:tc>
        <w:tc>
          <w:tcPr>
            <w:tcW w:w="324" w:type="pct"/>
            <w:shd w:val="clear" w:color="000000" w:fill="DCE6F1"/>
            <w:noWrap/>
            <w:vAlign w:val="center"/>
            <w:hideMark/>
          </w:tcPr>
          <w:p w:rsidR="00C65E56" w:rsidRPr="00C65E56" w:rsidRDefault="00C65E56" w:rsidP="00C65E56">
            <w:pPr>
              <w:jc w:val="right"/>
              <w:rPr>
                <w:color w:val="000000"/>
                <w:sz w:val="16"/>
                <w:szCs w:val="16"/>
              </w:rPr>
            </w:pPr>
            <w:r w:rsidRPr="00C65E56">
              <w:rPr>
                <w:color w:val="000000"/>
                <w:sz w:val="16"/>
                <w:szCs w:val="16"/>
              </w:rPr>
              <w:t>53</w:t>
            </w:r>
          </w:p>
        </w:tc>
        <w:tc>
          <w:tcPr>
            <w:tcW w:w="615" w:type="pct"/>
            <w:shd w:val="clear" w:color="000000" w:fill="DCE6F1"/>
            <w:noWrap/>
            <w:vAlign w:val="center"/>
            <w:hideMark/>
          </w:tcPr>
          <w:p w:rsidR="00C65E56" w:rsidRPr="00C65E56" w:rsidRDefault="00C65E56" w:rsidP="00C65E56">
            <w:pPr>
              <w:jc w:val="right"/>
              <w:rPr>
                <w:color w:val="000000"/>
                <w:sz w:val="16"/>
                <w:szCs w:val="16"/>
              </w:rPr>
            </w:pPr>
            <w:r w:rsidRPr="00C65E56">
              <w:rPr>
                <w:color w:val="000000"/>
                <w:sz w:val="16"/>
                <w:szCs w:val="16"/>
              </w:rPr>
              <w:t>47 578 750</w:t>
            </w:r>
          </w:p>
        </w:tc>
      </w:tr>
      <w:tr w:rsidR="00C65E56" w:rsidRPr="00C65E56" w:rsidTr="00C65E56">
        <w:trPr>
          <w:trHeight w:val="315"/>
        </w:trPr>
        <w:tc>
          <w:tcPr>
            <w:tcW w:w="433" w:type="pct"/>
            <w:shd w:val="clear" w:color="000000" w:fill="FFFFFF"/>
            <w:noWrap/>
            <w:vAlign w:val="center"/>
            <w:hideMark/>
          </w:tcPr>
          <w:p w:rsidR="00C65E56" w:rsidRPr="00C65E56" w:rsidRDefault="00C65E56" w:rsidP="00C65E56">
            <w:pPr>
              <w:jc w:val="right"/>
              <w:rPr>
                <w:color w:val="000000"/>
                <w:sz w:val="16"/>
                <w:szCs w:val="16"/>
              </w:rPr>
            </w:pPr>
            <w:r w:rsidRPr="00C65E56">
              <w:rPr>
                <w:color w:val="000000"/>
                <w:sz w:val="16"/>
                <w:szCs w:val="16"/>
              </w:rPr>
              <w:t>37</w:t>
            </w:r>
          </w:p>
        </w:tc>
        <w:tc>
          <w:tcPr>
            <w:tcW w:w="433" w:type="pct"/>
            <w:shd w:val="clear" w:color="000000" w:fill="FFFFFF"/>
            <w:noWrap/>
            <w:vAlign w:val="center"/>
            <w:hideMark/>
          </w:tcPr>
          <w:p w:rsidR="00C65E56" w:rsidRPr="00C65E56" w:rsidRDefault="00C65E56" w:rsidP="00C65E56">
            <w:pPr>
              <w:jc w:val="right"/>
              <w:rPr>
                <w:color w:val="000000"/>
                <w:sz w:val="16"/>
                <w:szCs w:val="16"/>
              </w:rPr>
            </w:pPr>
            <w:r w:rsidRPr="00C65E56">
              <w:rPr>
                <w:color w:val="000000"/>
                <w:sz w:val="16"/>
                <w:szCs w:val="16"/>
              </w:rPr>
              <w:t>10</w:t>
            </w:r>
          </w:p>
        </w:tc>
        <w:tc>
          <w:tcPr>
            <w:tcW w:w="472" w:type="pct"/>
            <w:shd w:val="clear" w:color="000000" w:fill="FFFFFF"/>
            <w:vAlign w:val="center"/>
            <w:hideMark/>
          </w:tcPr>
          <w:p w:rsidR="00C65E56" w:rsidRPr="00C65E56" w:rsidRDefault="00F77AD7" w:rsidP="00C65E56">
            <w:pPr>
              <w:jc w:val="right"/>
              <w:rPr>
                <w:color w:val="000000"/>
                <w:sz w:val="16"/>
                <w:szCs w:val="16"/>
              </w:rPr>
            </w:pPr>
            <w:r w:rsidRPr="00C65E56">
              <w:rPr>
                <w:color w:val="000000"/>
                <w:sz w:val="16"/>
                <w:szCs w:val="16"/>
              </w:rPr>
              <w:t>27. 9. 2010</w:t>
            </w:r>
          </w:p>
        </w:tc>
        <w:tc>
          <w:tcPr>
            <w:tcW w:w="394" w:type="pct"/>
            <w:shd w:val="clear" w:color="000000" w:fill="FFFFFF"/>
            <w:vAlign w:val="center"/>
            <w:hideMark/>
          </w:tcPr>
          <w:p w:rsidR="00C65E56" w:rsidRPr="00C65E56" w:rsidRDefault="00C65E56" w:rsidP="00C65E56">
            <w:pPr>
              <w:jc w:val="right"/>
              <w:rPr>
                <w:color w:val="000000"/>
                <w:sz w:val="16"/>
                <w:szCs w:val="16"/>
              </w:rPr>
            </w:pPr>
            <w:proofErr w:type="gramStart"/>
            <w:r w:rsidRPr="00C65E56">
              <w:rPr>
                <w:color w:val="000000"/>
                <w:sz w:val="16"/>
                <w:szCs w:val="16"/>
              </w:rPr>
              <w:t>30.10.2015</w:t>
            </w:r>
            <w:proofErr w:type="gramEnd"/>
          </w:p>
        </w:tc>
        <w:tc>
          <w:tcPr>
            <w:tcW w:w="433" w:type="pct"/>
            <w:shd w:val="clear" w:color="000000" w:fill="FFFFFF"/>
            <w:noWrap/>
            <w:vAlign w:val="center"/>
            <w:hideMark/>
          </w:tcPr>
          <w:p w:rsidR="00C65E56" w:rsidRPr="00C65E56" w:rsidRDefault="00C65E56" w:rsidP="00C65E56">
            <w:pPr>
              <w:rPr>
                <w:color w:val="000000"/>
                <w:sz w:val="16"/>
                <w:szCs w:val="16"/>
              </w:rPr>
            </w:pPr>
            <w:r w:rsidRPr="00C65E56">
              <w:rPr>
                <w:color w:val="000000"/>
                <w:sz w:val="16"/>
                <w:szCs w:val="16"/>
              </w:rPr>
              <w:t>kontinuální</w:t>
            </w:r>
          </w:p>
        </w:tc>
        <w:tc>
          <w:tcPr>
            <w:tcW w:w="433" w:type="pct"/>
            <w:shd w:val="clear" w:color="000000" w:fill="FFFFFF"/>
            <w:noWrap/>
            <w:vAlign w:val="center"/>
            <w:hideMark/>
          </w:tcPr>
          <w:p w:rsidR="00C65E56" w:rsidRPr="00C65E56" w:rsidRDefault="00C65E56" w:rsidP="00C65E56">
            <w:pPr>
              <w:jc w:val="center"/>
              <w:rPr>
                <w:color w:val="000000"/>
                <w:sz w:val="16"/>
                <w:szCs w:val="16"/>
              </w:rPr>
            </w:pPr>
            <w:r w:rsidRPr="00C65E56">
              <w:rPr>
                <w:color w:val="000000"/>
                <w:sz w:val="16"/>
                <w:szCs w:val="16"/>
              </w:rPr>
              <w:t>6.2</w:t>
            </w:r>
          </w:p>
        </w:tc>
        <w:tc>
          <w:tcPr>
            <w:tcW w:w="523" w:type="pct"/>
            <w:shd w:val="clear" w:color="000000" w:fill="FFFFFF"/>
            <w:noWrap/>
            <w:vAlign w:val="center"/>
            <w:hideMark/>
          </w:tcPr>
          <w:p w:rsidR="00C65E56" w:rsidRPr="00C65E56" w:rsidRDefault="00C65E56" w:rsidP="00C65E56">
            <w:pPr>
              <w:jc w:val="right"/>
              <w:rPr>
                <w:color w:val="000000"/>
                <w:sz w:val="16"/>
                <w:szCs w:val="16"/>
              </w:rPr>
            </w:pPr>
            <w:r w:rsidRPr="00C65E56">
              <w:rPr>
                <w:color w:val="000000"/>
                <w:sz w:val="16"/>
                <w:szCs w:val="16"/>
              </w:rPr>
              <w:t>11 761 247</w:t>
            </w:r>
          </w:p>
        </w:tc>
        <w:tc>
          <w:tcPr>
            <w:tcW w:w="433" w:type="pct"/>
            <w:shd w:val="clear" w:color="000000" w:fill="FFFFFF"/>
            <w:noWrap/>
            <w:vAlign w:val="center"/>
            <w:hideMark/>
          </w:tcPr>
          <w:p w:rsidR="00C65E56" w:rsidRPr="00C65E56" w:rsidRDefault="00C65E56" w:rsidP="00C65E56">
            <w:pPr>
              <w:jc w:val="right"/>
              <w:rPr>
                <w:color w:val="000000"/>
                <w:sz w:val="16"/>
                <w:szCs w:val="16"/>
              </w:rPr>
            </w:pPr>
            <w:r w:rsidRPr="00C65E56">
              <w:rPr>
                <w:color w:val="000000"/>
                <w:sz w:val="16"/>
                <w:szCs w:val="16"/>
              </w:rPr>
              <w:t>60</w:t>
            </w:r>
          </w:p>
        </w:tc>
        <w:tc>
          <w:tcPr>
            <w:tcW w:w="505" w:type="pct"/>
            <w:shd w:val="clear" w:color="000000" w:fill="FFFFFF"/>
            <w:noWrap/>
            <w:vAlign w:val="center"/>
            <w:hideMark/>
          </w:tcPr>
          <w:p w:rsidR="00C65E56" w:rsidRPr="00C65E56" w:rsidRDefault="00C65E56" w:rsidP="00C65E56">
            <w:pPr>
              <w:jc w:val="right"/>
              <w:rPr>
                <w:color w:val="000000"/>
                <w:sz w:val="16"/>
                <w:szCs w:val="16"/>
              </w:rPr>
            </w:pPr>
            <w:r w:rsidRPr="00C65E56">
              <w:rPr>
                <w:color w:val="000000"/>
                <w:sz w:val="16"/>
                <w:szCs w:val="16"/>
              </w:rPr>
              <w:t>7 639 975</w:t>
            </w:r>
          </w:p>
        </w:tc>
        <w:tc>
          <w:tcPr>
            <w:tcW w:w="324" w:type="pct"/>
            <w:shd w:val="clear" w:color="000000" w:fill="FFFFFF"/>
            <w:noWrap/>
            <w:vAlign w:val="center"/>
            <w:hideMark/>
          </w:tcPr>
          <w:p w:rsidR="00C65E56" w:rsidRPr="00C65E56" w:rsidRDefault="00C65E56" w:rsidP="00C65E56">
            <w:pPr>
              <w:jc w:val="right"/>
              <w:rPr>
                <w:color w:val="000000"/>
                <w:sz w:val="16"/>
                <w:szCs w:val="16"/>
              </w:rPr>
            </w:pPr>
            <w:r w:rsidRPr="00C65E56">
              <w:rPr>
                <w:color w:val="000000"/>
                <w:sz w:val="16"/>
                <w:szCs w:val="16"/>
              </w:rPr>
              <w:t>57</w:t>
            </w:r>
          </w:p>
        </w:tc>
        <w:tc>
          <w:tcPr>
            <w:tcW w:w="615" w:type="pct"/>
            <w:shd w:val="clear" w:color="000000" w:fill="FFFFFF"/>
            <w:noWrap/>
            <w:vAlign w:val="center"/>
            <w:hideMark/>
          </w:tcPr>
          <w:p w:rsidR="00C65E56" w:rsidRPr="00C65E56" w:rsidRDefault="00C65E56" w:rsidP="00C65E56">
            <w:pPr>
              <w:jc w:val="right"/>
              <w:rPr>
                <w:color w:val="000000"/>
                <w:sz w:val="16"/>
                <w:szCs w:val="16"/>
              </w:rPr>
            </w:pPr>
            <w:r w:rsidRPr="00C65E56">
              <w:rPr>
                <w:color w:val="000000"/>
                <w:sz w:val="16"/>
                <w:szCs w:val="16"/>
              </w:rPr>
              <w:t>4868768</w:t>
            </w:r>
          </w:p>
        </w:tc>
      </w:tr>
      <w:tr w:rsidR="00C65E56" w:rsidRPr="00C65E56" w:rsidTr="00C65E56">
        <w:trPr>
          <w:trHeight w:val="315"/>
        </w:trPr>
        <w:tc>
          <w:tcPr>
            <w:tcW w:w="433" w:type="pct"/>
            <w:shd w:val="clear" w:color="000000" w:fill="FFFFFF"/>
            <w:noWrap/>
            <w:vAlign w:val="center"/>
            <w:hideMark/>
          </w:tcPr>
          <w:p w:rsidR="00C65E56" w:rsidRPr="00C65E56" w:rsidRDefault="00C65E56" w:rsidP="00C65E56">
            <w:pPr>
              <w:jc w:val="right"/>
              <w:rPr>
                <w:color w:val="000000"/>
                <w:sz w:val="16"/>
                <w:szCs w:val="16"/>
              </w:rPr>
            </w:pPr>
            <w:r w:rsidRPr="00C65E56">
              <w:rPr>
                <w:color w:val="000000"/>
                <w:sz w:val="16"/>
                <w:szCs w:val="16"/>
              </w:rPr>
              <w:t>37</w:t>
            </w:r>
          </w:p>
        </w:tc>
        <w:tc>
          <w:tcPr>
            <w:tcW w:w="433" w:type="pct"/>
            <w:shd w:val="clear" w:color="000000" w:fill="FFFFFF"/>
            <w:noWrap/>
            <w:vAlign w:val="center"/>
            <w:hideMark/>
          </w:tcPr>
          <w:p w:rsidR="00C65E56" w:rsidRPr="00C65E56" w:rsidRDefault="00C65E56" w:rsidP="00C65E56">
            <w:pPr>
              <w:jc w:val="right"/>
              <w:rPr>
                <w:color w:val="000000"/>
                <w:sz w:val="16"/>
                <w:szCs w:val="16"/>
              </w:rPr>
            </w:pPr>
            <w:r w:rsidRPr="00C65E56">
              <w:rPr>
                <w:color w:val="000000"/>
                <w:sz w:val="16"/>
                <w:szCs w:val="16"/>
              </w:rPr>
              <w:t>10</w:t>
            </w:r>
          </w:p>
        </w:tc>
        <w:tc>
          <w:tcPr>
            <w:tcW w:w="472" w:type="pct"/>
            <w:shd w:val="clear" w:color="000000" w:fill="FFFFFF"/>
            <w:vAlign w:val="center"/>
            <w:hideMark/>
          </w:tcPr>
          <w:p w:rsidR="00C65E56" w:rsidRPr="00C65E56" w:rsidRDefault="00F77AD7" w:rsidP="00C65E56">
            <w:pPr>
              <w:jc w:val="right"/>
              <w:rPr>
                <w:color w:val="000000"/>
                <w:sz w:val="16"/>
                <w:szCs w:val="16"/>
              </w:rPr>
            </w:pPr>
            <w:r w:rsidRPr="00C65E56">
              <w:rPr>
                <w:color w:val="000000"/>
                <w:sz w:val="16"/>
                <w:szCs w:val="16"/>
              </w:rPr>
              <w:t>27. 9. 2010</w:t>
            </w:r>
          </w:p>
        </w:tc>
        <w:tc>
          <w:tcPr>
            <w:tcW w:w="394" w:type="pct"/>
            <w:shd w:val="clear" w:color="000000" w:fill="FFFFFF"/>
            <w:vAlign w:val="center"/>
            <w:hideMark/>
          </w:tcPr>
          <w:p w:rsidR="00C65E56" w:rsidRPr="00C65E56" w:rsidRDefault="00C65E56" w:rsidP="00C65E56">
            <w:pPr>
              <w:jc w:val="right"/>
              <w:rPr>
                <w:color w:val="000000"/>
                <w:sz w:val="16"/>
                <w:szCs w:val="16"/>
              </w:rPr>
            </w:pPr>
            <w:proofErr w:type="gramStart"/>
            <w:r w:rsidRPr="00C65E56">
              <w:rPr>
                <w:color w:val="000000"/>
                <w:sz w:val="16"/>
                <w:szCs w:val="16"/>
              </w:rPr>
              <w:t>30.10.2015</w:t>
            </w:r>
            <w:proofErr w:type="gramEnd"/>
          </w:p>
        </w:tc>
        <w:tc>
          <w:tcPr>
            <w:tcW w:w="433" w:type="pct"/>
            <w:shd w:val="clear" w:color="000000" w:fill="FFFFFF"/>
            <w:noWrap/>
            <w:vAlign w:val="center"/>
            <w:hideMark/>
          </w:tcPr>
          <w:p w:rsidR="00C65E56" w:rsidRPr="00C65E56" w:rsidRDefault="00C65E56" w:rsidP="00C65E56">
            <w:pPr>
              <w:rPr>
                <w:color w:val="000000"/>
                <w:sz w:val="16"/>
                <w:szCs w:val="16"/>
              </w:rPr>
            </w:pPr>
            <w:r w:rsidRPr="00C65E56">
              <w:rPr>
                <w:color w:val="000000"/>
                <w:sz w:val="16"/>
                <w:szCs w:val="16"/>
              </w:rPr>
              <w:t> </w:t>
            </w:r>
          </w:p>
        </w:tc>
        <w:tc>
          <w:tcPr>
            <w:tcW w:w="433" w:type="pct"/>
            <w:shd w:val="clear" w:color="000000" w:fill="FFFFFF"/>
            <w:noWrap/>
            <w:vAlign w:val="center"/>
            <w:hideMark/>
          </w:tcPr>
          <w:p w:rsidR="00C65E56" w:rsidRPr="00C65E56" w:rsidRDefault="00C65E56" w:rsidP="00C65E56">
            <w:pPr>
              <w:jc w:val="center"/>
              <w:rPr>
                <w:color w:val="000000"/>
                <w:sz w:val="16"/>
                <w:szCs w:val="16"/>
              </w:rPr>
            </w:pPr>
            <w:r w:rsidRPr="00C65E56">
              <w:rPr>
                <w:color w:val="000000"/>
                <w:sz w:val="16"/>
                <w:szCs w:val="16"/>
              </w:rPr>
              <w:t> </w:t>
            </w:r>
          </w:p>
        </w:tc>
        <w:tc>
          <w:tcPr>
            <w:tcW w:w="523" w:type="pct"/>
            <w:shd w:val="clear" w:color="000000" w:fill="FFFFFF"/>
            <w:noWrap/>
            <w:vAlign w:val="center"/>
            <w:hideMark/>
          </w:tcPr>
          <w:p w:rsidR="00C65E56" w:rsidRPr="00C65E56" w:rsidRDefault="00C65E56" w:rsidP="00C65E56">
            <w:pPr>
              <w:jc w:val="right"/>
              <w:rPr>
                <w:color w:val="000000"/>
                <w:sz w:val="16"/>
                <w:szCs w:val="16"/>
              </w:rPr>
            </w:pPr>
            <w:r w:rsidRPr="00C65E56">
              <w:rPr>
                <w:color w:val="000000"/>
                <w:sz w:val="16"/>
                <w:szCs w:val="16"/>
              </w:rPr>
              <w:t> </w:t>
            </w:r>
          </w:p>
        </w:tc>
        <w:tc>
          <w:tcPr>
            <w:tcW w:w="433" w:type="pct"/>
            <w:shd w:val="clear" w:color="000000" w:fill="FFFFFF"/>
            <w:noWrap/>
            <w:vAlign w:val="center"/>
            <w:hideMark/>
          </w:tcPr>
          <w:p w:rsidR="00C65E56" w:rsidRPr="00C65E56" w:rsidRDefault="00C65E56" w:rsidP="00C65E56">
            <w:pPr>
              <w:jc w:val="right"/>
              <w:rPr>
                <w:color w:val="000000"/>
                <w:sz w:val="16"/>
                <w:szCs w:val="16"/>
              </w:rPr>
            </w:pPr>
            <w:r w:rsidRPr="00C65E56">
              <w:rPr>
                <w:color w:val="000000"/>
                <w:sz w:val="16"/>
                <w:szCs w:val="16"/>
              </w:rPr>
              <w:t>0</w:t>
            </w:r>
          </w:p>
        </w:tc>
        <w:tc>
          <w:tcPr>
            <w:tcW w:w="505" w:type="pct"/>
            <w:shd w:val="clear" w:color="000000" w:fill="FFFFFF"/>
            <w:noWrap/>
            <w:vAlign w:val="center"/>
            <w:hideMark/>
          </w:tcPr>
          <w:p w:rsidR="00C65E56" w:rsidRPr="00C65E56" w:rsidRDefault="00C65E56" w:rsidP="00C65E56">
            <w:pPr>
              <w:jc w:val="right"/>
              <w:rPr>
                <w:color w:val="000000"/>
                <w:sz w:val="16"/>
                <w:szCs w:val="16"/>
              </w:rPr>
            </w:pPr>
            <w:r w:rsidRPr="00C65E56">
              <w:rPr>
                <w:color w:val="000000"/>
                <w:sz w:val="16"/>
                <w:szCs w:val="16"/>
              </w:rPr>
              <w:t>140 458</w:t>
            </w:r>
          </w:p>
        </w:tc>
        <w:tc>
          <w:tcPr>
            <w:tcW w:w="324" w:type="pct"/>
            <w:shd w:val="clear" w:color="000000" w:fill="FFFFFF"/>
            <w:noWrap/>
            <w:vAlign w:val="center"/>
            <w:hideMark/>
          </w:tcPr>
          <w:p w:rsidR="00C65E56" w:rsidRPr="00C65E56" w:rsidRDefault="00C65E56" w:rsidP="00C65E56">
            <w:pPr>
              <w:jc w:val="right"/>
              <w:rPr>
                <w:color w:val="000000"/>
                <w:sz w:val="16"/>
                <w:szCs w:val="16"/>
              </w:rPr>
            </w:pPr>
            <w:r w:rsidRPr="00C65E56">
              <w:rPr>
                <w:color w:val="000000"/>
                <w:sz w:val="16"/>
                <w:szCs w:val="16"/>
              </w:rPr>
              <w:t>0</w:t>
            </w:r>
          </w:p>
        </w:tc>
        <w:tc>
          <w:tcPr>
            <w:tcW w:w="615" w:type="pct"/>
            <w:shd w:val="clear" w:color="000000" w:fill="FFFFFF"/>
            <w:noWrap/>
            <w:vAlign w:val="center"/>
            <w:hideMark/>
          </w:tcPr>
          <w:p w:rsidR="00C65E56" w:rsidRPr="00C65E56" w:rsidRDefault="00C65E56" w:rsidP="00C65E56">
            <w:pPr>
              <w:jc w:val="right"/>
              <w:rPr>
                <w:color w:val="000000"/>
                <w:sz w:val="16"/>
                <w:szCs w:val="16"/>
              </w:rPr>
            </w:pPr>
            <w:r w:rsidRPr="00C65E56">
              <w:rPr>
                <w:color w:val="000000"/>
                <w:sz w:val="16"/>
                <w:szCs w:val="16"/>
              </w:rPr>
              <w:t>89510</w:t>
            </w:r>
          </w:p>
        </w:tc>
      </w:tr>
      <w:tr w:rsidR="00C65E56" w:rsidRPr="00C65E56" w:rsidTr="00C65E56">
        <w:trPr>
          <w:trHeight w:val="315"/>
        </w:trPr>
        <w:tc>
          <w:tcPr>
            <w:tcW w:w="433" w:type="pct"/>
            <w:shd w:val="clear" w:color="000000" w:fill="DCE6F1"/>
            <w:noWrap/>
            <w:vAlign w:val="center"/>
            <w:hideMark/>
          </w:tcPr>
          <w:p w:rsidR="00C65E56" w:rsidRPr="00C65E56" w:rsidRDefault="00C65E56" w:rsidP="00C65E56">
            <w:pPr>
              <w:jc w:val="right"/>
              <w:rPr>
                <w:color w:val="000000"/>
                <w:sz w:val="16"/>
                <w:szCs w:val="16"/>
              </w:rPr>
            </w:pPr>
            <w:r w:rsidRPr="00C65E56">
              <w:rPr>
                <w:color w:val="000000"/>
                <w:sz w:val="16"/>
                <w:szCs w:val="16"/>
              </w:rPr>
              <w:t> </w:t>
            </w:r>
          </w:p>
        </w:tc>
        <w:tc>
          <w:tcPr>
            <w:tcW w:w="433" w:type="pct"/>
            <w:shd w:val="clear" w:color="000000" w:fill="DCE6F1"/>
            <w:noWrap/>
            <w:vAlign w:val="center"/>
            <w:hideMark/>
          </w:tcPr>
          <w:p w:rsidR="00C65E56" w:rsidRPr="00C65E56" w:rsidRDefault="00C65E56" w:rsidP="00C65E56">
            <w:pPr>
              <w:jc w:val="right"/>
              <w:rPr>
                <w:color w:val="000000"/>
                <w:sz w:val="16"/>
                <w:szCs w:val="16"/>
              </w:rPr>
            </w:pPr>
            <w:r w:rsidRPr="00C65E56">
              <w:rPr>
                <w:color w:val="000000"/>
                <w:sz w:val="16"/>
                <w:szCs w:val="16"/>
              </w:rPr>
              <w:t> </w:t>
            </w:r>
          </w:p>
        </w:tc>
        <w:tc>
          <w:tcPr>
            <w:tcW w:w="472" w:type="pct"/>
            <w:shd w:val="clear" w:color="000000" w:fill="DCE6F1"/>
            <w:vAlign w:val="center"/>
            <w:hideMark/>
          </w:tcPr>
          <w:p w:rsidR="00C65E56" w:rsidRPr="00C65E56" w:rsidRDefault="00C65E56" w:rsidP="00C65E56">
            <w:pPr>
              <w:jc w:val="right"/>
              <w:rPr>
                <w:color w:val="000000"/>
                <w:sz w:val="16"/>
                <w:szCs w:val="16"/>
              </w:rPr>
            </w:pPr>
            <w:r w:rsidRPr="00C65E56">
              <w:rPr>
                <w:color w:val="000000"/>
                <w:sz w:val="16"/>
                <w:szCs w:val="16"/>
              </w:rPr>
              <w:t> </w:t>
            </w:r>
          </w:p>
        </w:tc>
        <w:tc>
          <w:tcPr>
            <w:tcW w:w="394" w:type="pct"/>
            <w:shd w:val="clear" w:color="000000" w:fill="DCE6F1"/>
            <w:vAlign w:val="center"/>
            <w:hideMark/>
          </w:tcPr>
          <w:p w:rsidR="00C65E56" w:rsidRPr="00C65E56" w:rsidRDefault="00C65E56" w:rsidP="00C65E56">
            <w:pPr>
              <w:jc w:val="right"/>
              <w:rPr>
                <w:color w:val="000000"/>
                <w:sz w:val="16"/>
                <w:szCs w:val="16"/>
              </w:rPr>
            </w:pPr>
            <w:r w:rsidRPr="00C65E56">
              <w:rPr>
                <w:color w:val="000000"/>
                <w:sz w:val="16"/>
                <w:szCs w:val="16"/>
              </w:rPr>
              <w:t> </w:t>
            </w:r>
          </w:p>
        </w:tc>
        <w:tc>
          <w:tcPr>
            <w:tcW w:w="866" w:type="pct"/>
            <w:gridSpan w:val="2"/>
            <w:shd w:val="clear" w:color="000000" w:fill="DCE6F1"/>
            <w:noWrap/>
            <w:vAlign w:val="center"/>
            <w:hideMark/>
          </w:tcPr>
          <w:p w:rsidR="00C65E56" w:rsidRPr="00C65E56" w:rsidRDefault="00C65E56" w:rsidP="00C65E56">
            <w:pPr>
              <w:jc w:val="center"/>
              <w:rPr>
                <w:color w:val="000000"/>
                <w:sz w:val="16"/>
                <w:szCs w:val="16"/>
              </w:rPr>
            </w:pPr>
            <w:r w:rsidRPr="00C65E56">
              <w:rPr>
                <w:color w:val="000000"/>
                <w:sz w:val="16"/>
                <w:szCs w:val="16"/>
              </w:rPr>
              <w:t>celkem výzva</w:t>
            </w:r>
          </w:p>
        </w:tc>
        <w:tc>
          <w:tcPr>
            <w:tcW w:w="523" w:type="pct"/>
            <w:shd w:val="clear" w:color="000000" w:fill="DCE6F1"/>
            <w:noWrap/>
            <w:vAlign w:val="center"/>
            <w:hideMark/>
          </w:tcPr>
          <w:p w:rsidR="00C65E56" w:rsidRPr="00C65E56" w:rsidRDefault="00C65E56" w:rsidP="00C65E56">
            <w:pPr>
              <w:jc w:val="right"/>
              <w:rPr>
                <w:color w:val="000000"/>
                <w:sz w:val="16"/>
                <w:szCs w:val="16"/>
              </w:rPr>
            </w:pPr>
            <w:r w:rsidRPr="00C65E56">
              <w:rPr>
                <w:color w:val="000000"/>
                <w:sz w:val="16"/>
                <w:szCs w:val="16"/>
              </w:rPr>
              <w:t>11 761 247</w:t>
            </w:r>
          </w:p>
        </w:tc>
        <w:tc>
          <w:tcPr>
            <w:tcW w:w="433" w:type="pct"/>
            <w:shd w:val="clear" w:color="000000" w:fill="DCE6F1"/>
            <w:noWrap/>
            <w:vAlign w:val="center"/>
            <w:hideMark/>
          </w:tcPr>
          <w:p w:rsidR="00C65E56" w:rsidRPr="00C65E56" w:rsidRDefault="00C65E56" w:rsidP="00C65E56">
            <w:pPr>
              <w:jc w:val="right"/>
              <w:rPr>
                <w:color w:val="000000"/>
                <w:sz w:val="16"/>
                <w:szCs w:val="16"/>
              </w:rPr>
            </w:pPr>
            <w:r w:rsidRPr="00C65E56">
              <w:rPr>
                <w:color w:val="000000"/>
                <w:sz w:val="16"/>
                <w:szCs w:val="16"/>
              </w:rPr>
              <w:t>60</w:t>
            </w:r>
          </w:p>
        </w:tc>
        <w:tc>
          <w:tcPr>
            <w:tcW w:w="505" w:type="pct"/>
            <w:shd w:val="clear" w:color="000000" w:fill="DCE6F1"/>
            <w:noWrap/>
            <w:vAlign w:val="center"/>
            <w:hideMark/>
          </w:tcPr>
          <w:p w:rsidR="00C65E56" w:rsidRPr="00C65E56" w:rsidRDefault="00C65E56" w:rsidP="00C65E56">
            <w:pPr>
              <w:jc w:val="right"/>
              <w:rPr>
                <w:color w:val="000000"/>
                <w:sz w:val="16"/>
                <w:szCs w:val="16"/>
              </w:rPr>
            </w:pPr>
            <w:r w:rsidRPr="00C65E56">
              <w:rPr>
                <w:color w:val="000000"/>
                <w:sz w:val="16"/>
                <w:szCs w:val="16"/>
              </w:rPr>
              <w:t>7 780 433</w:t>
            </w:r>
          </w:p>
        </w:tc>
        <w:tc>
          <w:tcPr>
            <w:tcW w:w="324" w:type="pct"/>
            <w:shd w:val="clear" w:color="000000" w:fill="DCE6F1"/>
            <w:noWrap/>
            <w:vAlign w:val="center"/>
            <w:hideMark/>
          </w:tcPr>
          <w:p w:rsidR="00C65E56" w:rsidRPr="00C65E56" w:rsidRDefault="00C65E56" w:rsidP="00C65E56">
            <w:pPr>
              <w:jc w:val="right"/>
              <w:rPr>
                <w:color w:val="000000"/>
                <w:sz w:val="16"/>
                <w:szCs w:val="16"/>
              </w:rPr>
            </w:pPr>
            <w:r w:rsidRPr="00C65E56">
              <w:rPr>
                <w:color w:val="000000"/>
                <w:sz w:val="16"/>
                <w:szCs w:val="16"/>
              </w:rPr>
              <w:t>50</w:t>
            </w:r>
          </w:p>
        </w:tc>
        <w:tc>
          <w:tcPr>
            <w:tcW w:w="615" w:type="pct"/>
            <w:shd w:val="clear" w:color="000000" w:fill="DCE6F1"/>
            <w:noWrap/>
            <w:vAlign w:val="center"/>
            <w:hideMark/>
          </w:tcPr>
          <w:p w:rsidR="00C65E56" w:rsidRPr="00C65E56" w:rsidRDefault="00C65E56" w:rsidP="00C65E56">
            <w:pPr>
              <w:jc w:val="right"/>
              <w:rPr>
                <w:color w:val="000000"/>
                <w:sz w:val="16"/>
                <w:szCs w:val="16"/>
              </w:rPr>
            </w:pPr>
            <w:r w:rsidRPr="00C65E56">
              <w:rPr>
                <w:color w:val="000000"/>
                <w:sz w:val="16"/>
                <w:szCs w:val="16"/>
              </w:rPr>
              <w:t>4 958 278</w:t>
            </w:r>
          </w:p>
        </w:tc>
      </w:tr>
    </w:tbl>
    <w:p w:rsidR="00AA233D" w:rsidRPr="005F749B" w:rsidRDefault="003E0926" w:rsidP="003E0926">
      <w:pPr>
        <w:rPr>
          <w:i/>
          <w:sz w:val="18"/>
          <w:szCs w:val="18"/>
        </w:rPr>
      </w:pPr>
      <w:r>
        <w:rPr>
          <w:i/>
          <w:sz w:val="18"/>
          <w:szCs w:val="18"/>
        </w:rPr>
        <w:t xml:space="preserve">Zdroj: IS Monit7+ ke dni </w:t>
      </w:r>
      <w:r w:rsidR="0015783A">
        <w:rPr>
          <w:i/>
          <w:sz w:val="18"/>
          <w:szCs w:val="18"/>
        </w:rPr>
        <w:t>30. 9. 2015</w:t>
      </w:r>
    </w:p>
    <w:p w:rsidR="00FB2880" w:rsidRPr="00FB2880" w:rsidRDefault="003E0926" w:rsidP="00FB2880">
      <w:pPr>
        <w:rPr>
          <w:sz w:val="22"/>
          <w:szCs w:val="22"/>
        </w:rPr>
      </w:pPr>
      <w:r w:rsidRPr="005F749B">
        <w:rPr>
          <w:i/>
          <w:sz w:val="18"/>
          <w:szCs w:val="18"/>
        </w:rPr>
        <w:t xml:space="preserve">Zdroj financování – </w:t>
      </w:r>
      <w:r>
        <w:rPr>
          <w:i/>
          <w:sz w:val="18"/>
          <w:szCs w:val="18"/>
        </w:rPr>
        <w:t>veřejné prostředky celkem</w:t>
      </w:r>
      <w:bookmarkStart w:id="145" w:name="_Toc306893734"/>
    </w:p>
    <w:p w:rsidR="00FB2880" w:rsidRDefault="00FB2880" w:rsidP="001A36AF"/>
    <w:p w:rsidR="00C85701" w:rsidRDefault="002F2C3F" w:rsidP="00C85701">
      <w:pPr>
        <w:pStyle w:val="Nadpis3"/>
        <w:rPr>
          <w:rFonts w:ascii="Times New Roman" w:hAnsi="Times New Roman"/>
          <w:sz w:val="24"/>
          <w:szCs w:val="24"/>
        </w:rPr>
      </w:pPr>
      <w:bookmarkStart w:id="146" w:name="_Toc433873519"/>
      <w:r w:rsidRPr="00B7725D">
        <w:rPr>
          <w:rFonts w:ascii="Times New Roman" w:hAnsi="Times New Roman"/>
          <w:sz w:val="24"/>
          <w:szCs w:val="24"/>
        </w:rPr>
        <w:t>3.6.3 Naplňování indikátorů</w:t>
      </w:r>
      <w:bookmarkEnd w:id="145"/>
      <w:bookmarkEnd w:id="146"/>
    </w:p>
    <w:p w:rsidR="00E72897" w:rsidRPr="00C06CE3" w:rsidRDefault="00E72897" w:rsidP="00E72897">
      <w:pPr>
        <w:jc w:val="both"/>
        <w:rPr>
          <w:sz w:val="22"/>
          <w:szCs w:val="22"/>
        </w:rPr>
      </w:pPr>
      <w:r w:rsidRPr="00C06CE3">
        <w:rPr>
          <w:sz w:val="22"/>
          <w:szCs w:val="22"/>
        </w:rPr>
        <w:t>Dosažená h</w:t>
      </w:r>
      <w:r>
        <w:rPr>
          <w:sz w:val="22"/>
          <w:szCs w:val="22"/>
        </w:rPr>
        <w:t>odnota k 30. 9. 2015 a závazky z</w:t>
      </w:r>
      <w:r w:rsidRPr="00C06CE3">
        <w:rPr>
          <w:sz w:val="22"/>
          <w:szCs w:val="22"/>
        </w:rPr>
        <w:t>e schválených projektů v oblastech intervence 6.1 a 6.2 odpovídají míře vyčerpání finančních prostředků. Nelze je srovnávat s cílovými hodnotami, které byly zpracovány na základě původní metodiky indikátorů TP IOP. Závazky ze schválených projektů v TP IOP byly nastaveny podle revidovaných metodických listů indikátorů z roku 2009.</w:t>
      </w:r>
    </w:p>
    <w:p w:rsidR="00FB2880" w:rsidRDefault="00FB2880" w:rsidP="00E14D55">
      <w:pPr>
        <w:jc w:val="both"/>
        <w:rPr>
          <w:sz w:val="22"/>
          <w:szCs w:val="22"/>
        </w:rPr>
      </w:pPr>
    </w:p>
    <w:p w:rsidR="00301207" w:rsidRPr="00C76533" w:rsidRDefault="00C76533" w:rsidP="00C76533">
      <w:pPr>
        <w:pStyle w:val="Tabulkanzev"/>
        <w:rPr>
          <w:b w:val="0"/>
          <w:bCs/>
        </w:rPr>
      </w:pPr>
      <w:bookmarkStart w:id="147" w:name="_Toc433873575"/>
      <w:r w:rsidRPr="00AE7EE7">
        <w:rPr>
          <w:rStyle w:val="Siln"/>
        </w:rPr>
        <w:t>Indikátory výstupu</w:t>
      </w:r>
      <w:bookmarkEnd w:id="147"/>
    </w:p>
    <w:tbl>
      <w:tblPr>
        <w:tblW w:w="9072" w:type="dxa"/>
        <w:tblInd w:w="55"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CellMar>
          <w:left w:w="70" w:type="dxa"/>
          <w:right w:w="70" w:type="dxa"/>
        </w:tblCellMar>
        <w:tblLook w:val="04A0" w:firstRow="1" w:lastRow="0" w:firstColumn="1" w:lastColumn="0" w:noHBand="0" w:noVBand="1"/>
      </w:tblPr>
      <w:tblGrid>
        <w:gridCol w:w="1119"/>
        <w:gridCol w:w="2005"/>
        <w:gridCol w:w="1138"/>
        <w:gridCol w:w="1132"/>
        <w:gridCol w:w="1132"/>
        <w:gridCol w:w="1405"/>
        <w:gridCol w:w="1141"/>
      </w:tblGrid>
      <w:tr w:rsidR="00D07319" w:rsidRPr="00D07319" w:rsidTr="00C95ECD">
        <w:trPr>
          <w:trHeight w:val="1280"/>
          <w:tblHeader/>
        </w:trPr>
        <w:tc>
          <w:tcPr>
            <w:tcW w:w="1119" w:type="dxa"/>
            <w:shd w:val="clear" w:color="000000" w:fill="C5D9F1"/>
            <w:vAlign w:val="center"/>
            <w:hideMark/>
          </w:tcPr>
          <w:p w:rsidR="00D07319" w:rsidRPr="00D07319" w:rsidRDefault="00D07319" w:rsidP="00D07319">
            <w:pPr>
              <w:jc w:val="center"/>
              <w:rPr>
                <w:b/>
                <w:bCs/>
              </w:rPr>
            </w:pPr>
            <w:r w:rsidRPr="00D07319">
              <w:rPr>
                <w:b/>
                <w:bCs/>
              </w:rPr>
              <w:t>Kód</w:t>
            </w:r>
          </w:p>
        </w:tc>
        <w:tc>
          <w:tcPr>
            <w:tcW w:w="2005" w:type="dxa"/>
            <w:shd w:val="clear" w:color="000000" w:fill="C5D9F1"/>
            <w:vAlign w:val="center"/>
            <w:hideMark/>
          </w:tcPr>
          <w:p w:rsidR="00D07319" w:rsidRPr="00D07319" w:rsidRDefault="00D07319" w:rsidP="00D07319">
            <w:pPr>
              <w:jc w:val="center"/>
              <w:rPr>
                <w:b/>
                <w:bCs/>
              </w:rPr>
            </w:pPr>
            <w:r w:rsidRPr="00D07319">
              <w:rPr>
                <w:b/>
                <w:bCs/>
              </w:rPr>
              <w:t>Název indikátoru</w:t>
            </w:r>
          </w:p>
        </w:tc>
        <w:tc>
          <w:tcPr>
            <w:tcW w:w="1138" w:type="dxa"/>
            <w:shd w:val="clear" w:color="000000" w:fill="C5D9F1"/>
            <w:vAlign w:val="center"/>
            <w:hideMark/>
          </w:tcPr>
          <w:p w:rsidR="00D07319" w:rsidRPr="00D07319" w:rsidRDefault="00D07319" w:rsidP="00D07319">
            <w:pPr>
              <w:jc w:val="center"/>
              <w:rPr>
                <w:b/>
                <w:bCs/>
              </w:rPr>
            </w:pPr>
            <w:r w:rsidRPr="00D07319">
              <w:rPr>
                <w:b/>
                <w:bCs/>
              </w:rPr>
              <w:t>Měrná jednotka</w:t>
            </w:r>
          </w:p>
        </w:tc>
        <w:tc>
          <w:tcPr>
            <w:tcW w:w="1132" w:type="dxa"/>
            <w:shd w:val="clear" w:color="000000" w:fill="C5D9F1"/>
            <w:vAlign w:val="center"/>
            <w:hideMark/>
          </w:tcPr>
          <w:p w:rsidR="00D07319" w:rsidRPr="00D07319" w:rsidRDefault="00D07319" w:rsidP="00D07319">
            <w:pPr>
              <w:jc w:val="center"/>
              <w:rPr>
                <w:b/>
                <w:bCs/>
              </w:rPr>
            </w:pPr>
            <w:r w:rsidRPr="00D07319">
              <w:rPr>
                <w:b/>
                <w:bCs/>
              </w:rPr>
              <w:t xml:space="preserve">Výchozí hodnota </w:t>
            </w:r>
          </w:p>
        </w:tc>
        <w:tc>
          <w:tcPr>
            <w:tcW w:w="1132" w:type="dxa"/>
            <w:shd w:val="clear" w:color="000000" w:fill="C5D9F1"/>
            <w:vAlign w:val="center"/>
            <w:hideMark/>
          </w:tcPr>
          <w:p w:rsidR="00D07319" w:rsidRPr="00D07319" w:rsidRDefault="00D07319" w:rsidP="00D07319">
            <w:pPr>
              <w:jc w:val="center"/>
              <w:rPr>
                <w:b/>
                <w:bCs/>
              </w:rPr>
            </w:pPr>
            <w:r w:rsidRPr="00D07319">
              <w:rPr>
                <w:b/>
                <w:bCs/>
              </w:rPr>
              <w:t>Cílová hodnota</w:t>
            </w:r>
          </w:p>
        </w:tc>
        <w:tc>
          <w:tcPr>
            <w:tcW w:w="1405" w:type="dxa"/>
            <w:shd w:val="clear" w:color="000000" w:fill="C5D9F1"/>
            <w:vAlign w:val="center"/>
            <w:hideMark/>
          </w:tcPr>
          <w:p w:rsidR="00D07319" w:rsidRPr="00D07319" w:rsidRDefault="00D07319" w:rsidP="00D07319">
            <w:pPr>
              <w:jc w:val="center"/>
              <w:rPr>
                <w:b/>
                <w:bCs/>
              </w:rPr>
            </w:pPr>
            <w:r w:rsidRPr="00D07319">
              <w:rPr>
                <w:b/>
                <w:bCs/>
              </w:rPr>
              <w:t>Závazek ze schválených projektů</w:t>
            </w:r>
          </w:p>
        </w:tc>
        <w:tc>
          <w:tcPr>
            <w:tcW w:w="1141" w:type="dxa"/>
            <w:shd w:val="clear" w:color="000000" w:fill="C5D9F1"/>
            <w:vAlign w:val="center"/>
            <w:hideMark/>
          </w:tcPr>
          <w:p w:rsidR="00D07319" w:rsidRPr="00D07319" w:rsidRDefault="00D07319" w:rsidP="00D07319">
            <w:pPr>
              <w:jc w:val="center"/>
              <w:rPr>
                <w:b/>
                <w:bCs/>
              </w:rPr>
            </w:pPr>
            <w:r w:rsidRPr="00D07319">
              <w:rPr>
                <w:b/>
                <w:bCs/>
              </w:rPr>
              <w:t>Dosažená hodnota k 30. 9. 2015</w:t>
            </w:r>
          </w:p>
        </w:tc>
      </w:tr>
      <w:tr w:rsidR="00D07319" w:rsidRPr="00D07319" w:rsidTr="00B949EA">
        <w:trPr>
          <w:trHeight w:val="714"/>
        </w:trPr>
        <w:tc>
          <w:tcPr>
            <w:tcW w:w="1119" w:type="dxa"/>
            <w:shd w:val="clear" w:color="auto" w:fill="auto"/>
            <w:vAlign w:val="center"/>
            <w:hideMark/>
          </w:tcPr>
          <w:p w:rsidR="00D07319" w:rsidRPr="00B949EA" w:rsidRDefault="00D07319" w:rsidP="00B949EA">
            <w:pPr>
              <w:jc w:val="center"/>
              <w:rPr>
                <w:sz w:val="18"/>
                <w:szCs w:val="18"/>
              </w:rPr>
            </w:pPr>
            <w:r w:rsidRPr="00B949EA">
              <w:rPr>
                <w:sz w:val="18"/>
                <w:szCs w:val="18"/>
              </w:rPr>
              <w:t>480300</w:t>
            </w:r>
          </w:p>
        </w:tc>
        <w:tc>
          <w:tcPr>
            <w:tcW w:w="2005" w:type="dxa"/>
            <w:shd w:val="clear" w:color="auto" w:fill="auto"/>
            <w:vAlign w:val="center"/>
            <w:hideMark/>
          </w:tcPr>
          <w:p w:rsidR="00D07319" w:rsidRPr="00B949EA" w:rsidRDefault="00D07319" w:rsidP="00B949EA">
            <w:pPr>
              <w:rPr>
                <w:sz w:val="18"/>
                <w:szCs w:val="18"/>
              </w:rPr>
            </w:pPr>
            <w:r w:rsidRPr="00B949EA">
              <w:rPr>
                <w:sz w:val="18"/>
                <w:szCs w:val="18"/>
              </w:rPr>
              <w:t>Počet zasedání výborů (monitorovacích, poradních a řídících)</w:t>
            </w:r>
          </w:p>
        </w:tc>
        <w:tc>
          <w:tcPr>
            <w:tcW w:w="1138" w:type="dxa"/>
            <w:shd w:val="clear" w:color="auto" w:fill="auto"/>
            <w:noWrap/>
            <w:vAlign w:val="center"/>
            <w:hideMark/>
          </w:tcPr>
          <w:p w:rsidR="00D07319" w:rsidRPr="00B949EA" w:rsidRDefault="00D07319" w:rsidP="00D07319">
            <w:pPr>
              <w:jc w:val="center"/>
              <w:rPr>
                <w:sz w:val="18"/>
                <w:szCs w:val="18"/>
              </w:rPr>
            </w:pPr>
            <w:r w:rsidRPr="00B949EA">
              <w:rPr>
                <w:sz w:val="18"/>
                <w:szCs w:val="18"/>
              </w:rPr>
              <w:t>Počet</w:t>
            </w:r>
          </w:p>
        </w:tc>
        <w:tc>
          <w:tcPr>
            <w:tcW w:w="1132" w:type="dxa"/>
            <w:shd w:val="clear" w:color="auto" w:fill="auto"/>
            <w:noWrap/>
            <w:vAlign w:val="center"/>
            <w:hideMark/>
          </w:tcPr>
          <w:p w:rsidR="00D07319" w:rsidRPr="00B949EA" w:rsidRDefault="00D07319" w:rsidP="00D07319">
            <w:pPr>
              <w:jc w:val="center"/>
              <w:rPr>
                <w:sz w:val="18"/>
                <w:szCs w:val="18"/>
              </w:rPr>
            </w:pPr>
            <w:r w:rsidRPr="00B949EA">
              <w:rPr>
                <w:sz w:val="18"/>
                <w:szCs w:val="18"/>
              </w:rPr>
              <w:t>0</w:t>
            </w:r>
          </w:p>
        </w:tc>
        <w:tc>
          <w:tcPr>
            <w:tcW w:w="1132" w:type="dxa"/>
            <w:shd w:val="clear" w:color="auto" w:fill="auto"/>
            <w:noWrap/>
            <w:vAlign w:val="center"/>
            <w:hideMark/>
          </w:tcPr>
          <w:p w:rsidR="00D07319" w:rsidRPr="00B949EA" w:rsidRDefault="00D07319" w:rsidP="00D07319">
            <w:pPr>
              <w:jc w:val="center"/>
              <w:rPr>
                <w:sz w:val="18"/>
                <w:szCs w:val="18"/>
              </w:rPr>
            </w:pPr>
            <w:r w:rsidRPr="00B949EA">
              <w:rPr>
                <w:sz w:val="18"/>
                <w:szCs w:val="18"/>
              </w:rPr>
              <w:t>14</w:t>
            </w:r>
          </w:p>
        </w:tc>
        <w:tc>
          <w:tcPr>
            <w:tcW w:w="1405" w:type="dxa"/>
            <w:shd w:val="clear" w:color="000000" w:fill="FFFFFF"/>
            <w:vAlign w:val="center"/>
            <w:hideMark/>
          </w:tcPr>
          <w:p w:rsidR="00D07319" w:rsidRPr="00B949EA" w:rsidRDefault="00D07319" w:rsidP="00D07319">
            <w:pPr>
              <w:jc w:val="center"/>
              <w:rPr>
                <w:sz w:val="18"/>
                <w:szCs w:val="18"/>
              </w:rPr>
            </w:pPr>
            <w:r w:rsidRPr="00B949EA">
              <w:rPr>
                <w:sz w:val="18"/>
                <w:szCs w:val="18"/>
              </w:rPr>
              <w:t>19</w:t>
            </w:r>
          </w:p>
        </w:tc>
        <w:tc>
          <w:tcPr>
            <w:tcW w:w="1141" w:type="dxa"/>
            <w:shd w:val="clear" w:color="000000" w:fill="FFFFFF"/>
            <w:vAlign w:val="center"/>
            <w:hideMark/>
          </w:tcPr>
          <w:p w:rsidR="00D07319" w:rsidRPr="00B949EA" w:rsidRDefault="00D07319" w:rsidP="00D07319">
            <w:pPr>
              <w:jc w:val="center"/>
              <w:rPr>
                <w:sz w:val="18"/>
                <w:szCs w:val="18"/>
              </w:rPr>
            </w:pPr>
            <w:r w:rsidRPr="00B949EA">
              <w:rPr>
                <w:sz w:val="18"/>
                <w:szCs w:val="18"/>
              </w:rPr>
              <w:t>17</w:t>
            </w:r>
          </w:p>
        </w:tc>
      </w:tr>
      <w:tr w:rsidR="00D07319" w:rsidRPr="00D07319" w:rsidTr="00B949EA">
        <w:trPr>
          <w:trHeight w:val="595"/>
        </w:trPr>
        <w:tc>
          <w:tcPr>
            <w:tcW w:w="1119" w:type="dxa"/>
            <w:shd w:val="clear" w:color="auto" w:fill="auto"/>
            <w:noWrap/>
            <w:vAlign w:val="center"/>
            <w:hideMark/>
          </w:tcPr>
          <w:p w:rsidR="00D07319" w:rsidRPr="00B949EA" w:rsidRDefault="00D07319" w:rsidP="00B949EA">
            <w:pPr>
              <w:jc w:val="center"/>
              <w:rPr>
                <w:sz w:val="18"/>
                <w:szCs w:val="18"/>
              </w:rPr>
            </w:pPr>
            <w:r w:rsidRPr="00B949EA">
              <w:rPr>
                <w:sz w:val="18"/>
                <w:szCs w:val="18"/>
              </w:rPr>
              <w:t>480500</w:t>
            </w:r>
          </w:p>
        </w:tc>
        <w:tc>
          <w:tcPr>
            <w:tcW w:w="2005" w:type="dxa"/>
            <w:shd w:val="clear" w:color="auto" w:fill="auto"/>
            <w:vAlign w:val="center"/>
            <w:hideMark/>
          </w:tcPr>
          <w:p w:rsidR="00D07319" w:rsidRPr="00B949EA" w:rsidRDefault="00D07319" w:rsidP="00B949EA">
            <w:pPr>
              <w:rPr>
                <w:sz w:val="18"/>
                <w:szCs w:val="18"/>
              </w:rPr>
            </w:pPr>
            <w:r w:rsidRPr="00B949EA">
              <w:rPr>
                <w:sz w:val="18"/>
                <w:szCs w:val="18"/>
              </w:rPr>
              <w:t>Počet vytvořených studií a zpráv (vč. evaluačních)</w:t>
            </w:r>
          </w:p>
        </w:tc>
        <w:tc>
          <w:tcPr>
            <w:tcW w:w="1138" w:type="dxa"/>
            <w:shd w:val="clear" w:color="auto" w:fill="auto"/>
            <w:noWrap/>
            <w:vAlign w:val="center"/>
            <w:hideMark/>
          </w:tcPr>
          <w:p w:rsidR="00D07319" w:rsidRPr="00B949EA" w:rsidRDefault="00D07319" w:rsidP="00D07319">
            <w:pPr>
              <w:jc w:val="center"/>
              <w:rPr>
                <w:sz w:val="18"/>
                <w:szCs w:val="18"/>
              </w:rPr>
            </w:pPr>
            <w:r w:rsidRPr="00B949EA">
              <w:rPr>
                <w:sz w:val="18"/>
                <w:szCs w:val="18"/>
              </w:rPr>
              <w:t>Počet</w:t>
            </w:r>
          </w:p>
        </w:tc>
        <w:tc>
          <w:tcPr>
            <w:tcW w:w="1132" w:type="dxa"/>
            <w:shd w:val="clear" w:color="auto" w:fill="auto"/>
            <w:noWrap/>
            <w:vAlign w:val="center"/>
            <w:hideMark/>
          </w:tcPr>
          <w:p w:rsidR="00D07319" w:rsidRPr="00B949EA" w:rsidRDefault="00D07319" w:rsidP="00D07319">
            <w:pPr>
              <w:jc w:val="center"/>
              <w:rPr>
                <w:sz w:val="18"/>
                <w:szCs w:val="18"/>
              </w:rPr>
            </w:pPr>
            <w:r w:rsidRPr="00B949EA">
              <w:rPr>
                <w:sz w:val="18"/>
                <w:szCs w:val="18"/>
              </w:rPr>
              <w:t>0</w:t>
            </w:r>
          </w:p>
        </w:tc>
        <w:tc>
          <w:tcPr>
            <w:tcW w:w="1132" w:type="dxa"/>
            <w:shd w:val="clear" w:color="auto" w:fill="auto"/>
            <w:noWrap/>
            <w:vAlign w:val="center"/>
            <w:hideMark/>
          </w:tcPr>
          <w:p w:rsidR="00D07319" w:rsidRPr="00B949EA" w:rsidRDefault="00D07319" w:rsidP="00D07319">
            <w:pPr>
              <w:jc w:val="center"/>
              <w:rPr>
                <w:sz w:val="18"/>
                <w:szCs w:val="18"/>
              </w:rPr>
            </w:pPr>
            <w:r w:rsidRPr="00B949EA">
              <w:rPr>
                <w:sz w:val="18"/>
                <w:szCs w:val="18"/>
              </w:rPr>
              <w:t>14</w:t>
            </w:r>
          </w:p>
        </w:tc>
        <w:tc>
          <w:tcPr>
            <w:tcW w:w="1405" w:type="dxa"/>
            <w:shd w:val="clear" w:color="000000" w:fill="FFFFFF"/>
            <w:vAlign w:val="center"/>
            <w:hideMark/>
          </w:tcPr>
          <w:p w:rsidR="00D07319" w:rsidRPr="00B949EA" w:rsidRDefault="00D07319" w:rsidP="00D07319">
            <w:pPr>
              <w:jc w:val="center"/>
              <w:rPr>
                <w:sz w:val="18"/>
                <w:szCs w:val="18"/>
              </w:rPr>
            </w:pPr>
            <w:r w:rsidRPr="00B949EA">
              <w:rPr>
                <w:sz w:val="18"/>
                <w:szCs w:val="18"/>
              </w:rPr>
              <w:t>1</w:t>
            </w:r>
            <w:r w:rsidR="00B949EA">
              <w:rPr>
                <w:sz w:val="18"/>
                <w:szCs w:val="18"/>
              </w:rPr>
              <w:t xml:space="preserve"> </w:t>
            </w:r>
            <w:r w:rsidRPr="00B949EA">
              <w:rPr>
                <w:sz w:val="18"/>
                <w:szCs w:val="18"/>
              </w:rPr>
              <w:t>236</w:t>
            </w:r>
          </w:p>
        </w:tc>
        <w:tc>
          <w:tcPr>
            <w:tcW w:w="1141" w:type="dxa"/>
            <w:shd w:val="clear" w:color="000000" w:fill="FFFFFF"/>
            <w:vAlign w:val="center"/>
            <w:hideMark/>
          </w:tcPr>
          <w:p w:rsidR="00D07319" w:rsidRPr="00B949EA" w:rsidRDefault="00D07319" w:rsidP="00D07319">
            <w:pPr>
              <w:jc w:val="center"/>
              <w:rPr>
                <w:sz w:val="18"/>
                <w:szCs w:val="18"/>
              </w:rPr>
            </w:pPr>
            <w:r w:rsidRPr="00B949EA">
              <w:rPr>
                <w:sz w:val="18"/>
                <w:szCs w:val="18"/>
              </w:rPr>
              <w:t>1</w:t>
            </w:r>
            <w:r w:rsidR="00B949EA">
              <w:rPr>
                <w:sz w:val="18"/>
                <w:szCs w:val="18"/>
              </w:rPr>
              <w:t xml:space="preserve"> </w:t>
            </w:r>
            <w:r w:rsidRPr="00B949EA">
              <w:rPr>
                <w:sz w:val="18"/>
                <w:szCs w:val="18"/>
              </w:rPr>
              <w:t>218</w:t>
            </w:r>
          </w:p>
        </w:tc>
      </w:tr>
      <w:tr w:rsidR="00D07319" w:rsidRPr="00D07319" w:rsidTr="00B949EA">
        <w:trPr>
          <w:trHeight w:val="844"/>
        </w:trPr>
        <w:tc>
          <w:tcPr>
            <w:tcW w:w="1119" w:type="dxa"/>
            <w:shd w:val="clear" w:color="auto" w:fill="auto"/>
            <w:noWrap/>
            <w:vAlign w:val="center"/>
            <w:hideMark/>
          </w:tcPr>
          <w:p w:rsidR="00D07319" w:rsidRPr="00B949EA" w:rsidRDefault="00D07319" w:rsidP="00B949EA">
            <w:pPr>
              <w:jc w:val="center"/>
              <w:rPr>
                <w:sz w:val="18"/>
                <w:szCs w:val="18"/>
              </w:rPr>
            </w:pPr>
            <w:r w:rsidRPr="00B949EA">
              <w:rPr>
                <w:sz w:val="18"/>
                <w:szCs w:val="18"/>
              </w:rPr>
              <w:t>480700</w:t>
            </w:r>
          </w:p>
        </w:tc>
        <w:tc>
          <w:tcPr>
            <w:tcW w:w="2005" w:type="dxa"/>
            <w:shd w:val="clear" w:color="auto" w:fill="auto"/>
            <w:vAlign w:val="center"/>
            <w:hideMark/>
          </w:tcPr>
          <w:p w:rsidR="00D07319" w:rsidRPr="00B949EA" w:rsidRDefault="00D07319" w:rsidP="00B949EA">
            <w:pPr>
              <w:rPr>
                <w:sz w:val="18"/>
                <w:szCs w:val="18"/>
              </w:rPr>
            </w:pPr>
            <w:r w:rsidRPr="00B949EA">
              <w:rPr>
                <w:sz w:val="18"/>
                <w:szCs w:val="18"/>
              </w:rPr>
              <w:t xml:space="preserve">Počet vytvořených metodických a </w:t>
            </w:r>
            <w:proofErr w:type="spellStart"/>
            <w:r w:rsidRPr="00B949EA">
              <w:rPr>
                <w:sz w:val="18"/>
                <w:szCs w:val="18"/>
              </w:rPr>
              <w:t>technicko-informačních</w:t>
            </w:r>
            <w:proofErr w:type="spellEnd"/>
            <w:r w:rsidRPr="00B949EA">
              <w:rPr>
                <w:sz w:val="18"/>
                <w:szCs w:val="18"/>
              </w:rPr>
              <w:t xml:space="preserve"> materiálů</w:t>
            </w:r>
          </w:p>
        </w:tc>
        <w:tc>
          <w:tcPr>
            <w:tcW w:w="1138" w:type="dxa"/>
            <w:shd w:val="clear" w:color="auto" w:fill="auto"/>
            <w:noWrap/>
            <w:vAlign w:val="center"/>
            <w:hideMark/>
          </w:tcPr>
          <w:p w:rsidR="00D07319" w:rsidRPr="00B949EA" w:rsidRDefault="00D07319" w:rsidP="00D07319">
            <w:pPr>
              <w:jc w:val="center"/>
              <w:rPr>
                <w:sz w:val="18"/>
                <w:szCs w:val="18"/>
              </w:rPr>
            </w:pPr>
            <w:r w:rsidRPr="00B949EA">
              <w:rPr>
                <w:sz w:val="18"/>
                <w:szCs w:val="18"/>
              </w:rPr>
              <w:t>Počet</w:t>
            </w:r>
          </w:p>
        </w:tc>
        <w:tc>
          <w:tcPr>
            <w:tcW w:w="1132" w:type="dxa"/>
            <w:shd w:val="clear" w:color="auto" w:fill="auto"/>
            <w:noWrap/>
            <w:vAlign w:val="center"/>
            <w:hideMark/>
          </w:tcPr>
          <w:p w:rsidR="00D07319" w:rsidRPr="00B949EA" w:rsidRDefault="00D07319" w:rsidP="00D07319">
            <w:pPr>
              <w:jc w:val="center"/>
              <w:rPr>
                <w:sz w:val="18"/>
                <w:szCs w:val="18"/>
              </w:rPr>
            </w:pPr>
            <w:r w:rsidRPr="00B949EA">
              <w:rPr>
                <w:sz w:val="18"/>
                <w:szCs w:val="18"/>
              </w:rPr>
              <w:t>0</w:t>
            </w:r>
          </w:p>
        </w:tc>
        <w:tc>
          <w:tcPr>
            <w:tcW w:w="1132" w:type="dxa"/>
            <w:shd w:val="clear" w:color="auto" w:fill="auto"/>
            <w:noWrap/>
            <w:vAlign w:val="center"/>
            <w:hideMark/>
          </w:tcPr>
          <w:p w:rsidR="00D07319" w:rsidRPr="00B949EA" w:rsidRDefault="00D07319" w:rsidP="00D07319">
            <w:pPr>
              <w:jc w:val="center"/>
              <w:rPr>
                <w:sz w:val="18"/>
                <w:szCs w:val="18"/>
              </w:rPr>
            </w:pPr>
            <w:r w:rsidRPr="00B949EA">
              <w:rPr>
                <w:sz w:val="18"/>
                <w:szCs w:val="18"/>
              </w:rPr>
              <w:t>84</w:t>
            </w:r>
          </w:p>
        </w:tc>
        <w:tc>
          <w:tcPr>
            <w:tcW w:w="1405" w:type="dxa"/>
            <w:shd w:val="clear" w:color="000000" w:fill="FFFFFF"/>
            <w:vAlign w:val="center"/>
            <w:hideMark/>
          </w:tcPr>
          <w:p w:rsidR="00D07319" w:rsidRPr="00B949EA" w:rsidRDefault="00D07319" w:rsidP="00D07319">
            <w:pPr>
              <w:jc w:val="center"/>
              <w:rPr>
                <w:sz w:val="18"/>
                <w:szCs w:val="18"/>
              </w:rPr>
            </w:pPr>
            <w:r w:rsidRPr="00B949EA">
              <w:rPr>
                <w:sz w:val="18"/>
                <w:szCs w:val="18"/>
              </w:rPr>
              <w:t>345</w:t>
            </w:r>
          </w:p>
        </w:tc>
        <w:tc>
          <w:tcPr>
            <w:tcW w:w="1141" w:type="dxa"/>
            <w:shd w:val="clear" w:color="000000" w:fill="FFFFFF"/>
            <w:vAlign w:val="center"/>
            <w:hideMark/>
          </w:tcPr>
          <w:p w:rsidR="00D07319" w:rsidRPr="00B949EA" w:rsidRDefault="00D07319" w:rsidP="00D07319">
            <w:pPr>
              <w:jc w:val="center"/>
              <w:rPr>
                <w:sz w:val="18"/>
                <w:szCs w:val="18"/>
              </w:rPr>
            </w:pPr>
            <w:r w:rsidRPr="00B949EA">
              <w:rPr>
                <w:sz w:val="18"/>
                <w:szCs w:val="18"/>
              </w:rPr>
              <w:t>301</w:t>
            </w:r>
          </w:p>
        </w:tc>
      </w:tr>
      <w:tr w:rsidR="00D07319" w:rsidRPr="00D07319" w:rsidTr="00B949EA">
        <w:trPr>
          <w:trHeight w:val="874"/>
        </w:trPr>
        <w:tc>
          <w:tcPr>
            <w:tcW w:w="1119" w:type="dxa"/>
            <w:shd w:val="clear" w:color="auto" w:fill="auto"/>
            <w:noWrap/>
            <w:vAlign w:val="center"/>
            <w:hideMark/>
          </w:tcPr>
          <w:p w:rsidR="00D07319" w:rsidRPr="00B949EA" w:rsidRDefault="00D07319" w:rsidP="00B949EA">
            <w:pPr>
              <w:jc w:val="center"/>
              <w:rPr>
                <w:sz w:val="18"/>
                <w:szCs w:val="18"/>
              </w:rPr>
            </w:pPr>
            <w:r w:rsidRPr="00B949EA">
              <w:rPr>
                <w:sz w:val="18"/>
                <w:szCs w:val="18"/>
              </w:rPr>
              <w:t>480800</w:t>
            </w:r>
          </w:p>
        </w:tc>
        <w:tc>
          <w:tcPr>
            <w:tcW w:w="2005" w:type="dxa"/>
            <w:shd w:val="clear" w:color="auto" w:fill="auto"/>
            <w:vAlign w:val="center"/>
            <w:hideMark/>
          </w:tcPr>
          <w:p w:rsidR="00D07319" w:rsidRPr="00B949EA" w:rsidRDefault="00D07319" w:rsidP="00B949EA">
            <w:pPr>
              <w:rPr>
                <w:sz w:val="18"/>
                <w:szCs w:val="18"/>
              </w:rPr>
            </w:pPr>
            <w:r w:rsidRPr="00B949EA">
              <w:rPr>
                <w:sz w:val="18"/>
                <w:szCs w:val="18"/>
              </w:rPr>
              <w:t>Realizovaná spolupráce se sdělovacími prostředky a komunikace s veřejností</w:t>
            </w:r>
          </w:p>
        </w:tc>
        <w:tc>
          <w:tcPr>
            <w:tcW w:w="1138" w:type="dxa"/>
            <w:shd w:val="clear" w:color="auto" w:fill="auto"/>
            <w:noWrap/>
            <w:vAlign w:val="center"/>
            <w:hideMark/>
          </w:tcPr>
          <w:p w:rsidR="00D07319" w:rsidRPr="00B949EA" w:rsidRDefault="00D07319" w:rsidP="00D07319">
            <w:pPr>
              <w:jc w:val="center"/>
              <w:rPr>
                <w:sz w:val="18"/>
                <w:szCs w:val="18"/>
              </w:rPr>
            </w:pPr>
            <w:r w:rsidRPr="00B949EA">
              <w:rPr>
                <w:sz w:val="18"/>
                <w:szCs w:val="18"/>
              </w:rPr>
              <w:t>Počet</w:t>
            </w:r>
          </w:p>
        </w:tc>
        <w:tc>
          <w:tcPr>
            <w:tcW w:w="1132" w:type="dxa"/>
            <w:shd w:val="clear" w:color="auto" w:fill="auto"/>
            <w:noWrap/>
            <w:vAlign w:val="center"/>
            <w:hideMark/>
          </w:tcPr>
          <w:p w:rsidR="00D07319" w:rsidRPr="00B949EA" w:rsidRDefault="00D07319" w:rsidP="00D07319">
            <w:pPr>
              <w:jc w:val="center"/>
              <w:rPr>
                <w:sz w:val="18"/>
                <w:szCs w:val="18"/>
              </w:rPr>
            </w:pPr>
            <w:r w:rsidRPr="00B949EA">
              <w:rPr>
                <w:sz w:val="18"/>
                <w:szCs w:val="18"/>
              </w:rPr>
              <w:t>0</w:t>
            </w:r>
          </w:p>
        </w:tc>
        <w:tc>
          <w:tcPr>
            <w:tcW w:w="1132" w:type="dxa"/>
            <w:shd w:val="clear" w:color="auto" w:fill="auto"/>
            <w:noWrap/>
            <w:vAlign w:val="center"/>
            <w:hideMark/>
          </w:tcPr>
          <w:p w:rsidR="00D07319" w:rsidRPr="00B949EA" w:rsidRDefault="00D07319" w:rsidP="00D07319">
            <w:pPr>
              <w:jc w:val="center"/>
              <w:rPr>
                <w:sz w:val="18"/>
                <w:szCs w:val="18"/>
              </w:rPr>
            </w:pPr>
            <w:r w:rsidRPr="00B949EA">
              <w:rPr>
                <w:sz w:val="18"/>
                <w:szCs w:val="18"/>
              </w:rPr>
              <w:t>30</w:t>
            </w:r>
          </w:p>
        </w:tc>
        <w:tc>
          <w:tcPr>
            <w:tcW w:w="1405" w:type="dxa"/>
            <w:shd w:val="clear" w:color="000000" w:fill="FFFFFF"/>
            <w:vAlign w:val="center"/>
            <w:hideMark/>
          </w:tcPr>
          <w:p w:rsidR="00D07319" w:rsidRPr="00B949EA" w:rsidRDefault="00D07319" w:rsidP="00D07319">
            <w:pPr>
              <w:jc w:val="center"/>
              <w:rPr>
                <w:sz w:val="18"/>
                <w:szCs w:val="18"/>
              </w:rPr>
            </w:pPr>
            <w:r w:rsidRPr="00B949EA">
              <w:rPr>
                <w:sz w:val="18"/>
                <w:szCs w:val="18"/>
              </w:rPr>
              <w:t>193</w:t>
            </w:r>
          </w:p>
        </w:tc>
        <w:tc>
          <w:tcPr>
            <w:tcW w:w="1141" w:type="dxa"/>
            <w:shd w:val="clear" w:color="000000" w:fill="FFFFFF"/>
            <w:vAlign w:val="center"/>
            <w:hideMark/>
          </w:tcPr>
          <w:p w:rsidR="00D07319" w:rsidRPr="00B949EA" w:rsidRDefault="00D07319" w:rsidP="00D07319">
            <w:pPr>
              <w:jc w:val="center"/>
              <w:rPr>
                <w:sz w:val="18"/>
                <w:szCs w:val="18"/>
              </w:rPr>
            </w:pPr>
            <w:r w:rsidRPr="00B949EA">
              <w:rPr>
                <w:sz w:val="18"/>
                <w:szCs w:val="18"/>
              </w:rPr>
              <w:t>173</w:t>
            </w:r>
          </w:p>
        </w:tc>
      </w:tr>
      <w:tr w:rsidR="00D07319" w:rsidRPr="00D07319" w:rsidTr="00B949EA">
        <w:trPr>
          <w:trHeight w:val="714"/>
        </w:trPr>
        <w:tc>
          <w:tcPr>
            <w:tcW w:w="1119" w:type="dxa"/>
            <w:shd w:val="clear" w:color="auto" w:fill="auto"/>
            <w:vAlign w:val="center"/>
            <w:hideMark/>
          </w:tcPr>
          <w:p w:rsidR="00D07319" w:rsidRPr="00B949EA" w:rsidRDefault="00D07319" w:rsidP="00B949EA">
            <w:pPr>
              <w:jc w:val="center"/>
              <w:rPr>
                <w:sz w:val="18"/>
                <w:szCs w:val="18"/>
              </w:rPr>
            </w:pPr>
            <w:r w:rsidRPr="00B949EA">
              <w:rPr>
                <w:sz w:val="18"/>
                <w:szCs w:val="18"/>
              </w:rPr>
              <w:lastRenderedPageBreak/>
              <w:t>480900</w:t>
            </w:r>
          </w:p>
        </w:tc>
        <w:tc>
          <w:tcPr>
            <w:tcW w:w="2005" w:type="dxa"/>
            <w:shd w:val="clear" w:color="auto" w:fill="auto"/>
            <w:vAlign w:val="center"/>
            <w:hideMark/>
          </w:tcPr>
          <w:p w:rsidR="00D07319" w:rsidRPr="00B949EA" w:rsidRDefault="00D07319" w:rsidP="00B949EA">
            <w:pPr>
              <w:rPr>
                <w:sz w:val="18"/>
                <w:szCs w:val="18"/>
              </w:rPr>
            </w:pPr>
            <w:r w:rsidRPr="00B949EA">
              <w:rPr>
                <w:sz w:val="18"/>
                <w:szCs w:val="18"/>
              </w:rPr>
              <w:t>Počet uspořádaných informačních a propagačních aktivit</w:t>
            </w:r>
          </w:p>
        </w:tc>
        <w:tc>
          <w:tcPr>
            <w:tcW w:w="1138" w:type="dxa"/>
            <w:shd w:val="clear" w:color="auto" w:fill="auto"/>
            <w:noWrap/>
            <w:vAlign w:val="center"/>
            <w:hideMark/>
          </w:tcPr>
          <w:p w:rsidR="00D07319" w:rsidRPr="00B949EA" w:rsidRDefault="00D07319" w:rsidP="00D07319">
            <w:pPr>
              <w:jc w:val="center"/>
              <w:rPr>
                <w:sz w:val="18"/>
                <w:szCs w:val="18"/>
              </w:rPr>
            </w:pPr>
            <w:r w:rsidRPr="00B949EA">
              <w:rPr>
                <w:sz w:val="18"/>
                <w:szCs w:val="18"/>
              </w:rPr>
              <w:t>Počet</w:t>
            </w:r>
          </w:p>
        </w:tc>
        <w:tc>
          <w:tcPr>
            <w:tcW w:w="1132" w:type="dxa"/>
            <w:shd w:val="clear" w:color="auto" w:fill="auto"/>
            <w:noWrap/>
            <w:vAlign w:val="center"/>
            <w:hideMark/>
          </w:tcPr>
          <w:p w:rsidR="00D07319" w:rsidRPr="00B949EA" w:rsidRDefault="00D07319" w:rsidP="00D07319">
            <w:pPr>
              <w:jc w:val="center"/>
              <w:rPr>
                <w:sz w:val="18"/>
                <w:szCs w:val="18"/>
              </w:rPr>
            </w:pPr>
            <w:r w:rsidRPr="00B949EA">
              <w:rPr>
                <w:sz w:val="18"/>
                <w:szCs w:val="18"/>
              </w:rPr>
              <w:t>0</w:t>
            </w:r>
          </w:p>
        </w:tc>
        <w:tc>
          <w:tcPr>
            <w:tcW w:w="1132" w:type="dxa"/>
            <w:shd w:val="clear" w:color="auto" w:fill="auto"/>
            <w:noWrap/>
            <w:vAlign w:val="center"/>
            <w:hideMark/>
          </w:tcPr>
          <w:p w:rsidR="00D07319" w:rsidRPr="00B949EA" w:rsidRDefault="00D07319" w:rsidP="00D07319">
            <w:pPr>
              <w:jc w:val="center"/>
              <w:rPr>
                <w:sz w:val="18"/>
                <w:szCs w:val="18"/>
              </w:rPr>
            </w:pPr>
            <w:r w:rsidRPr="00B949EA">
              <w:rPr>
                <w:sz w:val="18"/>
                <w:szCs w:val="18"/>
              </w:rPr>
              <w:t>32</w:t>
            </w:r>
          </w:p>
        </w:tc>
        <w:tc>
          <w:tcPr>
            <w:tcW w:w="1405" w:type="dxa"/>
            <w:shd w:val="clear" w:color="000000" w:fill="FFFFFF"/>
            <w:vAlign w:val="center"/>
            <w:hideMark/>
          </w:tcPr>
          <w:p w:rsidR="00D07319" w:rsidRPr="00B949EA" w:rsidRDefault="00D07319" w:rsidP="00D07319">
            <w:pPr>
              <w:jc w:val="center"/>
              <w:rPr>
                <w:sz w:val="18"/>
                <w:szCs w:val="18"/>
              </w:rPr>
            </w:pPr>
            <w:r w:rsidRPr="00B949EA">
              <w:rPr>
                <w:sz w:val="18"/>
                <w:szCs w:val="18"/>
              </w:rPr>
              <w:t>200</w:t>
            </w:r>
          </w:p>
        </w:tc>
        <w:tc>
          <w:tcPr>
            <w:tcW w:w="1141" w:type="dxa"/>
            <w:shd w:val="clear" w:color="000000" w:fill="FFFFFF"/>
            <w:vAlign w:val="center"/>
            <w:hideMark/>
          </w:tcPr>
          <w:p w:rsidR="00D07319" w:rsidRPr="00B949EA" w:rsidRDefault="00D07319" w:rsidP="00D07319">
            <w:pPr>
              <w:jc w:val="center"/>
              <w:rPr>
                <w:sz w:val="18"/>
                <w:szCs w:val="18"/>
              </w:rPr>
            </w:pPr>
            <w:r w:rsidRPr="00B949EA">
              <w:rPr>
                <w:sz w:val="18"/>
                <w:szCs w:val="18"/>
              </w:rPr>
              <w:t>180</w:t>
            </w:r>
          </w:p>
        </w:tc>
      </w:tr>
      <w:tr w:rsidR="00D07319" w:rsidRPr="00D07319" w:rsidTr="00B949EA">
        <w:trPr>
          <w:trHeight w:val="962"/>
        </w:trPr>
        <w:tc>
          <w:tcPr>
            <w:tcW w:w="1119" w:type="dxa"/>
            <w:shd w:val="clear" w:color="auto" w:fill="auto"/>
            <w:vAlign w:val="center"/>
            <w:hideMark/>
          </w:tcPr>
          <w:p w:rsidR="00D07319" w:rsidRPr="00B949EA" w:rsidRDefault="00D07319" w:rsidP="00B949EA">
            <w:pPr>
              <w:jc w:val="center"/>
              <w:rPr>
                <w:sz w:val="18"/>
                <w:szCs w:val="18"/>
              </w:rPr>
            </w:pPr>
            <w:r w:rsidRPr="00B949EA">
              <w:rPr>
                <w:sz w:val="18"/>
                <w:szCs w:val="18"/>
              </w:rPr>
              <w:t>481100</w:t>
            </w:r>
          </w:p>
        </w:tc>
        <w:tc>
          <w:tcPr>
            <w:tcW w:w="2005" w:type="dxa"/>
            <w:shd w:val="clear" w:color="auto" w:fill="auto"/>
            <w:vAlign w:val="center"/>
            <w:hideMark/>
          </w:tcPr>
          <w:p w:rsidR="00D07319" w:rsidRPr="00B949EA" w:rsidRDefault="00D07319" w:rsidP="00B949EA">
            <w:pPr>
              <w:rPr>
                <w:sz w:val="18"/>
                <w:szCs w:val="18"/>
              </w:rPr>
            </w:pPr>
            <w:r w:rsidRPr="00B949EA">
              <w:rPr>
                <w:sz w:val="18"/>
                <w:szCs w:val="18"/>
              </w:rPr>
              <w:t>Počet uskutečněných školení, seminářů, workshopů, konferencí a ostatní podobné aktivity</w:t>
            </w:r>
          </w:p>
        </w:tc>
        <w:tc>
          <w:tcPr>
            <w:tcW w:w="1138" w:type="dxa"/>
            <w:shd w:val="clear" w:color="auto" w:fill="auto"/>
            <w:noWrap/>
            <w:vAlign w:val="center"/>
            <w:hideMark/>
          </w:tcPr>
          <w:p w:rsidR="00D07319" w:rsidRPr="00B949EA" w:rsidRDefault="00D07319" w:rsidP="00D07319">
            <w:pPr>
              <w:jc w:val="center"/>
              <w:rPr>
                <w:sz w:val="18"/>
                <w:szCs w:val="18"/>
              </w:rPr>
            </w:pPr>
            <w:r w:rsidRPr="00B949EA">
              <w:rPr>
                <w:sz w:val="18"/>
                <w:szCs w:val="18"/>
              </w:rPr>
              <w:t>Počet</w:t>
            </w:r>
          </w:p>
        </w:tc>
        <w:tc>
          <w:tcPr>
            <w:tcW w:w="1132" w:type="dxa"/>
            <w:shd w:val="clear" w:color="auto" w:fill="auto"/>
            <w:noWrap/>
            <w:vAlign w:val="center"/>
            <w:hideMark/>
          </w:tcPr>
          <w:p w:rsidR="00D07319" w:rsidRPr="00B949EA" w:rsidRDefault="00D07319" w:rsidP="00D07319">
            <w:pPr>
              <w:jc w:val="center"/>
              <w:rPr>
                <w:sz w:val="18"/>
                <w:szCs w:val="18"/>
              </w:rPr>
            </w:pPr>
            <w:r w:rsidRPr="00B949EA">
              <w:rPr>
                <w:sz w:val="18"/>
                <w:szCs w:val="18"/>
              </w:rPr>
              <w:t>0</w:t>
            </w:r>
          </w:p>
        </w:tc>
        <w:tc>
          <w:tcPr>
            <w:tcW w:w="1132" w:type="dxa"/>
            <w:shd w:val="clear" w:color="auto" w:fill="auto"/>
            <w:noWrap/>
            <w:vAlign w:val="center"/>
            <w:hideMark/>
          </w:tcPr>
          <w:p w:rsidR="00D07319" w:rsidRPr="00B949EA" w:rsidRDefault="00D07319" w:rsidP="00D07319">
            <w:pPr>
              <w:jc w:val="center"/>
              <w:rPr>
                <w:sz w:val="18"/>
                <w:szCs w:val="18"/>
              </w:rPr>
            </w:pPr>
            <w:r w:rsidRPr="00B949EA">
              <w:rPr>
                <w:sz w:val="18"/>
                <w:szCs w:val="18"/>
              </w:rPr>
              <w:t>70</w:t>
            </w:r>
          </w:p>
        </w:tc>
        <w:tc>
          <w:tcPr>
            <w:tcW w:w="1405" w:type="dxa"/>
            <w:shd w:val="clear" w:color="000000" w:fill="FFFFFF"/>
            <w:vAlign w:val="center"/>
            <w:hideMark/>
          </w:tcPr>
          <w:p w:rsidR="00D07319" w:rsidRPr="00B949EA" w:rsidRDefault="00D07319" w:rsidP="00D07319">
            <w:pPr>
              <w:jc w:val="center"/>
              <w:rPr>
                <w:sz w:val="18"/>
                <w:szCs w:val="18"/>
              </w:rPr>
            </w:pPr>
            <w:r w:rsidRPr="00B949EA">
              <w:rPr>
                <w:sz w:val="18"/>
                <w:szCs w:val="18"/>
              </w:rPr>
              <w:t>564</w:t>
            </w:r>
          </w:p>
        </w:tc>
        <w:tc>
          <w:tcPr>
            <w:tcW w:w="1141" w:type="dxa"/>
            <w:shd w:val="clear" w:color="000000" w:fill="FFFFFF"/>
            <w:vAlign w:val="center"/>
            <w:hideMark/>
          </w:tcPr>
          <w:p w:rsidR="00D07319" w:rsidRPr="00B949EA" w:rsidRDefault="00D07319" w:rsidP="00D07319">
            <w:pPr>
              <w:jc w:val="center"/>
              <w:rPr>
                <w:sz w:val="18"/>
                <w:szCs w:val="18"/>
              </w:rPr>
            </w:pPr>
            <w:r w:rsidRPr="00B949EA">
              <w:rPr>
                <w:sz w:val="18"/>
                <w:szCs w:val="18"/>
              </w:rPr>
              <w:t>478</w:t>
            </w:r>
          </w:p>
        </w:tc>
      </w:tr>
      <w:tr w:rsidR="00D07319" w:rsidRPr="00D07319" w:rsidTr="00B949EA">
        <w:trPr>
          <w:trHeight w:val="976"/>
        </w:trPr>
        <w:tc>
          <w:tcPr>
            <w:tcW w:w="1119" w:type="dxa"/>
            <w:shd w:val="clear" w:color="auto" w:fill="auto"/>
            <w:vAlign w:val="center"/>
            <w:hideMark/>
          </w:tcPr>
          <w:p w:rsidR="00D07319" w:rsidRPr="00B949EA" w:rsidRDefault="00D07319" w:rsidP="00B949EA">
            <w:pPr>
              <w:jc w:val="center"/>
              <w:rPr>
                <w:sz w:val="18"/>
                <w:szCs w:val="18"/>
              </w:rPr>
            </w:pPr>
            <w:r w:rsidRPr="00B949EA">
              <w:rPr>
                <w:sz w:val="18"/>
                <w:szCs w:val="18"/>
              </w:rPr>
              <w:t>481600</w:t>
            </w:r>
          </w:p>
        </w:tc>
        <w:tc>
          <w:tcPr>
            <w:tcW w:w="2005" w:type="dxa"/>
            <w:shd w:val="clear" w:color="auto" w:fill="auto"/>
            <w:vAlign w:val="center"/>
            <w:hideMark/>
          </w:tcPr>
          <w:p w:rsidR="00D07319" w:rsidRPr="00B949EA" w:rsidRDefault="00D07319" w:rsidP="00B949EA">
            <w:pPr>
              <w:rPr>
                <w:sz w:val="18"/>
                <w:szCs w:val="18"/>
              </w:rPr>
            </w:pPr>
            <w:r w:rsidRPr="00B949EA">
              <w:rPr>
                <w:sz w:val="18"/>
                <w:szCs w:val="18"/>
              </w:rPr>
              <w:t>Počet osob, které se zúčastnily vzdělávacích kurzů v rámci technické pomoci</w:t>
            </w:r>
          </w:p>
        </w:tc>
        <w:tc>
          <w:tcPr>
            <w:tcW w:w="1138" w:type="dxa"/>
            <w:shd w:val="clear" w:color="auto" w:fill="auto"/>
            <w:noWrap/>
            <w:vAlign w:val="center"/>
            <w:hideMark/>
          </w:tcPr>
          <w:p w:rsidR="00D07319" w:rsidRPr="00B949EA" w:rsidRDefault="00D07319" w:rsidP="00D07319">
            <w:pPr>
              <w:jc w:val="center"/>
              <w:rPr>
                <w:sz w:val="18"/>
                <w:szCs w:val="18"/>
              </w:rPr>
            </w:pPr>
            <w:r w:rsidRPr="00B949EA">
              <w:rPr>
                <w:sz w:val="18"/>
                <w:szCs w:val="18"/>
              </w:rPr>
              <w:t>Počet osob</w:t>
            </w:r>
          </w:p>
        </w:tc>
        <w:tc>
          <w:tcPr>
            <w:tcW w:w="1132" w:type="dxa"/>
            <w:shd w:val="clear" w:color="auto" w:fill="auto"/>
            <w:noWrap/>
            <w:vAlign w:val="center"/>
            <w:hideMark/>
          </w:tcPr>
          <w:p w:rsidR="00D07319" w:rsidRPr="00B949EA" w:rsidRDefault="00D07319" w:rsidP="00D07319">
            <w:pPr>
              <w:jc w:val="center"/>
              <w:rPr>
                <w:sz w:val="18"/>
                <w:szCs w:val="18"/>
              </w:rPr>
            </w:pPr>
            <w:r w:rsidRPr="00B949EA">
              <w:rPr>
                <w:sz w:val="18"/>
                <w:szCs w:val="18"/>
              </w:rPr>
              <w:t>0</w:t>
            </w:r>
          </w:p>
        </w:tc>
        <w:tc>
          <w:tcPr>
            <w:tcW w:w="1132" w:type="dxa"/>
            <w:shd w:val="clear" w:color="auto" w:fill="auto"/>
            <w:noWrap/>
            <w:vAlign w:val="center"/>
            <w:hideMark/>
          </w:tcPr>
          <w:p w:rsidR="00D07319" w:rsidRPr="00B949EA" w:rsidRDefault="00D07319" w:rsidP="00D07319">
            <w:pPr>
              <w:jc w:val="center"/>
              <w:rPr>
                <w:sz w:val="18"/>
                <w:szCs w:val="18"/>
              </w:rPr>
            </w:pPr>
            <w:r w:rsidRPr="00B949EA">
              <w:rPr>
                <w:sz w:val="18"/>
                <w:szCs w:val="18"/>
              </w:rPr>
              <w:t>1</w:t>
            </w:r>
            <w:r w:rsidR="00B949EA">
              <w:rPr>
                <w:sz w:val="18"/>
                <w:szCs w:val="18"/>
              </w:rPr>
              <w:t xml:space="preserve"> </w:t>
            </w:r>
            <w:r w:rsidRPr="00B949EA">
              <w:rPr>
                <w:sz w:val="18"/>
                <w:szCs w:val="18"/>
              </w:rPr>
              <w:t>400</w:t>
            </w:r>
          </w:p>
        </w:tc>
        <w:tc>
          <w:tcPr>
            <w:tcW w:w="1405" w:type="dxa"/>
            <w:shd w:val="clear" w:color="000000" w:fill="FFFFFF"/>
            <w:vAlign w:val="center"/>
            <w:hideMark/>
          </w:tcPr>
          <w:p w:rsidR="00D07319" w:rsidRPr="00B949EA" w:rsidRDefault="00D07319" w:rsidP="00D07319">
            <w:pPr>
              <w:jc w:val="center"/>
              <w:rPr>
                <w:sz w:val="18"/>
                <w:szCs w:val="18"/>
              </w:rPr>
            </w:pPr>
            <w:r w:rsidRPr="00B949EA">
              <w:rPr>
                <w:sz w:val="18"/>
                <w:szCs w:val="18"/>
              </w:rPr>
              <w:t>17</w:t>
            </w:r>
            <w:r w:rsidR="00B949EA">
              <w:rPr>
                <w:sz w:val="18"/>
                <w:szCs w:val="18"/>
              </w:rPr>
              <w:t xml:space="preserve"> </w:t>
            </w:r>
            <w:r w:rsidRPr="00B949EA">
              <w:rPr>
                <w:sz w:val="18"/>
                <w:szCs w:val="18"/>
              </w:rPr>
              <w:t>391</w:t>
            </w:r>
          </w:p>
        </w:tc>
        <w:tc>
          <w:tcPr>
            <w:tcW w:w="1141" w:type="dxa"/>
            <w:shd w:val="clear" w:color="000000" w:fill="FFFFFF"/>
            <w:vAlign w:val="center"/>
            <w:hideMark/>
          </w:tcPr>
          <w:p w:rsidR="00D07319" w:rsidRPr="00B949EA" w:rsidRDefault="00D07319" w:rsidP="00D07319">
            <w:pPr>
              <w:jc w:val="center"/>
              <w:rPr>
                <w:sz w:val="18"/>
                <w:szCs w:val="18"/>
              </w:rPr>
            </w:pPr>
            <w:r w:rsidRPr="00B949EA">
              <w:rPr>
                <w:sz w:val="18"/>
                <w:szCs w:val="18"/>
              </w:rPr>
              <w:t>11</w:t>
            </w:r>
            <w:r w:rsidR="00B949EA">
              <w:rPr>
                <w:sz w:val="18"/>
                <w:szCs w:val="18"/>
              </w:rPr>
              <w:t xml:space="preserve"> </w:t>
            </w:r>
            <w:r w:rsidRPr="00B949EA">
              <w:rPr>
                <w:sz w:val="18"/>
                <w:szCs w:val="18"/>
              </w:rPr>
              <w:t>687</w:t>
            </w:r>
          </w:p>
        </w:tc>
      </w:tr>
    </w:tbl>
    <w:p w:rsidR="002D1C24" w:rsidRPr="00A60258" w:rsidRDefault="002D1C24" w:rsidP="00A60258">
      <w:pPr>
        <w:rPr>
          <w:rStyle w:val="Siln"/>
          <w:b w:val="0"/>
          <w:i/>
          <w:sz w:val="18"/>
          <w:szCs w:val="18"/>
        </w:rPr>
      </w:pPr>
      <w:r w:rsidRPr="00A60258">
        <w:rPr>
          <w:rStyle w:val="Siln"/>
          <w:b w:val="0"/>
          <w:i/>
          <w:sz w:val="18"/>
          <w:szCs w:val="18"/>
        </w:rPr>
        <w:t xml:space="preserve">Zdroj: </w:t>
      </w:r>
      <w:r w:rsidR="00275DC0">
        <w:rPr>
          <w:rStyle w:val="Siln"/>
          <w:b w:val="0"/>
          <w:i/>
          <w:sz w:val="18"/>
          <w:szCs w:val="18"/>
        </w:rPr>
        <w:t xml:space="preserve">MSC2007 </w:t>
      </w:r>
      <w:r w:rsidR="00914BC7">
        <w:rPr>
          <w:rStyle w:val="Siln"/>
          <w:b w:val="0"/>
          <w:i/>
          <w:sz w:val="18"/>
          <w:szCs w:val="18"/>
        </w:rPr>
        <w:t>k 30. 9. 2015</w:t>
      </w:r>
      <w:r w:rsidRPr="00A60258">
        <w:rPr>
          <w:rStyle w:val="Siln"/>
          <w:b w:val="0"/>
          <w:i/>
          <w:sz w:val="18"/>
          <w:szCs w:val="18"/>
        </w:rPr>
        <w:t>, informace od ZS u podílových indikátorů</w:t>
      </w:r>
    </w:p>
    <w:p w:rsidR="002F2C3F" w:rsidRDefault="002F2C3F" w:rsidP="00E14D55">
      <w:pPr>
        <w:rPr>
          <w:b/>
          <w:sz w:val="22"/>
          <w:szCs w:val="22"/>
        </w:rPr>
      </w:pPr>
    </w:p>
    <w:p w:rsidR="00C76533" w:rsidRPr="00C76533" w:rsidRDefault="00C76533" w:rsidP="00E14D55">
      <w:pPr>
        <w:pStyle w:val="Tabulkanzev"/>
        <w:keepNext/>
        <w:rPr>
          <w:b w:val="0"/>
          <w:bCs/>
        </w:rPr>
      </w:pPr>
      <w:bookmarkStart w:id="148" w:name="_Toc433873576"/>
      <w:r w:rsidRPr="00AE7EE7">
        <w:rPr>
          <w:rStyle w:val="Siln"/>
        </w:rPr>
        <w:t>Indikátory výsledku</w:t>
      </w:r>
      <w:bookmarkEnd w:id="148"/>
    </w:p>
    <w:tbl>
      <w:tblPr>
        <w:tblW w:w="9123" w:type="dxa"/>
        <w:tblInd w:w="55" w:type="dxa"/>
        <w:tblCellMar>
          <w:left w:w="70" w:type="dxa"/>
          <w:right w:w="70" w:type="dxa"/>
        </w:tblCellMar>
        <w:tblLook w:val="04A0" w:firstRow="1" w:lastRow="0" w:firstColumn="1" w:lastColumn="0" w:noHBand="0" w:noVBand="1"/>
      </w:tblPr>
      <w:tblGrid>
        <w:gridCol w:w="1088"/>
        <w:gridCol w:w="2049"/>
        <w:gridCol w:w="1146"/>
        <w:gridCol w:w="1140"/>
        <w:gridCol w:w="1140"/>
        <w:gridCol w:w="1413"/>
        <w:gridCol w:w="1147"/>
      </w:tblGrid>
      <w:tr w:rsidR="00B949EA" w:rsidRPr="00B949EA" w:rsidTr="00B949EA">
        <w:trPr>
          <w:trHeight w:val="1270"/>
        </w:trPr>
        <w:tc>
          <w:tcPr>
            <w:tcW w:w="1088" w:type="dxa"/>
            <w:tcBorders>
              <w:top w:val="single" w:sz="8" w:space="0" w:color="1F497D"/>
              <w:left w:val="single" w:sz="8" w:space="0" w:color="1F497D"/>
              <w:bottom w:val="single" w:sz="8" w:space="0" w:color="1F497D"/>
              <w:right w:val="single" w:sz="8" w:space="0" w:color="1F497D"/>
            </w:tcBorders>
            <w:shd w:val="clear" w:color="000000" w:fill="C5D9F1"/>
            <w:vAlign w:val="center"/>
            <w:hideMark/>
          </w:tcPr>
          <w:p w:rsidR="00B949EA" w:rsidRPr="00B949EA" w:rsidRDefault="00B949EA" w:rsidP="00B949EA">
            <w:pPr>
              <w:jc w:val="center"/>
              <w:rPr>
                <w:b/>
                <w:bCs/>
              </w:rPr>
            </w:pPr>
            <w:r w:rsidRPr="00B949EA">
              <w:rPr>
                <w:b/>
                <w:bCs/>
              </w:rPr>
              <w:t>Kód</w:t>
            </w:r>
          </w:p>
        </w:tc>
        <w:tc>
          <w:tcPr>
            <w:tcW w:w="2049" w:type="dxa"/>
            <w:tcBorders>
              <w:top w:val="single" w:sz="8" w:space="0" w:color="1F497D"/>
              <w:left w:val="nil"/>
              <w:bottom w:val="single" w:sz="8" w:space="0" w:color="1F497D"/>
              <w:right w:val="single" w:sz="8" w:space="0" w:color="1F497D"/>
            </w:tcBorders>
            <w:shd w:val="clear" w:color="000000" w:fill="C5D9F1"/>
            <w:vAlign w:val="center"/>
            <w:hideMark/>
          </w:tcPr>
          <w:p w:rsidR="00B949EA" w:rsidRPr="00B949EA" w:rsidRDefault="00B949EA" w:rsidP="00B949EA">
            <w:pPr>
              <w:jc w:val="center"/>
              <w:rPr>
                <w:b/>
                <w:bCs/>
              </w:rPr>
            </w:pPr>
            <w:r w:rsidRPr="00B949EA">
              <w:rPr>
                <w:b/>
                <w:bCs/>
              </w:rPr>
              <w:t>Název indikátoru</w:t>
            </w:r>
          </w:p>
        </w:tc>
        <w:tc>
          <w:tcPr>
            <w:tcW w:w="1146" w:type="dxa"/>
            <w:tcBorders>
              <w:top w:val="single" w:sz="8" w:space="0" w:color="1F497D"/>
              <w:left w:val="nil"/>
              <w:bottom w:val="single" w:sz="8" w:space="0" w:color="1F497D"/>
              <w:right w:val="single" w:sz="8" w:space="0" w:color="1F497D"/>
            </w:tcBorders>
            <w:shd w:val="clear" w:color="000000" w:fill="C5D9F1"/>
            <w:vAlign w:val="center"/>
            <w:hideMark/>
          </w:tcPr>
          <w:p w:rsidR="00B949EA" w:rsidRPr="00B949EA" w:rsidRDefault="00B949EA" w:rsidP="00B949EA">
            <w:pPr>
              <w:jc w:val="center"/>
              <w:rPr>
                <w:b/>
                <w:bCs/>
              </w:rPr>
            </w:pPr>
            <w:r w:rsidRPr="00B949EA">
              <w:rPr>
                <w:b/>
                <w:bCs/>
              </w:rPr>
              <w:t>Měrná jednotka</w:t>
            </w:r>
          </w:p>
        </w:tc>
        <w:tc>
          <w:tcPr>
            <w:tcW w:w="1140" w:type="dxa"/>
            <w:tcBorders>
              <w:top w:val="single" w:sz="8" w:space="0" w:color="1F497D"/>
              <w:left w:val="nil"/>
              <w:bottom w:val="single" w:sz="8" w:space="0" w:color="1F497D"/>
              <w:right w:val="single" w:sz="8" w:space="0" w:color="1F497D"/>
            </w:tcBorders>
            <w:shd w:val="clear" w:color="000000" w:fill="C5D9F1"/>
            <w:vAlign w:val="center"/>
            <w:hideMark/>
          </w:tcPr>
          <w:p w:rsidR="00B949EA" w:rsidRPr="00B949EA" w:rsidRDefault="00B949EA" w:rsidP="00B949EA">
            <w:pPr>
              <w:jc w:val="center"/>
              <w:rPr>
                <w:b/>
                <w:bCs/>
              </w:rPr>
            </w:pPr>
            <w:r w:rsidRPr="00B949EA">
              <w:rPr>
                <w:b/>
                <w:bCs/>
              </w:rPr>
              <w:t xml:space="preserve">Výchozí hodnota </w:t>
            </w:r>
          </w:p>
        </w:tc>
        <w:tc>
          <w:tcPr>
            <w:tcW w:w="1140" w:type="dxa"/>
            <w:tcBorders>
              <w:top w:val="single" w:sz="8" w:space="0" w:color="1F497D"/>
              <w:left w:val="nil"/>
              <w:bottom w:val="single" w:sz="8" w:space="0" w:color="1F497D"/>
              <w:right w:val="single" w:sz="8" w:space="0" w:color="1F497D"/>
            </w:tcBorders>
            <w:shd w:val="clear" w:color="000000" w:fill="C5D9F1"/>
            <w:vAlign w:val="center"/>
            <w:hideMark/>
          </w:tcPr>
          <w:p w:rsidR="00B949EA" w:rsidRPr="00B949EA" w:rsidRDefault="00B949EA" w:rsidP="00B949EA">
            <w:pPr>
              <w:jc w:val="center"/>
              <w:rPr>
                <w:b/>
                <w:bCs/>
              </w:rPr>
            </w:pPr>
            <w:r w:rsidRPr="00B949EA">
              <w:rPr>
                <w:b/>
                <w:bCs/>
              </w:rPr>
              <w:t>Cílová hodnota</w:t>
            </w:r>
          </w:p>
        </w:tc>
        <w:tc>
          <w:tcPr>
            <w:tcW w:w="1413" w:type="dxa"/>
            <w:tcBorders>
              <w:top w:val="single" w:sz="8" w:space="0" w:color="1F497D"/>
              <w:left w:val="nil"/>
              <w:bottom w:val="single" w:sz="8" w:space="0" w:color="1F497D"/>
              <w:right w:val="single" w:sz="8" w:space="0" w:color="1F497D"/>
            </w:tcBorders>
            <w:shd w:val="clear" w:color="000000" w:fill="C5D9F1"/>
            <w:vAlign w:val="center"/>
            <w:hideMark/>
          </w:tcPr>
          <w:p w:rsidR="00B949EA" w:rsidRPr="00B949EA" w:rsidRDefault="00B949EA" w:rsidP="00B949EA">
            <w:pPr>
              <w:jc w:val="center"/>
              <w:rPr>
                <w:b/>
                <w:bCs/>
              </w:rPr>
            </w:pPr>
            <w:r w:rsidRPr="00B949EA">
              <w:rPr>
                <w:b/>
                <w:bCs/>
              </w:rPr>
              <w:t>Závazek ze schválených projektů</w:t>
            </w:r>
          </w:p>
        </w:tc>
        <w:tc>
          <w:tcPr>
            <w:tcW w:w="1147" w:type="dxa"/>
            <w:tcBorders>
              <w:top w:val="single" w:sz="8" w:space="0" w:color="1F497D"/>
              <w:left w:val="nil"/>
              <w:bottom w:val="single" w:sz="8" w:space="0" w:color="1F497D"/>
              <w:right w:val="single" w:sz="8" w:space="0" w:color="1F497D"/>
            </w:tcBorders>
            <w:shd w:val="clear" w:color="000000" w:fill="C5D9F1"/>
            <w:vAlign w:val="center"/>
            <w:hideMark/>
          </w:tcPr>
          <w:p w:rsidR="00B949EA" w:rsidRPr="00B949EA" w:rsidRDefault="00B949EA" w:rsidP="00B949EA">
            <w:pPr>
              <w:jc w:val="center"/>
              <w:rPr>
                <w:b/>
                <w:bCs/>
              </w:rPr>
            </w:pPr>
            <w:r w:rsidRPr="00B949EA">
              <w:rPr>
                <w:b/>
                <w:bCs/>
              </w:rPr>
              <w:t>Dosažená hodnota k 30. 9. 2015</w:t>
            </w:r>
          </w:p>
        </w:tc>
      </w:tr>
      <w:tr w:rsidR="00B949EA" w:rsidRPr="00B949EA" w:rsidTr="00B949EA">
        <w:trPr>
          <w:trHeight w:val="473"/>
        </w:trPr>
        <w:tc>
          <w:tcPr>
            <w:tcW w:w="1088"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B949EA" w:rsidRPr="00B949EA" w:rsidRDefault="00B949EA" w:rsidP="00B949EA">
            <w:pPr>
              <w:jc w:val="center"/>
              <w:rPr>
                <w:sz w:val="18"/>
                <w:szCs w:val="18"/>
              </w:rPr>
            </w:pPr>
            <w:r w:rsidRPr="00B949EA">
              <w:rPr>
                <w:sz w:val="18"/>
                <w:szCs w:val="18"/>
              </w:rPr>
              <w:t>481900</w:t>
            </w:r>
          </w:p>
        </w:tc>
        <w:tc>
          <w:tcPr>
            <w:tcW w:w="2049" w:type="dxa"/>
            <w:tcBorders>
              <w:top w:val="single" w:sz="4" w:space="0" w:color="auto"/>
              <w:left w:val="nil"/>
              <w:bottom w:val="single" w:sz="4" w:space="0" w:color="auto"/>
              <w:right w:val="nil"/>
            </w:tcBorders>
            <w:shd w:val="clear" w:color="auto" w:fill="auto"/>
            <w:vAlign w:val="bottom"/>
            <w:hideMark/>
          </w:tcPr>
          <w:p w:rsidR="00B949EA" w:rsidRPr="00B949EA" w:rsidRDefault="00B949EA" w:rsidP="00B949EA">
            <w:pPr>
              <w:rPr>
                <w:sz w:val="18"/>
                <w:szCs w:val="18"/>
              </w:rPr>
            </w:pPr>
            <w:r w:rsidRPr="00B949EA">
              <w:rPr>
                <w:sz w:val="18"/>
                <w:szCs w:val="18"/>
              </w:rPr>
              <w:t>Počet proškolených osob - celkem</w:t>
            </w:r>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49EA" w:rsidRPr="00B949EA" w:rsidRDefault="00B949EA" w:rsidP="00B949EA">
            <w:pPr>
              <w:jc w:val="center"/>
              <w:rPr>
                <w:sz w:val="18"/>
                <w:szCs w:val="18"/>
              </w:rPr>
            </w:pPr>
            <w:r w:rsidRPr="00B949EA">
              <w:rPr>
                <w:sz w:val="18"/>
                <w:szCs w:val="18"/>
              </w:rPr>
              <w:t>Počet osob</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B949EA" w:rsidRPr="00B949EA" w:rsidRDefault="00B949EA" w:rsidP="00B949EA">
            <w:pPr>
              <w:jc w:val="center"/>
              <w:rPr>
                <w:sz w:val="18"/>
                <w:szCs w:val="18"/>
              </w:rPr>
            </w:pPr>
            <w:r w:rsidRPr="00B949EA">
              <w:rPr>
                <w:sz w:val="18"/>
                <w:szCs w:val="18"/>
              </w:rPr>
              <w:t>0</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B949EA" w:rsidRPr="00B949EA" w:rsidRDefault="00B949EA" w:rsidP="00B949EA">
            <w:pPr>
              <w:jc w:val="center"/>
              <w:rPr>
                <w:sz w:val="18"/>
                <w:szCs w:val="18"/>
              </w:rPr>
            </w:pPr>
            <w:r w:rsidRPr="00B949EA">
              <w:rPr>
                <w:sz w:val="18"/>
                <w:szCs w:val="18"/>
              </w:rPr>
              <w:t>1</w:t>
            </w:r>
            <w:r>
              <w:rPr>
                <w:sz w:val="18"/>
                <w:szCs w:val="18"/>
              </w:rPr>
              <w:t xml:space="preserve"> </w:t>
            </w:r>
            <w:r w:rsidRPr="00B949EA">
              <w:rPr>
                <w:sz w:val="18"/>
                <w:szCs w:val="18"/>
              </w:rPr>
              <w:t>100</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B949EA" w:rsidRPr="00B949EA" w:rsidRDefault="00B949EA" w:rsidP="00B949EA">
            <w:pPr>
              <w:jc w:val="center"/>
              <w:rPr>
                <w:sz w:val="18"/>
                <w:szCs w:val="18"/>
              </w:rPr>
            </w:pPr>
            <w:r w:rsidRPr="00B949EA">
              <w:rPr>
                <w:sz w:val="18"/>
                <w:szCs w:val="18"/>
              </w:rPr>
              <w:t>6</w:t>
            </w:r>
            <w:r>
              <w:rPr>
                <w:sz w:val="18"/>
                <w:szCs w:val="18"/>
              </w:rPr>
              <w:t xml:space="preserve"> </w:t>
            </w:r>
            <w:r w:rsidRPr="00B949EA">
              <w:rPr>
                <w:sz w:val="18"/>
                <w:szCs w:val="18"/>
              </w:rPr>
              <w:t>002</w:t>
            </w:r>
          </w:p>
        </w:tc>
        <w:tc>
          <w:tcPr>
            <w:tcW w:w="1147" w:type="dxa"/>
            <w:tcBorders>
              <w:top w:val="single" w:sz="4" w:space="0" w:color="auto"/>
              <w:left w:val="nil"/>
              <w:bottom w:val="single" w:sz="4" w:space="0" w:color="auto"/>
              <w:right w:val="single" w:sz="8" w:space="0" w:color="auto"/>
            </w:tcBorders>
            <w:shd w:val="clear" w:color="auto" w:fill="auto"/>
            <w:vAlign w:val="center"/>
            <w:hideMark/>
          </w:tcPr>
          <w:p w:rsidR="00B949EA" w:rsidRPr="00B949EA" w:rsidRDefault="00B949EA" w:rsidP="00B949EA">
            <w:pPr>
              <w:jc w:val="center"/>
              <w:rPr>
                <w:sz w:val="18"/>
                <w:szCs w:val="18"/>
              </w:rPr>
            </w:pPr>
            <w:r w:rsidRPr="00B949EA">
              <w:rPr>
                <w:sz w:val="18"/>
                <w:szCs w:val="18"/>
              </w:rPr>
              <w:t>5</w:t>
            </w:r>
            <w:r>
              <w:rPr>
                <w:sz w:val="18"/>
                <w:szCs w:val="18"/>
              </w:rPr>
              <w:t xml:space="preserve"> </w:t>
            </w:r>
            <w:r w:rsidRPr="00B949EA">
              <w:rPr>
                <w:sz w:val="18"/>
                <w:szCs w:val="18"/>
              </w:rPr>
              <w:t>040</w:t>
            </w:r>
          </w:p>
        </w:tc>
      </w:tr>
      <w:tr w:rsidR="00B949EA" w:rsidRPr="00B949EA" w:rsidTr="00B949EA">
        <w:trPr>
          <w:trHeight w:val="473"/>
        </w:trPr>
        <w:tc>
          <w:tcPr>
            <w:tcW w:w="1088" w:type="dxa"/>
            <w:tcBorders>
              <w:top w:val="nil"/>
              <w:left w:val="single" w:sz="8" w:space="0" w:color="auto"/>
              <w:bottom w:val="single" w:sz="4" w:space="0" w:color="auto"/>
              <w:right w:val="single" w:sz="4" w:space="0" w:color="auto"/>
            </w:tcBorders>
            <w:shd w:val="clear" w:color="auto" w:fill="auto"/>
            <w:vAlign w:val="center"/>
            <w:hideMark/>
          </w:tcPr>
          <w:p w:rsidR="00B949EA" w:rsidRPr="00B949EA" w:rsidRDefault="00B949EA" w:rsidP="00B949EA">
            <w:pPr>
              <w:jc w:val="center"/>
              <w:rPr>
                <w:sz w:val="18"/>
                <w:szCs w:val="18"/>
              </w:rPr>
            </w:pPr>
            <w:r w:rsidRPr="00B949EA">
              <w:rPr>
                <w:sz w:val="18"/>
                <w:szCs w:val="18"/>
              </w:rPr>
              <w:t>482500</w:t>
            </w:r>
          </w:p>
        </w:tc>
        <w:tc>
          <w:tcPr>
            <w:tcW w:w="2049" w:type="dxa"/>
            <w:tcBorders>
              <w:top w:val="nil"/>
              <w:left w:val="nil"/>
              <w:bottom w:val="single" w:sz="4" w:space="0" w:color="auto"/>
              <w:right w:val="nil"/>
            </w:tcBorders>
            <w:shd w:val="clear" w:color="auto" w:fill="auto"/>
            <w:vAlign w:val="bottom"/>
            <w:hideMark/>
          </w:tcPr>
          <w:p w:rsidR="00B949EA" w:rsidRPr="00B949EA" w:rsidRDefault="00B949EA" w:rsidP="00B949EA">
            <w:pPr>
              <w:rPr>
                <w:sz w:val="18"/>
                <w:szCs w:val="18"/>
              </w:rPr>
            </w:pPr>
            <w:r w:rsidRPr="00B949EA">
              <w:rPr>
                <w:sz w:val="18"/>
                <w:szCs w:val="18"/>
              </w:rPr>
              <w:t>Počet uskutečněných kontrol</w:t>
            </w:r>
          </w:p>
        </w:tc>
        <w:tc>
          <w:tcPr>
            <w:tcW w:w="1146" w:type="dxa"/>
            <w:tcBorders>
              <w:top w:val="nil"/>
              <w:left w:val="single" w:sz="4" w:space="0" w:color="auto"/>
              <w:bottom w:val="single" w:sz="4" w:space="0" w:color="auto"/>
              <w:right w:val="single" w:sz="4" w:space="0" w:color="auto"/>
            </w:tcBorders>
            <w:shd w:val="clear" w:color="auto" w:fill="auto"/>
            <w:noWrap/>
            <w:vAlign w:val="center"/>
            <w:hideMark/>
          </w:tcPr>
          <w:p w:rsidR="00B949EA" w:rsidRPr="00B949EA" w:rsidRDefault="00B949EA" w:rsidP="00B949EA">
            <w:pPr>
              <w:jc w:val="center"/>
              <w:rPr>
                <w:sz w:val="18"/>
                <w:szCs w:val="18"/>
              </w:rPr>
            </w:pPr>
            <w:r w:rsidRPr="00B949EA">
              <w:rPr>
                <w:sz w:val="18"/>
                <w:szCs w:val="18"/>
              </w:rPr>
              <w:t>Počet</w:t>
            </w:r>
          </w:p>
        </w:tc>
        <w:tc>
          <w:tcPr>
            <w:tcW w:w="1140" w:type="dxa"/>
            <w:tcBorders>
              <w:top w:val="nil"/>
              <w:left w:val="nil"/>
              <w:bottom w:val="single" w:sz="4" w:space="0" w:color="auto"/>
              <w:right w:val="single" w:sz="4" w:space="0" w:color="auto"/>
            </w:tcBorders>
            <w:shd w:val="clear" w:color="auto" w:fill="auto"/>
            <w:noWrap/>
            <w:vAlign w:val="center"/>
            <w:hideMark/>
          </w:tcPr>
          <w:p w:rsidR="00B949EA" w:rsidRPr="00B949EA" w:rsidRDefault="00B949EA" w:rsidP="00B949EA">
            <w:pPr>
              <w:jc w:val="center"/>
              <w:rPr>
                <w:sz w:val="18"/>
                <w:szCs w:val="18"/>
              </w:rPr>
            </w:pPr>
            <w:r w:rsidRPr="00B949EA">
              <w:rPr>
                <w:sz w:val="18"/>
                <w:szCs w:val="18"/>
              </w:rPr>
              <w:t>0</w:t>
            </w:r>
          </w:p>
        </w:tc>
        <w:tc>
          <w:tcPr>
            <w:tcW w:w="1140" w:type="dxa"/>
            <w:tcBorders>
              <w:top w:val="nil"/>
              <w:left w:val="nil"/>
              <w:bottom w:val="single" w:sz="4" w:space="0" w:color="auto"/>
              <w:right w:val="single" w:sz="4" w:space="0" w:color="auto"/>
            </w:tcBorders>
            <w:shd w:val="clear" w:color="auto" w:fill="auto"/>
            <w:noWrap/>
            <w:vAlign w:val="center"/>
            <w:hideMark/>
          </w:tcPr>
          <w:p w:rsidR="00B949EA" w:rsidRPr="00B949EA" w:rsidRDefault="00B949EA" w:rsidP="00B949EA">
            <w:pPr>
              <w:jc w:val="center"/>
              <w:rPr>
                <w:sz w:val="18"/>
                <w:szCs w:val="18"/>
              </w:rPr>
            </w:pPr>
            <w:r w:rsidRPr="00B949EA">
              <w:rPr>
                <w:sz w:val="18"/>
                <w:szCs w:val="18"/>
              </w:rPr>
              <w:t>1</w:t>
            </w:r>
            <w:r>
              <w:rPr>
                <w:sz w:val="18"/>
                <w:szCs w:val="18"/>
              </w:rPr>
              <w:t xml:space="preserve"> </w:t>
            </w:r>
            <w:r w:rsidRPr="00B949EA">
              <w:rPr>
                <w:sz w:val="18"/>
                <w:szCs w:val="18"/>
              </w:rPr>
              <w:t>350</w:t>
            </w:r>
          </w:p>
        </w:tc>
        <w:tc>
          <w:tcPr>
            <w:tcW w:w="1413" w:type="dxa"/>
            <w:tcBorders>
              <w:top w:val="nil"/>
              <w:left w:val="nil"/>
              <w:bottom w:val="single" w:sz="4" w:space="0" w:color="auto"/>
              <w:right w:val="single" w:sz="4" w:space="0" w:color="auto"/>
            </w:tcBorders>
            <w:shd w:val="clear" w:color="auto" w:fill="auto"/>
            <w:vAlign w:val="center"/>
            <w:hideMark/>
          </w:tcPr>
          <w:p w:rsidR="00B949EA" w:rsidRPr="00B949EA" w:rsidRDefault="00B949EA" w:rsidP="00B949EA">
            <w:pPr>
              <w:jc w:val="center"/>
              <w:rPr>
                <w:sz w:val="18"/>
                <w:szCs w:val="18"/>
              </w:rPr>
            </w:pPr>
            <w:r w:rsidRPr="00B949EA">
              <w:rPr>
                <w:sz w:val="18"/>
                <w:szCs w:val="18"/>
              </w:rPr>
              <w:t>8</w:t>
            </w:r>
            <w:r>
              <w:rPr>
                <w:sz w:val="18"/>
                <w:szCs w:val="18"/>
              </w:rPr>
              <w:t xml:space="preserve"> </w:t>
            </w:r>
            <w:r w:rsidRPr="00B949EA">
              <w:rPr>
                <w:sz w:val="18"/>
                <w:szCs w:val="18"/>
              </w:rPr>
              <w:t>209</w:t>
            </w:r>
          </w:p>
        </w:tc>
        <w:tc>
          <w:tcPr>
            <w:tcW w:w="1147" w:type="dxa"/>
            <w:tcBorders>
              <w:top w:val="nil"/>
              <w:left w:val="nil"/>
              <w:bottom w:val="single" w:sz="4" w:space="0" w:color="auto"/>
              <w:right w:val="single" w:sz="8" w:space="0" w:color="auto"/>
            </w:tcBorders>
            <w:shd w:val="clear" w:color="auto" w:fill="auto"/>
            <w:vAlign w:val="center"/>
            <w:hideMark/>
          </w:tcPr>
          <w:p w:rsidR="00B949EA" w:rsidRPr="00B949EA" w:rsidRDefault="00B949EA" w:rsidP="00B949EA">
            <w:pPr>
              <w:jc w:val="center"/>
              <w:rPr>
                <w:sz w:val="18"/>
                <w:szCs w:val="18"/>
              </w:rPr>
            </w:pPr>
            <w:r w:rsidRPr="00B949EA">
              <w:rPr>
                <w:sz w:val="18"/>
                <w:szCs w:val="18"/>
              </w:rPr>
              <w:t>7</w:t>
            </w:r>
            <w:r>
              <w:rPr>
                <w:sz w:val="18"/>
                <w:szCs w:val="18"/>
              </w:rPr>
              <w:t xml:space="preserve"> </w:t>
            </w:r>
            <w:r w:rsidRPr="00B949EA">
              <w:rPr>
                <w:sz w:val="18"/>
                <w:szCs w:val="18"/>
              </w:rPr>
              <w:t>524</w:t>
            </w:r>
          </w:p>
        </w:tc>
      </w:tr>
      <w:tr w:rsidR="00B949EA" w:rsidRPr="00B949EA" w:rsidTr="00B949EA">
        <w:trPr>
          <w:trHeight w:val="523"/>
        </w:trPr>
        <w:tc>
          <w:tcPr>
            <w:tcW w:w="1088" w:type="dxa"/>
            <w:tcBorders>
              <w:top w:val="nil"/>
              <w:left w:val="single" w:sz="8" w:space="0" w:color="auto"/>
              <w:bottom w:val="single" w:sz="8" w:space="0" w:color="auto"/>
              <w:right w:val="single" w:sz="4" w:space="0" w:color="auto"/>
            </w:tcBorders>
            <w:shd w:val="clear" w:color="auto" w:fill="auto"/>
            <w:vAlign w:val="center"/>
            <w:hideMark/>
          </w:tcPr>
          <w:p w:rsidR="00B949EA" w:rsidRPr="00B949EA" w:rsidRDefault="00B949EA" w:rsidP="00B949EA">
            <w:pPr>
              <w:jc w:val="center"/>
              <w:rPr>
                <w:sz w:val="18"/>
                <w:szCs w:val="18"/>
              </w:rPr>
            </w:pPr>
            <w:r w:rsidRPr="00B949EA">
              <w:rPr>
                <w:sz w:val="18"/>
                <w:szCs w:val="18"/>
              </w:rPr>
              <w:t>483100</w:t>
            </w:r>
          </w:p>
        </w:tc>
        <w:tc>
          <w:tcPr>
            <w:tcW w:w="2049" w:type="dxa"/>
            <w:tcBorders>
              <w:top w:val="nil"/>
              <w:left w:val="nil"/>
              <w:bottom w:val="single" w:sz="8" w:space="0" w:color="auto"/>
              <w:right w:val="nil"/>
            </w:tcBorders>
            <w:shd w:val="clear" w:color="auto" w:fill="auto"/>
            <w:vAlign w:val="bottom"/>
            <w:hideMark/>
          </w:tcPr>
          <w:p w:rsidR="00B949EA" w:rsidRPr="00B949EA" w:rsidRDefault="00B949EA" w:rsidP="00B949EA">
            <w:pPr>
              <w:rPr>
                <w:sz w:val="18"/>
                <w:szCs w:val="18"/>
              </w:rPr>
            </w:pPr>
            <w:r w:rsidRPr="00B949EA">
              <w:rPr>
                <w:sz w:val="18"/>
                <w:szCs w:val="18"/>
              </w:rPr>
              <w:t>Počet zaměstnaných pracovníků implementační struktury</w:t>
            </w:r>
          </w:p>
        </w:tc>
        <w:tc>
          <w:tcPr>
            <w:tcW w:w="1146" w:type="dxa"/>
            <w:tcBorders>
              <w:top w:val="nil"/>
              <w:left w:val="single" w:sz="4" w:space="0" w:color="auto"/>
              <w:bottom w:val="single" w:sz="8" w:space="0" w:color="auto"/>
              <w:right w:val="single" w:sz="4" w:space="0" w:color="auto"/>
            </w:tcBorders>
            <w:shd w:val="clear" w:color="auto" w:fill="auto"/>
            <w:noWrap/>
            <w:vAlign w:val="center"/>
            <w:hideMark/>
          </w:tcPr>
          <w:p w:rsidR="00B949EA" w:rsidRPr="00B949EA" w:rsidRDefault="00B949EA" w:rsidP="00B949EA">
            <w:pPr>
              <w:jc w:val="center"/>
              <w:rPr>
                <w:sz w:val="18"/>
                <w:szCs w:val="18"/>
              </w:rPr>
            </w:pPr>
            <w:r w:rsidRPr="00B949EA">
              <w:rPr>
                <w:sz w:val="18"/>
                <w:szCs w:val="18"/>
              </w:rPr>
              <w:t>Počet osob</w:t>
            </w:r>
          </w:p>
        </w:tc>
        <w:tc>
          <w:tcPr>
            <w:tcW w:w="1140" w:type="dxa"/>
            <w:tcBorders>
              <w:top w:val="nil"/>
              <w:left w:val="nil"/>
              <w:bottom w:val="single" w:sz="8" w:space="0" w:color="auto"/>
              <w:right w:val="single" w:sz="4" w:space="0" w:color="auto"/>
            </w:tcBorders>
            <w:shd w:val="clear" w:color="auto" w:fill="auto"/>
            <w:noWrap/>
            <w:vAlign w:val="center"/>
            <w:hideMark/>
          </w:tcPr>
          <w:p w:rsidR="00B949EA" w:rsidRPr="00B949EA" w:rsidRDefault="00B949EA" w:rsidP="00B949EA">
            <w:pPr>
              <w:jc w:val="center"/>
              <w:rPr>
                <w:sz w:val="18"/>
                <w:szCs w:val="18"/>
              </w:rPr>
            </w:pPr>
            <w:r w:rsidRPr="00B949EA">
              <w:rPr>
                <w:sz w:val="18"/>
                <w:szCs w:val="18"/>
              </w:rPr>
              <w:t>0</w:t>
            </w:r>
          </w:p>
        </w:tc>
        <w:tc>
          <w:tcPr>
            <w:tcW w:w="1140" w:type="dxa"/>
            <w:tcBorders>
              <w:top w:val="nil"/>
              <w:left w:val="nil"/>
              <w:bottom w:val="single" w:sz="8" w:space="0" w:color="auto"/>
              <w:right w:val="single" w:sz="4" w:space="0" w:color="auto"/>
            </w:tcBorders>
            <w:shd w:val="clear" w:color="auto" w:fill="auto"/>
            <w:noWrap/>
            <w:vAlign w:val="center"/>
            <w:hideMark/>
          </w:tcPr>
          <w:p w:rsidR="00B949EA" w:rsidRPr="00B949EA" w:rsidRDefault="00B949EA" w:rsidP="00B949EA">
            <w:pPr>
              <w:jc w:val="center"/>
              <w:rPr>
                <w:sz w:val="18"/>
                <w:szCs w:val="18"/>
              </w:rPr>
            </w:pPr>
            <w:r w:rsidRPr="00B949EA">
              <w:rPr>
                <w:sz w:val="18"/>
                <w:szCs w:val="18"/>
              </w:rPr>
              <w:t>90</w:t>
            </w:r>
          </w:p>
        </w:tc>
        <w:tc>
          <w:tcPr>
            <w:tcW w:w="1413" w:type="dxa"/>
            <w:tcBorders>
              <w:top w:val="nil"/>
              <w:left w:val="nil"/>
              <w:bottom w:val="single" w:sz="8" w:space="0" w:color="auto"/>
              <w:right w:val="single" w:sz="4" w:space="0" w:color="auto"/>
            </w:tcBorders>
            <w:shd w:val="clear" w:color="auto" w:fill="auto"/>
            <w:vAlign w:val="center"/>
            <w:hideMark/>
          </w:tcPr>
          <w:p w:rsidR="00B949EA" w:rsidRPr="00B949EA" w:rsidRDefault="00B949EA" w:rsidP="00B949EA">
            <w:pPr>
              <w:jc w:val="center"/>
              <w:rPr>
                <w:sz w:val="18"/>
                <w:szCs w:val="18"/>
              </w:rPr>
            </w:pPr>
            <w:r w:rsidRPr="00B949EA">
              <w:rPr>
                <w:sz w:val="18"/>
                <w:szCs w:val="18"/>
              </w:rPr>
              <w:t>827</w:t>
            </w:r>
          </w:p>
        </w:tc>
        <w:tc>
          <w:tcPr>
            <w:tcW w:w="1147" w:type="dxa"/>
            <w:tcBorders>
              <w:top w:val="nil"/>
              <w:left w:val="nil"/>
              <w:bottom w:val="single" w:sz="8" w:space="0" w:color="auto"/>
              <w:right w:val="single" w:sz="8" w:space="0" w:color="auto"/>
            </w:tcBorders>
            <w:shd w:val="clear" w:color="auto" w:fill="auto"/>
            <w:vAlign w:val="center"/>
            <w:hideMark/>
          </w:tcPr>
          <w:p w:rsidR="00B949EA" w:rsidRPr="00B949EA" w:rsidRDefault="00B949EA" w:rsidP="00B949EA">
            <w:pPr>
              <w:jc w:val="center"/>
              <w:rPr>
                <w:sz w:val="18"/>
                <w:szCs w:val="18"/>
              </w:rPr>
            </w:pPr>
            <w:r w:rsidRPr="00B949EA">
              <w:rPr>
                <w:sz w:val="18"/>
                <w:szCs w:val="18"/>
              </w:rPr>
              <w:t>72</w:t>
            </w:r>
            <w:r>
              <w:rPr>
                <w:sz w:val="18"/>
                <w:szCs w:val="18"/>
              </w:rPr>
              <w:t>2</w:t>
            </w:r>
          </w:p>
        </w:tc>
      </w:tr>
    </w:tbl>
    <w:p w:rsidR="002D1C24" w:rsidRPr="00A7364C" w:rsidRDefault="002D1C24" w:rsidP="00A7364C">
      <w:pPr>
        <w:rPr>
          <w:rStyle w:val="Siln"/>
          <w:b w:val="0"/>
          <w:i/>
          <w:sz w:val="18"/>
          <w:szCs w:val="18"/>
        </w:rPr>
      </w:pPr>
      <w:r w:rsidRPr="00A7364C">
        <w:rPr>
          <w:rStyle w:val="Siln"/>
          <w:b w:val="0"/>
          <w:i/>
          <w:sz w:val="18"/>
          <w:szCs w:val="18"/>
        </w:rPr>
        <w:t xml:space="preserve">Zdroj: </w:t>
      </w:r>
      <w:r w:rsidR="00275DC0">
        <w:rPr>
          <w:rStyle w:val="Siln"/>
          <w:b w:val="0"/>
          <w:i/>
          <w:sz w:val="18"/>
          <w:szCs w:val="18"/>
        </w:rPr>
        <w:t xml:space="preserve">MSC2007 </w:t>
      </w:r>
      <w:r w:rsidR="00914BC7">
        <w:rPr>
          <w:rStyle w:val="Siln"/>
          <w:b w:val="0"/>
          <w:i/>
          <w:sz w:val="18"/>
          <w:szCs w:val="18"/>
        </w:rPr>
        <w:t>k 30. 9. 2015</w:t>
      </w:r>
      <w:r w:rsidRPr="00A7364C">
        <w:rPr>
          <w:rStyle w:val="Siln"/>
          <w:b w:val="0"/>
          <w:i/>
          <w:sz w:val="18"/>
          <w:szCs w:val="18"/>
        </w:rPr>
        <w:t>, informace od ZS u podílových indikátorů</w:t>
      </w:r>
    </w:p>
    <w:p w:rsidR="00D644B0" w:rsidRPr="00743739" w:rsidRDefault="00D644B0">
      <w:pPr>
        <w:pStyle w:val="Nadpis3"/>
        <w:rPr>
          <w:rFonts w:ascii="Times New Roman" w:hAnsi="Times New Roman"/>
          <w:sz w:val="24"/>
          <w:szCs w:val="24"/>
        </w:rPr>
      </w:pPr>
      <w:bookmarkStart w:id="149" w:name="_Toc433873520"/>
      <w:r w:rsidRPr="00B7725D">
        <w:rPr>
          <w:rFonts w:ascii="Times New Roman" w:hAnsi="Times New Roman"/>
          <w:sz w:val="24"/>
          <w:szCs w:val="24"/>
        </w:rPr>
        <w:t>3.6.4 Problémy a přijatá opatření</w:t>
      </w:r>
      <w:bookmarkEnd w:id="149"/>
    </w:p>
    <w:p w:rsidR="002F536C" w:rsidRPr="002F536C" w:rsidRDefault="002F536C" w:rsidP="002F536C">
      <w:pPr>
        <w:jc w:val="both"/>
        <w:rPr>
          <w:b/>
          <w:sz w:val="22"/>
          <w:szCs w:val="24"/>
        </w:rPr>
      </w:pPr>
      <w:r w:rsidRPr="002F536C">
        <w:rPr>
          <w:b/>
          <w:sz w:val="22"/>
          <w:szCs w:val="24"/>
        </w:rPr>
        <w:t>Zajištění financování výdajů do konce programovacího období</w:t>
      </w:r>
    </w:p>
    <w:p w:rsidR="002F536C" w:rsidRPr="002F536C" w:rsidRDefault="002F536C" w:rsidP="002F536C">
      <w:pPr>
        <w:jc w:val="both"/>
        <w:rPr>
          <w:b/>
          <w:sz w:val="22"/>
          <w:szCs w:val="24"/>
        </w:rPr>
      </w:pPr>
      <w:r w:rsidRPr="002F536C">
        <w:rPr>
          <w:sz w:val="22"/>
          <w:szCs w:val="24"/>
        </w:rPr>
        <w:t>Hlavním problémem byl</w:t>
      </w:r>
      <w:r w:rsidR="00FB660E">
        <w:rPr>
          <w:sz w:val="22"/>
          <w:szCs w:val="24"/>
        </w:rPr>
        <w:t>o</w:t>
      </w:r>
      <w:r w:rsidRPr="002F536C">
        <w:rPr>
          <w:sz w:val="22"/>
          <w:szCs w:val="24"/>
        </w:rPr>
        <w:t xml:space="preserve"> zaji</w:t>
      </w:r>
      <w:r w:rsidR="00FB660E">
        <w:rPr>
          <w:sz w:val="22"/>
          <w:szCs w:val="24"/>
        </w:rPr>
        <w:t>š</w:t>
      </w:r>
      <w:r w:rsidRPr="002F536C">
        <w:rPr>
          <w:sz w:val="22"/>
          <w:szCs w:val="24"/>
        </w:rPr>
        <w:t>t</w:t>
      </w:r>
      <w:r w:rsidR="00FB660E">
        <w:rPr>
          <w:sz w:val="22"/>
          <w:szCs w:val="24"/>
        </w:rPr>
        <w:t>ění</w:t>
      </w:r>
      <w:r w:rsidRPr="002F536C">
        <w:rPr>
          <w:sz w:val="22"/>
          <w:szCs w:val="24"/>
        </w:rPr>
        <w:t xml:space="preserve"> financování výdajů do konce programovacího období </w:t>
      </w:r>
      <w:r w:rsidR="00DD6F98">
        <w:rPr>
          <w:sz w:val="22"/>
          <w:szCs w:val="24"/>
        </w:rPr>
        <w:br/>
      </w:r>
      <w:r w:rsidRPr="002F536C">
        <w:rPr>
          <w:sz w:val="22"/>
          <w:szCs w:val="24"/>
        </w:rPr>
        <w:t xml:space="preserve">a administrativních kapacit do konce roku 2015, pro sledování udržitelnosti projektů od roku 2016 </w:t>
      </w:r>
      <w:r w:rsidR="00DD6F98">
        <w:rPr>
          <w:sz w:val="22"/>
          <w:szCs w:val="24"/>
        </w:rPr>
        <w:br/>
      </w:r>
      <w:r w:rsidRPr="002F536C">
        <w:rPr>
          <w:sz w:val="22"/>
          <w:szCs w:val="24"/>
        </w:rPr>
        <w:t>a úspěšné uzavírání IOP</w:t>
      </w:r>
      <w:r w:rsidRPr="002F536C">
        <w:rPr>
          <w:b/>
          <w:sz w:val="22"/>
          <w:szCs w:val="24"/>
        </w:rPr>
        <w:t>.</w:t>
      </w:r>
    </w:p>
    <w:p w:rsidR="002F536C" w:rsidRPr="002F536C" w:rsidRDefault="002F536C" w:rsidP="002F536C">
      <w:pPr>
        <w:jc w:val="both"/>
        <w:rPr>
          <w:b/>
          <w:sz w:val="22"/>
          <w:szCs w:val="24"/>
        </w:rPr>
      </w:pPr>
    </w:p>
    <w:p w:rsidR="002F536C" w:rsidRPr="002F536C" w:rsidRDefault="002F536C" w:rsidP="002F536C">
      <w:pPr>
        <w:jc w:val="both"/>
        <w:rPr>
          <w:b/>
          <w:sz w:val="22"/>
          <w:szCs w:val="24"/>
        </w:rPr>
      </w:pPr>
      <w:r w:rsidRPr="002F536C">
        <w:rPr>
          <w:b/>
          <w:sz w:val="22"/>
          <w:szCs w:val="24"/>
        </w:rPr>
        <w:t>Přijatá opatření</w:t>
      </w:r>
    </w:p>
    <w:p w:rsidR="002F536C" w:rsidRPr="002F536C" w:rsidRDefault="002F536C" w:rsidP="002F536C">
      <w:pPr>
        <w:jc w:val="both"/>
        <w:rPr>
          <w:sz w:val="22"/>
          <w:szCs w:val="24"/>
        </w:rPr>
      </w:pPr>
      <w:r w:rsidRPr="002F536C">
        <w:rPr>
          <w:sz w:val="22"/>
          <w:szCs w:val="24"/>
        </w:rPr>
        <w:t>K zajištění financování výdajů do konce programovacího období provedl ŘO IOP změnu výzev MMR č. 2 a 10 a prodloužil způsobilost výdajů a ukončení realizace projektů do 31. 12. 2015. Změna výzev byla zveřejněna dne 23. 7. 2015.</w:t>
      </w:r>
    </w:p>
    <w:p w:rsidR="002F536C" w:rsidRPr="002F536C" w:rsidRDefault="002F536C" w:rsidP="002F536C">
      <w:pPr>
        <w:jc w:val="both"/>
        <w:rPr>
          <w:b/>
          <w:sz w:val="22"/>
          <w:szCs w:val="24"/>
        </w:rPr>
      </w:pPr>
    </w:p>
    <w:p w:rsidR="002F536C" w:rsidRPr="002F536C" w:rsidRDefault="002F536C" w:rsidP="002F536C">
      <w:pPr>
        <w:jc w:val="both"/>
        <w:rPr>
          <w:b/>
          <w:sz w:val="22"/>
          <w:szCs w:val="24"/>
        </w:rPr>
      </w:pPr>
      <w:r w:rsidRPr="002F536C">
        <w:rPr>
          <w:b/>
          <w:sz w:val="22"/>
          <w:szCs w:val="24"/>
        </w:rPr>
        <w:t>Značná chybovost příjemců při zpracování veřejných zakázek, zejména ve fázi přípravy zadávací dokumentace.</w:t>
      </w:r>
    </w:p>
    <w:p w:rsidR="002F536C" w:rsidRPr="002F536C" w:rsidRDefault="002F536C" w:rsidP="002F536C">
      <w:pPr>
        <w:jc w:val="both"/>
        <w:rPr>
          <w:b/>
          <w:sz w:val="22"/>
          <w:szCs w:val="24"/>
        </w:rPr>
      </w:pPr>
    </w:p>
    <w:p w:rsidR="002F536C" w:rsidRPr="002F536C" w:rsidRDefault="002F536C" w:rsidP="002F536C">
      <w:pPr>
        <w:jc w:val="both"/>
        <w:rPr>
          <w:b/>
          <w:sz w:val="22"/>
          <w:szCs w:val="24"/>
        </w:rPr>
      </w:pPr>
      <w:r w:rsidRPr="002F536C">
        <w:rPr>
          <w:b/>
          <w:sz w:val="22"/>
          <w:szCs w:val="24"/>
        </w:rPr>
        <w:t>Přijatá opatření</w:t>
      </w:r>
    </w:p>
    <w:p w:rsidR="002F536C" w:rsidRPr="002F536C" w:rsidRDefault="002F536C" w:rsidP="002F536C">
      <w:pPr>
        <w:jc w:val="both"/>
        <w:rPr>
          <w:sz w:val="22"/>
          <w:szCs w:val="24"/>
        </w:rPr>
      </w:pPr>
      <w:r w:rsidRPr="002F536C">
        <w:rPr>
          <w:sz w:val="22"/>
          <w:szCs w:val="24"/>
        </w:rPr>
        <w:t xml:space="preserve">Stanovena povinnost kontroly veřejné zakázky před jejím vyhlášením, možnost konzultací s ŘO IOP </w:t>
      </w:r>
      <w:r>
        <w:rPr>
          <w:sz w:val="22"/>
          <w:szCs w:val="24"/>
        </w:rPr>
        <w:br/>
      </w:r>
      <w:r w:rsidRPr="002F536C">
        <w:rPr>
          <w:sz w:val="22"/>
          <w:szCs w:val="24"/>
        </w:rPr>
        <w:t>a příslušným pracovištěm Centra pro regionální rozvoj České republiky, které projekty TP IOP administruje.</w:t>
      </w:r>
    </w:p>
    <w:p w:rsidR="002F536C" w:rsidRPr="002F536C" w:rsidRDefault="002F536C" w:rsidP="002F536C">
      <w:pPr>
        <w:jc w:val="both"/>
        <w:rPr>
          <w:b/>
          <w:sz w:val="22"/>
          <w:szCs w:val="24"/>
        </w:rPr>
      </w:pPr>
    </w:p>
    <w:p w:rsidR="002F536C" w:rsidRPr="002F536C" w:rsidRDefault="002F536C" w:rsidP="002F536C">
      <w:pPr>
        <w:jc w:val="both"/>
        <w:rPr>
          <w:b/>
          <w:sz w:val="22"/>
          <w:szCs w:val="24"/>
        </w:rPr>
      </w:pPr>
      <w:r w:rsidRPr="002F536C">
        <w:rPr>
          <w:b/>
          <w:sz w:val="22"/>
          <w:szCs w:val="24"/>
        </w:rPr>
        <w:t xml:space="preserve">Problémy příjemců s přiřazováním výdajů ke konkrétním aktivitám projektů a zdůvodněním požadovaných změn v projektech. Z toho plynoucí časté vracení dokumentace k přepracování </w:t>
      </w:r>
      <w:r>
        <w:rPr>
          <w:b/>
          <w:sz w:val="22"/>
          <w:szCs w:val="24"/>
        </w:rPr>
        <w:br/>
      </w:r>
      <w:r w:rsidRPr="002F536C">
        <w:rPr>
          <w:b/>
          <w:sz w:val="22"/>
          <w:szCs w:val="24"/>
        </w:rPr>
        <w:t>a prodloužení doby administrace změn.</w:t>
      </w:r>
    </w:p>
    <w:p w:rsidR="002F536C" w:rsidRPr="002F536C" w:rsidRDefault="002F536C" w:rsidP="002F536C">
      <w:pPr>
        <w:jc w:val="both"/>
        <w:rPr>
          <w:b/>
          <w:sz w:val="22"/>
          <w:szCs w:val="24"/>
        </w:rPr>
      </w:pPr>
    </w:p>
    <w:p w:rsidR="002F536C" w:rsidRPr="002F536C" w:rsidRDefault="002F536C" w:rsidP="002F536C">
      <w:pPr>
        <w:jc w:val="both"/>
        <w:rPr>
          <w:b/>
          <w:sz w:val="22"/>
          <w:szCs w:val="24"/>
        </w:rPr>
      </w:pPr>
      <w:r w:rsidRPr="002F536C">
        <w:rPr>
          <w:b/>
          <w:sz w:val="22"/>
          <w:szCs w:val="24"/>
        </w:rPr>
        <w:lastRenderedPageBreak/>
        <w:t>Přijatá opatření</w:t>
      </w:r>
    </w:p>
    <w:p w:rsidR="00CC54BF" w:rsidRPr="002F536C" w:rsidRDefault="002F536C" w:rsidP="002F536C">
      <w:pPr>
        <w:jc w:val="both"/>
        <w:rPr>
          <w:bCs/>
          <w:sz w:val="22"/>
          <w:szCs w:val="22"/>
          <w:u w:val="single"/>
        </w:rPr>
      </w:pPr>
      <w:r w:rsidRPr="002F536C">
        <w:rPr>
          <w:sz w:val="22"/>
          <w:szCs w:val="24"/>
        </w:rPr>
        <w:t>Zvýšená míra konzultací s ŘO IOP před předložením Oznámení o změnách v projektu, konzultace plánovaných změn.</w:t>
      </w:r>
    </w:p>
    <w:p w:rsidR="00D644B0" w:rsidRPr="00743739" w:rsidRDefault="00D644B0">
      <w:pPr>
        <w:pStyle w:val="Nadpis1"/>
        <w:spacing w:before="240" w:after="60"/>
        <w:jc w:val="left"/>
        <w:rPr>
          <w:smallCaps w:val="0"/>
          <w:kern w:val="32"/>
          <w:sz w:val="32"/>
          <w:szCs w:val="32"/>
        </w:rPr>
      </w:pPr>
      <w:bookmarkStart w:id="150" w:name="_Toc433873521"/>
      <w:r w:rsidRPr="00743739">
        <w:rPr>
          <w:smallCaps w:val="0"/>
          <w:kern w:val="32"/>
          <w:sz w:val="32"/>
          <w:szCs w:val="32"/>
        </w:rPr>
        <w:t>4 ADMINISTRATIVNÍ ZAJIŠTĚNÍ PROGRAMU</w:t>
      </w:r>
      <w:bookmarkEnd w:id="150"/>
    </w:p>
    <w:p w:rsidR="00D644B0" w:rsidRPr="00B7725D" w:rsidRDefault="00D644B0">
      <w:pPr>
        <w:pStyle w:val="Nadpis2"/>
        <w:rPr>
          <w:rFonts w:ascii="Times New Roman" w:hAnsi="Times New Roman"/>
          <w:i w:val="0"/>
        </w:rPr>
      </w:pPr>
      <w:bookmarkStart w:id="151" w:name="_Toc433873522"/>
      <w:r w:rsidRPr="00B7725D">
        <w:rPr>
          <w:rFonts w:ascii="Times New Roman" w:hAnsi="Times New Roman"/>
          <w:i w:val="0"/>
        </w:rPr>
        <w:t>4.1 Informace o provádění a výsledcích auditů a finančních kontrol</w:t>
      </w:r>
      <w:bookmarkEnd w:id="151"/>
    </w:p>
    <w:p w:rsidR="0037245F" w:rsidRDefault="0037245F" w:rsidP="00EB1C14">
      <w:pPr>
        <w:jc w:val="both"/>
        <w:rPr>
          <w:b/>
          <w:sz w:val="22"/>
          <w:szCs w:val="22"/>
          <w:u w:val="single"/>
        </w:rPr>
      </w:pPr>
    </w:p>
    <w:p w:rsidR="00EB1C14" w:rsidRPr="00346E66" w:rsidRDefault="00EB1C14" w:rsidP="00EB1C14">
      <w:pPr>
        <w:jc w:val="both"/>
        <w:rPr>
          <w:b/>
          <w:sz w:val="22"/>
          <w:szCs w:val="22"/>
          <w:u w:val="single"/>
        </w:rPr>
      </w:pPr>
      <w:r w:rsidRPr="00346E66">
        <w:rPr>
          <w:b/>
          <w:sz w:val="22"/>
          <w:szCs w:val="22"/>
          <w:u w:val="single"/>
        </w:rPr>
        <w:t>Audity Evropské komise</w:t>
      </w:r>
    </w:p>
    <w:p w:rsidR="00EB1C14" w:rsidRPr="00346E66" w:rsidRDefault="00EB1C14" w:rsidP="00EB1C14">
      <w:pPr>
        <w:rPr>
          <w:b/>
          <w:i/>
          <w:sz w:val="22"/>
          <w:szCs w:val="22"/>
        </w:rPr>
      </w:pPr>
    </w:p>
    <w:p w:rsidR="00EB1C14" w:rsidRPr="00346E66" w:rsidRDefault="00EB1C14" w:rsidP="00EB1C14">
      <w:pPr>
        <w:rPr>
          <w:b/>
          <w:i/>
          <w:sz w:val="22"/>
          <w:szCs w:val="22"/>
        </w:rPr>
      </w:pPr>
      <w:r w:rsidRPr="00346E66">
        <w:rPr>
          <w:b/>
          <w:i/>
          <w:sz w:val="22"/>
          <w:szCs w:val="22"/>
        </w:rPr>
        <w:t>Audit Evropské komise č. 2013/CZ/REGIO/C4/1332/1</w:t>
      </w:r>
    </w:p>
    <w:p w:rsidR="00EB1C14" w:rsidRPr="00EB1C14" w:rsidRDefault="00EB1C14" w:rsidP="00346E66">
      <w:pPr>
        <w:jc w:val="both"/>
        <w:rPr>
          <w:sz w:val="22"/>
          <w:szCs w:val="22"/>
        </w:rPr>
      </w:pPr>
      <w:r w:rsidRPr="00EB1C14">
        <w:rPr>
          <w:sz w:val="22"/>
          <w:szCs w:val="22"/>
        </w:rPr>
        <w:t>V dubnu 2014 zahájila EK audit na Auditním orgánu MF ČR (dále také „AO“) a u příjemců osmi vybraných projektů IOP. Auditní mise spočívala v opětovném auditu projektů, které auditoval AO při auditu operací roku 2013. Závěrečná zpráva o auditu byla doručena na Stálé zastoupení ČR při EU Brusel dne 22. 6. 215 a obsahuje následující zjištění:</w:t>
      </w:r>
    </w:p>
    <w:p w:rsidR="00EB1C14" w:rsidRPr="00EB1C14" w:rsidRDefault="00EB1C14" w:rsidP="00346E66">
      <w:pPr>
        <w:pStyle w:val="Odstavecseseznamem"/>
        <w:numPr>
          <w:ilvl w:val="0"/>
          <w:numId w:val="36"/>
        </w:numPr>
        <w:spacing w:after="0" w:line="240" w:lineRule="auto"/>
        <w:jc w:val="both"/>
        <w:rPr>
          <w:rFonts w:ascii="Times New Roman" w:hAnsi="Times New Roman"/>
        </w:rPr>
      </w:pPr>
      <w:r w:rsidRPr="00EB1C14">
        <w:rPr>
          <w:rFonts w:ascii="Times New Roman" w:hAnsi="Times New Roman"/>
        </w:rPr>
        <w:t>u tří auditovaných zakázek u základních registrů byla navržena finanční oprava ve výši 10 %, přičemž Auditní orgán již aplikoval finanční korekci ve výši 5 % v důsledku jiných zjištění (projekty č. CZ.1.06/1.1.00/03.05890, CZ.1.06/1.1.00/03.05891, CZ.1.06/1.1.00/03.05889);</w:t>
      </w:r>
    </w:p>
    <w:p w:rsidR="00EB1C14" w:rsidRPr="00EB1C14" w:rsidRDefault="00EB1C14" w:rsidP="00346E66">
      <w:pPr>
        <w:pStyle w:val="Odstavecseseznamem"/>
        <w:numPr>
          <w:ilvl w:val="0"/>
          <w:numId w:val="36"/>
        </w:numPr>
        <w:spacing w:after="0" w:line="240" w:lineRule="auto"/>
        <w:jc w:val="both"/>
        <w:rPr>
          <w:rFonts w:ascii="Times New Roman" w:hAnsi="Times New Roman"/>
        </w:rPr>
      </w:pPr>
      <w:r w:rsidRPr="00EB1C14">
        <w:rPr>
          <w:rFonts w:ascii="Times New Roman" w:hAnsi="Times New Roman"/>
        </w:rPr>
        <w:t>nedostatek jasné strategie v případě investic do IT;</w:t>
      </w:r>
    </w:p>
    <w:p w:rsidR="00EB1C14" w:rsidRPr="00EB1C14" w:rsidRDefault="00EB1C14" w:rsidP="00346E66">
      <w:pPr>
        <w:pStyle w:val="Odstavecseseznamem"/>
        <w:numPr>
          <w:ilvl w:val="0"/>
          <w:numId w:val="36"/>
        </w:numPr>
        <w:spacing w:after="0" w:line="240" w:lineRule="auto"/>
        <w:jc w:val="both"/>
        <w:rPr>
          <w:rFonts w:ascii="Times New Roman" w:hAnsi="Times New Roman"/>
        </w:rPr>
      </w:pPr>
      <w:r w:rsidRPr="00EB1C14">
        <w:rPr>
          <w:rFonts w:ascii="Times New Roman" w:hAnsi="Times New Roman"/>
        </w:rPr>
        <w:t xml:space="preserve">nerovné podmínky pro uchazeče u projektů č. CZ.1.06/2.1.00/08.07159 </w:t>
      </w:r>
      <w:r>
        <w:rPr>
          <w:rFonts w:ascii="Times New Roman" w:hAnsi="Times New Roman"/>
        </w:rPr>
        <w:br/>
      </w:r>
      <w:r w:rsidRPr="00EB1C14">
        <w:rPr>
          <w:rFonts w:ascii="Times New Roman" w:hAnsi="Times New Roman"/>
        </w:rPr>
        <w:t>a č. CZ.1.06/2.1.00/08.07161 s finanční korekcí ve výši 10 %, argumenty národních orgánů týkající se potencionálního střetu zájmu byly EK přijaty;</w:t>
      </w:r>
    </w:p>
    <w:p w:rsidR="00EB1C14" w:rsidRPr="00EB1C14" w:rsidRDefault="00EB1C14" w:rsidP="00346E66">
      <w:pPr>
        <w:pStyle w:val="Odstavecseseznamem"/>
        <w:numPr>
          <w:ilvl w:val="0"/>
          <w:numId w:val="36"/>
        </w:numPr>
        <w:spacing w:after="0" w:line="240" w:lineRule="auto"/>
        <w:jc w:val="both"/>
        <w:rPr>
          <w:rFonts w:ascii="Times New Roman" w:hAnsi="Times New Roman"/>
        </w:rPr>
      </w:pPr>
      <w:r w:rsidRPr="00EB1C14">
        <w:rPr>
          <w:rFonts w:ascii="Times New Roman" w:hAnsi="Times New Roman"/>
        </w:rPr>
        <w:t>nepřiměřená a diskriminační kritéria pro posouzení kvalifikace a netransparentní hodnocení nabídek u projektu č. CZ.1.06/2.1.00/06.06695 s finanční korekcí ve výši 10 %, EK dospěla k závěru, že zjištěná nesrovnalost měla omezený dopad na udělení zakázky;</w:t>
      </w:r>
    </w:p>
    <w:p w:rsidR="00EB1C14" w:rsidRPr="00EB1C14" w:rsidRDefault="00EB1C14" w:rsidP="00346E66">
      <w:pPr>
        <w:pStyle w:val="Odstavecseseznamem"/>
        <w:numPr>
          <w:ilvl w:val="0"/>
          <w:numId w:val="36"/>
        </w:numPr>
        <w:spacing w:after="0" w:line="240" w:lineRule="auto"/>
        <w:jc w:val="both"/>
        <w:rPr>
          <w:rFonts w:ascii="Times New Roman" w:hAnsi="Times New Roman"/>
        </w:rPr>
      </w:pPr>
      <w:r w:rsidRPr="00EB1C14">
        <w:rPr>
          <w:rFonts w:ascii="Times New Roman" w:hAnsi="Times New Roman"/>
        </w:rPr>
        <w:t>nedostatečná práce AO.</w:t>
      </w:r>
    </w:p>
    <w:p w:rsidR="00EB1C14" w:rsidRPr="00EB1C14" w:rsidRDefault="00EB1C14" w:rsidP="00EB1C14">
      <w:pPr>
        <w:jc w:val="both"/>
        <w:rPr>
          <w:sz w:val="22"/>
          <w:szCs w:val="22"/>
        </w:rPr>
      </w:pPr>
      <w:r w:rsidRPr="00EB1C14">
        <w:rPr>
          <w:sz w:val="22"/>
          <w:szCs w:val="22"/>
        </w:rPr>
        <w:t xml:space="preserve">Přepočet projektové chybovosti za rok 2013 činí podle přepočtu provedeného útvary Komise 2,97 % </w:t>
      </w:r>
      <w:r>
        <w:rPr>
          <w:sz w:val="22"/>
          <w:szCs w:val="22"/>
        </w:rPr>
        <w:br/>
      </w:r>
      <w:r w:rsidRPr="00EB1C14">
        <w:rPr>
          <w:sz w:val="22"/>
          <w:szCs w:val="22"/>
        </w:rPr>
        <w:t xml:space="preserve">a horní limit nesprávností činí 4,93 %. ŘO IOP nesouhlasil se závěry zjištění </w:t>
      </w:r>
      <w:r w:rsidR="00760173">
        <w:rPr>
          <w:sz w:val="22"/>
          <w:szCs w:val="22"/>
        </w:rPr>
        <w:br/>
      </w:r>
      <w:r w:rsidRPr="00EB1C14">
        <w:rPr>
          <w:sz w:val="22"/>
          <w:szCs w:val="22"/>
        </w:rPr>
        <w:t xml:space="preserve">č. 1 a předal AO návrh argumentace k využití při rozporování závěrů EK.  AO zažádal EK v srpnu 2015 o přehodnocení výše finanční opravy s ohledem na vyhodnocení závažnosti a v souladu s principem proporcionality žádal o ponechání 5% korekce u zjištění č. 1. Audit EK nebyl ke dni </w:t>
      </w:r>
      <w:r w:rsidR="00760173">
        <w:rPr>
          <w:sz w:val="22"/>
          <w:szCs w:val="22"/>
        </w:rPr>
        <w:br/>
      </w:r>
      <w:r w:rsidR="00501A6E">
        <w:rPr>
          <w:sz w:val="22"/>
          <w:szCs w:val="22"/>
        </w:rPr>
        <w:t>30</w:t>
      </w:r>
      <w:r w:rsidR="009752CD">
        <w:rPr>
          <w:sz w:val="22"/>
          <w:szCs w:val="22"/>
        </w:rPr>
        <w:t>. 9</w:t>
      </w:r>
      <w:r w:rsidRPr="00EB1C14">
        <w:rPr>
          <w:sz w:val="22"/>
          <w:szCs w:val="22"/>
        </w:rPr>
        <w:t>. 2015 finálně ukončen.</w:t>
      </w:r>
    </w:p>
    <w:p w:rsidR="00EB1C14" w:rsidRPr="00EB1C14" w:rsidRDefault="00EB1C14" w:rsidP="00EB1C14">
      <w:pPr>
        <w:jc w:val="both"/>
        <w:rPr>
          <w:sz w:val="22"/>
          <w:szCs w:val="22"/>
        </w:rPr>
      </w:pPr>
    </w:p>
    <w:p w:rsidR="00EB1C14" w:rsidRPr="00760173" w:rsidRDefault="00EB1C14" w:rsidP="00EB1C14">
      <w:pPr>
        <w:rPr>
          <w:b/>
          <w:i/>
          <w:sz w:val="22"/>
          <w:szCs w:val="22"/>
        </w:rPr>
      </w:pPr>
      <w:r w:rsidRPr="00760173">
        <w:rPr>
          <w:b/>
          <w:i/>
          <w:sz w:val="22"/>
          <w:szCs w:val="22"/>
        </w:rPr>
        <w:t>Audit Evropské komise č. 2014/CZ/REGIO/C4/1349/1</w:t>
      </w:r>
    </w:p>
    <w:p w:rsidR="00EB1C14" w:rsidRDefault="00EB1C14" w:rsidP="00DA4FF0">
      <w:pPr>
        <w:jc w:val="both"/>
        <w:rPr>
          <w:sz w:val="22"/>
          <w:szCs w:val="22"/>
        </w:rPr>
      </w:pPr>
      <w:r w:rsidRPr="00760173">
        <w:rPr>
          <w:sz w:val="22"/>
          <w:szCs w:val="22"/>
        </w:rPr>
        <w:t>V dubnu 2014 Evropsk</w:t>
      </w:r>
      <w:r w:rsidR="00DA4FF0">
        <w:rPr>
          <w:sz w:val="22"/>
          <w:szCs w:val="22"/>
        </w:rPr>
        <w:t>á</w:t>
      </w:r>
      <w:r w:rsidRPr="00760173">
        <w:rPr>
          <w:sz w:val="22"/>
          <w:szCs w:val="22"/>
        </w:rPr>
        <w:t xml:space="preserve"> komise zaháj</w:t>
      </w:r>
      <w:r w:rsidR="00DA4FF0">
        <w:rPr>
          <w:sz w:val="22"/>
          <w:szCs w:val="22"/>
        </w:rPr>
        <w:t>ila</w:t>
      </w:r>
      <w:r w:rsidRPr="00760173">
        <w:rPr>
          <w:sz w:val="22"/>
          <w:szCs w:val="22"/>
        </w:rPr>
        <w:t xml:space="preserve"> audit zadávání veřejných zakázek na vysílací služby. Z hlediska OP IOP se audit týkal projektů v oblasti intervence (dále také „OI“) 4.1 příjemce České centrály cestovního ruchu a projektu oblasti intervence 1.1 příjemce MV ČR. Závěrečná zpráva auditu ze dne 27. 4. 2015 neobsahuje finanční korekce související s IOP. Zjištění se týkají neadekvátní transpozice směrnice EU o veřejných zakázkách (článek 16 směrnice 2004/18/ES v českém právu), přímých zadání veřejných zakázek na nabývání, přípravu, výrobu nebo společnou výrobu programového obsahu, které není v souladu se směrnicí EU o veřejných zakázkách.</w:t>
      </w:r>
    </w:p>
    <w:p w:rsidR="009752CD" w:rsidRDefault="009752CD" w:rsidP="00EB1C14">
      <w:pPr>
        <w:jc w:val="both"/>
        <w:rPr>
          <w:sz w:val="22"/>
          <w:szCs w:val="22"/>
        </w:rPr>
      </w:pPr>
    </w:p>
    <w:p w:rsidR="009752CD" w:rsidRPr="00346E66" w:rsidRDefault="009752CD" w:rsidP="009752CD">
      <w:pPr>
        <w:rPr>
          <w:b/>
          <w:i/>
          <w:sz w:val="22"/>
          <w:szCs w:val="22"/>
        </w:rPr>
      </w:pPr>
      <w:r w:rsidRPr="00346E66">
        <w:rPr>
          <w:b/>
          <w:i/>
          <w:sz w:val="22"/>
          <w:szCs w:val="22"/>
        </w:rPr>
        <w:t>Audit Evropské</w:t>
      </w:r>
      <w:r>
        <w:rPr>
          <w:b/>
          <w:i/>
          <w:sz w:val="22"/>
          <w:szCs w:val="22"/>
        </w:rPr>
        <w:t xml:space="preserve"> komise č. 2013/CZ/REGIO/C4/1309</w:t>
      </w:r>
      <w:r w:rsidRPr="00346E66">
        <w:rPr>
          <w:b/>
          <w:i/>
          <w:sz w:val="22"/>
          <w:szCs w:val="22"/>
        </w:rPr>
        <w:t>/1</w:t>
      </w:r>
    </w:p>
    <w:p w:rsidR="00AF5775" w:rsidRPr="002B0B08" w:rsidRDefault="00980AB0" w:rsidP="002B0B08">
      <w:pPr>
        <w:jc w:val="both"/>
        <w:rPr>
          <w:sz w:val="22"/>
          <w:szCs w:val="22"/>
        </w:rPr>
      </w:pPr>
      <w:r>
        <w:rPr>
          <w:sz w:val="22"/>
          <w:szCs w:val="22"/>
        </w:rPr>
        <w:t xml:space="preserve">Audit EK byl proveden u PCO ve dnech 18. – 22. 11. 2013 s cílem ověřit přesnost, věrohodnost, úplnost a spolehlivost výkazů částek </w:t>
      </w:r>
      <w:r w:rsidR="00DA4FF0">
        <w:rPr>
          <w:sz w:val="22"/>
          <w:szCs w:val="22"/>
        </w:rPr>
        <w:t>po</w:t>
      </w:r>
      <w:r>
        <w:rPr>
          <w:sz w:val="22"/>
          <w:szCs w:val="22"/>
        </w:rPr>
        <w:t>dle čl. 20 nařízení Komise (ES) č. 1828/2006</w:t>
      </w:r>
      <w:r w:rsidR="00AF5775">
        <w:rPr>
          <w:sz w:val="22"/>
          <w:szCs w:val="22"/>
        </w:rPr>
        <w:t xml:space="preserve"> u </w:t>
      </w:r>
      <w:r w:rsidR="00DA4FF0">
        <w:rPr>
          <w:sz w:val="22"/>
          <w:szCs w:val="22"/>
        </w:rPr>
        <w:t>několika</w:t>
      </w:r>
      <w:r w:rsidR="00AF5775">
        <w:rPr>
          <w:sz w:val="22"/>
          <w:szCs w:val="22"/>
        </w:rPr>
        <w:t xml:space="preserve"> operačních programů</w:t>
      </w:r>
      <w:r>
        <w:rPr>
          <w:sz w:val="22"/>
          <w:szCs w:val="22"/>
        </w:rPr>
        <w:t>.</w:t>
      </w:r>
      <w:r w:rsidR="00AF5775">
        <w:rPr>
          <w:sz w:val="22"/>
          <w:szCs w:val="22"/>
        </w:rPr>
        <w:t xml:space="preserve"> </w:t>
      </w:r>
      <w:r w:rsidR="00AF5775" w:rsidRPr="002B0B08">
        <w:rPr>
          <w:sz w:val="22"/>
          <w:szCs w:val="22"/>
        </w:rPr>
        <w:t xml:space="preserve">Finální auditní zpráva byla doručena dne 10. 12. 2014. Míra jistoty EK ohledně opatření certifikačního orgánu je v této zprávě hodnocena kategorií 2 – Funguje, ale je třeba určitých zlepšení. Žádný z identifikovaných nedostatků </w:t>
      </w:r>
      <w:r w:rsidR="00DA4FF0">
        <w:rPr>
          <w:sz w:val="22"/>
          <w:szCs w:val="22"/>
        </w:rPr>
        <w:t>se</w:t>
      </w:r>
      <w:r w:rsidR="00AF5775" w:rsidRPr="002B0B08">
        <w:rPr>
          <w:sz w:val="22"/>
          <w:szCs w:val="22"/>
        </w:rPr>
        <w:t xml:space="preserve"> střední mír</w:t>
      </w:r>
      <w:r w:rsidR="00DA4FF0">
        <w:rPr>
          <w:sz w:val="22"/>
          <w:szCs w:val="22"/>
        </w:rPr>
        <w:t>o</w:t>
      </w:r>
      <w:r w:rsidR="00AF5775" w:rsidRPr="002B0B08">
        <w:rPr>
          <w:sz w:val="22"/>
          <w:szCs w:val="22"/>
        </w:rPr>
        <w:t>u závažnosti se netýká operací IOP</w:t>
      </w:r>
      <w:r w:rsidR="00DA4FF0">
        <w:rPr>
          <w:sz w:val="22"/>
          <w:szCs w:val="22"/>
        </w:rPr>
        <w:t>,</w:t>
      </w:r>
      <w:r w:rsidR="00AF5775" w:rsidRPr="002B0B08">
        <w:rPr>
          <w:sz w:val="22"/>
          <w:szCs w:val="22"/>
        </w:rPr>
        <w:t xml:space="preserve"> prověřovaných v </w:t>
      </w:r>
      <w:r w:rsidR="00DA4FF0">
        <w:rPr>
          <w:sz w:val="22"/>
          <w:szCs w:val="22"/>
        </w:rPr>
        <w:t>šetření</w:t>
      </w:r>
      <w:r w:rsidR="00AF5775" w:rsidRPr="002B0B08">
        <w:rPr>
          <w:sz w:val="22"/>
          <w:szCs w:val="22"/>
        </w:rPr>
        <w:t xml:space="preserve"> auditu.</w:t>
      </w:r>
      <w:r w:rsidR="002B0B08" w:rsidRPr="002B0B08">
        <w:rPr>
          <w:sz w:val="22"/>
          <w:szCs w:val="22"/>
        </w:rPr>
        <w:t xml:space="preserve"> PCO byl požádán o prověření správnosti a úplnosti informací uvedených v hlášeních nesrovnalostí na vnitřní i vnější úrovni.</w:t>
      </w:r>
    </w:p>
    <w:p w:rsidR="00760173" w:rsidRDefault="00980AB0" w:rsidP="00EB1C14">
      <w:pPr>
        <w:jc w:val="both"/>
        <w:rPr>
          <w:rFonts w:ascii="Arial" w:hAnsi="Arial" w:cs="Arial"/>
          <w:b/>
          <w:u w:val="single"/>
        </w:rPr>
      </w:pPr>
      <w:r>
        <w:rPr>
          <w:sz w:val="22"/>
          <w:szCs w:val="22"/>
        </w:rPr>
        <w:t xml:space="preserve"> </w:t>
      </w:r>
    </w:p>
    <w:p w:rsidR="00DD6F98" w:rsidRDefault="00DD6F98" w:rsidP="00EB1C14">
      <w:pPr>
        <w:jc w:val="both"/>
        <w:rPr>
          <w:b/>
          <w:sz w:val="22"/>
          <w:szCs w:val="22"/>
          <w:u w:val="single"/>
        </w:rPr>
      </w:pPr>
    </w:p>
    <w:p w:rsidR="00DD6F98" w:rsidRDefault="00DD6F98" w:rsidP="00EB1C14">
      <w:pPr>
        <w:jc w:val="both"/>
        <w:rPr>
          <w:b/>
          <w:sz w:val="22"/>
          <w:szCs w:val="22"/>
          <w:u w:val="single"/>
        </w:rPr>
      </w:pPr>
    </w:p>
    <w:p w:rsidR="00DD6F98" w:rsidRDefault="00DD6F98" w:rsidP="00EB1C14">
      <w:pPr>
        <w:jc w:val="both"/>
        <w:rPr>
          <w:b/>
          <w:sz w:val="22"/>
          <w:szCs w:val="22"/>
          <w:u w:val="single"/>
        </w:rPr>
      </w:pPr>
    </w:p>
    <w:p w:rsidR="00EB1C14" w:rsidRPr="00346E66" w:rsidRDefault="00EB1C14" w:rsidP="00EB1C14">
      <w:pPr>
        <w:jc w:val="both"/>
        <w:rPr>
          <w:b/>
          <w:sz w:val="22"/>
          <w:szCs w:val="22"/>
          <w:u w:val="single"/>
        </w:rPr>
      </w:pPr>
      <w:r w:rsidRPr="00346E66">
        <w:rPr>
          <w:b/>
          <w:sz w:val="22"/>
          <w:szCs w:val="22"/>
          <w:u w:val="single"/>
        </w:rPr>
        <w:lastRenderedPageBreak/>
        <w:t>Audity Auditního orgánu</w:t>
      </w:r>
    </w:p>
    <w:p w:rsidR="00EB1C14" w:rsidRPr="00760173" w:rsidRDefault="00EB1C14" w:rsidP="00EB1C14">
      <w:pPr>
        <w:jc w:val="both"/>
        <w:rPr>
          <w:sz w:val="22"/>
          <w:szCs w:val="22"/>
          <w:highlight w:val="yellow"/>
        </w:rPr>
      </w:pPr>
    </w:p>
    <w:p w:rsidR="00EB1C14" w:rsidRPr="00760173" w:rsidRDefault="00EB1C14" w:rsidP="00EB1C14">
      <w:pPr>
        <w:rPr>
          <w:b/>
          <w:i/>
          <w:sz w:val="22"/>
          <w:szCs w:val="22"/>
        </w:rPr>
      </w:pPr>
      <w:r w:rsidRPr="00760173">
        <w:rPr>
          <w:b/>
          <w:i/>
          <w:sz w:val="22"/>
          <w:szCs w:val="22"/>
        </w:rPr>
        <w:t>Audity operací 2014</w:t>
      </w:r>
    </w:p>
    <w:p w:rsidR="00760173" w:rsidRPr="0037245F" w:rsidRDefault="00EB1C14" w:rsidP="0037245F">
      <w:pPr>
        <w:autoSpaceDE w:val="0"/>
        <w:autoSpaceDN w:val="0"/>
        <w:adjustRightInd w:val="0"/>
        <w:jc w:val="both"/>
        <w:rPr>
          <w:sz w:val="22"/>
          <w:szCs w:val="22"/>
        </w:rPr>
      </w:pPr>
      <w:r w:rsidRPr="00760173">
        <w:rPr>
          <w:sz w:val="22"/>
          <w:szCs w:val="22"/>
        </w:rPr>
        <w:t>Auditním orgánem bylo v rámci auditů operací auditováno 67 projektů. Na základě provedených auditů operací v roce 2014 auditoři AO identifikovali chyby ve výši 188 370 412,71 Kč</w:t>
      </w:r>
      <w:r w:rsidR="00DA4FF0">
        <w:rPr>
          <w:sz w:val="22"/>
          <w:szCs w:val="22"/>
        </w:rPr>
        <w:t>,</w:t>
      </w:r>
      <w:r w:rsidRPr="00760173">
        <w:rPr>
          <w:sz w:val="22"/>
          <w:szCs w:val="22"/>
        </w:rPr>
        <w:t xml:space="preserve"> představující 2,32 % z celkových auditovaných výdajů (u 25 projektů), jež se týkaly především nedostatků v aplikaci zákona o veřejných zakázkách. V roce 2014 byla rovněž identifikována pochybení související s porušením podmínek pro poskytnutí dotace. Jednalo se o dva případy v celkovém finančním objemu přes 80 mil. Kč.</w:t>
      </w:r>
    </w:p>
    <w:p w:rsidR="00EB1C14" w:rsidRPr="00C006F6" w:rsidRDefault="00EB1C14" w:rsidP="00EB1C14">
      <w:pPr>
        <w:jc w:val="both"/>
        <w:rPr>
          <w:rFonts w:ascii="Arial" w:hAnsi="Arial" w:cs="Arial"/>
          <w:i/>
        </w:rPr>
      </w:pPr>
    </w:p>
    <w:p w:rsidR="00EB1C14" w:rsidRPr="00760173" w:rsidRDefault="00EB1C14" w:rsidP="00EB1C14">
      <w:pPr>
        <w:jc w:val="both"/>
        <w:rPr>
          <w:b/>
          <w:i/>
          <w:sz w:val="22"/>
          <w:szCs w:val="22"/>
        </w:rPr>
      </w:pPr>
      <w:r w:rsidRPr="00760173">
        <w:rPr>
          <w:b/>
          <w:i/>
          <w:sz w:val="22"/>
          <w:szCs w:val="22"/>
        </w:rPr>
        <w:t>Audit systému implementace IOP č. IOP/2014/S/001</w:t>
      </w:r>
    </w:p>
    <w:p w:rsidR="00EB1C14" w:rsidRPr="00760173" w:rsidRDefault="00EB1C14" w:rsidP="00EB1C14">
      <w:pPr>
        <w:rPr>
          <w:sz w:val="22"/>
          <w:szCs w:val="22"/>
        </w:rPr>
      </w:pPr>
      <w:r w:rsidRPr="00760173">
        <w:rPr>
          <w:sz w:val="22"/>
          <w:szCs w:val="22"/>
        </w:rPr>
        <w:t xml:space="preserve">Audit systému implementace byl zahájen u ŘO IOP s účastí zástupců jednotlivých ZS dne 6. 11. 2014. Audit byl zaměřen na činnost ŘO IOP a ZS v období od 1. 7. 2013 do 30. 6. 2014 a jeho součástí bylo i šetření nesrovnalostí. Finální zpráva z auditu doručena na ŘO IOP dne 19. 8. 2015 obsahuje následující zjištění s vysokou mírou závažnosti: </w:t>
      </w:r>
    </w:p>
    <w:p w:rsidR="00EB1C14" w:rsidRPr="00760173" w:rsidRDefault="00EB1C14" w:rsidP="00EB1C14">
      <w:pPr>
        <w:pStyle w:val="Odstavecseseznamem"/>
        <w:numPr>
          <w:ilvl w:val="0"/>
          <w:numId w:val="34"/>
        </w:numPr>
        <w:rPr>
          <w:rFonts w:ascii="Times New Roman" w:eastAsia="Times New Roman" w:hAnsi="Times New Roman"/>
          <w:lang w:eastAsia="cs-CZ"/>
        </w:rPr>
      </w:pPr>
      <w:r w:rsidRPr="00760173">
        <w:rPr>
          <w:rFonts w:ascii="Times New Roman" w:eastAsia="Times New Roman" w:hAnsi="Times New Roman"/>
          <w:lang w:eastAsia="cs-CZ"/>
        </w:rPr>
        <w:t>nesprávné vyřešení 9 nesrovnalostí</w:t>
      </w:r>
      <w:r w:rsidR="00DA4FF0">
        <w:rPr>
          <w:rFonts w:ascii="Times New Roman" w:eastAsia="Times New Roman" w:hAnsi="Times New Roman"/>
          <w:lang w:eastAsia="cs-CZ"/>
        </w:rPr>
        <w:t>,</w:t>
      </w:r>
    </w:p>
    <w:p w:rsidR="00EB1C14" w:rsidRPr="00760173" w:rsidRDefault="00EB1C14" w:rsidP="00EB1C14">
      <w:pPr>
        <w:pStyle w:val="Odstavecseseznamem"/>
        <w:numPr>
          <w:ilvl w:val="0"/>
          <w:numId w:val="34"/>
        </w:numPr>
        <w:rPr>
          <w:rFonts w:ascii="Times New Roman" w:eastAsia="Times New Roman" w:hAnsi="Times New Roman"/>
          <w:lang w:eastAsia="cs-CZ"/>
        </w:rPr>
      </w:pPr>
      <w:r w:rsidRPr="00760173">
        <w:rPr>
          <w:rFonts w:ascii="Times New Roman" w:eastAsia="Times New Roman" w:hAnsi="Times New Roman"/>
          <w:lang w:eastAsia="cs-CZ"/>
        </w:rPr>
        <w:t>neprovádění kontrol dle čl. 13 Nařízení Komise (ES) č. 1828/2006 v rámci finančního nástroje Jessica u Holdingového fondu, správce FRM a koncových uživatelů</w:t>
      </w:r>
      <w:r w:rsidR="00DA4FF0">
        <w:rPr>
          <w:rFonts w:ascii="Times New Roman" w:eastAsia="Times New Roman" w:hAnsi="Times New Roman"/>
          <w:lang w:eastAsia="cs-CZ"/>
        </w:rPr>
        <w:t>,</w:t>
      </w:r>
    </w:p>
    <w:p w:rsidR="00EB1C14" w:rsidRPr="00760173" w:rsidRDefault="00EB1C14" w:rsidP="00EB1C14">
      <w:pPr>
        <w:pStyle w:val="Odstavecseseznamem"/>
        <w:numPr>
          <w:ilvl w:val="0"/>
          <w:numId w:val="34"/>
        </w:numPr>
        <w:rPr>
          <w:rFonts w:ascii="Times New Roman" w:eastAsia="Times New Roman" w:hAnsi="Times New Roman"/>
          <w:lang w:eastAsia="cs-CZ"/>
        </w:rPr>
      </w:pPr>
      <w:r w:rsidRPr="00760173">
        <w:rPr>
          <w:rFonts w:ascii="Times New Roman" w:eastAsia="Times New Roman" w:hAnsi="Times New Roman"/>
          <w:lang w:eastAsia="cs-CZ"/>
        </w:rPr>
        <w:t>neprovádění kontrol dle čl. 13 Nařízení Komise (ES) č. 1828/2006 v rámci finančního nástroje Jessica systému</w:t>
      </w:r>
      <w:r w:rsidR="00DA4FF0">
        <w:rPr>
          <w:rFonts w:ascii="Times New Roman" w:eastAsia="Times New Roman" w:hAnsi="Times New Roman"/>
          <w:lang w:eastAsia="cs-CZ"/>
        </w:rPr>
        <w:t>, které se týkají</w:t>
      </w:r>
      <w:r w:rsidRPr="00760173">
        <w:rPr>
          <w:rFonts w:ascii="Times New Roman" w:eastAsia="Times New Roman" w:hAnsi="Times New Roman"/>
          <w:lang w:eastAsia="cs-CZ"/>
        </w:rPr>
        <w:t xml:space="preserve"> výběru koncových uživatelů.</w:t>
      </w:r>
    </w:p>
    <w:p w:rsidR="00EB1C14" w:rsidRPr="00760173" w:rsidRDefault="00EB1C14" w:rsidP="00EB1C14">
      <w:pPr>
        <w:rPr>
          <w:sz w:val="22"/>
          <w:szCs w:val="22"/>
        </w:rPr>
      </w:pPr>
      <w:r w:rsidRPr="00760173">
        <w:rPr>
          <w:sz w:val="22"/>
          <w:szCs w:val="22"/>
        </w:rPr>
        <w:t>Zjištění se střední mírou závažnosti:</w:t>
      </w:r>
    </w:p>
    <w:p w:rsidR="00EB1C14" w:rsidRPr="00760173" w:rsidRDefault="00EB1C14" w:rsidP="00EB1C14">
      <w:pPr>
        <w:pStyle w:val="Odstavecseseznamem"/>
        <w:numPr>
          <w:ilvl w:val="0"/>
          <w:numId w:val="34"/>
        </w:numPr>
        <w:rPr>
          <w:rFonts w:ascii="Times New Roman" w:eastAsia="Times New Roman" w:hAnsi="Times New Roman"/>
          <w:lang w:eastAsia="cs-CZ"/>
        </w:rPr>
      </w:pPr>
      <w:r w:rsidRPr="00760173">
        <w:rPr>
          <w:rFonts w:ascii="Times New Roman" w:eastAsia="Times New Roman" w:hAnsi="Times New Roman"/>
          <w:lang w:eastAsia="cs-CZ"/>
        </w:rPr>
        <w:t>nesprávné vyřešení 2 nesrovnalostí;</w:t>
      </w:r>
    </w:p>
    <w:p w:rsidR="00EB1C14" w:rsidRPr="00760173" w:rsidRDefault="00EB1C14" w:rsidP="00EB1C14">
      <w:pPr>
        <w:pStyle w:val="Odstavecseseznamem"/>
        <w:numPr>
          <w:ilvl w:val="0"/>
          <w:numId w:val="34"/>
        </w:numPr>
        <w:rPr>
          <w:rFonts w:ascii="Times New Roman" w:eastAsia="Times New Roman" w:hAnsi="Times New Roman"/>
          <w:lang w:eastAsia="cs-CZ"/>
        </w:rPr>
      </w:pPr>
      <w:r w:rsidRPr="00760173">
        <w:rPr>
          <w:rFonts w:ascii="Times New Roman" w:eastAsia="Times New Roman" w:hAnsi="Times New Roman"/>
          <w:lang w:eastAsia="cs-CZ"/>
        </w:rPr>
        <w:t>porušení postupu při výběrovém řízení na nového zaměstnance;</w:t>
      </w:r>
    </w:p>
    <w:p w:rsidR="00EB1C14" w:rsidRPr="00760173" w:rsidRDefault="00EB1C14" w:rsidP="00EB1C14">
      <w:pPr>
        <w:pStyle w:val="Odstavecseseznamem"/>
        <w:numPr>
          <w:ilvl w:val="0"/>
          <w:numId w:val="34"/>
        </w:numPr>
        <w:rPr>
          <w:rFonts w:ascii="Times New Roman" w:eastAsia="Times New Roman" w:hAnsi="Times New Roman"/>
          <w:lang w:eastAsia="cs-CZ"/>
        </w:rPr>
      </w:pPr>
      <w:r w:rsidRPr="00760173">
        <w:rPr>
          <w:rFonts w:ascii="Times New Roman" w:eastAsia="Times New Roman" w:hAnsi="Times New Roman"/>
          <w:lang w:eastAsia="cs-CZ"/>
        </w:rPr>
        <w:t>setrvávající nekomfortní situace po rozdělení jednotlivých fází administrace projektů realizovaných v rámci oblasti intervence 3.1 a 3.3 IOP mezi MPSV a CRR ČR;</w:t>
      </w:r>
    </w:p>
    <w:p w:rsidR="00EB1C14" w:rsidRPr="00760173" w:rsidRDefault="00EB1C14" w:rsidP="00EB1C14">
      <w:pPr>
        <w:pStyle w:val="Odstavecseseznamem"/>
        <w:numPr>
          <w:ilvl w:val="0"/>
          <w:numId w:val="34"/>
        </w:numPr>
        <w:rPr>
          <w:rFonts w:ascii="Times New Roman" w:eastAsia="Times New Roman" w:hAnsi="Times New Roman"/>
          <w:lang w:eastAsia="cs-CZ"/>
        </w:rPr>
      </w:pPr>
      <w:r w:rsidRPr="00760173">
        <w:rPr>
          <w:rFonts w:ascii="Times New Roman" w:eastAsia="Times New Roman" w:hAnsi="Times New Roman"/>
          <w:lang w:eastAsia="cs-CZ"/>
        </w:rPr>
        <w:t>riziko nedočerpání alokovaných prostředků;</w:t>
      </w:r>
    </w:p>
    <w:p w:rsidR="00EB1C14" w:rsidRPr="00760173" w:rsidRDefault="00EB1C14" w:rsidP="00EB1C14">
      <w:pPr>
        <w:pStyle w:val="Odstavecseseznamem"/>
        <w:numPr>
          <w:ilvl w:val="0"/>
          <w:numId w:val="34"/>
        </w:numPr>
        <w:rPr>
          <w:rFonts w:ascii="Times New Roman" w:eastAsia="Times New Roman" w:hAnsi="Times New Roman"/>
          <w:lang w:eastAsia="cs-CZ"/>
        </w:rPr>
      </w:pPr>
      <w:r w:rsidRPr="00760173">
        <w:rPr>
          <w:rFonts w:ascii="Times New Roman" w:eastAsia="Times New Roman" w:hAnsi="Times New Roman"/>
          <w:lang w:eastAsia="cs-CZ"/>
        </w:rPr>
        <w:t>nedostatečně fungující řídící a kontrolní systém v oblasti kontroly žádostí o platbu ze strany ZS MV</w:t>
      </w:r>
      <w:r w:rsidR="00DA4FF0">
        <w:rPr>
          <w:rFonts w:ascii="Times New Roman" w:eastAsia="Times New Roman" w:hAnsi="Times New Roman"/>
          <w:lang w:eastAsia="cs-CZ"/>
        </w:rPr>
        <w:t>;</w:t>
      </w:r>
    </w:p>
    <w:p w:rsidR="00EB1C14" w:rsidRPr="00760173" w:rsidRDefault="00EB1C14" w:rsidP="00EB1C14">
      <w:pPr>
        <w:pStyle w:val="Odstavecseseznamem"/>
        <w:numPr>
          <w:ilvl w:val="0"/>
          <w:numId w:val="34"/>
        </w:numPr>
        <w:rPr>
          <w:rFonts w:ascii="Times New Roman" w:eastAsia="Times New Roman" w:hAnsi="Times New Roman"/>
          <w:lang w:eastAsia="cs-CZ"/>
        </w:rPr>
      </w:pPr>
      <w:r w:rsidRPr="00760173">
        <w:rPr>
          <w:rFonts w:ascii="Times New Roman" w:eastAsia="Times New Roman" w:hAnsi="Times New Roman"/>
          <w:lang w:eastAsia="cs-CZ"/>
        </w:rPr>
        <w:t>nedostatečná účinnost kontrol CRR vykonaných dle čl. 13 Nařízení Komise (ES) č. 1828/2006 v oblasti veřejných zakázek.</w:t>
      </w:r>
    </w:p>
    <w:p w:rsidR="00EB1C14" w:rsidRPr="00760173" w:rsidRDefault="00EB1C14" w:rsidP="008967E2">
      <w:pPr>
        <w:jc w:val="both"/>
        <w:rPr>
          <w:sz w:val="22"/>
          <w:szCs w:val="22"/>
        </w:rPr>
      </w:pPr>
      <w:r w:rsidRPr="00760173">
        <w:rPr>
          <w:sz w:val="22"/>
          <w:szCs w:val="22"/>
        </w:rPr>
        <w:t>Na základě výsledků auditu systému, kdy byla funkčnost řídícího a kontrolního systému IOP celkově vyhodnocena v kategorii 2 – systém funguje, ale jsou potřeba určitá zlepšení, dospěl AO ke stanovisku s výhradou.</w:t>
      </w:r>
    </w:p>
    <w:p w:rsidR="00EB1C14" w:rsidRDefault="00EB1C14">
      <w:pPr>
        <w:jc w:val="both"/>
        <w:rPr>
          <w:i/>
          <w:sz w:val="22"/>
          <w:szCs w:val="22"/>
        </w:rPr>
      </w:pPr>
    </w:p>
    <w:p w:rsidR="007B030F" w:rsidRPr="0037245F" w:rsidRDefault="002D7FD1" w:rsidP="00EB1C14">
      <w:pPr>
        <w:jc w:val="both"/>
        <w:rPr>
          <w:b/>
          <w:sz w:val="22"/>
          <w:szCs w:val="22"/>
        </w:rPr>
      </w:pPr>
      <w:r w:rsidRPr="0037245F">
        <w:rPr>
          <w:b/>
          <w:sz w:val="22"/>
          <w:szCs w:val="22"/>
        </w:rPr>
        <w:t xml:space="preserve">Auditoři AO doporučili </w:t>
      </w:r>
      <w:r w:rsidR="007B030F" w:rsidRPr="0037245F">
        <w:rPr>
          <w:b/>
          <w:sz w:val="22"/>
          <w:szCs w:val="22"/>
        </w:rPr>
        <w:t>ŘO IOP:</w:t>
      </w:r>
    </w:p>
    <w:p w:rsidR="007B030F" w:rsidRPr="007215F9" w:rsidRDefault="002D7FD1" w:rsidP="008967E2">
      <w:pPr>
        <w:pStyle w:val="Odstavecseseznamem"/>
        <w:numPr>
          <w:ilvl w:val="0"/>
          <w:numId w:val="52"/>
        </w:numPr>
        <w:jc w:val="both"/>
      </w:pPr>
      <w:r w:rsidRPr="008967E2">
        <w:rPr>
          <w:rFonts w:ascii="Times New Roman" w:hAnsi="Times New Roman"/>
        </w:rPr>
        <w:t>u 11 nesrovnalostí provést jejich přezkoumání postupu a přijmout relevantní opatření, v</w:t>
      </w:r>
      <w:r w:rsidR="007B030F" w:rsidRPr="008967E2">
        <w:rPr>
          <w:rFonts w:ascii="Times New Roman" w:hAnsi="Times New Roman"/>
        </w:rPr>
        <w:t>četně vyčíslení finanční opravy;</w:t>
      </w:r>
    </w:p>
    <w:p w:rsidR="007B030F" w:rsidRPr="007215F9" w:rsidRDefault="007B030F" w:rsidP="008967E2">
      <w:pPr>
        <w:pStyle w:val="Odstavecseseznamem"/>
        <w:numPr>
          <w:ilvl w:val="0"/>
          <w:numId w:val="52"/>
        </w:numPr>
        <w:jc w:val="both"/>
      </w:pPr>
      <w:r w:rsidRPr="008967E2">
        <w:rPr>
          <w:rFonts w:ascii="Times New Roman" w:hAnsi="Times New Roman"/>
        </w:rPr>
        <w:t xml:space="preserve">vyčíslit osobní náklady za 1 zaměstnance a provést patřičnou finanční opravu ve výši 5 %; </w:t>
      </w:r>
    </w:p>
    <w:p w:rsidR="007B030F" w:rsidRPr="007215F9" w:rsidRDefault="007B030F" w:rsidP="008967E2">
      <w:pPr>
        <w:pStyle w:val="Odstavecseseznamem"/>
        <w:numPr>
          <w:ilvl w:val="0"/>
          <w:numId w:val="52"/>
        </w:numPr>
        <w:jc w:val="both"/>
      </w:pPr>
      <w:r w:rsidRPr="008967E2">
        <w:rPr>
          <w:rFonts w:ascii="Times New Roman" w:hAnsi="Times New Roman"/>
        </w:rPr>
        <w:t>pravidelně sledovat a vyhodnocovat účinnost kontrol VZ se zaměřením i na méně závažná porušení při zadávání VZ bez finanční opravy;</w:t>
      </w:r>
    </w:p>
    <w:p w:rsidR="002D7FD1" w:rsidRPr="007215F9" w:rsidRDefault="007B030F" w:rsidP="008967E2">
      <w:pPr>
        <w:pStyle w:val="Odstavecseseznamem"/>
        <w:numPr>
          <w:ilvl w:val="0"/>
          <w:numId w:val="52"/>
        </w:numPr>
        <w:jc w:val="both"/>
      </w:pPr>
      <w:r w:rsidRPr="008967E2">
        <w:rPr>
          <w:rFonts w:ascii="Times New Roman" w:hAnsi="Times New Roman"/>
        </w:rPr>
        <w:t xml:space="preserve">aby v </w:t>
      </w:r>
      <w:r w:rsidR="00AA2727" w:rsidRPr="008967E2">
        <w:rPr>
          <w:rFonts w:ascii="Times New Roman" w:hAnsi="Times New Roman"/>
        </w:rPr>
        <w:t>programovém období 2014 - 2020 byl celý proces administrace projektů vykonáván jediným plně zodpovědným zprostředkujícím subjektem;</w:t>
      </w:r>
    </w:p>
    <w:p w:rsidR="00AA2727" w:rsidRPr="007215F9" w:rsidRDefault="00AA2727" w:rsidP="008967E2">
      <w:pPr>
        <w:pStyle w:val="Odstavecseseznamem"/>
        <w:numPr>
          <w:ilvl w:val="0"/>
          <w:numId w:val="52"/>
        </w:numPr>
        <w:jc w:val="both"/>
      </w:pPr>
      <w:r w:rsidRPr="008967E2">
        <w:rPr>
          <w:rFonts w:ascii="Times New Roman" w:hAnsi="Times New Roman"/>
        </w:rPr>
        <w:t>přijmout efektivní opatření k řízení rizika nevyčerpání alokace v souladu s opatřeními stanovenými krizovými plány dle UV č. 124 z 23. 2. 2015</w:t>
      </w:r>
      <w:r w:rsidR="00D233BB" w:rsidRPr="008967E2">
        <w:rPr>
          <w:rFonts w:ascii="Times New Roman" w:hAnsi="Times New Roman"/>
        </w:rPr>
        <w:t>;</w:t>
      </w:r>
    </w:p>
    <w:p w:rsidR="00D233BB" w:rsidRPr="007215F9" w:rsidRDefault="00D233BB" w:rsidP="008967E2">
      <w:pPr>
        <w:pStyle w:val="Odstavecseseznamem"/>
        <w:numPr>
          <w:ilvl w:val="0"/>
          <w:numId w:val="52"/>
        </w:numPr>
        <w:jc w:val="both"/>
      </w:pPr>
      <w:r w:rsidRPr="008967E2">
        <w:rPr>
          <w:rFonts w:ascii="Times New Roman" w:hAnsi="Times New Roman"/>
        </w:rPr>
        <w:t>stanovit plán kontrol, a to jak u koncových uživatelů (kontroly plnění podmínek pro poskytnutí úvěru), tak u správce FRM (s ohledem na dodržování aktuálního Obchodního plánu a platné Smlouvy uzavřené s Holdingovým fondem);</w:t>
      </w:r>
    </w:p>
    <w:p w:rsidR="00D233BB" w:rsidRPr="007215F9" w:rsidRDefault="00D233BB" w:rsidP="008967E2">
      <w:pPr>
        <w:pStyle w:val="Odstavecseseznamem"/>
        <w:numPr>
          <w:ilvl w:val="0"/>
          <w:numId w:val="52"/>
        </w:numPr>
        <w:jc w:val="both"/>
      </w:pPr>
      <w:r w:rsidRPr="008967E2">
        <w:rPr>
          <w:rFonts w:ascii="Times New Roman" w:hAnsi="Times New Roman"/>
        </w:rPr>
        <w:lastRenderedPageBreak/>
        <w:t xml:space="preserve">provést v roce 2015 alespoň jednu kontrolu u Holdingového fondu, aby </w:t>
      </w:r>
      <w:proofErr w:type="gramStart"/>
      <w:r w:rsidRPr="008967E2">
        <w:rPr>
          <w:rFonts w:ascii="Times New Roman" w:hAnsi="Times New Roman"/>
        </w:rPr>
        <w:t>ověřil</w:t>
      </w:r>
      <w:proofErr w:type="gramEnd"/>
      <w:r w:rsidRPr="008967E2">
        <w:rPr>
          <w:rFonts w:ascii="Times New Roman" w:hAnsi="Times New Roman"/>
        </w:rPr>
        <w:t xml:space="preserve"> na originálních dokladech dodržování všech postupů uvedených v aktuálním Manuálu pro realizaci finančního nástroje JESSICA;</w:t>
      </w:r>
    </w:p>
    <w:p w:rsidR="00D233BB" w:rsidRPr="007215F9" w:rsidRDefault="00D233BB" w:rsidP="008967E2">
      <w:pPr>
        <w:pStyle w:val="Odstavecseseznamem"/>
        <w:numPr>
          <w:ilvl w:val="0"/>
          <w:numId w:val="52"/>
        </w:numPr>
        <w:jc w:val="both"/>
      </w:pPr>
      <w:r w:rsidRPr="008967E2">
        <w:rPr>
          <w:rFonts w:ascii="Times New Roman" w:hAnsi="Times New Roman"/>
        </w:rPr>
        <w:t>zaměřit se na administrativní a fyzickou kontrolu výběru Koncových uživatelů. Především se více věnovat výběru koncových uživatelů, zda jsou splněny podmínky pro poskytnutí finanční podpory. Dále by měl sám ověřovat na místě, zda koncový uživatelé užívají poskytnutého úvěru na činnosti uvedené v Žádosti o úvěr.</w:t>
      </w:r>
    </w:p>
    <w:p w:rsidR="00AA2727" w:rsidRPr="00D233BB" w:rsidRDefault="00AA2727" w:rsidP="00EB1C14">
      <w:pPr>
        <w:jc w:val="both"/>
        <w:rPr>
          <w:sz w:val="22"/>
          <w:szCs w:val="22"/>
        </w:rPr>
      </w:pPr>
    </w:p>
    <w:p w:rsidR="00AA2727" w:rsidRPr="00D233BB" w:rsidRDefault="00D233BB" w:rsidP="00AA2727">
      <w:pPr>
        <w:jc w:val="both"/>
        <w:rPr>
          <w:sz w:val="22"/>
          <w:szCs w:val="22"/>
        </w:rPr>
      </w:pPr>
      <w:r>
        <w:rPr>
          <w:sz w:val="22"/>
          <w:szCs w:val="22"/>
        </w:rPr>
        <w:t>Auditoři AO doporučili ZS MV z</w:t>
      </w:r>
      <w:r w:rsidR="00AA2727" w:rsidRPr="00D233BB">
        <w:rPr>
          <w:sz w:val="22"/>
          <w:szCs w:val="22"/>
        </w:rPr>
        <w:t xml:space="preserve">výšit účinnost řídícího a kontrolního systému, tj. metodicky upravit vytváření samostatných soupisek faktur u dodatečných </w:t>
      </w:r>
      <w:proofErr w:type="spellStart"/>
      <w:r w:rsidR="00AA2727" w:rsidRPr="00D233BB">
        <w:rPr>
          <w:sz w:val="22"/>
          <w:szCs w:val="22"/>
        </w:rPr>
        <w:t>Ž</w:t>
      </w:r>
      <w:r w:rsidR="004A56BD">
        <w:rPr>
          <w:sz w:val="22"/>
          <w:szCs w:val="22"/>
        </w:rPr>
        <w:t>o</w:t>
      </w:r>
      <w:r w:rsidR="00AA2727" w:rsidRPr="00D233BB">
        <w:rPr>
          <w:sz w:val="22"/>
          <w:szCs w:val="22"/>
        </w:rPr>
        <w:t>P</w:t>
      </w:r>
      <w:proofErr w:type="spellEnd"/>
      <w:r w:rsidR="00AA2727" w:rsidRPr="00D233BB">
        <w:rPr>
          <w:sz w:val="22"/>
          <w:szCs w:val="22"/>
        </w:rPr>
        <w:t xml:space="preserve"> v zájmu zvýšení transparentnosti vykazovaných výdajů projektu</w:t>
      </w:r>
      <w:r>
        <w:rPr>
          <w:sz w:val="22"/>
          <w:szCs w:val="22"/>
        </w:rPr>
        <w:t xml:space="preserve"> a </w:t>
      </w:r>
      <w:r w:rsidRPr="00D233BB">
        <w:rPr>
          <w:sz w:val="22"/>
          <w:szCs w:val="22"/>
        </w:rPr>
        <w:t xml:space="preserve">sledovat a vyhodnocovat účinnost kontrol veřejných zakázek se zaměřením i na méně závažná porušení při zadávání veřejných zakázek bez finanční opravy. Auditoři AO doporučují ZS MV </w:t>
      </w:r>
      <w:proofErr w:type="spellStart"/>
      <w:r w:rsidRPr="00D233BB">
        <w:rPr>
          <w:sz w:val="22"/>
          <w:szCs w:val="22"/>
        </w:rPr>
        <w:t>rekontrolu</w:t>
      </w:r>
      <w:proofErr w:type="spellEnd"/>
      <w:r w:rsidRPr="00D233BB">
        <w:rPr>
          <w:sz w:val="22"/>
          <w:szCs w:val="22"/>
        </w:rPr>
        <w:t xml:space="preserve"> zbývajících auditů prioritní osy 1.1.</w:t>
      </w:r>
    </w:p>
    <w:p w:rsidR="00D233BB" w:rsidRPr="00D233BB" w:rsidRDefault="00D233BB" w:rsidP="00AA2727">
      <w:pPr>
        <w:jc w:val="both"/>
        <w:rPr>
          <w:sz w:val="22"/>
          <w:szCs w:val="22"/>
        </w:rPr>
      </w:pPr>
    </w:p>
    <w:p w:rsidR="00D233BB" w:rsidRPr="00D233BB" w:rsidRDefault="00D233BB" w:rsidP="00AA2727">
      <w:pPr>
        <w:jc w:val="both"/>
        <w:rPr>
          <w:sz w:val="22"/>
          <w:szCs w:val="22"/>
        </w:rPr>
      </w:pPr>
      <w:r w:rsidRPr="00D233BB">
        <w:rPr>
          <w:sz w:val="22"/>
          <w:szCs w:val="22"/>
        </w:rPr>
        <w:t>Auditoři AO doporučují ZS CRR sledovat a vyhodnocovat účinnost kontrol veřejných zakázek se zaměřením i na méně závažná porušení při zadávání veřejných zakázek bez finanční o</w:t>
      </w:r>
      <w:r>
        <w:rPr>
          <w:sz w:val="22"/>
          <w:szCs w:val="22"/>
        </w:rPr>
        <w:t xml:space="preserve">pravy a </w:t>
      </w:r>
      <w:r w:rsidRPr="00D233BB">
        <w:rPr>
          <w:sz w:val="22"/>
          <w:szCs w:val="22"/>
        </w:rPr>
        <w:t>napravit stav sedmi projektů</w:t>
      </w:r>
      <w:r w:rsidR="001118E8">
        <w:rPr>
          <w:sz w:val="22"/>
          <w:szCs w:val="22"/>
        </w:rPr>
        <w:t>,</w:t>
      </w:r>
      <w:r w:rsidRPr="00D233BB">
        <w:rPr>
          <w:sz w:val="22"/>
          <w:szCs w:val="22"/>
        </w:rPr>
        <w:t xml:space="preserve"> zmíněných ve stanovisku AS.</w:t>
      </w:r>
    </w:p>
    <w:p w:rsidR="00D233BB" w:rsidRPr="00AA2727" w:rsidRDefault="00D233BB" w:rsidP="00AA2727">
      <w:pPr>
        <w:jc w:val="both"/>
        <w:rPr>
          <w:sz w:val="22"/>
          <w:szCs w:val="22"/>
        </w:rPr>
      </w:pPr>
    </w:p>
    <w:p w:rsidR="002D7FD1" w:rsidRPr="002D7FD1" w:rsidRDefault="002D7FD1" w:rsidP="00EB1C14">
      <w:pPr>
        <w:jc w:val="both"/>
        <w:rPr>
          <w:sz w:val="22"/>
          <w:szCs w:val="22"/>
        </w:rPr>
      </w:pPr>
    </w:p>
    <w:p w:rsidR="00EB1C14" w:rsidRPr="00760173" w:rsidRDefault="00EB1C14" w:rsidP="00EB1C14">
      <w:pPr>
        <w:jc w:val="both"/>
        <w:rPr>
          <w:b/>
          <w:i/>
          <w:sz w:val="22"/>
          <w:szCs w:val="22"/>
        </w:rPr>
      </w:pPr>
      <w:r w:rsidRPr="00760173">
        <w:rPr>
          <w:b/>
          <w:i/>
          <w:sz w:val="22"/>
          <w:szCs w:val="22"/>
        </w:rPr>
        <w:t>Audit oblasti IT projektů prioritní osy 1 integrovaného operačního programu č. IOP/2015/SM/001</w:t>
      </w:r>
    </w:p>
    <w:p w:rsidR="00EB1C14" w:rsidRPr="00C006F6" w:rsidRDefault="00EB1C14" w:rsidP="00EB1C14">
      <w:pPr>
        <w:jc w:val="both"/>
        <w:rPr>
          <w:rFonts w:ascii="Arial" w:hAnsi="Arial" w:cs="Arial"/>
        </w:rPr>
      </w:pPr>
      <w:r w:rsidRPr="00760173">
        <w:rPr>
          <w:sz w:val="22"/>
          <w:szCs w:val="22"/>
        </w:rPr>
        <w:t xml:space="preserve">Provedení auditu v oblasti IT projektů bylo požadavkem EK na základě auditu </w:t>
      </w:r>
      <w:r w:rsidR="00B049AB">
        <w:rPr>
          <w:sz w:val="22"/>
          <w:szCs w:val="22"/>
        </w:rPr>
        <w:br/>
      </w:r>
      <w:r w:rsidRPr="00760173">
        <w:rPr>
          <w:sz w:val="22"/>
          <w:szCs w:val="22"/>
        </w:rPr>
        <w:t xml:space="preserve">č. 2013/CZ/REGIO/C4/1332/1. Mimořádný audit oblasti IT projektů prioritní osy 1 IOP byl zahájen na ŘO IOP dne 3. 2. 2015. Audit je zaměřen na ověření existence a správného zaměření strategie investic do IT projektů </w:t>
      </w:r>
      <w:r w:rsidR="001118E8">
        <w:rPr>
          <w:sz w:val="22"/>
          <w:szCs w:val="22"/>
        </w:rPr>
        <w:t xml:space="preserve">v </w:t>
      </w:r>
      <w:r w:rsidRPr="00760173">
        <w:rPr>
          <w:sz w:val="22"/>
          <w:szCs w:val="22"/>
        </w:rPr>
        <w:t>prioritní os</w:t>
      </w:r>
      <w:r w:rsidR="001118E8">
        <w:rPr>
          <w:sz w:val="22"/>
          <w:szCs w:val="22"/>
        </w:rPr>
        <w:t>e</w:t>
      </w:r>
      <w:r w:rsidRPr="00760173">
        <w:rPr>
          <w:sz w:val="22"/>
          <w:szCs w:val="22"/>
        </w:rPr>
        <w:t xml:space="preserve"> 1 IOP, ověření způsobilosti a oprávněnosti investic do IT projektů prioritní osy 1 IOP, ověření správnosti postupu zadavatelů při zadávání veřejných zakázek na vzorku operací, prověření předmětu dotace </w:t>
      </w:r>
      <w:r w:rsidR="001118E8">
        <w:rPr>
          <w:sz w:val="22"/>
          <w:szCs w:val="22"/>
        </w:rPr>
        <w:t xml:space="preserve">z hlediska 3E </w:t>
      </w:r>
      <w:r w:rsidRPr="00760173">
        <w:rPr>
          <w:sz w:val="22"/>
          <w:szCs w:val="22"/>
        </w:rPr>
        <w:t>a ověření ostatních náležitostí projektů. Audity byly také zahájeny u 16 příjemců v</w:t>
      </w:r>
      <w:r w:rsidR="002F536C">
        <w:rPr>
          <w:sz w:val="22"/>
          <w:szCs w:val="22"/>
        </w:rPr>
        <w:t xml:space="preserve"> oblasti intervence </w:t>
      </w:r>
      <w:r w:rsidRPr="00760173">
        <w:rPr>
          <w:sz w:val="22"/>
          <w:szCs w:val="22"/>
        </w:rPr>
        <w:t xml:space="preserve">1.1 ŘO IOP obdržel finální zprávy </w:t>
      </w:r>
      <w:r w:rsidR="002F536C">
        <w:rPr>
          <w:sz w:val="22"/>
          <w:szCs w:val="22"/>
        </w:rPr>
        <w:br/>
      </w:r>
      <w:proofErr w:type="gramStart"/>
      <w:r w:rsidRPr="00760173">
        <w:rPr>
          <w:sz w:val="22"/>
          <w:szCs w:val="22"/>
        </w:rPr>
        <w:t>ze</w:t>
      </w:r>
      <w:proofErr w:type="gramEnd"/>
      <w:r w:rsidRPr="00760173">
        <w:rPr>
          <w:sz w:val="22"/>
          <w:szCs w:val="22"/>
        </w:rPr>
        <w:t xml:space="preserve"> 3 mimořádných auditů operací. Šetření na ŘO IOP proběhlo dne 3. 9 2015. Audit AO nebyl ke dni </w:t>
      </w:r>
      <w:r w:rsidR="00501A6E" w:rsidRPr="00D81565">
        <w:rPr>
          <w:sz w:val="22"/>
          <w:szCs w:val="22"/>
        </w:rPr>
        <w:t>30</w:t>
      </w:r>
      <w:r w:rsidRPr="00D81565">
        <w:rPr>
          <w:sz w:val="22"/>
          <w:szCs w:val="22"/>
        </w:rPr>
        <w:t>. 9. 2015</w:t>
      </w:r>
      <w:r w:rsidRPr="00760173">
        <w:rPr>
          <w:sz w:val="22"/>
          <w:szCs w:val="22"/>
        </w:rPr>
        <w:t xml:space="preserve"> finálně ukončen</w:t>
      </w:r>
      <w:r w:rsidRPr="00C006F6">
        <w:rPr>
          <w:rFonts w:ascii="Arial" w:hAnsi="Arial" w:cs="Arial"/>
        </w:rPr>
        <w:t>.</w:t>
      </w:r>
    </w:p>
    <w:p w:rsidR="00EB1C14" w:rsidRPr="00C006F6" w:rsidRDefault="00EB1C14" w:rsidP="00EB1C14">
      <w:pPr>
        <w:jc w:val="both"/>
        <w:rPr>
          <w:rFonts w:ascii="Arial" w:hAnsi="Arial" w:cs="Arial"/>
          <w:b/>
          <w:u w:val="single"/>
        </w:rPr>
      </w:pPr>
    </w:p>
    <w:p w:rsidR="00EB1C14" w:rsidRPr="00C006F6" w:rsidRDefault="00EB1C14" w:rsidP="00EB1C14">
      <w:pPr>
        <w:jc w:val="both"/>
        <w:rPr>
          <w:rFonts w:ascii="Arial" w:hAnsi="Arial" w:cs="Arial"/>
          <w:b/>
          <w:u w:val="single"/>
        </w:rPr>
      </w:pPr>
    </w:p>
    <w:p w:rsidR="00EB1C14" w:rsidRPr="00B049AB" w:rsidRDefault="00EB1C14" w:rsidP="00EB1C14">
      <w:pPr>
        <w:jc w:val="both"/>
        <w:rPr>
          <w:b/>
          <w:sz w:val="22"/>
          <w:szCs w:val="22"/>
          <w:u w:val="single"/>
        </w:rPr>
      </w:pPr>
      <w:r w:rsidRPr="00B049AB">
        <w:rPr>
          <w:b/>
          <w:sz w:val="22"/>
          <w:szCs w:val="22"/>
          <w:u w:val="single"/>
        </w:rPr>
        <w:t>Kontroly prováděné Nejvyšším kontrolním úřadem</w:t>
      </w:r>
    </w:p>
    <w:p w:rsidR="00EB1C14" w:rsidRPr="00760173" w:rsidRDefault="00EB1C14" w:rsidP="00EB1C14">
      <w:pPr>
        <w:jc w:val="both"/>
        <w:rPr>
          <w:sz w:val="22"/>
          <w:szCs w:val="22"/>
        </w:rPr>
      </w:pPr>
    </w:p>
    <w:p w:rsidR="00B7711B" w:rsidRPr="003F2070" w:rsidRDefault="00B7711B" w:rsidP="00B7711B">
      <w:pPr>
        <w:jc w:val="both"/>
        <w:rPr>
          <w:b/>
          <w:i/>
          <w:sz w:val="22"/>
          <w:szCs w:val="22"/>
        </w:rPr>
      </w:pPr>
      <w:r w:rsidRPr="00290A24">
        <w:rPr>
          <w:b/>
          <w:i/>
          <w:sz w:val="22"/>
          <w:szCs w:val="22"/>
        </w:rPr>
        <w:t>Kontrolní akce NKÚ č. 14/05 „Peněžní prostředky určené na financování vybraných programů v působnosti Ministerstva práce a sociálních věcí“</w:t>
      </w:r>
    </w:p>
    <w:p w:rsidR="00B7711B" w:rsidRDefault="00B7711B" w:rsidP="00B7711B">
      <w:pPr>
        <w:jc w:val="both"/>
        <w:rPr>
          <w:rFonts w:ascii="Arial" w:hAnsi="Arial" w:cs="Arial"/>
          <w:b/>
          <w:highlight w:val="yellow"/>
          <w:u w:val="single"/>
        </w:rPr>
      </w:pPr>
    </w:p>
    <w:p w:rsidR="00B7711B" w:rsidRPr="00290A24" w:rsidRDefault="00B7711B" w:rsidP="00B7711B">
      <w:pPr>
        <w:jc w:val="both"/>
        <w:rPr>
          <w:b/>
          <w:sz w:val="22"/>
          <w:szCs w:val="22"/>
        </w:rPr>
      </w:pPr>
      <w:r w:rsidRPr="00290A24">
        <w:rPr>
          <w:b/>
          <w:sz w:val="22"/>
          <w:szCs w:val="22"/>
        </w:rPr>
        <w:t xml:space="preserve">Kontrolní zjištění </w:t>
      </w:r>
      <w:r>
        <w:rPr>
          <w:b/>
          <w:sz w:val="22"/>
          <w:szCs w:val="22"/>
        </w:rPr>
        <w:t>týkající se</w:t>
      </w:r>
      <w:r w:rsidRPr="00290A24">
        <w:rPr>
          <w:b/>
          <w:sz w:val="22"/>
          <w:szCs w:val="22"/>
        </w:rPr>
        <w:t xml:space="preserve"> IOP</w:t>
      </w:r>
    </w:p>
    <w:p w:rsidR="00B7711B" w:rsidRPr="00B7711B" w:rsidRDefault="001118E8" w:rsidP="00B7711B">
      <w:pPr>
        <w:jc w:val="both"/>
        <w:rPr>
          <w:sz w:val="22"/>
          <w:szCs w:val="22"/>
        </w:rPr>
      </w:pPr>
      <w:r>
        <w:rPr>
          <w:sz w:val="22"/>
          <w:szCs w:val="22"/>
        </w:rPr>
        <w:t>R</w:t>
      </w:r>
      <w:r w:rsidR="00B7711B" w:rsidRPr="00B7711B">
        <w:rPr>
          <w:sz w:val="22"/>
          <w:szCs w:val="22"/>
        </w:rPr>
        <w:t xml:space="preserve">ealizace IOP byla negativně ovlivněna neexistencí ujasněného koncepčního dokumentu organizační struktury úřadů práce a vznikem Úřadu práce ČR (dále také „ÚP ČR“) od 1. 4. 2011 na základě zákona č. 73/2011 Sb. </w:t>
      </w:r>
    </w:p>
    <w:p w:rsidR="00B7711B" w:rsidRPr="00B7711B" w:rsidRDefault="00B7711B" w:rsidP="00B7711B">
      <w:pPr>
        <w:jc w:val="both"/>
        <w:rPr>
          <w:sz w:val="22"/>
          <w:szCs w:val="22"/>
        </w:rPr>
      </w:pPr>
      <w:r w:rsidRPr="00B7711B">
        <w:rPr>
          <w:sz w:val="22"/>
          <w:szCs w:val="22"/>
        </w:rPr>
        <w:t>Z upravené finanční potřeby na roky 2009 až 2014 bylo v letech 2009 až 2013 vyčerpáno jen 41 %.</w:t>
      </w:r>
    </w:p>
    <w:p w:rsidR="00B7711B" w:rsidRPr="00B7711B" w:rsidRDefault="00B7711B" w:rsidP="00B7711B">
      <w:pPr>
        <w:jc w:val="both"/>
        <w:rPr>
          <w:sz w:val="22"/>
          <w:szCs w:val="22"/>
        </w:rPr>
      </w:pPr>
      <w:r w:rsidRPr="00B7711B">
        <w:rPr>
          <w:sz w:val="22"/>
          <w:szCs w:val="22"/>
        </w:rPr>
        <w:t>Výběr projektů byl poměrně komplikovaný a málo transparentní. Výběr projektů</w:t>
      </w:r>
      <w:r w:rsidR="001118E8">
        <w:rPr>
          <w:sz w:val="22"/>
          <w:szCs w:val="22"/>
        </w:rPr>
        <w:t>,</w:t>
      </w:r>
      <w:r w:rsidRPr="00B7711B">
        <w:rPr>
          <w:sz w:val="22"/>
          <w:szCs w:val="22"/>
        </w:rPr>
        <w:t xml:space="preserve"> týkající</w:t>
      </w:r>
      <w:r w:rsidR="001118E8">
        <w:rPr>
          <w:sz w:val="22"/>
          <w:szCs w:val="22"/>
        </w:rPr>
        <w:t>ch</w:t>
      </w:r>
      <w:r w:rsidRPr="00B7711B">
        <w:rPr>
          <w:sz w:val="22"/>
          <w:szCs w:val="22"/>
        </w:rPr>
        <w:t xml:space="preserve"> se školicích středisek služeb zaměstnanosti</w:t>
      </w:r>
      <w:r w:rsidR="001118E8">
        <w:rPr>
          <w:sz w:val="22"/>
          <w:szCs w:val="22"/>
        </w:rPr>
        <w:t>,</w:t>
      </w:r>
      <w:r w:rsidRPr="00B7711B">
        <w:rPr>
          <w:sz w:val="22"/>
          <w:szCs w:val="22"/>
        </w:rPr>
        <w:t xml:space="preserve"> nevycházel ze závazné koncepce, která by potřeby ÚP ČR ve vzdělávací oblasti objektivně vymezila, to následně vedlo k řadě koncepčních změn. </w:t>
      </w:r>
    </w:p>
    <w:p w:rsidR="00B7711B" w:rsidRPr="00B7711B" w:rsidRDefault="00B7711B" w:rsidP="00B7711B">
      <w:pPr>
        <w:jc w:val="both"/>
        <w:rPr>
          <w:sz w:val="22"/>
          <w:szCs w:val="22"/>
        </w:rPr>
      </w:pPr>
      <w:r w:rsidRPr="00B7711B">
        <w:rPr>
          <w:sz w:val="22"/>
          <w:szCs w:val="22"/>
        </w:rPr>
        <w:t>Významným zásahem bylo dodatečné zařazení nákupu budovy v Praze 7 pro ÚP ČR v červenci 2013, tj. v době, kdy hrozilo riziko, že finanční prostředky IOP nebudou vyčerpány. MPSV v souvislosti se zákonem č. 73/2011 Sb. uvádělo, že jeho přijetí nebude mj. vyžadovat pořízení nových budov. ÚP ČR nedoložil, že před realizací nákupu budovy v Praze 7 provedl řádný výběr vhodných nemovitostí. Nedoložil ani věrohodné údaje o počtech zaměstnanců, kteří by měli v budově pracovat.</w:t>
      </w:r>
    </w:p>
    <w:p w:rsidR="00B7711B" w:rsidRPr="00B7711B" w:rsidRDefault="00B7711B" w:rsidP="00B7711B">
      <w:pPr>
        <w:jc w:val="both"/>
        <w:rPr>
          <w:sz w:val="22"/>
          <w:szCs w:val="22"/>
        </w:rPr>
      </w:pPr>
      <w:r w:rsidRPr="00B7711B">
        <w:rPr>
          <w:sz w:val="22"/>
          <w:szCs w:val="22"/>
        </w:rPr>
        <w:t xml:space="preserve">V případě objektu ÚP ČR v Pardubicích byla v přípravě varianta (novostavba), která byla </w:t>
      </w:r>
      <w:r w:rsidRPr="00B7711B">
        <w:rPr>
          <w:sz w:val="22"/>
          <w:szCs w:val="22"/>
        </w:rPr>
        <w:br/>
        <w:t>o cca 130 mil. Kč dražší než jiná varianta (rekonstrukce a dostavba stávající budovy). V souvislosti s výstavbou objektu v Pardubicích zastavil ÚP ČR realizaci výstavby budovy v Rokytně s předpokládanými náklady 60 mil. Kč a termínem ukončení do roku 2013.</w:t>
      </w:r>
    </w:p>
    <w:p w:rsidR="00B7711B" w:rsidRPr="00B7711B" w:rsidRDefault="00B7711B" w:rsidP="00B7711B">
      <w:pPr>
        <w:jc w:val="both"/>
        <w:rPr>
          <w:sz w:val="22"/>
          <w:szCs w:val="22"/>
        </w:rPr>
      </w:pPr>
      <w:r w:rsidRPr="00B7711B">
        <w:rPr>
          <w:sz w:val="22"/>
          <w:szCs w:val="22"/>
        </w:rPr>
        <w:lastRenderedPageBreak/>
        <w:t>ÚP ČR pořídil v roce 2012 kapacitně nedostačující budovu v Karlových Varech.</w:t>
      </w:r>
      <w:r w:rsidR="00DD6F98">
        <w:rPr>
          <w:sz w:val="22"/>
          <w:szCs w:val="22"/>
        </w:rPr>
        <w:t xml:space="preserve"> </w:t>
      </w:r>
      <w:r w:rsidRPr="00B7711B">
        <w:rPr>
          <w:sz w:val="22"/>
          <w:szCs w:val="22"/>
        </w:rPr>
        <w:t>MPSV realizací programů nezajišťovalo zcela účelnou, hospodárnou a efektivní alokaci peněžních prostředků na pořizování a obnovu nemovitého majetku.</w:t>
      </w:r>
    </w:p>
    <w:p w:rsidR="00E43251" w:rsidRDefault="00B7711B" w:rsidP="00E43251">
      <w:pPr>
        <w:pStyle w:val="Styl1-I"/>
        <w:numPr>
          <w:ilvl w:val="0"/>
          <w:numId w:val="0"/>
        </w:numPr>
        <w:spacing w:before="0" w:after="0"/>
        <w:ind w:left="357" w:hanging="357"/>
        <w:rPr>
          <w:rFonts w:ascii="Times New Roman" w:hAnsi="Times New Roman" w:cs="Times New Roman"/>
          <w:sz w:val="22"/>
          <w:szCs w:val="22"/>
        </w:rPr>
      </w:pPr>
      <w:r w:rsidRPr="00B7711B">
        <w:rPr>
          <w:rFonts w:ascii="Times New Roman" w:hAnsi="Times New Roman" w:cs="Times New Roman"/>
          <w:sz w:val="22"/>
          <w:szCs w:val="22"/>
        </w:rPr>
        <w:t>Vláda ČR uložila ministryni práce a sociálních věcí realizovat opatření</w:t>
      </w:r>
      <w:r w:rsidR="00E43251">
        <w:rPr>
          <w:rFonts w:ascii="Times New Roman" w:hAnsi="Times New Roman" w:cs="Times New Roman"/>
          <w:sz w:val="22"/>
          <w:szCs w:val="22"/>
        </w:rPr>
        <w:t xml:space="preserve"> přijatá k nápravě a odstranění</w:t>
      </w:r>
    </w:p>
    <w:p w:rsidR="00E43251" w:rsidRDefault="00B7711B" w:rsidP="00E43251">
      <w:pPr>
        <w:pStyle w:val="Styl1-I"/>
        <w:numPr>
          <w:ilvl w:val="0"/>
          <w:numId w:val="0"/>
        </w:numPr>
        <w:spacing w:before="0" w:after="0"/>
        <w:ind w:left="357" w:hanging="357"/>
        <w:rPr>
          <w:rFonts w:ascii="Times New Roman" w:hAnsi="Times New Roman" w:cs="Times New Roman"/>
          <w:sz w:val="22"/>
          <w:szCs w:val="22"/>
        </w:rPr>
      </w:pPr>
      <w:r w:rsidRPr="00B7711B">
        <w:rPr>
          <w:rFonts w:ascii="Times New Roman" w:hAnsi="Times New Roman" w:cs="Times New Roman"/>
          <w:sz w:val="22"/>
          <w:szCs w:val="22"/>
        </w:rPr>
        <w:t>nedostatků uvedených v Kontrolním závěru a informovat vládu o r</w:t>
      </w:r>
      <w:r w:rsidR="00E43251">
        <w:rPr>
          <w:rFonts w:ascii="Times New Roman" w:hAnsi="Times New Roman" w:cs="Times New Roman"/>
          <w:sz w:val="22"/>
          <w:szCs w:val="22"/>
        </w:rPr>
        <w:t>ealizaci těchto opatření</w:t>
      </w:r>
    </w:p>
    <w:p w:rsidR="00B7711B" w:rsidRDefault="00E43251" w:rsidP="00E43251">
      <w:pPr>
        <w:pStyle w:val="Styl1-I"/>
        <w:numPr>
          <w:ilvl w:val="0"/>
          <w:numId w:val="0"/>
        </w:numPr>
        <w:spacing w:before="0" w:after="0"/>
        <w:ind w:left="357" w:hanging="357"/>
        <w:rPr>
          <w:rFonts w:ascii="Times New Roman" w:hAnsi="Times New Roman" w:cs="Times New Roman"/>
          <w:sz w:val="22"/>
          <w:szCs w:val="22"/>
        </w:rPr>
      </w:pPr>
      <w:r>
        <w:rPr>
          <w:rFonts w:ascii="Times New Roman" w:hAnsi="Times New Roman" w:cs="Times New Roman"/>
          <w:sz w:val="22"/>
          <w:szCs w:val="22"/>
        </w:rPr>
        <w:t xml:space="preserve">do </w:t>
      </w:r>
      <w:r w:rsidR="00794EEB">
        <w:rPr>
          <w:rFonts w:ascii="Times New Roman" w:hAnsi="Times New Roman" w:cs="Times New Roman"/>
          <w:sz w:val="22"/>
          <w:szCs w:val="22"/>
        </w:rPr>
        <w:t>31.</w:t>
      </w:r>
      <w:r w:rsidR="00794EEB" w:rsidRPr="00B7711B">
        <w:rPr>
          <w:rFonts w:ascii="Times New Roman" w:hAnsi="Times New Roman" w:cs="Times New Roman"/>
          <w:sz w:val="22"/>
          <w:szCs w:val="22"/>
        </w:rPr>
        <w:t xml:space="preserve"> prosince</w:t>
      </w:r>
      <w:r w:rsidR="00B7711B" w:rsidRPr="00B7711B">
        <w:rPr>
          <w:rFonts w:ascii="Times New Roman" w:hAnsi="Times New Roman" w:cs="Times New Roman"/>
          <w:sz w:val="22"/>
          <w:szCs w:val="22"/>
        </w:rPr>
        <w:t xml:space="preserve"> 2015.</w:t>
      </w:r>
    </w:p>
    <w:p w:rsidR="00E43251" w:rsidRDefault="00E43251" w:rsidP="00E43251">
      <w:pPr>
        <w:pStyle w:val="Styl1-I"/>
        <w:numPr>
          <w:ilvl w:val="0"/>
          <w:numId w:val="0"/>
        </w:numPr>
        <w:spacing w:before="0" w:after="0"/>
        <w:ind w:left="357" w:hanging="357"/>
        <w:rPr>
          <w:rFonts w:ascii="Times New Roman" w:hAnsi="Times New Roman" w:cs="Times New Roman"/>
          <w:sz w:val="22"/>
          <w:szCs w:val="22"/>
        </w:rPr>
      </w:pPr>
    </w:p>
    <w:p w:rsidR="00E43251" w:rsidRPr="00B7711B" w:rsidRDefault="00E43251" w:rsidP="00E43251">
      <w:pPr>
        <w:pStyle w:val="Styl1-I"/>
        <w:numPr>
          <w:ilvl w:val="0"/>
          <w:numId w:val="0"/>
        </w:numPr>
        <w:spacing w:before="0" w:after="0"/>
        <w:ind w:left="357" w:hanging="357"/>
        <w:rPr>
          <w:rFonts w:ascii="Times New Roman" w:hAnsi="Times New Roman" w:cs="Times New Roman"/>
          <w:sz w:val="22"/>
          <w:szCs w:val="22"/>
        </w:rPr>
      </w:pPr>
    </w:p>
    <w:p w:rsidR="00B7711B" w:rsidRPr="002A4427" w:rsidRDefault="00B7711B" w:rsidP="00B7711B">
      <w:pPr>
        <w:jc w:val="both"/>
        <w:rPr>
          <w:b/>
          <w:sz w:val="22"/>
          <w:szCs w:val="22"/>
        </w:rPr>
      </w:pPr>
      <w:r w:rsidRPr="002A4427">
        <w:rPr>
          <w:b/>
          <w:sz w:val="22"/>
          <w:szCs w:val="22"/>
        </w:rPr>
        <w:t xml:space="preserve">Stanovisko MPSV, ČSSZ a ÚP ke kontrolnímu závěru NKÚ </w:t>
      </w:r>
    </w:p>
    <w:p w:rsidR="00B7711B" w:rsidRPr="001B442B" w:rsidRDefault="00B7711B" w:rsidP="00027B7B">
      <w:pPr>
        <w:jc w:val="both"/>
        <w:rPr>
          <w:rFonts w:eastAsia="Calibri"/>
          <w:sz w:val="22"/>
          <w:szCs w:val="22"/>
          <w:lang w:eastAsia="en-US"/>
        </w:rPr>
      </w:pPr>
      <w:r w:rsidRPr="001B442B">
        <w:rPr>
          <w:rFonts w:eastAsia="Calibri"/>
          <w:sz w:val="22"/>
          <w:szCs w:val="22"/>
          <w:lang w:eastAsia="en-US"/>
        </w:rPr>
        <w:t>ÚP ČR přijal</w:t>
      </w:r>
      <w:r w:rsidR="00027B7B">
        <w:rPr>
          <w:rFonts w:eastAsia="Calibri"/>
          <w:sz w:val="22"/>
          <w:szCs w:val="22"/>
          <w:lang w:eastAsia="en-US"/>
        </w:rPr>
        <w:t xml:space="preserve"> </w:t>
      </w:r>
      <w:r w:rsidRPr="001B442B">
        <w:rPr>
          <w:rFonts w:eastAsia="Calibri"/>
          <w:sz w:val="22"/>
          <w:szCs w:val="22"/>
          <w:lang w:eastAsia="en-US"/>
        </w:rPr>
        <w:t>opatření, aby k problematickému posuzování výběru dodavatele stavebních prací ze strany zprostředkujících subjektů nedocházelo, včetně tlaku na poskytovatele dotace, aby se tak maximálně urychlil proces stanovení výdajů, bez kterého není možné smlouvu uzavřít, aniž by došlo k porušení rozpočtových pravidel.</w:t>
      </w:r>
      <w:r>
        <w:rPr>
          <w:rFonts w:eastAsia="Calibri"/>
          <w:sz w:val="22"/>
          <w:szCs w:val="22"/>
          <w:lang w:eastAsia="en-US"/>
        </w:rPr>
        <w:t xml:space="preserve"> </w:t>
      </w:r>
      <w:r w:rsidRPr="001B442B">
        <w:rPr>
          <w:rFonts w:eastAsia="Calibri"/>
          <w:sz w:val="22"/>
          <w:szCs w:val="22"/>
          <w:lang w:eastAsia="en-US"/>
        </w:rPr>
        <w:t>Příprava a realizace investičních akcí je z pohledu ÚP ČR již nyní lépe rozvržena v čase, aby nedocházelo k časové tísni při čerpání prostředků.</w:t>
      </w:r>
    </w:p>
    <w:p w:rsidR="00B7711B" w:rsidRDefault="00B7711B" w:rsidP="00B7711B">
      <w:pPr>
        <w:jc w:val="both"/>
        <w:rPr>
          <w:rFonts w:eastAsia="Calibri"/>
          <w:sz w:val="22"/>
          <w:szCs w:val="22"/>
          <w:lang w:eastAsia="en-US"/>
        </w:rPr>
      </w:pPr>
      <w:r>
        <w:rPr>
          <w:rFonts w:eastAsia="Calibri"/>
          <w:sz w:val="22"/>
          <w:szCs w:val="22"/>
          <w:lang w:eastAsia="en-US"/>
        </w:rPr>
        <w:t xml:space="preserve">Zjištění týkající se neprovedení řádného výběru vhodných nemovitostí je jednorázové. </w:t>
      </w:r>
      <w:r w:rsidRPr="001B442B">
        <w:rPr>
          <w:rFonts w:eastAsia="Calibri"/>
          <w:sz w:val="22"/>
          <w:szCs w:val="22"/>
          <w:lang w:eastAsia="en-US"/>
        </w:rPr>
        <w:t>V případě nových projektů (investičních akcí) bude předem důsledně stanoven přehled kritérií a transparentní způsob výběru.</w:t>
      </w:r>
      <w:r>
        <w:rPr>
          <w:rFonts w:eastAsia="Calibri"/>
          <w:sz w:val="22"/>
          <w:szCs w:val="22"/>
          <w:lang w:eastAsia="en-US"/>
        </w:rPr>
        <w:t xml:space="preserve"> </w:t>
      </w:r>
      <w:r w:rsidRPr="00C606FF">
        <w:rPr>
          <w:rFonts w:eastAsia="Calibri"/>
          <w:sz w:val="22"/>
          <w:szCs w:val="22"/>
          <w:lang w:eastAsia="en-US"/>
        </w:rPr>
        <w:t xml:space="preserve">Po uvedení personálního systému do provozu bude možné např. upřesnit výběrová kritéria podle počtu systemizovaných pracovních míst. Ke sledování reálných potřeb </w:t>
      </w:r>
      <w:r>
        <w:rPr>
          <w:rFonts w:eastAsia="Calibri"/>
          <w:sz w:val="22"/>
          <w:szCs w:val="22"/>
          <w:lang w:eastAsia="en-US"/>
        </w:rPr>
        <w:t xml:space="preserve">optimální kapacity budov </w:t>
      </w:r>
      <w:r w:rsidRPr="00C606FF">
        <w:rPr>
          <w:rFonts w:eastAsia="Calibri"/>
          <w:sz w:val="22"/>
          <w:szCs w:val="22"/>
          <w:lang w:eastAsia="en-US"/>
        </w:rPr>
        <w:t>přispívají mimo jiné i účelně nastavené personální informační systémy. Proto je ÚP ČR současně požadováno zajištění personálního informačního systému - vyhlášení výběrového řízení na personální informační systém, který by měl umožnit přesnou evidenci např. systemizovaných pracovních míst.</w:t>
      </w:r>
      <w:r w:rsidR="00F01BC7">
        <w:rPr>
          <w:rFonts w:eastAsia="Calibri"/>
          <w:sz w:val="22"/>
          <w:szCs w:val="22"/>
          <w:lang w:eastAsia="en-US"/>
        </w:rPr>
        <w:t xml:space="preserve"> MPSV</w:t>
      </w:r>
      <w:r w:rsidR="006F527A">
        <w:rPr>
          <w:rFonts w:eastAsia="Calibri"/>
          <w:sz w:val="22"/>
          <w:szCs w:val="22"/>
          <w:lang w:eastAsia="en-US"/>
        </w:rPr>
        <w:t xml:space="preserve"> dále</w:t>
      </w:r>
      <w:r w:rsidR="00F01BC7">
        <w:rPr>
          <w:rFonts w:eastAsia="Calibri"/>
          <w:sz w:val="22"/>
          <w:szCs w:val="22"/>
          <w:lang w:eastAsia="en-US"/>
        </w:rPr>
        <w:t xml:space="preserve"> uvedlo, že vždy postupovalo se strategiemi a koncepcemi, které si stanovilo.</w:t>
      </w:r>
      <w:r w:rsidR="006F527A">
        <w:rPr>
          <w:rFonts w:eastAsia="Calibri"/>
          <w:sz w:val="22"/>
          <w:szCs w:val="22"/>
          <w:lang w:eastAsia="en-US"/>
        </w:rPr>
        <w:t xml:space="preserve"> Veškeré budovy byly dle stanoviska MPSV a ÚP ČR pořízeny v souladu se zásadou hospodárnosti a účelnosti vynakládaných prostředků.</w:t>
      </w:r>
      <w:r>
        <w:rPr>
          <w:rFonts w:eastAsia="Calibri"/>
          <w:sz w:val="22"/>
          <w:szCs w:val="22"/>
          <w:lang w:eastAsia="en-US"/>
        </w:rPr>
        <w:t xml:space="preserve"> </w:t>
      </w:r>
    </w:p>
    <w:p w:rsidR="00D81565" w:rsidRPr="000F2110" w:rsidRDefault="00D81565" w:rsidP="00B7711B">
      <w:pPr>
        <w:jc w:val="both"/>
        <w:rPr>
          <w:rFonts w:ascii="Arial" w:hAnsi="Arial" w:cs="Arial"/>
          <w:sz w:val="24"/>
          <w:szCs w:val="24"/>
        </w:rPr>
      </w:pPr>
    </w:p>
    <w:p w:rsidR="00B7711B" w:rsidRPr="002A4427" w:rsidRDefault="00B7711B" w:rsidP="00B7711B">
      <w:pPr>
        <w:jc w:val="both"/>
        <w:rPr>
          <w:b/>
          <w:sz w:val="22"/>
          <w:szCs w:val="22"/>
        </w:rPr>
      </w:pPr>
      <w:r w:rsidRPr="002A4427">
        <w:rPr>
          <w:b/>
          <w:sz w:val="22"/>
          <w:szCs w:val="22"/>
        </w:rPr>
        <w:t>Opatření k</w:t>
      </w:r>
      <w:r w:rsidR="00027B7B">
        <w:rPr>
          <w:b/>
          <w:sz w:val="22"/>
          <w:szCs w:val="22"/>
        </w:rPr>
        <w:t> </w:t>
      </w:r>
      <w:r w:rsidRPr="002A4427">
        <w:rPr>
          <w:b/>
          <w:sz w:val="22"/>
          <w:szCs w:val="22"/>
        </w:rPr>
        <w:t>nápravě</w:t>
      </w:r>
      <w:r w:rsidR="00027B7B">
        <w:rPr>
          <w:b/>
          <w:sz w:val="22"/>
          <w:szCs w:val="22"/>
        </w:rPr>
        <w:t>, která</w:t>
      </w:r>
      <w:r w:rsidRPr="002A4427">
        <w:rPr>
          <w:b/>
          <w:sz w:val="22"/>
          <w:szCs w:val="22"/>
        </w:rPr>
        <w:t xml:space="preserve"> přija</w:t>
      </w:r>
      <w:r w:rsidR="00027B7B">
        <w:rPr>
          <w:b/>
          <w:sz w:val="22"/>
          <w:szCs w:val="22"/>
        </w:rPr>
        <w:t>lo</w:t>
      </w:r>
      <w:r w:rsidRPr="002A4427">
        <w:rPr>
          <w:b/>
          <w:sz w:val="22"/>
          <w:szCs w:val="22"/>
        </w:rPr>
        <w:t xml:space="preserve"> MPSV</w:t>
      </w:r>
    </w:p>
    <w:p w:rsidR="00B7711B" w:rsidRPr="00073204" w:rsidRDefault="00B7711B" w:rsidP="00B7711B">
      <w:pPr>
        <w:pStyle w:val="Zkladntext"/>
        <w:widowControl w:val="0"/>
        <w:numPr>
          <w:ilvl w:val="0"/>
          <w:numId w:val="42"/>
        </w:numPr>
        <w:spacing w:after="0"/>
        <w:ind w:left="357" w:hanging="357"/>
        <w:jc w:val="both"/>
        <w:rPr>
          <w:rFonts w:eastAsia="Calibri"/>
          <w:sz w:val="22"/>
          <w:szCs w:val="22"/>
          <w:lang w:eastAsia="en-US"/>
        </w:rPr>
      </w:pPr>
      <w:r w:rsidRPr="00073204">
        <w:rPr>
          <w:rFonts w:eastAsia="Calibri"/>
          <w:sz w:val="22"/>
          <w:szCs w:val="22"/>
          <w:lang w:eastAsia="en-US"/>
        </w:rPr>
        <w:t xml:space="preserve">S účinností od 1. července 2014 byl na MPSV zřízen nový odbor přípravy investic </w:t>
      </w:r>
      <w:r w:rsidRPr="00073204">
        <w:rPr>
          <w:rFonts w:eastAsia="Calibri"/>
          <w:sz w:val="22"/>
          <w:szCs w:val="22"/>
          <w:lang w:eastAsia="en-US"/>
        </w:rPr>
        <w:br w:type="textWrapping" w:clear="all"/>
        <w:t>a dislokace.</w:t>
      </w:r>
    </w:p>
    <w:p w:rsidR="00B7711B" w:rsidRPr="002A4427" w:rsidRDefault="00B7711B" w:rsidP="00B7711B">
      <w:pPr>
        <w:pStyle w:val="Zkladntext"/>
        <w:widowControl w:val="0"/>
        <w:numPr>
          <w:ilvl w:val="0"/>
          <w:numId w:val="42"/>
        </w:numPr>
        <w:spacing w:after="0"/>
        <w:ind w:left="357" w:hanging="357"/>
        <w:jc w:val="both"/>
        <w:rPr>
          <w:rFonts w:eastAsia="Calibri"/>
          <w:sz w:val="22"/>
          <w:szCs w:val="22"/>
          <w:lang w:eastAsia="en-US"/>
        </w:rPr>
      </w:pPr>
      <w:r w:rsidRPr="00073204">
        <w:rPr>
          <w:rFonts w:eastAsia="Calibri"/>
          <w:sz w:val="22"/>
          <w:szCs w:val="22"/>
          <w:lang w:eastAsia="en-US"/>
        </w:rPr>
        <w:t>Veškeré akce reprodukce majetku jsou projednány nejprve v resortní investiční komisi a poté na poradě vedení MPSV.</w:t>
      </w:r>
    </w:p>
    <w:p w:rsidR="00B7711B" w:rsidRPr="00073204" w:rsidRDefault="00B7711B" w:rsidP="00B7711B">
      <w:pPr>
        <w:pStyle w:val="Zkladntext"/>
        <w:widowControl w:val="0"/>
        <w:numPr>
          <w:ilvl w:val="0"/>
          <w:numId w:val="42"/>
        </w:numPr>
        <w:spacing w:after="0"/>
        <w:ind w:left="357" w:hanging="357"/>
        <w:jc w:val="both"/>
        <w:rPr>
          <w:rFonts w:eastAsia="Calibri"/>
          <w:sz w:val="22"/>
          <w:szCs w:val="22"/>
          <w:lang w:eastAsia="en-US"/>
        </w:rPr>
      </w:pPr>
      <w:r w:rsidRPr="00073204">
        <w:rPr>
          <w:rFonts w:eastAsia="Calibri"/>
          <w:sz w:val="22"/>
          <w:szCs w:val="22"/>
          <w:lang w:eastAsia="en-US"/>
        </w:rPr>
        <w:t>Resortní investiční komisi bude zadán úkol zpracovat v průběhu roku 2015 střednědobou koncepci investiční politiky resortu MPSV.</w:t>
      </w:r>
    </w:p>
    <w:p w:rsidR="00B7711B" w:rsidRPr="00073204" w:rsidRDefault="00B7711B" w:rsidP="00B7711B">
      <w:pPr>
        <w:pStyle w:val="Zkladntext"/>
        <w:widowControl w:val="0"/>
        <w:rPr>
          <w:rFonts w:eastAsia="Calibri"/>
          <w:sz w:val="22"/>
          <w:szCs w:val="22"/>
          <w:lang w:eastAsia="en-US"/>
        </w:rPr>
      </w:pPr>
    </w:p>
    <w:p w:rsidR="00B7711B" w:rsidRPr="00073204" w:rsidRDefault="00B7711B" w:rsidP="008967E2">
      <w:pPr>
        <w:pStyle w:val="Zkladntext"/>
        <w:jc w:val="both"/>
        <w:rPr>
          <w:rFonts w:eastAsia="Calibri"/>
          <w:sz w:val="22"/>
          <w:szCs w:val="22"/>
          <w:lang w:eastAsia="en-US"/>
        </w:rPr>
      </w:pPr>
      <w:r w:rsidRPr="00073204">
        <w:rPr>
          <w:rFonts w:eastAsia="Calibri"/>
          <w:sz w:val="22"/>
          <w:szCs w:val="22"/>
          <w:lang w:eastAsia="en-US"/>
        </w:rPr>
        <w:t xml:space="preserve">MPSV </w:t>
      </w:r>
      <w:r w:rsidR="00F01BC7" w:rsidRPr="00073204">
        <w:rPr>
          <w:rFonts w:eastAsia="Calibri"/>
          <w:sz w:val="22"/>
          <w:szCs w:val="22"/>
          <w:lang w:eastAsia="en-US"/>
        </w:rPr>
        <w:t>akcept</w:t>
      </w:r>
      <w:r w:rsidR="00F01BC7">
        <w:rPr>
          <w:rFonts w:eastAsia="Calibri"/>
          <w:sz w:val="22"/>
          <w:szCs w:val="22"/>
          <w:lang w:eastAsia="en-US"/>
        </w:rPr>
        <w:t>ovalo</w:t>
      </w:r>
      <w:r w:rsidR="00F01BC7" w:rsidRPr="00073204">
        <w:rPr>
          <w:rFonts w:eastAsia="Calibri"/>
          <w:sz w:val="22"/>
          <w:szCs w:val="22"/>
          <w:lang w:eastAsia="en-US"/>
        </w:rPr>
        <w:t xml:space="preserve"> </w:t>
      </w:r>
      <w:r w:rsidRPr="00073204">
        <w:rPr>
          <w:rFonts w:eastAsia="Calibri"/>
          <w:sz w:val="22"/>
          <w:szCs w:val="22"/>
          <w:lang w:eastAsia="en-US"/>
        </w:rPr>
        <w:t xml:space="preserve">doporučení NKÚ k přijetí opatření k odstranění nedostatků uvedená </w:t>
      </w:r>
      <w:r w:rsidRPr="00073204">
        <w:rPr>
          <w:rFonts w:eastAsia="Calibri"/>
          <w:sz w:val="22"/>
          <w:szCs w:val="22"/>
          <w:lang w:eastAsia="en-US"/>
        </w:rPr>
        <w:br w:type="textWrapping" w:clear="all"/>
        <w:t>v části III. jeho kontrolního zá</w:t>
      </w:r>
      <w:r>
        <w:rPr>
          <w:rFonts w:eastAsia="Calibri"/>
          <w:sz w:val="22"/>
          <w:szCs w:val="22"/>
          <w:lang w:eastAsia="en-US"/>
        </w:rPr>
        <w:t>věru z kontrolní akce č. 14/05:</w:t>
      </w:r>
    </w:p>
    <w:p w:rsidR="00B7711B" w:rsidRPr="002A4427" w:rsidRDefault="00B7711B" w:rsidP="00B7711B">
      <w:pPr>
        <w:pStyle w:val="Odstavecseseznamem"/>
        <w:numPr>
          <w:ilvl w:val="0"/>
          <w:numId w:val="43"/>
        </w:numPr>
        <w:tabs>
          <w:tab w:val="clear" w:pos="644"/>
        </w:tabs>
        <w:spacing w:after="0" w:line="240" w:lineRule="auto"/>
        <w:ind w:left="357" w:hanging="357"/>
        <w:jc w:val="both"/>
        <w:rPr>
          <w:rFonts w:ascii="Times New Roman" w:hAnsi="Times New Roman"/>
        </w:rPr>
      </w:pPr>
      <w:r w:rsidRPr="00073204">
        <w:rPr>
          <w:rFonts w:ascii="Times New Roman" w:hAnsi="Times New Roman"/>
        </w:rPr>
        <w:t>objektivní</w:t>
      </w:r>
      <w:r w:rsidR="00027B7B">
        <w:rPr>
          <w:rFonts w:ascii="Times New Roman" w:hAnsi="Times New Roman"/>
        </w:rPr>
        <w:t xml:space="preserve"> nastavení</w:t>
      </w:r>
      <w:r w:rsidRPr="00073204">
        <w:rPr>
          <w:rFonts w:ascii="Times New Roman" w:hAnsi="Times New Roman"/>
        </w:rPr>
        <w:t xml:space="preserve"> indikátorů - </w:t>
      </w:r>
      <w:r w:rsidR="00027B7B">
        <w:rPr>
          <w:rFonts w:ascii="Times New Roman" w:hAnsi="Times New Roman"/>
        </w:rPr>
        <w:t>i</w:t>
      </w:r>
      <w:r w:rsidRPr="00073204">
        <w:rPr>
          <w:rFonts w:ascii="Times New Roman" w:hAnsi="Times New Roman"/>
        </w:rPr>
        <w:t>ndikátory budou nově počítány jako procentuální podíl faktického nákladu k nákladu limitnímu, čímž bude objektivně vyhodnoceno plnění cíle v návaznosti na reálnou hodnotu parametru</w:t>
      </w:r>
      <w:r w:rsidR="00027B7B">
        <w:rPr>
          <w:rFonts w:ascii="Times New Roman" w:hAnsi="Times New Roman"/>
        </w:rPr>
        <w:t>;</w:t>
      </w:r>
    </w:p>
    <w:p w:rsidR="00B7711B" w:rsidRPr="00073204" w:rsidRDefault="00027B7B" w:rsidP="00027B7B">
      <w:pPr>
        <w:pStyle w:val="Odstavecseseznamem"/>
        <w:numPr>
          <w:ilvl w:val="0"/>
          <w:numId w:val="44"/>
        </w:numPr>
        <w:tabs>
          <w:tab w:val="clear" w:pos="644"/>
        </w:tabs>
        <w:spacing w:after="120" w:line="240" w:lineRule="auto"/>
        <w:ind w:left="357" w:hanging="357"/>
        <w:jc w:val="both"/>
        <w:rPr>
          <w:rFonts w:ascii="Times New Roman" w:hAnsi="Times New Roman"/>
        </w:rPr>
      </w:pPr>
      <w:r>
        <w:rPr>
          <w:rFonts w:ascii="Times New Roman" w:hAnsi="Times New Roman"/>
        </w:rPr>
        <w:t>p</w:t>
      </w:r>
      <w:r w:rsidR="00B7711B" w:rsidRPr="00073204">
        <w:rPr>
          <w:rFonts w:ascii="Times New Roman" w:hAnsi="Times New Roman"/>
        </w:rPr>
        <w:t>ři stanovování podmínek pro čerpání prostředků bude do podmínek a do aktualizovaných dokumentací programů uplatněn výčet méně závažných porušení podmínek, aby dopad sankcí nebyl tak tvrdý</w:t>
      </w:r>
      <w:r>
        <w:rPr>
          <w:rFonts w:ascii="Times New Roman" w:hAnsi="Times New Roman"/>
        </w:rPr>
        <w:t>;</w:t>
      </w:r>
    </w:p>
    <w:p w:rsidR="00B7711B" w:rsidRPr="00073204" w:rsidRDefault="00027B7B" w:rsidP="00027B7B">
      <w:pPr>
        <w:pStyle w:val="Odstavecseseznamem"/>
        <w:numPr>
          <w:ilvl w:val="0"/>
          <w:numId w:val="45"/>
        </w:numPr>
        <w:tabs>
          <w:tab w:val="clear" w:pos="644"/>
          <w:tab w:val="num" w:pos="-426"/>
        </w:tabs>
        <w:spacing w:after="120" w:line="240" w:lineRule="auto"/>
        <w:ind w:left="357" w:hanging="357"/>
        <w:jc w:val="both"/>
        <w:rPr>
          <w:rFonts w:ascii="Times New Roman" w:hAnsi="Times New Roman"/>
        </w:rPr>
      </w:pPr>
      <w:r>
        <w:rPr>
          <w:rFonts w:ascii="Times New Roman" w:hAnsi="Times New Roman"/>
        </w:rPr>
        <w:t>v</w:t>
      </w:r>
      <w:r w:rsidR="00B7711B" w:rsidRPr="00073204">
        <w:rPr>
          <w:rFonts w:ascii="Times New Roman" w:hAnsi="Times New Roman"/>
        </w:rPr>
        <w:t xml:space="preserve"> případě zásadních změn programů bude důsledně dodržován přepočet cílů a indikátorů v případě rušení konkrétních akcí a i v případě jejich nahrazování jinými akcemi, které budou v průběhu doby resortní investiční komisí identifikovány a vyhodnoceny jako efektivní, hospodárné a účelné a budou mít oporu v legislativních změnách.</w:t>
      </w:r>
    </w:p>
    <w:p w:rsidR="00B7711B" w:rsidRDefault="00B7711B" w:rsidP="00B7711B">
      <w:pPr>
        <w:jc w:val="both"/>
        <w:rPr>
          <w:sz w:val="22"/>
          <w:szCs w:val="22"/>
        </w:rPr>
      </w:pPr>
      <w:r w:rsidRPr="00290A24">
        <w:rPr>
          <w:sz w:val="22"/>
          <w:szCs w:val="22"/>
        </w:rPr>
        <w:t xml:space="preserve">Výdaje vynaložené na pořízení budovy </w:t>
      </w:r>
      <w:r w:rsidR="00035547">
        <w:rPr>
          <w:sz w:val="22"/>
          <w:szCs w:val="22"/>
        </w:rPr>
        <w:t>Generálního ředitelství ÚP ČR</w:t>
      </w:r>
      <w:r w:rsidRPr="00290A24">
        <w:rPr>
          <w:sz w:val="22"/>
          <w:szCs w:val="22"/>
        </w:rPr>
        <w:t xml:space="preserve"> označila EK ve svém stanovisku k Výroční kontrolní zprávě za rok 2014 za nezpůsobilé.</w:t>
      </w:r>
    </w:p>
    <w:p w:rsidR="00B7711B" w:rsidRDefault="00B7711B" w:rsidP="00B7711B">
      <w:pPr>
        <w:jc w:val="both"/>
        <w:rPr>
          <w:rFonts w:eastAsia="Calibri"/>
          <w:sz w:val="22"/>
          <w:szCs w:val="22"/>
          <w:lang w:eastAsia="en-US"/>
        </w:rPr>
      </w:pPr>
    </w:p>
    <w:p w:rsidR="00C77655" w:rsidRPr="00C606FF" w:rsidRDefault="00C77655" w:rsidP="00B7711B">
      <w:pPr>
        <w:jc w:val="both"/>
        <w:rPr>
          <w:rFonts w:eastAsia="Calibri"/>
          <w:sz w:val="22"/>
          <w:szCs w:val="22"/>
          <w:lang w:eastAsia="en-US"/>
        </w:rPr>
      </w:pPr>
    </w:p>
    <w:p w:rsidR="00DD6F98" w:rsidRDefault="00DD6F98" w:rsidP="00B7711B">
      <w:pPr>
        <w:jc w:val="both"/>
        <w:rPr>
          <w:b/>
          <w:i/>
          <w:sz w:val="22"/>
          <w:szCs w:val="22"/>
        </w:rPr>
      </w:pPr>
    </w:p>
    <w:p w:rsidR="00DD6F98" w:rsidRDefault="00DD6F98" w:rsidP="00B7711B">
      <w:pPr>
        <w:jc w:val="both"/>
        <w:rPr>
          <w:b/>
          <w:i/>
          <w:sz w:val="22"/>
          <w:szCs w:val="22"/>
        </w:rPr>
      </w:pPr>
    </w:p>
    <w:p w:rsidR="00DD6F98" w:rsidRDefault="00DD6F98" w:rsidP="00B7711B">
      <w:pPr>
        <w:jc w:val="both"/>
        <w:rPr>
          <w:b/>
          <w:i/>
          <w:sz w:val="22"/>
          <w:szCs w:val="22"/>
        </w:rPr>
      </w:pPr>
    </w:p>
    <w:p w:rsidR="00B7711B" w:rsidRPr="00290A24" w:rsidRDefault="00B7711B" w:rsidP="00B7711B">
      <w:pPr>
        <w:jc w:val="both"/>
        <w:rPr>
          <w:b/>
          <w:i/>
          <w:sz w:val="22"/>
          <w:szCs w:val="22"/>
        </w:rPr>
      </w:pPr>
      <w:r w:rsidRPr="00290A24">
        <w:rPr>
          <w:b/>
          <w:i/>
          <w:sz w:val="22"/>
          <w:szCs w:val="22"/>
        </w:rPr>
        <w:lastRenderedPageBreak/>
        <w:t>Kontrolní akce NKÚ č. 14/02 „Peněžní prostředky vynakládané na přípravu, realizaci a provoz registru územní identifikace, adres a nemovitostí“</w:t>
      </w:r>
      <w:r w:rsidR="00E43251">
        <w:rPr>
          <w:b/>
          <w:i/>
          <w:sz w:val="22"/>
          <w:szCs w:val="22"/>
        </w:rPr>
        <w:t xml:space="preserve"> (dále jen „RUIAN“)</w:t>
      </w:r>
    </w:p>
    <w:p w:rsidR="00B7711B" w:rsidRDefault="00B7711B" w:rsidP="00B7711B">
      <w:pPr>
        <w:jc w:val="both"/>
        <w:rPr>
          <w:rFonts w:ascii="Arial" w:hAnsi="Arial" w:cs="Arial"/>
          <w:color w:val="000000"/>
          <w:sz w:val="24"/>
          <w:szCs w:val="24"/>
        </w:rPr>
      </w:pPr>
    </w:p>
    <w:p w:rsidR="00B7711B" w:rsidRPr="00290A24" w:rsidRDefault="00B7711B" w:rsidP="00B7711B">
      <w:pPr>
        <w:jc w:val="both"/>
        <w:rPr>
          <w:b/>
          <w:sz w:val="22"/>
          <w:szCs w:val="22"/>
        </w:rPr>
      </w:pPr>
      <w:r w:rsidRPr="00290A24">
        <w:rPr>
          <w:b/>
          <w:sz w:val="22"/>
          <w:szCs w:val="22"/>
        </w:rPr>
        <w:t>Kontrolní zjištění:</w:t>
      </w:r>
    </w:p>
    <w:p w:rsidR="00B7711B" w:rsidRPr="007215F9" w:rsidRDefault="00B7711B" w:rsidP="00883466">
      <w:pPr>
        <w:pStyle w:val="Odstavecseseznamem"/>
        <w:numPr>
          <w:ilvl w:val="0"/>
          <w:numId w:val="53"/>
        </w:numPr>
        <w:spacing w:after="0" w:line="240" w:lineRule="auto"/>
        <w:ind w:left="714" w:hanging="357"/>
        <w:jc w:val="both"/>
      </w:pPr>
      <w:r w:rsidRPr="008967E2">
        <w:rPr>
          <w:rFonts w:ascii="Times New Roman" w:hAnsi="Times New Roman"/>
        </w:rPr>
        <w:t>rizikem pro správnost a úplnost dat</w:t>
      </w:r>
      <w:r w:rsidR="00027B7B">
        <w:rPr>
          <w:rFonts w:ascii="Times New Roman" w:hAnsi="Times New Roman"/>
        </w:rPr>
        <w:t>,</w:t>
      </w:r>
      <w:r w:rsidRPr="008967E2">
        <w:rPr>
          <w:rFonts w:ascii="Times New Roman" w:hAnsi="Times New Roman"/>
        </w:rPr>
        <w:t xml:space="preserve"> uložených v</w:t>
      </w:r>
      <w:r w:rsidR="00027B7B">
        <w:rPr>
          <w:rFonts w:ascii="Times New Roman" w:hAnsi="Times New Roman"/>
        </w:rPr>
        <w:t> </w:t>
      </w:r>
      <w:r w:rsidRPr="008967E2">
        <w:rPr>
          <w:rFonts w:ascii="Times New Roman" w:hAnsi="Times New Roman"/>
        </w:rPr>
        <w:t>RUIAN</w:t>
      </w:r>
      <w:r w:rsidR="00027B7B">
        <w:rPr>
          <w:rFonts w:ascii="Times New Roman" w:hAnsi="Times New Roman"/>
        </w:rPr>
        <w:t>,</w:t>
      </w:r>
      <w:r w:rsidRPr="008967E2">
        <w:rPr>
          <w:rFonts w:ascii="Times New Roman" w:hAnsi="Times New Roman"/>
        </w:rPr>
        <w:t xml:space="preserve"> jsou chyby </w:t>
      </w:r>
      <w:r w:rsidRPr="008967E2">
        <w:rPr>
          <w:rFonts w:ascii="Times New Roman" w:hAnsi="Times New Roman"/>
        </w:rPr>
        <w:br/>
        <w:t>ve zdrojových datech, která sloužila k prvotnímu naplnění RUIAN, a nedostatečná spolupráce editorů při odstraňování chyb, které ČUZK zjistil</w:t>
      </w:r>
      <w:r w:rsidR="00027B7B">
        <w:rPr>
          <w:rFonts w:ascii="Times New Roman" w:hAnsi="Times New Roman"/>
        </w:rPr>
        <w:t>;</w:t>
      </w:r>
      <w:r w:rsidRPr="008967E2">
        <w:rPr>
          <w:rFonts w:ascii="Times New Roman" w:hAnsi="Times New Roman"/>
        </w:rPr>
        <w:t xml:space="preserve"> </w:t>
      </w:r>
    </w:p>
    <w:p w:rsidR="00B7711B" w:rsidRPr="007215F9" w:rsidRDefault="00B7711B" w:rsidP="00883466">
      <w:pPr>
        <w:pStyle w:val="Odstavecseseznamem"/>
        <w:numPr>
          <w:ilvl w:val="0"/>
          <w:numId w:val="53"/>
        </w:numPr>
        <w:spacing w:after="0" w:line="240" w:lineRule="auto"/>
        <w:ind w:left="714" w:hanging="357"/>
        <w:jc w:val="both"/>
      </w:pPr>
      <w:r w:rsidRPr="008967E2">
        <w:rPr>
          <w:rFonts w:ascii="Times New Roman" w:hAnsi="Times New Roman"/>
        </w:rPr>
        <w:t>ČUZK při realizaci RUIAN nevytvořil předpoklady pro pořízení technologické infrastruktury v potřebném a přiměřeném rozsahu. Sdílená technologická infrastruktura pro</w:t>
      </w:r>
      <w:r w:rsidR="00013704" w:rsidRPr="008967E2">
        <w:rPr>
          <w:rFonts w:ascii="Times New Roman" w:hAnsi="Times New Roman"/>
        </w:rPr>
        <w:t xml:space="preserve"> Informační systém katastru nemovitostí (dále jen „</w:t>
      </w:r>
      <w:r w:rsidRPr="008967E2">
        <w:rPr>
          <w:rFonts w:ascii="Times New Roman" w:hAnsi="Times New Roman"/>
        </w:rPr>
        <w:t>ISKN</w:t>
      </w:r>
      <w:r w:rsidR="00013704" w:rsidRPr="008967E2">
        <w:rPr>
          <w:rFonts w:ascii="Times New Roman" w:hAnsi="Times New Roman"/>
        </w:rPr>
        <w:t>“)</w:t>
      </w:r>
      <w:r w:rsidRPr="008967E2">
        <w:rPr>
          <w:rFonts w:ascii="Times New Roman" w:hAnsi="Times New Roman"/>
        </w:rPr>
        <w:t xml:space="preserve">, RUIAN a jeho </w:t>
      </w:r>
      <w:proofErr w:type="spellStart"/>
      <w:r w:rsidRPr="008967E2">
        <w:rPr>
          <w:rFonts w:ascii="Times New Roman" w:hAnsi="Times New Roman"/>
        </w:rPr>
        <w:t>agendové</w:t>
      </w:r>
      <w:proofErr w:type="spellEnd"/>
      <w:r w:rsidRPr="008967E2">
        <w:rPr>
          <w:rFonts w:ascii="Times New Roman" w:hAnsi="Times New Roman"/>
        </w:rPr>
        <w:t xml:space="preserve"> informační systémy vylučuje možnost sledovat celk</w:t>
      </w:r>
      <w:r w:rsidR="00013704" w:rsidRPr="008967E2">
        <w:rPr>
          <w:rFonts w:ascii="Times New Roman" w:hAnsi="Times New Roman"/>
        </w:rPr>
        <w:t xml:space="preserve">ové výdaje </w:t>
      </w:r>
      <w:r w:rsidRPr="008967E2">
        <w:rPr>
          <w:rFonts w:ascii="Times New Roman" w:hAnsi="Times New Roman"/>
        </w:rPr>
        <w:t>na realizaci RUIAN odděleně</w:t>
      </w:r>
      <w:r w:rsidR="00027B7B">
        <w:rPr>
          <w:rFonts w:ascii="Times New Roman" w:hAnsi="Times New Roman"/>
        </w:rPr>
        <w:t>;</w:t>
      </w:r>
    </w:p>
    <w:p w:rsidR="00B7711B" w:rsidRPr="007215F9" w:rsidRDefault="00B7711B" w:rsidP="00883466">
      <w:pPr>
        <w:pStyle w:val="Odstavecseseznamem"/>
        <w:numPr>
          <w:ilvl w:val="0"/>
          <w:numId w:val="53"/>
        </w:numPr>
        <w:spacing w:after="0" w:line="240" w:lineRule="auto"/>
        <w:ind w:left="714" w:hanging="357"/>
        <w:jc w:val="both"/>
      </w:pPr>
      <w:r w:rsidRPr="008967E2">
        <w:rPr>
          <w:rFonts w:ascii="Times New Roman" w:hAnsi="Times New Roman"/>
        </w:rPr>
        <w:t xml:space="preserve">ČUZK nemohl u dvou zadávacích řízení porovnat nabídkové ceny, protože nabídku podal vždy jeden uchazeč. V případě jedné VZ se jedná o společnost, se kterou ČÚZK spolupracuje při provozování ISKN již od roku 1997. Došlo ke zvýšení závislosti na vybraném dodavateli </w:t>
      </w:r>
      <w:r w:rsidRPr="008967E2">
        <w:rPr>
          <w:rFonts w:ascii="Times New Roman" w:hAnsi="Times New Roman"/>
        </w:rPr>
        <w:br/>
        <w:t xml:space="preserve">a jeho technologiích. Kontrolou správnosti průběhu zadávacích řízení NKÚ zjistil, že ČÚZK nezveřejnil změnu požadavku na osvědčení uchazeče ze stupně DUVĚRNÉ na VYHRAZENÉ. </w:t>
      </w:r>
    </w:p>
    <w:p w:rsidR="00B7711B" w:rsidRPr="007215F9" w:rsidRDefault="00B7711B" w:rsidP="00883466">
      <w:pPr>
        <w:pStyle w:val="Odstavecseseznamem"/>
        <w:numPr>
          <w:ilvl w:val="0"/>
          <w:numId w:val="53"/>
        </w:numPr>
        <w:spacing w:after="0" w:line="240" w:lineRule="auto"/>
        <w:ind w:left="714" w:hanging="357"/>
        <w:jc w:val="both"/>
      </w:pPr>
      <w:r w:rsidRPr="008967E2">
        <w:rPr>
          <w:rFonts w:ascii="Times New Roman" w:hAnsi="Times New Roman"/>
        </w:rPr>
        <w:t>ČÚZK neuzavřel smlouvu o plnění VZ na pořízení technologické infrastruktury v souladu s návrhem smlouvy obsaženým v nabídce, nedodržel lhůtu pro stanovení smlouvy; v jednom případě byl dosavad</w:t>
      </w:r>
      <w:r w:rsidR="00013704" w:rsidRPr="008967E2">
        <w:rPr>
          <w:rFonts w:ascii="Times New Roman" w:hAnsi="Times New Roman"/>
        </w:rPr>
        <w:t xml:space="preserve">ní poskytovatel zvýhodněn tím, </w:t>
      </w:r>
      <w:r w:rsidRPr="008967E2">
        <w:rPr>
          <w:rFonts w:ascii="Times New Roman" w:hAnsi="Times New Roman"/>
        </w:rPr>
        <w:t>že nemusel do své nabídky zahrnout náklady na stěhování technologií; ve dvou případech neodeslal ČÚZK ve stanovené lhůtě oznámení o výsledku zadávacího řízení k uveřejnění; v případě jednoho jednacího řízení bez uveřejnění nevytv</w:t>
      </w:r>
      <w:r w:rsidR="00C77655" w:rsidRPr="008967E2">
        <w:rPr>
          <w:rFonts w:ascii="Times New Roman" w:hAnsi="Times New Roman"/>
        </w:rPr>
        <w:t xml:space="preserve">ořil ČÚZK zadávací dokumentaci </w:t>
      </w:r>
      <w:r w:rsidRPr="008967E2">
        <w:rPr>
          <w:rFonts w:ascii="Times New Roman" w:hAnsi="Times New Roman"/>
        </w:rPr>
        <w:t xml:space="preserve">a její náležitosti neuvedl ani ve výzvě k jednání.  </w:t>
      </w:r>
    </w:p>
    <w:p w:rsidR="00B7711B" w:rsidRPr="00C77655" w:rsidRDefault="00B7711B" w:rsidP="00883466"/>
    <w:p w:rsidR="00B7711B" w:rsidRPr="00C77655" w:rsidRDefault="00B7711B" w:rsidP="00B7711B">
      <w:pPr>
        <w:spacing w:after="120"/>
        <w:jc w:val="both"/>
        <w:rPr>
          <w:sz w:val="22"/>
          <w:szCs w:val="22"/>
        </w:rPr>
      </w:pPr>
      <w:r w:rsidRPr="00B7711B">
        <w:rPr>
          <w:sz w:val="22"/>
          <w:szCs w:val="22"/>
        </w:rPr>
        <w:t xml:space="preserve">Vláda ČR svým usnesením č. 75 ze dne 4. 2. 2015 uložila ministru zemědělství a předsedovi Českého úřadu zeměměřického a katastrálního realizovat opatření uvedená ve stanovisku v bodě I/2 tohoto usnesení a informovat vládu do 30. 9. 2015 o této realizaci a doporučila upravit formou vnitřního předpisu postup a odpovědnost při zadávání veřejných zakázek podle zákona č. 137/2006 Sb., </w:t>
      </w:r>
      <w:r w:rsidR="00E43251">
        <w:rPr>
          <w:sz w:val="22"/>
          <w:szCs w:val="22"/>
        </w:rPr>
        <w:br/>
      </w:r>
      <w:r w:rsidRPr="00B7711B">
        <w:rPr>
          <w:sz w:val="22"/>
          <w:szCs w:val="22"/>
        </w:rPr>
        <w:t>o veřejných zakázkách, ve znění pozdějších předpisů.</w:t>
      </w:r>
    </w:p>
    <w:p w:rsidR="00B7711B" w:rsidRPr="007175E7" w:rsidRDefault="00B7711B" w:rsidP="00B7711B">
      <w:pPr>
        <w:jc w:val="both"/>
        <w:rPr>
          <w:b/>
          <w:sz w:val="22"/>
          <w:szCs w:val="22"/>
        </w:rPr>
      </w:pPr>
      <w:r w:rsidRPr="007175E7">
        <w:rPr>
          <w:b/>
          <w:sz w:val="22"/>
          <w:szCs w:val="22"/>
        </w:rPr>
        <w:t>Plnění nápravných opatření</w:t>
      </w:r>
    </w:p>
    <w:p w:rsidR="00BA35CF" w:rsidRDefault="00BA35CF" w:rsidP="00B7711B">
      <w:pPr>
        <w:spacing w:after="120"/>
        <w:jc w:val="both"/>
        <w:rPr>
          <w:sz w:val="22"/>
          <w:szCs w:val="22"/>
        </w:rPr>
      </w:pPr>
      <w:r>
        <w:rPr>
          <w:sz w:val="22"/>
          <w:szCs w:val="22"/>
        </w:rPr>
        <w:t>Nezveřejnění změny požadavku na osvědčení uchazeče ze stupně Důvěrné na stupeň Vyhrazené bylo identifikováno již při kontrole ŘO IOP</w:t>
      </w:r>
      <w:r w:rsidR="002A556A">
        <w:rPr>
          <w:sz w:val="22"/>
          <w:szCs w:val="22"/>
        </w:rPr>
        <w:t xml:space="preserve"> č. 23/2010/I, jedná se tedy o známou chybu. ŘO IOP na základě svého zjištění u daného projektu zaevidoval nesrovnalost, která nebyla do současné doby uzavřena, jelikož probíhalo správní řízení ÚOHS a šetření finančního úřadu.</w:t>
      </w:r>
      <w:r w:rsidR="007C571F">
        <w:rPr>
          <w:sz w:val="22"/>
          <w:szCs w:val="22"/>
        </w:rPr>
        <w:t xml:space="preserve"> Výdaje vynaložené na předmětnou veřejnou zakázku byly v souladu s Pravidly pro uplatňování finančních oprav ze strany ZS MV kráceny o 5%.</w:t>
      </w:r>
    </w:p>
    <w:p w:rsidR="006B1F8F" w:rsidRDefault="006B1F8F" w:rsidP="00B7711B">
      <w:pPr>
        <w:spacing w:after="120"/>
        <w:jc w:val="both"/>
        <w:rPr>
          <w:sz w:val="22"/>
          <w:szCs w:val="22"/>
        </w:rPr>
      </w:pPr>
      <w:r>
        <w:rPr>
          <w:sz w:val="22"/>
          <w:szCs w:val="22"/>
        </w:rPr>
        <w:t>ČÚZK pravidelně pořádá školení zaměstnanců zaměřená na oblast zadávání veřejných zakázek. Byl také zkvalitněn kontrolní mechanismus v procesu zadávání veřejných zakázek včetně stanovení konkrétních odpovědností za dodržení jednotlivých povinností v zadávacím procesu.</w:t>
      </w:r>
    </w:p>
    <w:p w:rsidR="00B7711B" w:rsidRPr="00B7711B" w:rsidRDefault="00B7711B" w:rsidP="00883466"/>
    <w:p w:rsidR="00EB1C14" w:rsidRPr="00760173" w:rsidRDefault="00EB1C14" w:rsidP="00EB1C14">
      <w:pPr>
        <w:tabs>
          <w:tab w:val="left" w:pos="9072"/>
        </w:tabs>
        <w:jc w:val="both"/>
        <w:rPr>
          <w:b/>
          <w:i/>
          <w:sz w:val="22"/>
          <w:szCs w:val="22"/>
        </w:rPr>
      </w:pPr>
      <w:r w:rsidRPr="00760173">
        <w:rPr>
          <w:b/>
          <w:i/>
          <w:sz w:val="22"/>
          <w:szCs w:val="22"/>
        </w:rPr>
        <w:t>Kontrolní akce NKÚ č. 14/15</w:t>
      </w:r>
      <w:r w:rsidR="00B7711B" w:rsidRPr="00B7711B">
        <w:rPr>
          <w:b/>
          <w:i/>
          <w:sz w:val="22"/>
          <w:szCs w:val="22"/>
        </w:rPr>
        <w:t xml:space="preserve">„Peněžní prostředky vynakládané na projekty a opatření k podpoře </w:t>
      </w:r>
      <w:r w:rsidR="00DD6F98">
        <w:rPr>
          <w:b/>
          <w:i/>
          <w:sz w:val="22"/>
          <w:szCs w:val="22"/>
        </w:rPr>
        <w:br/>
      </w:r>
      <w:r w:rsidR="00B7711B" w:rsidRPr="00B7711B">
        <w:rPr>
          <w:b/>
          <w:i/>
          <w:sz w:val="22"/>
          <w:szCs w:val="22"/>
        </w:rPr>
        <w:t>a dosažení efektivní veřejné správy včetně realizace úspor výdajů“</w:t>
      </w:r>
    </w:p>
    <w:p w:rsidR="00EB1C14" w:rsidRPr="00760173" w:rsidRDefault="00EB1C14" w:rsidP="00EB1C14">
      <w:pPr>
        <w:pStyle w:val="Bezmezer"/>
        <w:jc w:val="both"/>
        <w:rPr>
          <w:rFonts w:ascii="Times New Roman" w:hAnsi="Times New Roman"/>
        </w:rPr>
      </w:pPr>
      <w:r w:rsidRPr="00760173">
        <w:rPr>
          <w:rFonts w:ascii="Times New Roman" w:hAnsi="Times New Roman"/>
        </w:rPr>
        <w:t xml:space="preserve">Kontrolní akce </w:t>
      </w:r>
      <w:r w:rsidR="0037245F">
        <w:rPr>
          <w:rFonts w:ascii="Times New Roman" w:hAnsi="Times New Roman"/>
        </w:rPr>
        <w:t>byla zahájena dne 23. 4. 2014 se</w:t>
      </w:r>
      <w:r w:rsidRPr="00760173">
        <w:rPr>
          <w:rFonts w:ascii="Times New Roman" w:hAnsi="Times New Roman"/>
        </w:rPr>
        <w:t xml:space="preserve"> </w:t>
      </w:r>
      <w:r w:rsidR="0037245F">
        <w:rPr>
          <w:rFonts w:ascii="Times New Roman" w:hAnsi="Times New Roman"/>
        </w:rPr>
        <w:t>zaměřením</w:t>
      </w:r>
      <w:r w:rsidRPr="00760173">
        <w:rPr>
          <w:rFonts w:ascii="Times New Roman" w:hAnsi="Times New Roman"/>
        </w:rPr>
        <w:t xml:space="preserve"> na implementaci Smart </w:t>
      </w:r>
      <w:proofErr w:type="spellStart"/>
      <w:r w:rsidRPr="00760173">
        <w:rPr>
          <w:rFonts w:ascii="Times New Roman" w:hAnsi="Times New Roman"/>
        </w:rPr>
        <w:t>Administration</w:t>
      </w:r>
      <w:proofErr w:type="spellEnd"/>
      <w:r w:rsidRPr="00760173">
        <w:rPr>
          <w:rFonts w:ascii="Times New Roman" w:hAnsi="Times New Roman"/>
        </w:rPr>
        <w:t xml:space="preserve"> (dále také „SA“) a na vybrané projekty Operačního programu lidské zdroje a zaměstnanost. Kontrolní závěr byl zveřejněn ve Věstníku č. 2/2015 a shrnutí zjištění týkajících se IOP je následující:</w:t>
      </w:r>
    </w:p>
    <w:p w:rsidR="00EB1C14" w:rsidRPr="00760173" w:rsidRDefault="00EB1C14" w:rsidP="00760173">
      <w:pPr>
        <w:pStyle w:val="Bezmezer"/>
        <w:numPr>
          <w:ilvl w:val="0"/>
          <w:numId w:val="37"/>
        </w:numPr>
        <w:jc w:val="both"/>
        <w:rPr>
          <w:rFonts w:ascii="Times New Roman" w:hAnsi="Times New Roman"/>
        </w:rPr>
      </w:pPr>
      <w:r w:rsidRPr="00760173">
        <w:rPr>
          <w:rFonts w:ascii="Times New Roman" w:hAnsi="Times New Roman"/>
        </w:rPr>
        <w:t xml:space="preserve">MV ve strategii SA nestanovilo konkrétní cílový stav pro veřejnou správu v roce 2015 </w:t>
      </w:r>
      <w:r w:rsidR="00760173">
        <w:rPr>
          <w:rFonts w:ascii="Times New Roman" w:hAnsi="Times New Roman"/>
        </w:rPr>
        <w:br/>
      </w:r>
      <w:r w:rsidRPr="00760173">
        <w:rPr>
          <w:rFonts w:ascii="Times New Roman" w:hAnsi="Times New Roman"/>
        </w:rPr>
        <w:t xml:space="preserve">a nenastavilo způsob, který by zajistil měřitelné hodnocení plnění této strategie; </w:t>
      </w:r>
    </w:p>
    <w:p w:rsidR="00EB1C14" w:rsidRPr="00760173" w:rsidRDefault="00EB1C14" w:rsidP="00760173">
      <w:pPr>
        <w:pStyle w:val="Bezmezer"/>
        <w:numPr>
          <w:ilvl w:val="0"/>
          <w:numId w:val="37"/>
        </w:numPr>
        <w:jc w:val="both"/>
        <w:rPr>
          <w:rFonts w:ascii="Times New Roman" w:hAnsi="Times New Roman"/>
        </w:rPr>
      </w:pPr>
      <w:r w:rsidRPr="00760173">
        <w:rPr>
          <w:rFonts w:ascii="Times New Roman" w:hAnsi="Times New Roman"/>
        </w:rPr>
        <w:t>koordinace strategie SA na meziresortní úrovni nefungovala;</w:t>
      </w:r>
    </w:p>
    <w:p w:rsidR="00EB1C14" w:rsidRPr="00760173" w:rsidRDefault="00EB1C14" w:rsidP="00760173">
      <w:pPr>
        <w:pStyle w:val="Bezmezer"/>
        <w:numPr>
          <w:ilvl w:val="0"/>
          <w:numId w:val="37"/>
        </w:numPr>
        <w:jc w:val="both"/>
        <w:rPr>
          <w:rFonts w:ascii="Times New Roman" w:hAnsi="Times New Roman"/>
        </w:rPr>
      </w:pPr>
      <w:r w:rsidRPr="00760173">
        <w:rPr>
          <w:rFonts w:ascii="Times New Roman" w:hAnsi="Times New Roman"/>
        </w:rPr>
        <w:t>MV zajišťovalo řízení a hodnocení strategie SA nedostatečně.</w:t>
      </w:r>
    </w:p>
    <w:p w:rsidR="00EB1C14" w:rsidRPr="00760173" w:rsidRDefault="00EB1C14" w:rsidP="00EB1C14">
      <w:pPr>
        <w:jc w:val="both"/>
        <w:rPr>
          <w:b/>
          <w:i/>
          <w:sz w:val="22"/>
          <w:szCs w:val="22"/>
        </w:rPr>
      </w:pPr>
    </w:p>
    <w:p w:rsidR="00EB1C14" w:rsidRPr="00760173" w:rsidRDefault="00EB1C14" w:rsidP="00B62872">
      <w:pPr>
        <w:jc w:val="both"/>
        <w:rPr>
          <w:sz w:val="22"/>
          <w:szCs w:val="22"/>
        </w:rPr>
      </w:pPr>
      <w:r w:rsidRPr="00760173">
        <w:rPr>
          <w:b/>
          <w:i/>
          <w:sz w:val="22"/>
          <w:szCs w:val="22"/>
        </w:rPr>
        <w:t>Kontrolní akce NKÚ č. 14/31 „Majetek a peněžní prostředky státu, se kterými jsou příslušné hospodařit vybrané příspěvkové organizace Ministerstva pro místní rozvoj“</w:t>
      </w:r>
    </w:p>
    <w:p w:rsidR="00EB1C14" w:rsidRDefault="00EB1C14" w:rsidP="00B62872">
      <w:pPr>
        <w:jc w:val="both"/>
        <w:rPr>
          <w:sz w:val="22"/>
          <w:szCs w:val="22"/>
        </w:rPr>
      </w:pPr>
      <w:r w:rsidRPr="00760173">
        <w:rPr>
          <w:sz w:val="22"/>
          <w:szCs w:val="22"/>
        </w:rPr>
        <w:lastRenderedPageBreak/>
        <w:t>Časový plán kontrolní akce je od října 2014 do června 2015 a může zahrnovat i finanční prostředky IOP. Závěr NKÚ zatím nebyl publikován.</w:t>
      </w:r>
    </w:p>
    <w:p w:rsidR="00325BBC" w:rsidRPr="00760173" w:rsidRDefault="00325BBC" w:rsidP="00B62872">
      <w:pPr>
        <w:jc w:val="both"/>
        <w:rPr>
          <w:sz w:val="22"/>
          <w:szCs w:val="22"/>
        </w:rPr>
      </w:pPr>
    </w:p>
    <w:p w:rsidR="00325BBC" w:rsidRDefault="00EB1C14" w:rsidP="00B62872">
      <w:pPr>
        <w:pStyle w:val="Normlnweb"/>
        <w:spacing w:before="0" w:beforeAutospacing="0" w:after="0" w:afterAutospacing="0"/>
        <w:jc w:val="both"/>
        <w:rPr>
          <w:b/>
          <w:i/>
          <w:sz w:val="22"/>
          <w:szCs w:val="22"/>
        </w:rPr>
      </w:pPr>
      <w:r w:rsidRPr="00760173">
        <w:rPr>
          <w:b/>
          <w:i/>
          <w:sz w:val="22"/>
          <w:szCs w:val="22"/>
        </w:rPr>
        <w:t>Kontrolní akce NKÚ č. 15/02 „Peněžní prostředky státu poskytované na podporu úspor energie“</w:t>
      </w:r>
    </w:p>
    <w:p w:rsidR="00EB1C14" w:rsidRDefault="00EB1C14" w:rsidP="00B62872">
      <w:pPr>
        <w:pStyle w:val="Normlnweb"/>
        <w:spacing w:before="0" w:beforeAutospacing="0" w:after="0" w:afterAutospacing="0"/>
        <w:jc w:val="both"/>
        <w:rPr>
          <w:sz w:val="22"/>
          <w:szCs w:val="22"/>
        </w:rPr>
      </w:pPr>
      <w:r w:rsidRPr="00760173">
        <w:rPr>
          <w:sz w:val="22"/>
          <w:szCs w:val="22"/>
        </w:rPr>
        <w:t>Kontrolní akce byla na MMR zahájena dne 27. 1. 2015 a protokol byl předán MMR dne 14. 8. 2015. Závěr NKÚ zatím nebyl publikován.</w:t>
      </w:r>
    </w:p>
    <w:p w:rsidR="00325BBC" w:rsidRPr="00325BBC" w:rsidRDefault="00325BBC" w:rsidP="00B62872">
      <w:pPr>
        <w:pStyle w:val="Normlnweb"/>
        <w:spacing w:before="0" w:beforeAutospacing="0" w:after="0" w:afterAutospacing="0"/>
        <w:jc w:val="both"/>
        <w:rPr>
          <w:b/>
          <w:i/>
          <w:sz w:val="22"/>
          <w:szCs w:val="22"/>
        </w:rPr>
      </w:pPr>
    </w:p>
    <w:p w:rsidR="00EB1C14" w:rsidRPr="00760173" w:rsidRDefault="00EB1C14" w:rsidP="00B62872">
      <w:pPr>
        <w:pStyle w:val="Normlnweb"/>
        <w:spacing w:before="0" w:beforeAutospacing="0" w:after="0" w:afterAutospacing="0"/>
        <w:jc w:val="both"/>
        <w:rPr>
          <w:b/>
          <w:i/>
          <w:sz w:val="22"/>
          <w:szCs w:val="22"/>
        </w:rPr>
      </w:pPr>
      <w:r w:rsidRPr="00760173">
        <w:rPr>
          <w:b/>
          <w:i/>
          <w:sz w:val="22"/>
          <w:szCs w:val="22"/>
        </w:rPr>
        <w:t>Kontrolní akce NKÚ č. 15/03 „Peněžní prostředky určené na projekty elektronizace veřejné správy v gesci Ministerstva vnitra“</w:t>
      </w:r>
    </w:p>
    <w:p w:rsidR="00EB1C14" w:rsidRPr="00760173" w:rsidRDefault="00EB1C14" w:rsidP="0057745C">
      <w:pPr>
        <w:pStyle w:val="Normlnweb"/>
        <w:spacing w:before="0" w:beforeAutospacing="0" w:after="0" w:afterAutospacing="0"/>
        <w:jc w:val="both"/>
        <w:rPr>
          <w:sz w:val="22"/>
          <w:szCs w:val="22"/>
        </w:rPr>
      </w:pPr>
      <w:r w:rsidRPr="00760173">
        <w:rPr>
          <w:sz w:val="22"/>
          <w:szCs w:val="22"/>
        </w:rPr>
        <w:t xml:space="preserve">Časový plán kontrolní akce je od ledna 2015 do listopadu 2015 a kontrolované osoby jsou </w:t>
      </w:r>
      <w:r w:rsidR="0057745C">
        <w:rPr>
          <w:sz w:val="22"/>
          <w:szCs w:val="22"/>
        </w:rPr>
        <w:t>M</w:t>
      </w:r>
      <w:r w:rsidRPr="00760173">
        <w:rPr>
          <w:sz w:val="22"/>
          <w:szCs w:val="22"/>
        </w:rPr>
        <w:t xml:space="preserve">inisterstvo vnitra a Česká pošta, </w:t>
      </w:r>
      <w:proofErr w:type="spellStart"/>
      <w:proofErr w:type="gramStart"/>
      <w:r w:rsidRPr="00760173">
        <w:rPr>
          <w:sz w:val="22"/>
          <w:szCs w:val="22"/>
        </w:rPr>
        <w:t>s.p</w:t>
      </w:r>
      <w:proofErr w:type="spellEnd"/>
      <w:r w:rsidRPr="00760173">
        <w:rPr>
          <w:sz w:val="22"/>
          <w:szCs w:val="22"/>
        </w:rPr>
        <w:t>.</w:t>
      </w:r>
      <w:proofErr w:type="gramEnd"/>
      <w:r w:rsidRPr="00760173">
        <w:rPr>
          <w:sz w:val="22"/>
          <w:szCs w:val="22"/>
        </w:rPr>
        <w:t>, Praha. Kontrola byla zahájena na Ministerstvu vnitra dne</w:t>
      </w:r>
      <w:r w:rsidR="0057745C">
        <w:rPr>
          <w:sz w:val="22"/>
          <w:szCs w:val="22"/>
        </w:rPr>
        <w:t xml:space="preserve"> </w:t>
      </w:r>
      <w:r w:rsidRPr="00760173">
        <w:rPr>
          <w:sz w:val="22"/>
          <w:szCs w:val="22"/>
        </w:rPr>
        <w:t xml:space="preserve">27. 1. 2015.  </w:t>
      </w:r>
      <w:r w:rsidR="0057745C">
        <w:rPr>
          <w:sz w:val="22"/>
          <w:szCs w:val="22"/>
        </w:rPr>
        <w:t xml:space="preserve"> </w:t>
      </w:r>
    </w:p>
    <w:p w:rsidR="00EB1C14" w:rsidRPr="00760173" w:rsidRDefault="00EB1C14" w:rsidP="00B62872">
      <w:pPr>
        <w:pStyle w:val="Normlnweb"/>
        <w:spacing w:before="0" w:beforeAutospacing="0" w:after="0" w:afterAutospacing="0"/>
        <w:jc w:val="both"/>
        <w:rPr>
          <w:sz w:val="22"/>
          <w:szCs w:val="22"/>
        </w:rPr>
      </w:pPr>
    </w:p>
    <w:p w:rsidR="00EB1C14" w:rsidRPr="00760173" w:rsidRDefault="00EB1C14" w:rsidP="00B62872">
      <w:pPr>
        <w:pStyle w:val="Normlnweb"/>
        <w:spacing w:before="0" w:beforeAutospacing="0" w:after="0" w:afterAutospacing="0"/>
        <w:jc w:val="both"/>
        <w:rPr>
          <w:b/>
          <w:i/>
          <w:sz w:val="22"/>
          <w:szCs w:val="22"/>
        </w:rPr>
      </w:pPr>
      <w:r w:rsidRPr="00760173">
        <w:rPr>
          <w:b/>
          <w:i/>
          <w:sz w:val="22"/>
          <w:szCs w:val="22"/>
        </w:rPr>
        <w:t>Kontrolní akce NKÚ č. 15/06 „Peněžní prostředky strukturálních fondů Evropské unie a státního rozpočtu určené na financování operačních programů z hlediska udržitelnosti projektů“</w:t>
      </w:r>
    </w:p>
    <w:p w:rsidR="00EB1C14" w:rsidRPr="00760173" w:rsidRDefault="00EB1C14" w:rsidP="00B62872">
      <w:pPr>
        <w:pStyle w:val="Bezmezer"/>
        <w:jc w:val="both"/>
        <w:rPr>
          <w:rFonts w:ascii="Times New Roman" w:hAnsi="Times New Roman"/>
        </w:rPr>
      </w:pPr>
      <w:r w:rsidRPr="00760173">
        <w:rPr>
          <w:rFonts w:ascii="Times New Roman" w:hAnsi="Times New Roman"/>
        </w:rPr>
        <w:t xml:space="preserve">Kontrolní akce byla na ŘO IOP a ZS CRR zahájena dne 24. 2. 2015. Další kontrolované osoby zahrnují MK, MPSV, MV, </w:t>
      </w:r>
      <w:proofErr w:type="spellStart"/>
      <w:r w:rsidRPr="00760173">
        <w:rPr>
          <w:rFonts w:ascii="Times New Roman" w:hAnsi="Times New Roman"/>
        </w:rPr>
        <w:t>MZd</w:t>
      </w:r>
      <w:proofErr w:type="spellEnd"/>
      <w:r w:rsidRPr="00760173">
        <w:rPr>
          <w:rFonts w:ascii="Times New Roman" w:hAnsi="Times New Roman"/>
        </w:rPr>
        <w:t xml:space="preserve"> a vybrané příjemce. Kontrolní akce NKÚ zatím nebyla ukončena.</w:t>
      </w:r>
    </w:p>
    <w:p w:rsidR="00EB1C14" w:rsidRPr="00760173" w:rsidRDefault="00EB1C14" w:rsidP="00B62872">
      <w:pPr>
        <w:pStyle w:val="Normlnweb"/>
        <w:spacing w:before="0" w:beforeAutospacing="0" w:after="0" w:afterAutospacing="0"/>
        <w:jc w:val="both"/>
        <w:rPr>
          <w:b/>
          <w:sz w:val="22"/>
          <w:szCs w:val="22"/>
        </w:rPr>
      </w:pPr>
    </w:p>
    <w:p w:rsidR="00EB1C14" w:rsidRPr="00760173" w:rsidRDefault="00EB1C14" w:rsidP="00B62872">
      <w:pPr>
        <w:pStyle w:val="Normlnweb"/>
        <w:spacing w:before="0" w:beforeAutospacing="0" w:after="0" w:afterAutospacing="0"/>
        <w:jc w:val="both"/>
        <w:rPr>
          <w:b/>
          <w:i/>
          <w:sz w:val="22"/>
          <w:szCs w:val="22"/>
        </w:rPr>
      </w:pPr>
      <w:r w:rsidRPr="00760173">
        <w:rPr>
          <w:b/>
          <w:i/>
          <w:sz w:val="22"/>
          <w:szCs w:val="22"/>
        </w:rPr>
        <w:t>Kontrolní akce NKÚ č. 15/10 „Peněžní prostředky vynakládané na projekt Národní infrastruktura pro elektronické zadávání veřejných zakázek (NIPEZ) a nákup komodit jeho prostřednictvím“</w:t>
      </w:r>
    </w:p>
    <w:p w:rsidR="00EB1C14" w:rsidRPr="00760173" w:rsidRDefault="00EB1C14" w:rsidP="00B62872">
      <w:pPr>
        <w:pStyle w:val="Normlnweb"/>
        <w:spacing w:before="0" w:beforeAutospacing="0" w:after="0" w:afterAutospacing="0"/>
        <w:jc w:val="both"/>
        <w:rPr>
          <w:b/>
          <w:sz w:val="22"/>
          <w:szCs w:val="22"/>
        </w:rPr>
      </w:pPr>
      <w:r w:rsidRPr="00760173">
        <w:rPr>
          <w:sz w:val="22"/>
          <w:szCs w:val="22"/>
        </w:rPr>
        <w:t xml:space="preserve">Kontrola byla na MMR zahájena dne 8. 4. 2015, jejím předmětem je projekt NIPEZ, </w:t>
      </w:r>
      <w:r w:rsidR="00325BBC">
        <w:rPr>
          <w:sz w:val="22"/>
          <w:szCs w:val="22"/>
        </w:rPr>
        <w:br/>
      </w:r>
      <w:r w:rsidRPr="00760173">
        <w:rPr>
          <w:sz w:val="22"/>
          <w:szCs w:val="22"/>
        </w:rPr>
        <w:t xml:space="preserve">č. CZ.1.06/1.1.00/07.06384. </w:t>
      </w:r>
    </w:p>
    <w:p w:rsidR="00EB1C14" w:rsidRPr="00760173" w:rsidRDefault="00EB1C14" w:rsidP="00B62872">
      <w:pPr>
        <w:jc w:val="both"/>
        <w:rPr>
          <w:b/>
          <w:sz w:val="22"/>
          <w:szCs w:val="22"/>
          <w:u w:val="single"/>
        </w:rPr>
      </w:pPr>
    </w:p>
    <w:p w:rsidR="00EB1C14" w:rsidRPr="00760173" w:rsidRDefault="00EB1C14" w:rsidP="00B62872">
      <w:pPr>
        <w:pStyle w:val="Bezmezer"/>
        <w:jc w:val="both"/>
        <w:rPr>
          <w:rFonts w:ascii="Times New Roman" w:hAnsi="Times New Roman"/>
        </w:rPr>
      </w:pPr>
      <w:r w:rsidRPr="00760173">
        <w:rPr>
          <w:rFonts w:ascii="Times New Roman" w:hAnsi="Times New Roman"/>
          <w:b/>
        </w:rPr>
        <w:t>Kontrolní akce NKÚ č. 15/18 „Peněžní prostředky určené na podporu bydlení“</w:t>
      </w:r>
      <w:r w:rsidRPr="00760173">
        <w:rPr>
          <w:rFonts w:ascii="Times New Roman" w:hAnsi="Times New Roman"/>
        </w:rPr>
        <w:t xml:space="preserve"> byla zahájena na MMR dne 13. 5. 2015.</w:t>
      </w:r>
    </w:p>
    <w:p w:rsidR="00EB1C14" w:rsidRPr="00760173" w:rsidRDefault="00EB1C14" w:rsidP="00B62872">
      <w:pPr>
        <w:pStyle w:val="Bezmezer"/>
        <w:jc w:val="both"/>
        <w:rPr>
          <w:rFonts w:ascii="Times New Roman" w:hAnsi="Times New Roman"/>
        </w:rPr>
      </w:pPr>
    </w:p>
    <w:p w:rsidR="00EB1C14" w:rsidRPr="00760173" w:rsidRDefault="00EB1C14" w:rsidP="00B62872">
      <w:pPr>
        <w:pStyle w:val="Bezmezer"/>
        <w:jc w:val="both"/>
        <w:rPr>
          <w:rFonts w:ascii="Times New Roman" w:hAnsi="Times New Roman"/>
        </w:rPr>
      </w:pPr>
      <w:r w:rsidRPr="00760173">
        <w:rPr>
          <w:rFonts w:ascii="Times New Roman" w:hAnsi="Times New Roman"/>
          <w:b/>
        </w:rPr>
        <w:t>Kontrolní akce NKÚ č. 15/12 „Hospodaření s majetkem a peněžními prostředky státu při realizaci projektů v oblasti informačních a komunikačních technologií u Ministerstva průmyslu a obchodu“</w:t>
      </w:r>
      <w:r w:rsidRPr="00760173">
        <w:rPr>
          <w:rFonts w:ascii="Times New Roman" w:hAnsi="Times New Roman"/>
        </w:rPr>
        <w:t xml:space="preserve"> byla zahájena na MPO a jejím předmětem je, mimo jiné, realizace projektu Úprava Registru živnostenského podnikání v návaznosti na základní registry veřejné správy.</w:t>
      </w:r>
    </w:p>
    <w:p w:rsidR="004E32AA" w:rsidRDefault="004E32AA" w:rsidP="004E32AA">
      <w:pPr>
        <w:jc w:val="both"/>
        <w:rPr>
          <w:i/>
          <w:sz w:val="22"/>
          <w:szCs w:val="22"/>
          <w:highlight w:val="yellow"/>
        </w:rPr>
      </w:pPr>
      <w:r w:rsidRPr="00D72CC5">
        <w:rPr>
          <w:b/>
          <w:sz w:val="22"/>
          <w:szCs w:val="22"/>
          <w:u w:val="single"/>
        </w:rPr>
        <w:t>Kontroly prováděné Řídicím orgánem IOP</w:t>
      </w:r>
      <w:r>
        <w:rPr>
          <w:b/>
          <w:sz w:val="22"/>
          <w:szCs w:val="22"/>
          <w:highlight w:val="yellow"/>
        </w:rPr>
        <w:t xml:space="preserve">        </w:t>
      </w:r>
    </w:p>
    <w:p w:rsidR="00290A24" w:rsidRPr="00290A24" w:rsidRDefault="00290A24" w:rsidP="00290A24">
      <w:pPr>
        <w:jc w:val="both"/>
        <w:rPr>
          <w:sz w:val="22"/>
          <w:szCs w:val="22"/>
        </w:rPr>
      </w:pPr>
    </w:p>
    <w:p w:rsidR="004E32AA" w:rsidRDefault="004E32AA" w:rsidP="004E32AA">
      <w:pPr>
        <w:jc w:val="both"/>
        <w:rPr>
          <w:i/>
          <w:sz w:val="22"/>
          <w:szCs w:val="22"/>
          <w:u w:val="single"/>
        </w:rPr>
      </w:pPr>
      <w:r>
        <w:rPr>
          <w:i/>
          <w:sz w:val="22"/>
          <w:szCs w:val="22"/>
          <w:u w:val="single"/>
        </w:rPr>
        <w:t>Kontroly delegovaných činností</w:t>
      </w:r>
    </w:p>
    <w:p w:rsidR="004E32AA" w:rsidRDefault="004E32AA" w:rsidP="004E32AA">
      <w:pPr>
        <w:jc w:val="both"/>
        <w:rPr>
          <w:sz w:val="22"/>
          <w:szCs w:val="22"/>
        </w:rPr>
      </w:pPr>
      <w:r>
        <w:rPr>
          <w:sz w:val="22"/>
          <w:szCs w:val="22"/>
        </w:rPr>
        <w:t>Ve sledovaném období probíhaly kontroly delegovaných činností u všech zprostředkujících subjektů se zaměřením na ověřování postupu při zadávání veřejných zakázek, ověřování postupu zprostředkujících subjektů při kontrolách na místě v době udržitelnosti projektů a na ověřování postupů při krácení finančních prostředků na základě kontrol Žádostí o platbu a kontrolu realizace přijatých nápravných opatření z minulých kontrol Řídícího orgánu IOP.</w:t>
      </w:r>
    </w:p>
    <w:p w:rsidR="004E32AA" w:rsidRDefault="004E32AA" w:rsidP="004E32AA">
      <w:pPr>
        <w:jc w:val="both"/>
        <w:rPr>
          <w:sz w:val="22"/>
          <w:szCs w:val="22"/>
        </w:rPr>
      </w:pPr>
      <w:r>
        <w:rPr>
          <w:sz w:val="22"/>
          <w:szCs w:val="22"/>
        </w:rPr>
        <w:t>V období od 17. 4. 2015 do 30. 9. 2015 Řídící orgán IOP prováděl 9 kontrol delegovaných činností, z toho byly ve sledovaném období zahájeny 4 a ukončeny také 4 kontroly, všechny bez zjištění.</w:t>
      </w:r>
    </w:p>
    <w:p w:rsidR="004E32AA" w:rsidRDefault="004E32AA" w:rsidP="004E32AA">
      <w:pPr>
        <w:jc w:val="both"/>
        <w:rPr>
          <w:sz w:val="22"/>
          <w:szCs w:val="22"/>
        </w:rPr>
      </w:pPr>
      <w:r>
        <w:rPr>
          <w:sz w:val="22"/>
          <w:szCs w:val="22"/>
        </w:rPr>
        <w:t xml:space="preserve">Oddělení administrace programů EU odboru rozpočtu </w:t>
      </w:r>
      <w:r w:rsidR="0057745C">
        <w:rPr>
          <w:sz w:val="22"/>
          <w:szCs w:val="22"/>
        </w:rPr>
        <w:t xml:space="preserve">MMR </w:t>
      </w:r>
      <w:r>
        <w:rPr>
          <w:sz w:val="22"/>
          <w:szCs w:val="22"/>
        </w:rPr>
        <w:t>uskutečnilo 4 administrativní kontroly se zaměřením na postup administrace Žádostí o platbu.</w:t>
      </w:r>
    </w:p>
    <w:p w:rsidR="004E32AA" w:rsidRDefault="004E32AA" w:rsidP="004E32AA">
      <w:pPr>
        <w:jc w:val="both"/>
        <w:rPr>
          <w:sz w:val="22"/>
          <w:szCs w:val="22"/>
        </w:rPr>
      </w:pPr>
    </w:p>
    <w:p w:rsidR="004E32AA" w:rsidRDefault="004E32AA" w:rsidP="004E32AA">
      <w:pPr>
        <w:jc w:val="both"/>
        <w:rPr>
          <w:i/>
          <w:sz w:val="22"/>
          <w:szCs w:val="22"/>
          <w:u w:val="single"/>
        </w:rPr>
      </w:pPr>
      <w:r>
        <w:rPr>
          <w:i/>
          <w:sz w:val="22"/>
          <w:szCs w:val="22"/>
          <w:u w:val="single"/>
        </w:rPr>
        <w:t>Kontroly projektů</w:t>
      </w:r>
    </w:p>
    <w:p w:rsidR="004E32AA" w:rsidRDefault="004E32AA" w:rsidP="00C9308A">
      <w:pPr>
        <w:jc w:val="both"/>
        <w:rPr>
          <w:sz w:val="22"/>
          <w:szCs w:val="22"/>
        </w:rPr>
      </w:pPr>
      <w:r>
        <w:rPr>
          <w:sz w:val="22"/>
          <w:szCs w:val="22"/>
        </w:rPr>
        <w:t>Říd</w:t>
      </w:r>
      <w:r w:rsidR="0057745C">
        <w:rPr>
          <w:sz w:val="22"/>
          <w:szCs w:val="22"/>
        </w:rPr>
        <w:t>i</w:t>
      </w:r>
      <w:r>
        <w:rPr>
          <w:sz w:val="22"/>
          <w:szCs w:val="22"/>
        </w:rPr>
        <w:t>cí orgán IOP uskutečňuje kontroly projektů zejména na základě námitek příjemců proti krácení finančních prostředků na základě kontrol Žádostí o platbu a stížností příjemců ve smyslu ustanovení § 175 zákona č. 500/2004 Sb., správní řád, ve znění pozdějších předpisů.</w:t>
      </w:r>
    </w:p>
    <w:p w:rsidR="009F2DF1" w:rsidRPr="00E11E97" w:rsidRDefault="004E32AA" w:rsidP="00C9308A">
      <w:pPr>
        <w:jc w:val="both"/>
        <w:rPr>
          <w:color w:val="C00000"/>
          <w:sz w:val="22"/>
          <w:szCs w:val="22"/>
        </w:rPr>
      </w:pPr>
      <w:r>
        <w:rPr>
          <w:sz w:val="22"/>
          <w:szCs w:val="22"/>
        </w:rPr>
        <w:t xml:space="preserve">V období od 17. 4. 2015 do 30. 9. 2015 Řídící orgán IOP prováděl </w:t>
      </w:r>
      <w:r w:rsidRPr="003A0C76">
        <w:rPr>
          <w:sz w:val="22"/>
          <w:szCs w:val="22"/>
        </w:rPr>
        <w:t>8</w:t>
      </w:r>
      <w:r>
        <w:rPr>
          <w:sz w:val="22"/>
          <w:szCs w:val="22"/>
        </w:rPr>
        <w:t>9</w:t>
      </w:r>
      <w:r w:rsidRPr="003A0C76">
        <w:rPr>
          <w:sz w:val="22"/>
          <w:szCs w:val="22"/>
        </w:rPr>
        <w:t xml:space="preserve"> </w:t>
      </w:r>
      <w:r>
        <w:rPr>
          <w:sz w:val="22"/>
          <w:szCs w:val="22"/>
        </w:rPr>
        <w:t xml:space="preserve">kontrol na projektech, z toho bylo zahájeno 73 kontrol a ukončeno 48 kontrol, z nich bylo 13 kontrol se zjištěním. </w:t>
      </w:r>
    </w:p>
    <w:p w:rsidR="004A0111" w:rsidRPr="00FA3FFC" w:rsidRDefault="004A0111" w:rsidP="00CA3FDE">
      <w:pPr>
        <w:rPr>
          <w:sz w:val="22"/>
          <w:szCs w:val="22"/>
        </w:rPr>
      </w:pPr>
    </w:p>
    <w:p w:rsidR="0085585E" w:rsidRDefault="0085585E" w:rsidP="0085585E">
      <w:bookmarkStart w:id="152" w:name="_Toc433873523"/>
    </w:p>
    <w:p w:rsidR="00D644B0" w:rsidRPr="00743739" w:rsidRDefault="00D644B0">
      <w:pPr>
        <w:pStyle w:val="Nadpis2"/>
        <w:rPr>
          <w:rFonts w:ascii="Times New Roman" w:hAnsi="Times New Roman"/>
          <w:i w:val="0"/>
        </w:rPr>
      </w:pPr>
      <w:r w:rsidRPr="00C466D8">
        <w:rPr>
          <w:rFonts w:ascii="Times New Roman" w:hAnsi="Times New Roman"/>
          <w:i w:val="0"/>
        </w:rPr>
        <w:lastRenderedPageBreak/>
        <w:t>4.2 Realizace komunikačního plánu a aktivit v oblasti publicity</w:t>
      </w:r>
      <w:bookmarkEnd w:id="152"/>
    </w:p>
    <w:p w:rsidR="00ED7992" w:rsidRDefault="00ED7992" w:rsidP="00ED7992">
      <w:pPr>
        <w:jc w:val="both"/>
        <w:rPr>
          <w:sz w:val="22"/>
          <w:szCs w:val="22"/>
        </w:rPr>
      </w:pPr>
      <w:r w:rsidRPr="00A56670">
        <w:rPr>
          <w:sz w:val="22"/>
          <w:szCs w:val="22"/>
        </w:rPr>
        <w:t>V textu jsou uvedené vybrané propagační aktivity IOP, které se uskutečnily ve sledovaném období</w:t>
      </w:r>
      <w:r>
        <w:rPr>
          <w:b/>
          <w:sz w:val="22"/>
          <w:szCs w:val="22"/>
        </w:rPr>
        <w:t xml:space="preserve">. </w:t>
      </w:r>
      <w:r w:rsidRPr="00A56670">
        <w:rPr>
          <w:sz w:val="22"/>
          <w:szCs w:val="22"/>
        </w:rPr>
        <w:t xml:space="preserve">Podrobný výčet všech realizovaných aktivit je v příloze č. 1.  </w:t>
      </w:r>
    </w:p>
    <w:p w:rsidR="00ED7992" w:rsidRDefault="00ED7992" w:rsidP="00ED7992">
      <w:pPr>
        <w:jc w:val="both"/>
        <w:rPr>
          <w:sz w:val="22"/>
          <w:szCs w:val="22"/>
        </w:rPr>
      </w:pPr>
    </w:p>
    <w:p w:rsidR="00ED7992" w:rsidRPr="005F1771" w:rsidRDefault="00ED7992" w:rsidP="00ED7992">
      <w:pPr>
        <w:keepNext/>
        <w:keepLines/>
        <w:rPr>
          <w:b/>
          <w:sz w:val="24"/>
          <w:szCs w:val="24"/>
        </w:rPr>
      </w:pPr>
      <w:proofErr w:type="spellStart"/>
      <w:r w:rsidRPr="005F1771">
        <w:rPr>
          <w:b/>
          <w:sz w:val="24"/>
          <w:szCs w:val="24"/>
        </w:rPr>
        <w:t>Newsletter</w:t>
      </w:r>
      <w:proofErr w:type="spellEnd"/>
      <w:r w:rsidRPr="005F1771">
        <w:rPr>
          <w:b/>
          <w:sz w:val="24"/>
          <w:szCs w:val="24"/>
        </w:rPr>
        <w:t xml:space="preserve"> IOP pod lupou</w:t>
      </w:r>
    </w:p>
    <w:p w:rsidR="00ED7992" w:rsidRPr="00097E08" w:rsidRDefault="00ED7992" w:rsidP="00ED7992">
      <w:pPr>
        <w:keepNext/>
        <w:keepLines/>
        <w:jc w:val="both"/>
        <w:rPr>
          <w:sz w:val="22"/>
          <w:szCs w:val="22"/>
        </w:rPr>
      </w:pPr>
      <w:r>
        <w:rPr>
          <w:noProof/>
        </w:rPr>
        <w:drawing>
          <wp:anchor distT="0" distB="0" distL="114300" distR="114300" simplePos="0" relativeHeight="251659264" behindDoc="0" locked="0" layoutInCell="1" allowOverlap="1" wp14:anchorId="1B8A2547" wp14:editId="1DC4E5B8">
            <wp:simplePos x="0" y="0"/>
            <wp:positionH relativeFrom="column">
              <wp:posOffset>-4445</wp:posOffset>
            </wp:positionH>
            <wp:positionV relativeFrom="paragraph">
              <wp:posOffset>635</wp:posOffset>
            </wp:positionV>
            <wp:extent cx="1724025" cy="2440305"/>
            <wp:effectExtent l="0" t="0" r="9525" b="0"/>
            <wp:wrapSquare wrapText="bothSides"/>
            <wp:docPr id="27" name="Obrázek 27" descr="J:\SF\IOP\C7 - Publicita\NEWSLETTER\Newsletter IOP 2\2014\Č_4_2014\Final\IOP_cislo 4_listopad 2014_strana 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SF\IOP\C7 - Publicita\NEWSLETTER\Newsletter IOP 2\2014\Č_4_2014\Final\IOP_cislo 4_listopad 2014_strana 1b.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24025" cy="2440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7992" w:rsidRPr="00395454" w:rsidRDefault="00ED7992" w:rsidP="00ED7992">
      <w:pPr>
        <w:keepNext/>
        <w:keepLines/>
        <w:jc w:val="both"/>
        <w:rPr>
          <w:b/>
          <w:sz w:val="22"/>
          <w:szCs w:val="22"/>
        </w:rPr>
      </w:pPr>
      <w:r>
        <w:rPr>
          <w:sz w:val="22"/>
          <w:szCs w:val="22"/>
        </w:rPr>
        <w:t>Ve sledov</w:t>
      </w:r>
      <w:r w:rsidRPr="00E76B3E">
        <w:rPr>
          <w:sz w:val="22"/>
          <w:szCs w:val="22"/>
        </w:rPr>
        <w:t>ané</w:t>
      </w:r>
      <w:r>
        <w:rPr>
          <w:sz w:val="22"/>
          <w:szCs w:val="22"/>
        </w:rPr>
        <w:t>m</w:t>
      </w:r>
      <w:r w:rsidRPr="00E76B3E">
        <w:rPr>
          <w:sz w:val="22"/>
          <w:szCs w:val="22"/>
        </w:rPr>
        <w:t xml:space="preserve"> období vyda</w:t>
      </w:r>
      <w:r>
        <w:rPr>
          <w:sz w:val="22"/>
          <w:szCs w:val="22"/>
        </w:rPr>
        <w:t>l ŘO IOP dvě čísla</w:t>
      </w:r>
      <w:r w:rsidRPr="00E76B3E">
        <w:rPr>
          <w:sz w:val="22"/>
          <w:szCs w:val="22"/>
        </w:rPr>
        <w:t xml:space="preserve"> čtvrtletníku IOP pod lupou</w:t>
      </w:r>
      <w:r>
        <w:rPr>
          <w:sz w:val="22"/>
          <w:szCs w:val="22"/>
        </w:rPr>
        <w:t xml:space="preserve">. Byla věnována aktuálnímu dění v IOP a úspěšným projektům stejně jako nástupnickému programu IROP 2014-2020, který začal vyhlašovat první výzvy. </w:t>
      </w:r>
      <w:proofErr w:type="spellStart"/>
      <w:r>
        <w:rPr>
          <w:sz w:val="22"/>
          <w:szCs w:val="22"/>
        </w:rPr>
        <w:t>Newsletter</w:t>
      </w:r>
      <w:proofErr w:type="spellEnd"/>
      <w:r>
        <w:rPr>
          <w:sz w:val="22"/>
          <w:szCs w:val="22"/>
        </w:rPr>
        <w:t xml:space="preserve"> IOP pod lupou</w:t>
      </w:r>
      <w:r w:rsidRPr="00E76B3E">
        <w:rPr>
          <w:sz w:val="22"/>
          <w:szCs w:val="22"/>
        </w:rPr>
        <w:t xml:space="preserve"> vychází v 500 tištěných kusech a je rozesílán na téměř 5</w:t>
      </w:r>
      <w:r>
        <w:rPr>
          <w:sz w:val="22"/>
          <w:szCs w:val="22"/>
        </w:rPr>
        <w:t xml:space="preserve"> </w:t>
      </w:r>
      <w:r w:rsidRPr="00E76B3E">
        <w:rPr>
          <w:sz w:val="22"/>
          <w:szCs w:val="22"/>
        </w:rPr>
        <w:t xml:space="preserve">000 emailových adres. Jednotlivá čísla informují o aktuálním dění v programu </w:t>
      </w:r>
      <w:r>
        <w:rPr>
          <w:sz w:val="22"/>
          <w:szCs w:val="22"/>
        </w:rPr>
        <w:br/>
      </w:r>
      <w:r w:rsidRPr="00E76B3E">
        <w:rPr>
          <w:sz w:val="22"/>
          <w:szCs w:val="22"/>
        </w:rPr>
        <w:t xml:space="preserve">a o realizovaných projektech. </w:t>
      </w:r>
    </w:p>
    <w:p w:rsidR="00ED7992" w:rsidRPr="00E76B3E" w:rsidRDefault="00ED7992" w:rsidP="00ED7992">
      <w:pPr>
        <w:keepNext/>
        <w:keepLines/>
        <w:jc w:val="both"/>
        <w:rPr>
          <w:sz w:val="22"/>
          <w:szCs w:val="22"/>
        </w:rPr>
      </w:pPr>
    </w:p>
    <w:p w:rsidR="00ED7992" w:rsidRDefault="00ED7992" w:rsidP="00ED7992">
      <w:pPr>
        <w:keepNext/>
        <w:keepLines/>
        <w:spacing w:before="120"/>
        <w:jc w:val="both"/>
        <w:rPr>
          <w:sz w:val="22"/>
          <w:szCs w:val="22"/>
        </w:rPr>
      </w:pPr>
    </w:p>
    <w:p w:rsidR="00ED7992" w:rsidRPr="00E76B3E" w:rsidRDefault="00ED7992" w:rsidP="00ED7992">
      <w:pPr>
        <w:keepNext/>
        <w:keepLines/>
        <w:spacing w:before="120"/>
        <w:jc w:val="both"/>
        <w:rPr>
          <w:b/>
          <w:sz w:val="22"/>
          <w:szCs w:val="22"/>
        </w:rPr>
      </w:pPr>
      <w:r>
        <w:rPr>
          <w:sz w:val="22"/>
          <w:szCs w:val="22"/>
        </w:rPr>
        <w:t>Finanční náklady</w:t>
      </w:r>
      <w:r w:rsidRPr="00E76B3E">
        <w:rPr>
          <w:sz w:val="22"/>
          <w:szCs w:val="22"/>
        </w:rPr>
        <w:t xml:space="preserve">: </w:t>
      </w:r>
      <w:r>
        <w:rPr>
          <w:sz w:val="22"/>
          <w:szCs w:val="22"/>
        </w:rPr>
        <w:t>62</w:t>
      </w:r>
      <w:r>
        <w:rPr>
          <w:color w:val="000000"/>
          <w:sz w:val="22"/>
          <w:szCs w:val="22"/>
        </w:rPr>
        <w:t xml:space="preserve"> 936</w:t>
      </w:r>
      <w:r w:rsidRPr="00B65A18">
        <w:rPr>
          <w:color w:val="000000"/>
          <w:sz w:val="22"/>
          <w:szCs w:val="22"/>
        </w:rPr>
        <w:t>,- Kč</w:t>
      </w:r>
    </w:p>
    <w:p w:rsidR="00ED7992" w:rsidRPr="00E76B3E" w:rsidRDefault="00ED7992" w:rsidP="00ED7992">
      <w:pPr>
        <w:keepNext/>
        <w:keepLines/>
        <w:rPr>
          <w:color w:val="000000"/>
          <w:sz w:val="22"/>
          <w:szCs w:val="22"/>
        </w:rPr>
      </w:pPr>
      <w:r w:rsidRPr="00E76B3E">
        <w:rPr>
          <w:sz w:val="22"/>
          <w:szCs w:val="22"/>
        </w:rPr>
        <w:t xml:space="preserve">Cílová skupina: </w:t>
      </w:r>
      <w:r>
        <w:rPr>
          <w:sz w:val="22"/>
          <w:szCs w:val="22"/>
        </w:rPr>
        <w:t xml:space="preserve">odborná a </w:t>
      </w:r>
      <w:r w:rsidRPr="00E76B3E">
        <w:rPr>
          <w:sz w:val="22"/>
          <w:szCs w:val="22"/>
        </w:rPr>
        <w:t xml:space="preserve">široká veřejnost </w:t>
      </w:r>
    </w:p>
    <w:p w:rsidR="00ED7992" w:rsidRDefault="00ED7992" w:rsidP="00ED7992">
      <w:pPr>
        <w:keepNext/>
        <w:keepLines/>
        <w:rPr>
          <w:color w:val="000000"/>
          <w:sz w:val="22"/>
          <w:szCs w:val="22"/>
        </w:rPr>
      </w:pPr>
    </w:p>
    <w:p w:rsidR="00ED7992" w:rsidRDefault="00ED7992" w:rsidP="00ED7992"/>
    <w:p w:rsidR="00E11E97" w:rsidRDefault="00E11E97" w:rsidP="00ED7992">
      <w:pPr>
        <w:jc w:val="both"/>
        <w:rPr>
          <w:b/>
          <w:sz w:val="22"/>
          <w:szCs w:val="22"/>
        </w:rPr>
      </w:pPr>
    </w:p>
    <w:p w:rsidR="00ED7992" w:rsidRDefault="00ED7992" w:rsidP="00ED7992">
      <w:pPr>
        <w:jc w:val="both"/>
        <w:rPr>
          <w:sz w:val="22"/>
          <w:szCs w:val="22"/>
        </w:rPr>
      </w:pPr>
    </w:p>
    <w:p w:rsidR="00ED7992" w:rsidRDefault="00ED7992" w:rsidP="00ED7992">
      <w:pPr>
        <w:keepNext/>
        <w:keepLines/>
        <w:jc w:val="both"/>
        <w:rPr>
          <w:b/>
          <w:sz w:val="22"/>
          <w:szCs w:val="22"/>
        </w:rPr>
      </w:pPr>
      <w:r>
        <w:rPr>
          <w:b/>
          <w:noProof/>
          <w:sz w:val="22"/>
          <w:szCs w:val="22"/>
        </w:rPr>
        <w:drawing>
          <wp:anchor distT="0" distB="0" distL="114300" distR="114300" simplePos="0" relativeHeight="251660288" behindDoc="0" locked="0" layoutInCell="1" allowOverlap="1" wp14:anchorId="25AD7DEA" wp14:editId="0BC44B15">
            <wp:simplePos x="0" y="0"/>
            <wp:positionH relativeFrom="column">
              <wp:posOffset>-4445</wp:posOffset>
            </wp:positionH>
            <wp:positionV relativeFrom="paragraph">
              <wp:posOffset>163830</wp:posOffset>
            </wp:positionV>
            <wp:extent cx="2886075" cy="1909445"/>
            <wp:effectExtent l="0" t="0" r="9525" b="0"/>
            <wp:wrapSquare wrapText="bothSides"/>
            <wp:docPr id="28" name="Obrázek 28" descr="J:\SF\IROP\29 - Publicita\- semináře a konference\Semináře IROP_Karlovy Vary, Liberec, Zlín\3. Zlín 11_2_2015\foto Zlín\Fotky_Zlín 11_2_2015\DSC_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SF\IROP\29 - Publicita\- semináře a konference\Semináře IROP_Karlovy Vary, Liberec, Zlín\3. Zlín 11_2_2015\foto Zlín\Fotky_Zlín 11_2_2015\DSC_0129.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86075" cy="190944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2"/>
          <w:szCs w:val="22"/>
        </w:rPr>
        <w:t>Semináře k představení IROP</w:t>
      </w:r>
    </w:p>
    <w:p w:rsidR="00ED7992" w:rsidRPr="00E11E97" w:rsidRDefault="00ED7992" w:rsidP="000756B6">
      <w:pPr>
        <w:jc w:val="both"/>
        <w:rPr>
          <w:sz w:val="22"/>
          <w:szCs w:val="22"/>
        </w:rPr>
      </w:pPr>
      <w:r w:rsidRPr="00A1220B">
        <w:rPr>
          <w:sz w:val="22"/>
          <w:szCs w:val="22"/>
        </w:rPr>
        <w:t>Od ledna</w:t>
      </w:r>
      <w:r>
        <w:rPr>
          <w:sz w:val="22"/>
          <w:szCs w:val="22"/>
        </w:rPr>
        <w:t xml:space="preserve"> do května</w:t>
      </w:r>
      <w:r w:rsidRPr="00A1220B">
        <w:rPr>
          <w:sz w:val="22"/>
          <w:szCs w:val="22"/>
        </w:rPr>
        <w:t xml:space="preserve"> 2015 se v krajských městech ČR kon</w:t>
      </w:r>
      <w:r>
        <w:rPr>
          <w:sz w:val="22"/>
          <w:szCs w:val="22"/>
        </w:rPr>
        <w:t>ala</w:t>
      </w:r>
      <w:r w:rsidRPr="00A1220B">
        <w:rPr>
          <w:sz w:val="22"/>
          <w:szCs w:val="22"/>
        </w:rPr>
        <w:t xml:space="preserve"> série 13 seminářů k představení Integrovaného regionálního operačního programu (IROP). </w:t>
      </w:r>
      <w:r>
        <w:rPr>
          <w:sz w:val="22"/>
          <w:szCs w:val="22"/>
        </w:rPr>
        <w:t>Z důvodu</w:t>
      </w:r>
      <w:r w:rsidRPr="00A1220B">
        <w:rPr>
          <w:sz w:val="22"/>
          <w:szCs w:val="22"/>
        </w:rPr>
        <w:t xml:space="preserve"> návaznosti IOP na IROP s</w:t>
      </w:r>
      <w:r>
        <w:rPr>
          <w:sz w:val="22"/>
          <w:szCs w:val="22"/>
        </w:rPr>
        <w:t>e publicita mimo jiné orientuje</w:t>
      </w:r>
      <w:r w:rsidRPr="00A1220B">
        <w:rPr>
          <w:sz w:val="22"/>
          <w:szCs w:val="22"/>
        </w:rPr>
        <w:t xml:space="preserve"> také na přípravu absorpční kapacity a informovanosti o IROP</w:t>
      </w:r>
      <w:r>
        <w:rPr>
          <w:sz w:val="22"/>
          <w:szCs w:val="22"/>
        </w:rPr>
        <w:t xml:space="preserve">. </w:t>
      </w:r>
      <w:r w:rsidRPr="00A1220B">
        <w:rPr>
          <w:sz w:val="22"/>
          <w:szCs w:val="22"/>
        </w:rPr>
        <w:t xml:space="preserve">Účastníci </w:t>
      </w:r>
      <w:r>
        <w:rPr>
          <w:sz w:val="22"/>
          <w:szCs w:val="22"/>
        </w:rPr>
        <w:t>získávali</w:t>
      </w:r>
      <w:r w:rsidRPr="00A1220B">
        <w:rPr>
          <w:sz w:val="22"/>
          <w:szCs w:val="22"/>
        </w:rPr>
        <w:t xml:space="preserve"> na seminářích obecné a také již ko</w:t>
      </w:r>
      <w:r>
        <w:rPr>
          <w:sz w:val="22"/>
          <w:szCs w:val="22"/>
        </w:rPr>
        <w:t>nkrétní informace o IROP a mohli</w:t>
      </w:r>
      <w:r w:rsidRPr="00A1220B">
        <w:rPr>
          <w:sz w:val="22"/>
          <w:szCs w:val="22"/>
        </w:rPr>
        <w:t xml:space="preserve"> klást dotazy přítomným zástupcům MMR. </w:t>
      </w:r>
      <w:r>
        <w:rPr>
          <w:sz w:val="22"/>
          <w:szCs w:val="22"/>
        </w:rPr>
        <w:t>Důraz byl mimo jiné kladen na téma in</w:t>
      </w:r>
      <w:r w:rsidR="00E471D3">
        <w:rPr>
          <w:sz w:val="22"/>
          <w:szCs w:val="22"/>
        </w:rPr>
        <w:t xml:space="preserve">tegrovaných nástrojů. Semináře </w:t>
      </w:r>
      <w:r>
        <w:rPr>
          <w:sz w:val="22"/>
          <w:szCs w:val="22"/>
        </w:rPr>
        <w:t>se uskutečn</w:t>
      </w:r>
      <w:r w:rsidR="00E471D3">
        <w:rPr>
          <w:sz w:val="22"/>
          <w:szCs w:val="22"/>
        </w:rPr>
        <w:t xml:space="preserve">ily ve všech krajských městech </w:t>
      </w:r>
      <w:r>
        <w:rPr>
          <w:sz w:val="22"/>
          <w:szCs w:val="22"/>
        </w:rPr>
        <w:t xml:space="preserve">a závěrečný proběhl za účasti ministryně pro místní rozvoj v Praze. </w:t>
      </w:r>
      <w:r w:rsidR="000756B6">
        <w:rPr>
          <w:sz w:val="22"/>
          <w:szCs w:val="22"/>
        </w:rPr>
        <w:t>Třinácti</w:t>
      </w:r>
      <w:r>
        <w:rPr>
          <w:sz w:val="22"/>
          <w:szCs w:val="22"/>
        </w:rPr>
        <w:t xml:space="preserve"> seminářů </w:t>
      </w:r>
      <w:r w:rsidR="000756B6">
        <w:rPr>
          <w:sz w:val="22"/>
          <w:szCs w:val="22"/>
        </w:rPr>
        <w:t xml:space="preserve">se </w:t>
      </w:r>
      <w:r>
        <w:rPr>
          <w:sz w:val="22"/>
          <w:szCs w:val="22"/>
        </w:rPr>
        <w:t>zúčastnilo 2</w:t>
      </w:r>
      <w:r w:rsidR="000756B6">
        <w:rPr>
          <w:sz w:val="22"/>
          <w:szCs w:val="22"/>
        </w:rPr>
        <w:t xml:space="preserve"> </w:t>
      </w:r>
      <w:r>
        <w:rPr>
          <w:sz w:val="22"/>
          <w:szCs w:val="22"/>
        </w:rPr>
        <w:t>400 osob.</w:t>
      </w:r>
      <w:r w:rsidR="000756B6">
        <w:rPr>
          <w:sz w:val="22"/>
          <w:szCs w:val="22"/>
        </w:rPr>
        <w:t xml:space="preserve"> </w:t>
      </w:r>
    </w:p>
    <w:p w:rsidR="00ED7992" w:rsidRDefault="00ED7992" w:rsidP="00ED7992">
      <w:pPr>
        <w:keepNext/>
        <w:keepLines/>
        <w:jc w:val="both"/>
        <w:rPr>
          <w:b/>
          <w:sz w:val="22"/>
          <w:szCs w:val="22"/>
        </w:rPr>
      </w:pPr>
    </w:p>
    <w:p w:rsidR="00ED7992" w:rsidRDefault="00ED7992" w:rsidP="00ED7992">
      <w:pPr>
        <w:keepNext/>
        <w:keepLines/>
        <w:jc w:val="both"/>
        <w:rPr>
          <w:sz w:val="22"/>
          <w:szCs w:val="22"/>
        </w:rPr>
      </w:pPr>
      <w:r w:rsidRPr="00D934C2">
        <w:rPr>
          <w:sz w:val="22"/>
          <w:szCs w:val="22"/>
        </w:rPr>
        <w:t>Finanční náklady</w:t>
      </w:r>
      <w:r>
        <w:rPr>
          <w:sz w:val="22"/>
          <w:szCs w:val="22"/>
        </w:rPr>
        <w:t xml:space="preserve">: </w:t>
      </w:r>
      <w:r w:rsidR="006A0E3A" w:rsidRPr="006A0E3A">
        <w:rPr>
          <w:sz w:val="22"/>
          <w:szCs w:val="22"/>
        </w:rPr>
        <w:t>235 587,- Kč</w:t>
      </w:r>
    </w:p>
    <w:p w:rsidR="00ED7992" w:rsidRPr="00D934C2" w:rsidRDefault="00ED7992" w:rsidP="00ED7992">
      <w:pPr>
        <w:keepNext/>
        <w:keepLines/>
        <w:jc w:val="both"/>
        <w:rPr>
          <w:sz w:val="22"/>
          <w:szCs w:val="22"/>
        </w:rPr>
      </w:pPr>
      <w:r>
        <w:rPr>
          <w:sz w:val="22"/>
          <w:szCs w:val="22"/>
        </w:rPr>
        <w:t>Počet účastníků: 2 400</w:t>
      </w:r>
    </w:p>
    <w:p w:rsidR="0085585E" w:rsidRDefault="0085585E" w:rsidP="00ED7992">
      <w:pPr>
        <w:jc w:val="both"/>
        <w:rPr>
          <w:b/>
          <w:sz w:val="22"/>
          <w:szCs w:val="22"/>
        </w:rPr>
      </w:pPr>
    </w:p>
    <w:p w:rsidR="00ED7992" w:rsidRDefault="00ED7992" w:rsidP="00ED7992">
      <w:pPr>
        <w:jc w:val="both"/>
        <w:rPr>
          <w:b/>
          <w:sz w:val="22"/>
          <w:szCs w:val="22"/>
        </w:rPr>
      </w:pPr>
      <w:r w:rsidRPr="00CF53F0">
        <w:rPr>
          <w:b/>
          <w:sz w:val="22"/>
          <w:szCs w:val="22"/>
        </w:rPr>
        <w:t xml:space="preserve">Semináře </w:t>
      </w:r>
      <w:r>
        <w:rPr>
          <w:b/>
          <w:sz w:val="22"/>
          <w:szCs w:val="22"/>
        </w:rPr>
        <w:t>k výzvám IROP</w:t>
      </w:r>
    </w:p>
    <w:p w:rsidR="00ED7992" w:rsidRDefault="00ED7992" w:rsidP="00ED7992">
      <w:pPr>
        <w:keepNext/>
        <w:keepLines/>
        <w:jc w:val="both"/>
        <w:rPr>
          <w:sz w:val="22"/>
          <w:szCs w:val="22"/>
        </w:rPr>
      </w:pPr>
      <w:r w:rsidRPr="00164799">
        <w:rPr>
          <w:sz w:val="22"/>
          <w:szCs w:val="22"/>
        </w:rPr>
        <w:t>Dne 18. srpna 2015 v Praze proběhl seminář pro žadatele k výzvě „Vybrané úseky silnic II. A III. třídy“</w:t>
      </w:r>
      <w:r w:rsidR="000756B6">
        <w:rPr>
          <w:sz w:val="22"/>
          <w:szCs w:val="22"/>
        </w:rPr>
        <w:t>,</w:t>
      </w:r>
      <w:r w:rsidRPr="00164799">
        <w:rPr>
          <w:sz w:val="22"/>
          <w:szCs w:val="22"/>
        </w:rPr>
        <w:t xml:space="preserve"> vyhlašované v</w:t>
      </w:r>
      <w:r w:rsidR="000756B6">
        <w:rPr>
          <w:sz w:val="22"/>
          <w:szCs w:val="22"/>
        </w:rPr>
        <w:t>e</w:t>
      </w:r>
      <w:r w:rsidRPr="00164799">
        <w:rPr>
          <w:sz w:val="22"/>
          <w:szCs w:val="22"/>
        </w:rPr>
        <w:t>  specifické</w:t>
      </w:r>
      <w:r w:rsidR="000756B6">
        <w:rPr>
          <w:sz w:val="22"/>
          <w:szCs w:val="22"/>
        </w:rPr>
        <w:t>m</w:t>
      </w:r>
      <w:r w:rsidRPr="00164799">
        <w:rPr>
          <w:sz w:val="22"/>
          <w:szCs w:val="22"/>
        </w:rPr>
        <w:t xml:space="preserve"> cíl</w:t>
      </w:r>
      <w:r w:rsidR="000756B6">
        <w:rPr>
          <w:sz w:val="22"/>
          <w:szCs w:val="22"/>
        </w:rPr>
        <w:t>i</w:t>
      </w:r>
      <w:r w:rsidRPr="00164799">
        <w:rPr>
          <w:sz w:val="22"/>
          <w:szCs w:val="22"/>
        </w:rPr>
        <w:t xml:space="preserve"> 1.1.</w:t>
      </w:r>
    </w:p>
    <w:p w:rsidR="00ED7992" w:rsidRDefault="00ED7992" w:rsidP="00ED7992">
      <w:pPr>
        <w:keepNext/>
        <w:keepLines/>
        <w:jc w:val="both"/>
        <w:rPr>
          <w:sz w:val="22"/>
          <w:szCs w:val="22"/>
        </w:rPr>
      </w:pPr>
    </w:p>
    <w:p w:rsidR="00ED7992" w:rsidRDefault="00ED7992" w:rsidP="00ED7992">
      <w:pPr>
        <w:keepNext/>
        <w:keepLines/>
        <w:jc w:val="both"/>
        <w:rPr>
          <w:sz w:val="22"/>
          <w:szCs w:val="22"/>
        </w:rPr>
      </w:pPr>
      <w:r w:rsidRPr="00D934C2">
        <w:rPr>
          <w:sz w:val="22"/>
          <w:szCs w:val="22"/>
        </w:rPr>
        <w:t>Finanční náklady</w:t>
      </w:r>
      <w:r>
        <w:rPr>
          <w:sz w:val="22"/>
          <w:szCs w:val="22"/>
        </w:rPr>
        <w:t>: 100 675,- Kč</w:t>
      </w:r>
    </w:p>
    <w:p w:rsidR="00ED7992" w:rsidRDefault="00ED7992" w:rsidP="00ED7992">
      <w:pPr>
        <w:keepNext/>
        <w:keepLines/>
        <w:jc w:val="both"/>
        <w:rPr>
          <w:sz w:val="22"/>
          <w:szCs w:val="22"/>
        </w:rPr>
      </w:pPr>
      <w:r>
        <w:rPr>
          <w:sz w:val="22"/>
          <w:szCs w:val="22"/>
        </w:rPr>
        <w:t>Počet účastníků: 70</w:t>
      </w:r>
    </w:p>
    <w:p w:rsidR="00ED7992" w:rsidRDefault="00ED7992" w:rsidP="00ED7992">
      <w:pPr>
        <w:keepNext/>
        <w:keepLines/>
        <w:jc w:val="both"/>
        <w:rPr>
          <w:sz w:val="22"/>
          <w:szCs w:val="22"/>
        </w:rPr>
      </w:pPr>
    </w:p>
    <w:p w:rsidR="00ED7992" w:rsidRDefault="00ED7992" w:rsidP="00ED7992">
      <w:pPr>
        <w:keepNext/>
        <w:keepLines/>
        <w:jc w:val="both"/>
        <w:rPr>
          <w:sz w:val="22"/>
          <w:szCs w:val="22"/>
        </w:rPr>
      </w:pPr>
      <w:r w:rsidRPr="00164799">
        <w:rPr>
          <w:sz w:val="22"/>
          <w:szCs w:val="22"/>
        </w:rPr>
        <w:t xml:space="preserve">Dne 20. srpna proběhl v Praze seminář pro žadatele k výzvě „Územní plány“ vyhlašované v rámci specifického cíle IROP 3.3. Na </w:t>
      </w:r>
      <w:r w:rsidR="000756B6">
        <w:rPr>
          <w:sz w:val="22"/>
          <w:szCs w:val="22"/>
        </w:rPr>
        <w:t>stejné</w:t>
      </w:r>
      <w:r w:rsidRPr="00164799">
        <w:rPr>
          <w:sz w:val="22"/>
          <w:szCs w:val="22"/>
        </w:rPr>
        <w:t xml:space="preserve"> téma se uskutečnil seminář v Olomouci dne 25. srpna 2015.</w:t>
      </w:r>
    </w:p>
    <w:p w:rsidR="00ED7992" w:rsidRDefault="00ED7992" w:rsidP="00ED7992">
      <w:pPr>
        <w:keepNext/>
        <w:keepLines/>
        <w:jc w:val="both"/>
        <w:rPr>
          <w:sz w:val="22"/>
          <w:szCs w:val="22"/>
        </w:rPr>
      </w:pPr>
    </w:p>
    <w:p w:rsidR="00ED7992" w:rsidRDefault="00ED7992" w:rsidP="00ED7992">
      <w:pPr>
        <w:keepNext/>
        <w:keepLines/>
        <w:jc w:val="both"/>
        <w:rPr>
          <w:sz w:val="22"/>
          <w:szCs w:val="22"/>
        </w:rPr>
      </w:pPr>
      <w:r w:rsidRPr="00D934C2">
        <w:rPr>
          <w:sz w:val="22"/>
          <w:szCs w:val="22"/>
        </w:rPr>
        <w:t>Finanční náklady</w:t>
      </w:r>
      <w:r>
        <w:rPr>
          <w:sz w:val="22"/>
          <w:szCs w:val="22"/>
        </w:rPr>
        <w:t>: 164 380,- Kč</w:t>
      </w:r>
    </w:p>
    <w:p w:rsidR="00ED7992" w:rsidRDefault="00ED7992" w:rsidP="00ED7992">
      <w:pPr>
        <w:keepNext/>
        <w:keepLines/>
        <w:jc w:val="both"/>
        <w:rPr>
          <w:sz w:val="22"/>
          <w:szCs w:val="22"/>
        </w:rPr>
      </w:pPr>
      <w:r>
        <w:rPr>
          <w:sz w:val="22"/>
          <w:szCs w:val="22"/>
        </w:rPr>
        <w:t>Počet účastníků</w:t>
      </w:r>
      <w:r w:rsidR="00F5676A">
        <w:rPr>
          <w:sz w:val="22"/>
          <w:szCs w:val="22"/>
        </w:rPr>
        <w:t xml:space="preserve"> za oba semináře</w:t>
      </w:r>
      <w:r>
        <w:rPr>
          <w:sz w:val="22"/>
          <w:szCs w:val="22"/>
        </w:rPr>
        <w:t>: 1</w:t>
      </w:r>
      <w:r w:rsidR="00F5676A">
        <w:rPr>
          <w:sz w:val="22"/>
          <w:szCs w:val="22"/>
        </w:rPr>
        <w:t xml:space="preserve"> 3</w:t>
      </w:r>
      <w:r>
        <w:rPr>
          <w:sz w:val="22"/>
          <w:szCs w:val="22"/>
        </w:rPr>
        <w:t>40</w:t>
      </w:r>
    </w:p>
    <w:p w:rsidR="00ED7992" w:rsidRPr="00164799" w:rsidRDefault="00ED7992" w:rsidP="00ED7992">
      <w:pPr>
        <w:keepNext/>
        <w:keepLines/>
        <w:jc w:val="both"/>
        <w:rPr>
          <w:sz w:val="22"/>
          <w:szCs w:val="22"/>
        </w:rPr>
      </w:pPr>
    </w:p>
    <w:p w:rsidR="00ED7992" w:rsidRDefault="00ED7992" w:rsidP="00ED7992">
      <w:pPr>
        <w:jc w:val="both"/>
        <w:rPr>
          <w:b/>
          <w:sz w:val="22"/>
          <w:szCs w:val="22"/>
        </w:rPr>
      </w:pPr>
    </w:p>
    <w:p w:rsidR="00ED7992" w:rsidRDefault="00ED7992" w:rsidP="00ED7992">
      <w:pPr>
        <w:jc w:val="both"/>
        <w:rPr>
          <w:b/>
          <w:bCs/>
          <w:sz w:val="24"/>
          <w:szCs w:val="24"/>
        </w:rPr>
      </w:pPr>
      <w:r>
        <w:rPr>
          <w:b/>
          <w:bCs/>
          <w:sz w:val="24"/>
          <w:szCs w:val="24"/>
        </w:rPr>
        <w:lastRenderedPageBreak/>
        <w:t>Prezentace úspěšných projektů IOP v časopise Respekt</w:t>
      </w:r>
    </w:p>
    <w:p w:rsidR="00ED7992" w:rsidRPr="008A6C80" w:rsidRDefault="00ED7992" w:rsidP="00ED7992">
      <w:pPr>
        <w:jc w:val="both"/>
        <w:rPr>
          <w:sz w:val="22"/>
          <w:szCs w:val="22"/>
        </w:rPr>
      </w:pPr>
      <w:r>
        <w:rPr>
          <w:sz w:val="22"/>
          <w:szCs w:val="22"/>
        </w:rPr>
        <w:t>Úspěšné projekty IOP z oblasti intervence</w:t>
      </w:r>
      <w:r w:rsidRPr="008A6C80">
        <w:rPr>
          <w:sz w:val="22"/>
          <w:szCs w:val="22"/>
        </w:rPr>
        <w:t xml:space="preserve"> 3.1 a) trans</w:t>
      </w:r>
      <w:r>
        <w:rPr>
          <w:sz w:val="22"/>
          <w:szCs w:val="22"/>
        </w:rPr>
        <w:t>formace sociálních služeb a</w:t>
      </w:r>
      <w:r w:rsidRPr="008A6C80">
        <w:rPr>
          <w:sz w:val="22"/>
          <w:szCs w:val="22"/>
        </w:rPr>
        <w:t xml:space="preserve"> 3.1b) investiční podpora sociálně vyloučených lokalit</w:t>
      </w:r>
      <w:r>
        <w:rPr>
          <w:sz w:val="22"/>
          <w:szCs w:val="22"/>
        </w:rPr>
        <w:t xml:space="preserve"> byly zviditelněny pomocí inzerce v časopise Respekt ve dnech 7. a 14. září 2015. Inzerce </w:t>
      </w:r>
      <w:proofErr w:type="gramStart"/>
      <w:r>
        <w:rPr>
          <w:sz w:val="22"/>
          <w:szCs w:val="22"/>
        </w:rPr>
        <w:t>m</w:t>
      </w:r>
      <w:r w:rsidR="00F5676A">
        <w:rPr>
          <w:sz w:val="22"/>
          <w:szCs w:val="22"/>
        </w:rPr>
        <w:t>ě</w:t>
      </w:r>
      <w:r>
        <w:rPr>
          <w:sz w:val="22"/>
          <w:szCs w:val="22"/>
        </w:rPr>
        <w:t>la</w:t>
      </w:r>
      <w:proofErr w:type="gramEnd"/>
      <w:r>
        <w:rPr>
          <w:sz w:val="22"/>
          <w:szCs w:val="22"/>
        </w:rPr>
        <w:t xml:space="preserve"> rozsah </w:t>
      </w:r>
      <w:r w:rsidR="00DF3196">
        <w:rPr>
          <w:sz w:val="22"/>
          <w:szCs w:val="22"/>
        </w:rPr>
        <w:t>polovinu</w:t>
      </w:r>
      <w:r>
        <w:rPr>
          <w:sz w:val="22"/>
          <w:szCs w:val="22"/>
        </w:rPr>
        <w:t xml:space="preserve"> barevné tiskové strany.</w:t>
      </w:r>
    </w:p>
    <w:p w:rsidR="00ED7992" w:rsidRPr="008A6C80" w:rsidRDefault="00ED7992" w:rsidP="00ED7992">
      <w:pPr>
        <w:jc w:val="both"/>
        <w:rPr>
          <w:sz w:val="22"/>
          <w:szCs w:val="22"/>
        </w:rPr>
      </w:pPr>
    </w:p>
    <w:p w:rsidR="00ED7992" w:rsidRPr="00097E08" w:rsidRDefault="00ED7992" w:rsidP="00ED7992">
      <w:pPr>
        <w:keepNext/>
        <w:keepLines/>
        <w:spacing w:before="120"/>
        <w:jc w:val="both"/>
        <w:rPr>
          <w:sz w:val="22"/>
          <w:szCs w:val="22"/>
        </w:rPr>
      </w:pPr>
      <w:r w:rsidRPr="00097E08">
        <w:rPr>
          <w:sz w:val="22"/>
          <w:szCs w:val="22"/>
        </w:rPr>
        <w:t xml:space="preserve">Finanční náklady z TP IOP: </w:t>
      </w:r>
      <w:r>
        <w:rPr>
          <w:sz w:val="22"/>
          <w:szCs w:val="22"/>
        </w:rPr>
        <w:t>67 922,-</w:t>
      </w:r>
      <w:r w:rsidRPr="00E32283">
        <w:rPr>
          <w:sz w:val="22"/>
          <w:szCs w:val="22"/>
        </w:rPr>
        <w:t xml:space="preserve"> Kč</w:t>
      </w:r>
    </w:p>
    <w:p w:rsidR="00ED7992" w:rsidRDefault="00ED7992" w:rsidP="00ED7992">
      <w:pPr>
        <w:keepNext/>
        <w:keepLines/>
        <w:jc w:val="both"/>
        <w:rPr>
          <w:sz w:val="22"/>
          <w:szCs w:val="22"/>
        </w:rPr>
      </w:pPr>
      <w:r w:rsidRPr="00097E08">
        <w:rPr>
          <w:sz w:val="22"/>
          <w:szCs w:val="22"/>
        </w:rPr>
        <w:t>Cílová skupina: veřejnost</w:t>
      </w:r>
    </w:p>
    <w:p w:rsidR="00F77AD7" w:rsidRDefault="00F77AD7" w:rsidP="00ED7992">
      <w:pPr>
        <w:keepNext/>
        <w:keepLines/>
        <w:jc w:val="both"/>
        <w:rPr>
          <w:sz w:val="22"/>
          <w:szCs w:val="22"/>
        </w:rPr>
      </w:pPr>
    </w:p>
    <w:p w:rsidR="00F77AD7" w:rsidRDefault="00F77AD7" w:rsidP="00ED7992">
      <w:pPr>
        <w:keepNext/>
        <w:keepLines/>
        <w:jc w:val="both"/>
        <w:rPr>
          <w:sz w:val="22"/>
          <w:szCs w:val="22"/>
        </w:rPr>
      </w:pPr>
    </w:p>
    <w:p w:rsidR="00ED7992" w:rsidRDefault="00ED7992" w:rsidP="00ED7992">
      <w:pPr>
        <w:jc w:val="both"/>
        <w:rPr>
          <w:b/>
          <w:sz w:val="22"/>
          <w:szCs w:val="22"/>
        </w:rPr>
      </w:pPr>
      <w:r w:rsidRPr="00326246">
        <w:rPr>
          <w:b/>
          <w:sz w:val="22"/>
          <w:szCs w:val="22"/>
        </w:rPr>
        <w:t>Seznam příjemců podpory</w:t>
      </w:r>
      <w:r w:rsidRPr="00145F9F">
        <w:rPr>
          <w:b/>
          <w:sz w:val="22"/>
          <w:szCs w:val="22"/>
        </w:rPr>
        <w:t xml:space="preserve"> z IOP je zveřejněn a měsíčně aktualizován </w:t>
      </w:r>
      <w:proofErr w:type="gramStart"/>
      <w:r w:rsidRPr="00145F9F">
        <w:rPr>
          <w:b/>
          <w:sz w:val="22"/>
          <w:szCs w:val="22"/>
        </w:rPr>
        <w:t>na</w:t>
      </w:r>
      <w:proofErr w:type="gramEnd"/>
      <w:r w:rsidRPr="00145F9F">
        <w:rPr>
          <w:b/>
          <w:sz w:val="22"/>
          <w:szCs w:val="22"/>
        </w:rPr>
        <w:t>:</w:t>
      </w:r>
    </w:p>
    <w:p w:rsidR="00ED7992" w:rsidRDefault="00497984" w:rsidP="00ED7992">
      <w:pPr>
        <w:rPr>
          <w:rStyle w:val="Hypertextovodkaz"/>
          <w:sz w:val="22"/>
          <w:szCs w:val="22"/>
        </w:rPr>
      </w:pPr>
      <w:hyperlink r:id="rId49" w:history="1">
        <w:r w:rsidR="00ED7992" w:rsidRPr="00BE195C">
          <w:rPr>
            <w:rStyle w:val="Hypertextovodkaz"/>
            <w:sz w:val="22"/>
            <w:szCs w:val="22"/>
          </w:rPr>
          <w:t>http://www.strukturalni-fondy.cz/cs/Microsites/Integrovany-OP/Zadatele-a-prijemci/Seznam-podporenych-projektu</w:t>
        </w:r>
      </w:hyperlink>
    </w:p>
    <w:p w:rsidR="00ED7992" w:rsidRDefault="00ED7992" w:rsidP="00ED7992">
      <w:pPr>
        <w:rPr>
          <w:rStyle w:val="Hypertextovodkaz"/>
          <w:sz w:val="22"/>
          <w:szCs w:val="22"/>
        </w:rPr>
      </w:pPr>
    </w:p>
    <w:p w:rsidR="00ED7992" w:rsidRDefault="00ED7992" w:rsidP="00ED7992">
      <w:pPr>
        <w:jc w:val="both"/>
      </w:pPr>
    </w:p>
    <w:p w:rsidR="00ED7992" w:rsidRPr="00F77AD7" w:rsidRDefault="00ED7992" w:rsidP="00ED7992">
      <w:pPr>
        <w:jc w:val="both"/>
        <w:rPr>
          <w:b/>
          <w:sz w:val="22"/>
          <w:szCs w:val="22"/>
        </w:rPr>
      </w:pPr>
      <w:r w:rsidRPr="00F77AD7">
        <w:rPr>
          <w:b/>
          <w:sz w:val="22"/>
          <w:szCs w:val="22"/>
        </w:rPr>
        <w:t>Putovní výstava IOP</w:t>
      </w:r>
    </w:p>
    <w:p w:rsidR="00ED7992" w:rsidRDefault="00ED7992" w:rsidP="00ED7992">
      <w:pPr>
        <w:jc w:val="both"/>
        <w:rPr>
          <w:b/>
        </w:rPr>
      </w:pPr>
    </w:p>
    <w:p w:rsidR="00ED7992" w:rsidRDefault="00ED7992" w:rsidP="00DF3196">
      <w:pPr>
        <w:jc w:val="both"/>
        <w:rPr>
          <w:sz w:val="22"/>
          <w:szCs w:val="22"/>
        </w:rPr>
      </w:pPr>
      <w:r>
        <w:rPr>
          <w:noProof/>
          <w:color w:val="0000FF"/>
        </w:rPr>
        <w:drawing>
          <wp:anchor distT="0" distB="0" distL="114300" distR="114300" simplePos="0" relativeHeight="251661312" behindDoc="1" locked="0" layoutInCell="1" allowOverlap="1" wp14:anchorId="04812CA4" wp14:editId="6A9A320B">
            <wp:simplePos x="0" y="0"/>
            <wp:positionH relativeFrom="column">
              <wp:posOffset>-3175</wp:posOffset>
            </wp:positionH>
            <wp:positionV relativeFrom="paragraph">
              <wp:posOffset>-3175</wp:posOffset>
            </wp:positionV>
            <wp:extent cx="2411730" cy="2411730"/>
            <wp:effectExtent l="0" t="0" r="7620" b="7620"/>
            <wp:wrapTight wrapText="bothSides">
              <wp:wrapPolygon edited="0">
                <wp:start x="0" y="0"/>
                <wp:lineTo x="0" y="21498"/>
                <wp:lineTo x="21498" y="21498"/>
                <wp:lineTo x="21498" y="0"/>
                <wp:lineTo x="0" y="0"/>
              </wp:wrapPolygon>
            </wp:wrapTight>
            <wp:docPr id="29" name="Obrázek 29" descr="http://www.mmr.cz/getmedia/bcc83b2f-5aa1-4d04-b75c-31bd037aebe7/IMG_20150902_181818.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mr.cz/getmedia/bcc83b2f-5aa1-4d04-b75c-31bd037aebe7/IMG_20150902_181818.jpg">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11730" cy="2411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48EF">
        <w:rPr>
          <w:sz w:val="22"/>
          <w:szCs w:val="22"/>
        </w:rPr>
        <w:t xml:space="preserve">Putovní výstava velkoformátových fotografií </w:t>
      </w:r>
      <w:r>
        <w:rPr>
          <w:sz w:val="22"/>
          <w:szCs w:val="22"/>
        </w:rPr>
        <w:t xml:space="preserve">na stojanech </w:t>
      </w:r>
      <w:r w:rsidRPr="005C48EF">
        <w:rPr>
          <w:sz w:val="22"/>
          <w:szCs w:val="22"/>
        </w:rPr>
        <w:t>veřejnosti představuj</w:t>
      </w:r>
      <w:r>
        <w:rPr>
          <w:sz w:val="22"/>
          <w:szCs w:val="22"/>
        </w:rPr>
        <w:t xml:space="preserve">e úspěšné projekty programu IOP. </w:t>
      </w:r>
      <w:r w:rsidRPr="005C48EF">
        <w:rPr>
          <w:sz w:val="22"/>
          <w:szCs w:val="22"/>
        </w:rPr>
        <w:t>Na venkovních prostranstvích v še</w:t>
      </w:r>
      <w:r>
        <w:rPr>
          <w:sz w:val="22"/>
          <w:szCs w:val="22"/>
        </w:rPr>
        <w:t>sti velkých městech ČR jsou vystaveny</w:t>
      </w:r>
      <w:r w:rsidRPr="005C48EF">
        <w:rPr>
          <w:sz w:val="22"/>
          <w:szCs w:val="22"/>
        </w:rPr>
        <w:t xml:space="preserve"> velkoformátové fotografie úspěšných projektů z různých oblastí intervence IOP.</w:t>
      </w:r>
      <w:r>
        <w:rPr>
          <w:sz w:val="22"/>
          <w:szCs w:val="22"/>
        </w:rPr>
        <w:t xml:space="preserve"> Výstava je prezentována ve městech: Praha, Plzeň, Liberec, České Budějovice, Brno, Ostrava.</w:t>
      </w:r>
    </w:p>
    <w:p w:rsidR="00ED7992" w:rsidRDefault="00ED7992" w:rsidP="00ED7992">
      <w:pPr>
        <w:jc w:val="both"/>
        <w:rPr>
          <w:sz w:val="22"/>
          <w:szCs w:val="22"/>
        </w:rPr>
      </w:pPr>
    </w:p>
    <w:p w:rsidR="00ED7992" w:rsidRDefault="00ED7992" w:rsidP="00ED7992">
      <w:pPr>
        <w:jc w:val="both"/>
        <w:rPr>
          <w:sz w:val="22"/>
          <w:szCs w:val="22"/>
        </w:rPr>
      </w:pPr>
      <w:r>
        <w:rPr>
          <w:sz w:val="22"/>
          <w:szCs w:val="22"/>
        </w:rPr>
        <w:t>Období realizace putovní výstavy: 31. 8. 2015 – 30. 11. 2015</w:t>
      </w:r>
    </w:p>
    <w:p w:rsidR="00ED7992" w:rsidRDefault="00ED7992" w:rsidP="00ED7992">
      <w:pPr>
        <w:jc w:val="both"/>
        <w:rPr>
          <w:sz w:val="22"/>
          <w:szCs w:val="22"/>
        </w:rPr>
      </w:pPr>
      <w:r>
        <w:rPr>
          <w:sz w:val="22"/>
          <w:szCs w:val="22"/>
        </w:rPr>
        <w:t>Počet měst: 6</w:t>
      </w:r>
    </w:p>
    <w:p w:rsidR="00F77AD7" w:rsidRDefault="00F77AD7" w:rsidP="008036B6"/>
    <w:p w:rsidR="00D13E71" w:rsidRPr="00AD4222" w:rsidRDefault="00D644B0" w:rsidP="00AD4222">
      <w:pPr>
        <w:pStyle w:val="Nadpis2"/>
        <w:rPr>
          <w:rFonts w:ascii="Times New Roman" w:hAnsi="Times New Roman"/>
          <w:i w:val="0"/>
        </w:rPr>
      </w:pPr>
      <w:bookmarkStart w:id="153" w:name="_Toc433873524"/>
      <w:r w:rsidRPr="00C466D8">
        <w:rPr>
          <w:rFonts w:ascii="Times New Roman" w:hAnsi="Times New Roman"/>
          <w:i w:val="0"/>
        </w:rPr>
        <w:t>4.3 Provedené evaluace a studie</w:t>
      </w:r>
      <w:bookmarkEnd w:id="153"/>
    </w:p>
    <w:p w:rsidR="00393A0D" w:rsidRPr="00827E30" w:rsidRDefault="00393A0D" w:rsidP="00393A0D">
      <w:pPr>
        <w:jc w:val="both"/>
        <w:rPr>
          <w:sz w:val="22"/>
          <w:szCs w:val="22"/>
        </w:rPr>
      </w:pPr>
      <w:r>
        <w:rPr>
          <w:sz w:val="22"/>
          <w:szCs w:val="22"/>
        </w:rPr>
        <w:t>V období od dubna 2015 do září 2015 byla</w:t>
      </w:r>
      <w:r w:rsidRPr="00827E30">
        <w:rPr>
          <w:sz w:val="22"/>
          <w:szCs w:val="22"/>
        </w:rPr>
        <w:t xml:space="preserve"> </w:t>
      </w:r>
      <w:r>
        <w:rPr>
          <w:sz w:val="22"/>
          <w:szCs w:val="22"/>
        </w:rPr>
        <w:t xml:space="preserve">dokončena jedna externí evaluace </w:t>
      </w:r>
      <w:r w:rsidRPr="00827E30">
        <w:rPr>
          <w:sz w:val="22"/>
          <w:szCs w:val="22"/>
        </w:rPr>
        <w:t xml:space="preserve">ŘO IOP. </w:t>
      </w:r>
      <w:r>
        <w:rPr>
          <w:bCs/>
          <w:iCs/>
          <w:sz w:val="22"/>
          <w:szCs w:val="22"/>
        </w:rPr>
        <w:t>Výstupem evaluací jsou závěrečné zprávy</w:t>
      </w:r>
      <w:r w:rsidRPr="00827E30">
        <w:rPr>
          <w:bCs/>
          <w:iCs/>
          <w:sz w:val="22"/>
          <w:szCs w:val="22"/>
        </w:rPr>
        <w:t>, zveřejněn</w:t>
      </w:r>
      <w:r>
        <w:rPr>
          <w:bCs/>
          <w:iCs/>
          <w:sz w:val="22"/>
          <w:szCs w:val="22"/>
        </w:rPr>
        <w:t>é</w:t>
      </w:r>
      <w:r w:rsidRPr="00827E30">
        <w:rPr>
          <w:bCs/>
          <w:iCs/>
          <w:sz w:val="22"/>
          <w:szCs w:val="22"/>
        </w:rPr>
        <w:t xml:space="preserve"> na webových stránkách </w:t>
      </w:r>
      <w:hyperlink r:id="rId52" w:tooltip="http://www.strukturalni-fondy.cz/cs/Microsites/Integrovany-OP/O-programu/Dokumenty " w:history="1">
        <w:r w:rsidRPr="0076616E">
          <w:rPr>
            <w:rStyle w:val="Hypertextovodkaz"/>
            <w:sz w:val="22"/>
            <w:szCs w:val="22"/>
          </w:rPr>
          <w:t>http://www.strukturalni-fondy.cz/cs/Microsites/Integrovany-OP/O-programu/Dokumenty</w:t>
        </w:r>
      </w:hyperlink>
      <w:r w:rsidRPr="00827E30">
        <w:rPr>
          <w:bCs/>
          <w:iCs/>
          <w:sz w:val="22"/>
          <w:szCs w:val="22"/>
        </w:rPr>
        <w:t xml:space="preserve"> v sekci Evaluace a analýzy. </w:t>
      </w:r>
    </w:p>
    <w:p w:rsidR="00393A0D" w:rsidRDefault="00393A0D" w:rsidP="009E5E0B"/>
    <w:p w:rsidR="00D644B0" w:rsidRDefault="00D644B0" w:rsidP="00F87B73">
      <w:pPr>
        <w:pStyle w:val="Nadpis3"/>
        <w:spacing w:before="0" w:after="0"/>
        <w:rPr>
          <w:rFonts w:ascii="Times New Roman" w:hAnsi="Times New Roman"/>
          <w:sz w:val="24"/>
          <w:szCs w:val="24"/>
        </w:rPr>
      </w:pPr>
      <w:bookmarkStart w:id="154" w:name="_Toc433873525"/>
      <w:r w:rsidRPr="00C466D8">
        <w:rPr>
          <w:rFonts w:ascii="Times New Roman" w:hAnsi="Times New Roman"/>
          <w:sz w:val="24"/>
          <w:szCs w:val="24"/>
        </w:rPr>
        <w:t xml:space="preserve">4.3.1 Evaluace </w:t>
      </w:r>
      <w:r w:rsidR="00586C9F" w:rsidRPr="00C466D8">
        <w:rPr>
          <w:rFonts w:ascii="Times New Roman" w:hAnsi="Times New Roman"/>
          <w:sz w:val="24"/>
          <w:szCs w:val="24"/>
        </w:rPr>
        <w:t>ř</w:t>
      </w:r>
      <w:r w:rsidRPr="00C466D8">
        <w:rPr>
          <w:rFonts w:ascii="Times New Roman" w:hAnsi="Times New Roman"/>
          <w:sz w:val="24"/>
          <w:szCs w:val="24"/>
        </w:rPr>
        <w:t>ídícího orgánu</w:t>
      </w:r>
      <w:bookmarkEnd w:id="154"/>
      <w:r w:rsidRPr="00B95F14">
        <w:rPr>
          <w:rFonts w:ascii="Times New Roman" w:hAnsi="Times New Roman"/>
          <w:sz w:val="24"/>
          <w:szCs w:val="24"/>
        </w:rPr>
        <w:t xml:space="preserve"> </w:t>
      </w:r>
    </w:p>
    <w:p w:rsidR="00393A0D" w:rsidRPr="008B6A23" w:rsidRDefault="00393A0D" w:rsidP="00393A0D">
      <w:pPr>
        <w:jc w:val="both"/>
        <w:rPr>
          <w:b/>
          <w:sz w:val="22"/>
          <w:szCs w:val="22"/>
          <w:u w:val="single"/>
        </w:rPr>
      </w:pPr>
      <w:r w:rsidRPr="008B6A23">
        <w:rPr>
          <w:b/>
          <w:sz w:val="22"/>
          <w:szCs w:val="22"/>
          <w:u w:val="single"/>
        </w:rPr>
        <w:t>Předběžné posouzení využití finančního nástroje v IROP</w:t>
      </w:r>
    </w:p>
    <w:p w:rsidR="00393A0D" w:rsidRPr="008B6A23" w:rsidRDefault="00393A0D" w:rsidP="00393A0D">
      <w:pPr>
        <w:spacing w:after="200"/>
        <w:jc w:val="both"/>
        <w:rPr>
          <w:sz w:val="22"/>
          <w:szCs w:val="22"/>
        </w:rPr>
      </w:pPr>
      <w:r w:rsidRPr="008B6A23">
        <w:rPr>
          <w:sz w:val="22"/>
          <w:szCs w:val="22"/>
        </w:rPr>
        <w:t>Cílem předběžného posouzení je objektivně posoudit možnosti aplikace a realizace nedotační formy podpory prostřednictvím finančních nástrojů.</w:t>
      </w:r>
    </w:p>
    <w:p w:rsidR="00393A0D" w:rsidRPr="008B6A23" w:rsidRDefault="00393A0D" w:rsidP="00393A0D">
      <w:pPr>
        <w:jc w:val="both"/>
        <w:rPr>
          <w:sz w:val="22"/>
          <w:szCs w:val="22"/>
        </w:rPr>
      </w:pPr>
      <w:r w:rsidRPr="008B6A23">
        <w:rPr>
          <w:sz w:val="22"/>
          <w:szCs w:val="22"/>
        </w:rPr>
        <w:t>Doba realizace (období): září 2014 – květen 2015</w:t>
      </w:r>
    </w:p>
    <w:p w:rsidR="00393A0D" w:rsidRPr="008B6A23" w:rsidRDefault="00393A0D" w:rsidP="00393A0D">
      <w:pPr>
        <w:jc w:val="both"/>
        <w:rPr>
          <w:sz w:val="22"/>
          <w:szCs w:val="22"/>
        </w:rPr>
      </w:pPr>
      <w:r w:rsidRPr="008B6A23">
        <w:rPr>
          <w:sz w:val="22"/>
          <w:szCs w:val="22"/>
        </w:rPr>
        <w:t>Typ: externí</w:t>
      </w:r>
    </w:p>
    <w:p w:rsidR="00393A0D" w:rsidRPr="008B6A23" w:rsidRDefault="00393A0D" w:rsidP="00393A0D">
      <w:pPr>
        <w:jc w:val="both"/>
        <w:rPr>
          <w:sz w:val="22"/>
          <w:szCs w:val="22"/>
        </w:rPr>
      </w:pPr>
      <w:r w:rsidRPr="008B6A23">
        <w:rPr>
          <w:sz w:val="22"/>
          <w:szCs w:val="22"/>
        </w:rPr>
        <w:t>Finanční rozsah: 790 000,00</w:t>
      </w:r>
      <w:r>
        <w:rPr>
          <w:sz w:val="22"/>
          <w:szCs w:val="22"/>
        </w:rPr>
        <w:t xml:space="preserve"> Kč</w:t>
      </w:r>
      <w:r w:rsidRPr="008B6A23">
        <w:rPr>
          <w:sz w:val="22"/>
          <w:szCs w:val="22"/>
        </w:rPr>
        <w:t xml:space="preserve"> bez DPH</w:t>
      </w:r>
    </w:p>
    <w:p w:rsidR="00393A0D" w:rsidRPr="008B6A23" w:rsidRDefault="00393A0D" w:rsidP="00393A0D">
      <w:pPr>
        <w:jc w:val="both"/>
        <w:rPr>
          <w:sz w:val="22"/>
          <w:szCs w:val="22"/>
        </w:rPr>
      </w:pPr>
      <w:r w:rsidRPr="008B6A23">
        <w:rPr>
          <w:sz w:val="22"/>
          <w:szCs w:val="22"/>
        </w:rPr>
        <w:t xml:space="preserve">Zpracovatel: </w:t>
      </w:r>
      <w:proofErr w:type="spellStart"/>
      <w:r w:rsidRPr="008B6A23">
        <w:rPr>
          <w:sz w:val="22"/>
          <w:szCs w:val="22"/>
        </w:rPr>
        <w:t>Deloitte</w:t>
      </w:r>
      <w:proofErr w:type="spellEnd"/>
      <w:r w:rsidRPr="008B6A23">
        <w:rPr>
          <w:sz w:val="22"/>
          <w:szCs w:val="22"/>
        </w:rPr>
        <w:t xml:space="preserve"> </w:t>
      </w:r>
      <w:proofErr w:type="spellStart"/>
      <w:r w:rsidRPr="008B6A23">
        <w:rPr>
          <w:sz w:val="22"/>
          <w:szCs w:val="22"/>
        </w:rPr>
        <w:t>Advisory</w:t>
      </w:r>
      <w:proofErr w:type="spellEnd"/>
      <w:r w:rsidRPr="008B6A23">
        <w:rPr>
          <w:sz w:val="22"/>
          <w:szCs w:val="22"/>
        </w:rPr>
        <w:t xml:space="preserve"> s.r.o. </w:t>
      </w:r>
    </w:p>
    <w:p w:rsidR="00393A0D" w:rsidRPr="008B6A23" w:rsidRDefault="00393A0D" w:rsidP="00393A0D">
      <w:pPr>
        <w:tabs>
          <w:tab w:val="left" w:pos="2400"/>
        </w:tabs>
        <w:jc w:val="both"/>
        <w:rPr>
          <w:sz w:val="22"/>
          <w:szCs w:val="22"/>
        </w:rPr>
      </w:pPr>
    </w:p>
    <w:p w:rsidR="00393A0D" w:rsidRDefault="00393A0D" w:rsidP="00393A0D">
      <w:pPr>
        <w:tabs>
          <w:tab w:val="left" w:pos="2400"/>
        </w:tabs>
        <w:jc w:val="both"/>
        <w:rPr>
          <w:sz w:val="22"/>
          <w:szCs w:val="22"/>
        </w:rPr>
      </w:pPr>
      <w:r>
        <w:rPr>
          <w:sz w:val="22"/>
          <w:szCs w:val="22"/>
        </w:rPr>
        <w:t>Závěrečná zpráva projektu byla dodána v</w:t>
      </w:r>
      <w:r w:rsidRPr="008B6A23">
        <w:rPr>
          <w:sz w:val="22"/>
          <w:szCs w:val="22"/>
        </w:rPr>
        <w:t> březnu 2015</w:t>
      </w:r>
      <w:r w:rsidR="00DF3196">
        <w:rPr>
          <w:sz w:val="22"/>
          <w:szCs w:val="22"/>
        </w:rPr>
        <w:t xml:space="preserve"> a</w:t>
      </w:r>
      <w:r>
        <w:rPr>
          <w:sz w:val="22"/>
          <w:szCs w:val="22"/>
        </w:rPr>
        <w:t xml:space="preserve"> </w:t>
      </w:r>
      <w:r w:rsidR="00DF3196">
        <w:rPr>
          <w:sz w:val="22"/>
          <w:szCs w:val="22"/>
        </w:rPr>
        <w:t>byly</w:t>
      </w:r>
      <w:r>
        <w:rPr>
          <w:sz w:val="22"/>
          <w:szCs w:val="22"/>
        </w:rPr>
        <w:t xml:space="preserve"> k ní vzneseny</w:t>
      </w:r>
      <w:r w:rsidRPr="008B6A23">
        <w:rPr>
          <w:sz w:val="22"/>
          <w:szCs w:val="22"/>
        </w:rPr>
        <w:t xml:space="preserve"> zásadní připomínky </w:t>
      </w:r>
      <w:r w:rsidR="0085585E">
        <w:rPr>
          <w:sz w:val="22"/>
          <w:szCs w:val="22"/>
        </w:rPr>
        <w:br/>
      </w:r>
      <w:r w:rsidRPr="008B6A23">
        <w:rPr>
          <w:sz w:val="22"/>
          <w:szCs w:val="22"/>
        </w:rPr>
        <w:t xml:space="preserve">a požadavky na dopracování závěrečné zprávy, které zpracovatel </w:t>
      </w:r>
      <w:r w:rsidR="00DF3196">
        <w:rPr>
          <w:sz w:val="22"/>
          <w:szCs w:val="22"/>
        </w:rPr>
        <w:t>po</w:t>
      </w:r>
      <w:r w:rsidRPr="008B6A23">
        <w:rPr>
          <w:sz w:val="22"/>
          <w:szCs w:val="22"/>
        </w:rPr>
        <w:t xml:space="preserve">dle domluvy se zadavatelem </w:t>
      </w:r>
      <w:r>
        <w:rPr>
          <w:sz w:val="22"/>
          <w:szCs w:val="22"/>
        </w:rPr>
        <w:t>zapracoval. Finální verze závěrečné zprávy byla dodána v květnu 2015. Na jejím základě byl formulován akční plán, který je v současné době v připomínkovém řízení.</w:t>
      </w:r>
    </w:p>
    <w:p w:rsidR="00393A0D" w:rsidRDefault="00393A0D" w:rsidP="00393A0D">
      <w:pPr>
        <w:tabs>
          <w:tab w:val="left" w:pos="2400"/>
        </w:tabs>
        <w:jc w:val="both"/>
        <w:rPr>
          <w:sz w:val="22"/>
          <w:szCs w:val="22"/>
        </w:rPr>
      </w:pPr>
    </w:p>
    <w:p w:rsidR="0085585E" w:rsidRDefault="0085585E" w:rsidP="00393A0D">
      <w:pPr>
        <w:pStyle w:val="integra-normalni"/>
        <w:spacing w:after="0"/>
        <w:rPr>
          <w:rFonts w:ascii="Times New Roman" w:hAnsi="Times New Roman"/>
          <w:b/>
          <w:sz w:val="24"/>
          <w:szCs w:val="24"/>
        </w:rPr>
      </w:pPr>
    </w:p>
    <w:p w:rsidR="0085585E" w:rsidRDefault="0085585E" w:rsidP="00393A0D">
      <w:pPr>
        <w:pStyle w:val="integra-normalni"/>
        <w:spacing w:after="0"/>
        <w:rPr>
          <w:rFonts w:ascii="Times New Roman" w:hAnsi="Times New Roman"/>
          <w:b/>
          <w:sz w:val="24"/>
          <w:szCs w:val="24"/>
        </w:rPr>
      </w:pPr>
    </w:p>
    <w:p w:rsidR="0085585E" w:rsidRDefault="0085585E" w:rsidP="00393A0D">
      <w:pPr>
        <w:pStyle w:val="integra-normalni"/>
        <w:spacing w:after="0"/>
        <w:rPr>
          <w:rFonts w:ascii="Times New Roman" w:hAnsi="Times New Roman"/>
          <w:b/>
          <w:sz w:val="24"/>
          <w:szCs w:val="24"/>
        </w:rPr>
      </w:pPr>
    </w:p>
    <w:p w:rsidR="0085585E" w:rsidRDefault="0085585E" w:rsidP="00393A0D">
      <w:pPr>
        <w:pStyle w:val="integra-normalni"/>
        <w:spacing w:after="0"/>
        <w:rPr>
          <w:rFonts w:ascii="Times New Roman" w:hAnsi="Times New Roman"/>
          <w:b/>
          <w:sz w:val="24"/>
          <w:szCs w:val="24"/>
        </w:rPr>
      </w:pPr>
    </w:p>
    <w:p w:rsidR="00393A0D" w:rsidRPr="001863D7" w:rsidRDefault="00393A0D" w:rsidP="00393A0D">
      <w:pPr>
        <w:pStyle w:val="integra-normalni"/>
        <w:spacing w:after="0"/>
        <w:rPr>
          <w:rFonts w:ascii="Times New Roman" w:hAnsi="Times New Roman"/>
          <w:b/>
          <w:sz w:val="24"/>
          <w:szCs w:val="24"/>
        </w:rPr>
      </w:pPr>
      <w:r w:rsidRPr="001863D7">
        <w:rPr>
          <w:rFonts w:ascii="Times New Roman" w:hAnsi="Times New Roman"/>
          <w:b/>
          <w:sz w:val="24"/>
          <w:szCs w:val="24"/>
        </w:rPr>
        <w:lastRenderedPageBreak/>
        <w:t>Stručné shrnutí závěrů</w:t>
      </w:r>
    </w:p>
    <w:p w:rsidR="00393A0D" w:rsidRPr="00013919" w:rsidRDefault="00393A0D" w:rsidP="00393A0D">
      <w:pPr>
        <w:numPr>
          <w:ilvl w:val="0"/>
          <w:numId w:val="32"/>
        </w:numPr>
        <w:tabs>
          <w:tab w:val="left" w:pos="2400"/>
        </w:tabs>
        <w:spacing w:before="120" w:after="120"/>
        <w:ind w:left="850" w:hanging="357"/>
        <w:jc w:val="both"/>
        <w:rPr>
          <w:sz w:val="22"/>
          <w:szCs w:val="22"/>
        </w:rPr>
      </w:pPr>
      <w:r w:rsidRPr="00BF30DA">
        <w:rPr>
          <w:b/>
          <w:sz w:val="22"/>
          <w:szCs w:val="22"/>
        </w:rPr>
        <w:t xml:space="preserve">Využitelnost FN v IROP, závěry </w:t>
      </w:r>
      <w:proofErr w:type="spellStart"/>
      <w:r w:rsidRPr="00BF30DA">
        <w:rPr>
          <w:b/>
          <w:sz w:val="22"/>
          <w:szCs w:val="22"/>
        </w:rPr>
        <w:t>pre-screeningu</w:t>
      </w:r>
      <w:proofErr w:type="spellEnd"/>
      <w:r>
        <w:rPr>
          <w:b/>
          <w:sz w:val="22"/>
          <w:szCs w:val="22"/>
        </w:rPr>
        <w:t>.</w:t>
      </w:r>
      <w:r>
        <w:rPr>
          <w:sz w:val="22"/>
          <w:szCs w:val="22"/>
        </w:rPr>
        <w:t xml:space="preserve"> </w:t>
      </w:r>
      <w:r w:rsidR="007215F9">
        <w:rPr>
          <w:sz w:val="22"/>
          <w:szCs w:val="22"/>
        </w:rPr>
        <w:t>Pod</w:t>
      </w:r>
      <w:r w:rsidRPr="004A74B2">
        <w:rPr>
          <w:sz w:val="22"/>
          <w:szCs w:val="22"/>
        </w:rPr>
        <w:t xml:space="preserve">le výsledků vstupního hodnocení bylo možné konstatovat, </w:t>
      </w:r>
      <w:r w:rsidRPr="00013919">
        <w:rPr>
          <w:sz w:val="22"/>
          <w:szCs w:val="22"/>
        </w:rPr>
        <w:t xml:space="preserve">že významný potenciál pro využití finančních nástrojů vykazuje oblast podpory 2.5 </w:t>
      </w:r>
      <w:r w:rsidRPr="00013919">
        <w:rPr>
          <w:bCs/>
          <w:sz w:val="22"/>
          <w:szCs w:val="22"/>
        </w:rPr>
        <w:t>Snížení energetické náročnosti v sektoru bydlení</w:t>
      </w:r>
      <w:r w:rsidRPr="00013919">
        <w:rPr>
          <w:sz w:val="22"/>
          <w:szCs w:val="22"/>
        </w:rPr>
        <w:t xml:space="preserve">, je vhodné pokračovat </w:t>
      </w:r>
      <w:r w:rsidR="0085585E">
        <w:rPr>
          <w:sz w:val="22"/>
          <w:szCs w:val="22"/>
        </w:rPr>
        <w:br/>
      </w:r>
      <w:r w:rsidRPr="00013919">
        <w:rPr>
          <w:sz w:val="22"/>
          <w:szCs w:val="22"/>
        </w:rPr>
        <w:t>v hodnocení oblasti podpory</w:t>
      </w:r>
      <w:r w:rsidRPr="00013919" w:rsidDel="00CA2335">
        <w:rPr>
          <w:sz w:val="22"/>
          <w:szCs w:val="22"/>
        </w:rPr>
        <w:t xml:space="preserve"> </w:t>
      </w:r>
      <w:r w:rsidRPr="00013919">
        <w:rPr>
          <w:sz w:val="22"/>
          <w:szCs w:val="22"/>
        </w:rPr>
        <w:t xml:space="preserve">2.1 </w:t>
      </w:r>
      <w:r w:rsidRPr="00013919">
        <w:rPr>
          <w:bCs/>
          <w:sz w:val="22"/>
          <w:szCs w:val="22"/>
        </w:rPr>
        <w:t xml:space="preserve">Zvýšení kvality a dostupnosti služeb vedoucí k sociální inkluzi, konkrétně </w:t>
      </w:r>
      <w:r w:rsidR="007215F9">
        <w:rPr>
          <w:bCs/>
          <w:sz w:val="22"/>
          <w:szCs w:val="22"/>
        </w:rPr>
        <w:t xml:space="preserve">v </w:t>
      </w:r>
      <w:r w:rsidRPr="00013919">
        <w:rPr>
          <w:sz w:val="22"/>
          <w:szCs w:val="22"/>
        </w:rPr>
        <w:t xml:space="preserve">oblasti podpory pořízení bytů a bytových domů pro sociální bydlení. </w:t>
      </w:r>
    </w:p>
    <w:p w:rsidR="00393A0D" w:rsidRDefault="00393A0D" w:rsidP="00393A0D">
      <w:pPr>
        <w:numPr>
          <w:ilvl w:val="0"/>
          <w:numId w:val="32"/>
        </w:numPr>
        <w:tabs>
          <w:tab w:val="left" w:pos="2400"/>
        </w:tabs>
        <w:spacing w:before="120" w:after="120"/>
        <w:ind w:left="850" w:hanging="357"/>
        <w:jc w:val="both"/>
        <w:rPr>
          <w:sz w:val="22"/>
          <w:szCs w:val="22"/>
        </w:rPr>
      </w:pPr>
      <w:r w:rsidRPr="004A74B2">
        <w:rPr>
          <w:b/>
          <w:sz w:val="22"/>
          <w:szCs w:val="22"/>
        </w:rPr>
        <w:t>Analýza selhání trhu a neoptimálních investičních situací</w:t>
      </w:r>
      <w:r>
        <w:rPr>
          <w:b/>
          <w:sz w:val="22"/>
          <w:szCs w:val="22"/>
        </w:rPr>
        <w:t>.</w:t>
      </w:r>
      <w:r>
        <w:rPr>
          <w:sz w:val="22"/>
          <w:szCs w:val="22"/>
        </w:rPr>
        <w:t xml:space="preserve"> </w:t>
      </w:r>
      <w:r w:rsidRPr="004A74B2">
        <w:rPr>
          <w:sz w:val="22"/>
          <w:szCs w:val="22"/>
        </w:rPr>
        <w:t>V obou analyzovaných případech byla potvrzena existence tržního selhání nebo neoptimální investiční situace, závěry analýzy byly podstatným vstupem do návrhové části zprávy, konkrétně pro kapitolu investiční strategie.</w:t>
      </w:r>
    </w:p>
    <w:p w:rsidR="00393A0D" w:rsidRDefault="00393A0D" w:rsidP="00393A0D">
      <w:pPr>
        <w:numPr>
          <w:ilvl w:val="0"/>
          <w:numId w:val="32"/>
        </w:numPr>
        <w:tabs>
          <w:tab w:val="left" w:pos="2400"/>
        </w:tabs>
        <w:spacing w:before="120" w:after="120"/>
        <w:ind w:left="850" w:hanging="357"/>
        <w:jc w:val="both"/>
        <w:rPr>
          <w:sz w:val="22"/>
          <w:szCs w:val="22"/>
        </w:rPr>
      </w:pPr>
      <w:r w:rsidRPr="004A74B2">
        <w:rPr>
          <w:b/>
          <w:sz w:val="22"/>
          <w:szCs w:val="22"/>
        </w:rPr>
        <w:t>Na základě dalších zkoumání, analýz a diskuzí s klíčovými zájmovými skupinami bylo vyjasněno, že není vhodné pokračovat v návrhu konkrétních parametrů nástroje pro oblast sociálního bydlení</w:t>
      </w:r>
      <w:r w:rsidRPr="004A74B2">
        <w:rPr>
          <w:sz w:val="22"/>
          <w:szCs w:val="22"/>
        </w:rPr>
        <w:t xml:space="preserve"> – bez vyjasnění národní koncepce v této oblasti a související legislativy nelze prakticky navrhnout vhodný finanční nástroj</w:t>
      </w:r>
      <w:r>
        <w:rPr>
          <w:sz w:val="22"/>
          <w:szCs w:val="22"/>
        </w:rPr>
        <w:t>.</w:t>
      </w:r>
    </w:p>
    <w:p w:rsidR="00393A0D" w:rsidRDefault="00393A0D" w:rsidP="00393A0D">
      <w:pPr>
        <w:numPr>
          <w:ilvl w:val="0"/>
          <w:numId w:val="32"/>
        </w:numPr>
        <w:tabs>
          <w:tab w:val="left" w:pos="2400"/>
        </w:tabs>
        <w:spacing w:before="120" w:after="120"/>
        <w:ind w:left="850" w:hanging="357"/>
        <w:jc w:val="both"/>
        <w:rPr>
          <w:sz w:val="22"/>
          <w:szCs w:val="22"/>
        </w:rPr>
      </w:pPr>
      <w:r>
        <w:rPr>
          <w:b/>
          <w:sz w:val="22"/>
          <w:szCs w:val="22"/>
        </w:rPr>
        <w:t>Ve specifickém cíli</w:t>
      </w:r>
      <w:r w:rsidRPr="004A74B2">
        <w:rPr>
          <w:b/>
          <w:sz w:val="22"/>
          <w:szCs w:val="22"/>
        </w:rPr>
        <w:t xml:space="preserve"> IROP </w:t>
      </w:r>
      <w:r w:rsidR="00D46AAA" w:rsidRPr="004A74B2">
        <w:rPr>
          <w:b/>
          <w:sz w:val="22"/>
          <w:szCs w:val="22"/>
        </w:rPr>
        <w:t>2. 5</w:t>
      </w:r>
      <w:r w:rsidRPr="004A74B2">
        <w:rPr>
          <w:sz w:val="22"/>
          <w:szCs w:val="22"/>
        </w:rPr>
        <w:t xml:space="preserve">. </w:t>
      </w:r>
      <w:r w:rsidRPr="004A74B2">
        <w:rPr>
          <w:b/>
          <w:sz w:val="22"/>
          <w:szCs w:val="22"/>
        </w:rPr>
        <w:t xml:space="preserve">existuje významný potenciál absorpční kapacity ve výši desítek až stovek miliard korun, který je zároveň možné považovat za objem tržního selhání či neoptimální tržní situace. </w:t>
      </w:r>
      <w:r w:rsidRPr="004A74B2">
        <w:rPr>
          <w:sz w:val="22"/>
          <w:szCs w:val="22"/>
        </w:rPr>
        <w:t xml:space="preserve">Tyto investice mohou zůstat nerealizovány v případě, že nebude zavedena vhodná forma veřejné podpory – buď aktivizující bankovní sektor </w:t>
      </w:r>
      <w:r w:rsidR="0085585E">
        <w:rPr>
          <w:sz w:val="22"/>
          <w:szCs w:val="22"/>
        </w:rPr>
        <w:br/>
      </w:r>
      <w:r w:rsidRPr="004A74B2">
        <w:rPr>
          <w:sz w:val="22"/>
          <w:szCs w:val="22"/>
        </w:rPr>
        <w:t>či aktivizující vlastníky budov k vyšší investiční aktivitě.</w:t>
      </w:r>
    </w:p>
    <w:p w:rsidR="00393A0D" w:rsidRPr="00013919" w:rsidRDefault="00393A0D" w:rsidP="00393A0D">
      <w:pPr>
        <w:numPr>
          <w:ilvl w:val="0"/>
          <w:numId w:val="32"/>
        </w:numPr>
        <w:tabs>
          <w:tab w:val="left" w:pos="2400"/>
        </w:tabs>
        <w:spacing w:before="120" w:after="120"/>
        <w:ind w:left="850" w:hanging="357"/>
        <w:jc w:val="both"/>
        <w:rPr>
          <w:sz w:val="22"/>
          <w:szCs w:val="22"/>
        </w:rPr>
      </w:pPr>
      <w:r w:rsidRPr="00013919">
        <w:rPr>
          <w:b/>
          <w:sz w:val="22"/>
          <w:szCs w:val="22"/>
        </w:rPr>
        <w:t>Návrh investiční strategie</w:t>
      </w:r>
      <w:r w:rsidRPr="00013919">
        <w:rPr>
          <w:sz w:val="22"/>
          <w:szCs w:val="22"/>
        </w:rPr>
        <w:t xml:space="preserve">. V rámci kapitoly dodavatel navrhuje konkrétní parametry nástroje a implementačního uspořádání, které je vhodné pro podmínky IROP. </w:t>
      </w:r>
      <w:r w:rsidRPr="00013919">
        <w:rPr>
          <w:bCs/>
          <w:sz w:val="22"/>
          <w:szCs w:val="22"/>
        </w:rPr>
        <w:t xml:space="preserve">S ohledem na pozitivní zkušenosti s fungováním podpory sledovaným projektům skrze finanční nástroj JESSICA v současném období a s ohledem na existující dobré zkušenosti s obdobným přístupem v dalších členských státech Evropské unie navrhuje dodavatel </w:t>
      </w:r>
      <w:r w:rsidRPr="00013919">
        <w:rPr>
          <w:b/>
          <w:bCs/>
          <w:sz w:val="22"/>
          <w:szCs w:val="22"/>
        </w:rPr>
        <w:t>využití úvěrového nástroje.</w:t>
      </w:r>
      <w:r w:rsidRPr="00013919">
        <w:rPr>
          <w:bCs/>
          <w:sz w:val="22"/>
          <w:szCs w:val="22"/>
        </w:rPr>
        <w:t xml:space="preserve"> Návrh podoby nástroje je syntézou využití dobré praxe v ČR a zahraničí, s aplikovaným poučením z nástroje JESSICA, </w:t>
      </w:r>
    </w:p>
    <w:p w:rsidR="00393A0D" w:rsidRPr="00523271" w:rsidRDefault="00393A0D" w:rsidP="00393A0D">
      <w:pPr>
        <w:pStyle w:val="TextNOK"/>
        <w:spacing w:line="240" w:lineRule="auto"/>
        <w:rPr>
          <w:sz w:val="24"/>
        </w:rPr>
      </w:pPr>
    </w:p>
    <w:p w:rsidR="00393A0D" w:rsidRDefault="00393A0D" w:rsidP="00393A0D">
      <w:pPr>
        <w:rPr>
          <w:rFonts w:eastAsiaTheme="majorEastAsia"/>
          <w:b/>
          <w:sz w:val="22"/>
          <w:u w:val="single"/>
          <w:lang w:bidi="en-US"/>
        </w:rPr>
      </w:pPr>
      <w:r w:rsidRPr="005313B0">
        <w:rPr>
          <w:rFonts w:eastAsiaTheme="majorEastAsia"/>
          <w:b/>
          <w:sz w:val="22"/>
          <w:u w:val="single"/>
          <w:lang w:bidi="en-US"/>
        </w:rPr>
        <w:t>Analýza administrativních kapacit a outsour</w:t>
      </w:r>
      <w:r w:rsidR="004C50C1">
        <w:rPr>
          <w:rFonts w:eastAsiaTheme="majorEastAsia"/>
          <w:b/>
          <w:sz w:val="22"/>
          <w:u w:val="single"/>
          <w:lang w:bidi="en-US"/>
        </w:rPr>
        <w:t>c</w:t>
      </w:r>
      <w:r w:rsidRPr="005313B0">
        <w:rPr>
          <w:rFonts w:eastAsiaTheme="majorEastAsia"/>
          <w:b/>
          <w:sz w:val="22"/>
          <w:u w:val="single"/>
          <w:lang w:bidi="en-US"/>
        </w:rPr>
        <w:t>ingu implementační struktury IOP 2015</w:t>
      </w:r>
    </w:p>
    <w:p w:rsidR="00393A0D" w:rsidRPr="00BE195C" w:rsidRDefault="00393A0D" w:rsidP="00393A0D">
      <w:pPr>
        <w:jc w:val="both"/>
        <w:rPr>
          <w:sz w:val="22"/>
          <w:szCs w:val="22"/>
        </w:rPr>
      </w:pPr>
      <w:r w:rsidRPr="00BE195C">
        <w:rPr>
          <w:sz w:val="22"/>
          <w:szCs w:val="22"/>
        </w:rPr>
        <w:t xml:space="preserve">Cílem </w:t>
      </w:r>
      <w:r>
        <w:rPr>
          <w:sz w:val="22"/>
          <w:szCs w:val="22"/>
        </w:rPr>
        <w:t xml:space="preserve">analýzy je </w:t>
      </w:r>
      <w:r w:rsidRPr="00BE195C">
        <w:rPr>
          <w:sz w:val="22"/>
          <w:szCs w:val="22"/>
        </w:rPr>
        <w:t>zjistit celkové náklady na řízení pro</w:t>
      </w:r>
      <w:r>
        <w:rPr>
          <w:sz w:val="22"/>
          <w:szCs w:val="22"/>
        </w:rPr>
        <w:t>gramu během sledovaného období 7</w:t>
      </w:r>
      <w:r w:rsidRPr="00BE195C">
        <w:rPr>
          <w:sz w:val="22"/>
          <w:szCs w:val="22"/>
        </w:rPr>
        <w:t>/201</w:t>
      </w:r>
      <w:r>
        <w:rPr>
          <w:sz w:val="22"/>
          <w:szCs w:val="22"/>
        </w:rPr>
        <w:t>4</w:t>
      </w:r>
      <w:r w:rsidRPr="00BE195C">
        <w:rPr>
          <w:sz w:val="22"/>
          <w:szCs w:val="22"/>
        </w:rPr>
        <w:t xml:space="preserve"> – 6/201</w:t>
      </w:r>
      <w:r>
        <w:rPr>
          <w:sz w:val="22"/>
          <w:szCs w:val="22"/>
        </w:rPr>
        <w:t>5</w:t>
      </w:r>
      <w:r w:rsidRPr="00BE195C">
        <w:rPr>
          <w:sz w:val="22"/>
          <w:szCs w:val="22"/>
        </w:rPr>
        <w:t xml:space="preserve"> a porovnat jejich výši s náklady v předchozích obdobích. </w:t>
      </w:r>
      <w:r>
        <w:rPr>
          <w:sz w:val="22"/>
          <w:szCs w:val="22"/>
        </w:rPr>
        <w:t>Z porovnání výkonů a finančních nákladů identifikovat rizika a navrhnout doporučení vedoucí ke zvýšení efektivity a hospodárnosti.</w:t>
      </w:r>
    </w:p>
    <w:p w:rsidR="00393A0D" w:rsidRPr="00BE195C" w:rsidRDefault="00393A0D" w:rsidP="00393A0D">
      <w:pPr>
        <w:jc w:val="both"/>
        <w:rPr>
          <w:sz w:val="22"/>
          <w:szCs w:val="22"/>
        </w:rPr>
      </w:pPr>
    </w:p>
    <w:p w:rsidR="00393A0D" w:rsidRPr="00BA0356" w:rsidRDefault="00393A0D" w:rsidP="00393A0D">
      <w:pPr>
        <w:rPr>
          <w:sz w:val="22"/>
          <w:szCs w:val="22"/>
        </w:rPr>
      </w:pPr>
      <w:r w:rsidRPr="00BA0356">
        <w:rPr>
          <w:sz w:val="22"/>
          <w:szCs w:val="22"/>
        </w:rPr>
        <w:t>Doba realizace</w:t>
      </w:r>
      <w:r>
        <w:rPr>
          <w:sz w:val="22"/>
          <w:szCs w:val="22"/>
        </w:rPr>
        <w:t xml:space="preserve"> (období): červenec – říjen 2015</w:t>
      </w:r>
    </w:p>
    <w:p w:rsidR="00393A0D" w:rsidRPr="00BA0356" w:rsidRDefault="00393A0D" w:rsidP="00393A0D">
      <w:pPr>
        <w:rPr>
          <w:sz w:val="22"/>
          <w:szCs w:val="22"/>
        </w:rPr>
      </w:pPr>
      <w:r w:rsidRPr="00BA0356">
        <w:rPr>
          <w:sz w:val="22"/>
          <w:szCs w:val="22"/>
        </w:rPr>
        <w:t>Typ evaluace: interní</w:t>
      </w:r>
    </w:p>
    <w:p w:rsidR="00393A0D" w:rsidRPr="00BA0356" w:rsidRDefault="00393A0D" w:rsidP="00393A0D">
      <w:pPr>
        <w:rPr>
          <w:sz w:val="22"/>
          <w:szCs w:val="22"/>
        </w:rPr>
      </w:pPr>
      <w:r w:rsidRPr="00BA0356">
        <w:rPr>
          <w:sz w:val="22"/>
          <w:szCs w:val="22"/>
        </w:rPr>
        <w:t>Zpracovatel: ŘO IOP ve spolupráci se ZS</w:t>
      </w:r>
    </w:p>
    <w:p w:rsidR="00393A0D" w:rsidRPr="00BA0356" w:rsidRDefault="00393A0D" w:rsidP="00393A0D">
      <w:pPr>
        <w:rPr>
          <w:i/>
          <w:sz w:val="22"/>
          <w:szCs w:val="22"/>
        </w:rPr>
      </w:pPr>
    </w:p>
    <w:p w:rsidR="00393A0D" w:rsidRPr="00546815" w:rsidRDefault="00393A0D" w:rsidP="00393A0D">
      <w:pPr>
        <w:jc w:val="both"/>
        <w:rPr>
          <w:sz w:val="22"/>
          <w:szCs w:val="22"/>
        </w:rPr>
      </w:pPr>
      <w:r w:rsidRPr="00BE195C">
        <w:rPr>
          <w:sz w:val="22"/>
          <w:szCs w:val="22"/>
        </w:rPr>
        <w:t>Analýza navázala na předchozí Analýzu administrativních kapacit a outsourcingu zprost</w:t>
      </w:r>
      <w:r>
        <w:rPr>
          <w:sz w:val="22"/>
          <w:szCs w:val="22"/>
        </w:rPr>
        <w:t>ředkujících subjektů IOP</w:t>
      </w:r>
      <w:r w:rsidR="007215F9">
        <w:rPr>
          <w:sz w:val="22"/>
          <w:szCs w:val="22"/>
        </w:rPr>
        <w:t xml:space="preserve"> </w:t>
      </w:r>
      <w:r w:rsidR="00493741">
        <w:rPr>
          <w:sz w:val="22"/>
          <w:szCs w:val="22"/>
        </w:rPr>
        <w:t>2014</w:t>
      </w:r>
      <w:r>
        <w:rPr>
          <w:sz w:val="22"/>
          <w:szCs w:val="22"/>
        </w:rPr>
        <w:t xml:space="preserve">. Bylo zahájeno zpracování analýzy a předpokládaný termín dokončení je konec října 2015. </w:t>
      </w:r>
    </w:p>
    <w:p w:rsidR="00346E66" w:rsidRPr="00346E66" w:rsidRDefault="00346E66" w:rsidP="00346E66">
      <w:pPr>
        <w:pStyle w:val="Bntext"/>
        <w:rPr>
          <w:rFonts w:eastAsiaTheme="minorHAnsi"/>
          <w:sz w:val="22"/>
          <w:szCs w:val="22"/>
          <w:lang w:eastAsia="en-US"/>
        </w:rPr>
      </w:pPr>
    </w:p>
    <w:p w:rsidR="00D644B0" w:rsidRDefault="00D644B0" w:rsidP="00B95F14">
      <w:pPr>
        <w:pStyle w:val="Nadpis3"/>
        <w:rPr>
          <w:rFonts w:ascii="Times New Roman" w:hAnsi="Times New Roman"/>
          <w:sz w:val="24"/>
          <w:szCs w:val="24"/>
        </w:rPr>
      </w:pPr>
      <w:bookmarkStart w:id="155" w:name="_Toc433873526"/>
      <w:r w:rsidRPr="00C466D8">
        <w:rPr>
          <w:rFonts w:ascii="Times New Roman" w:hAnsi="Times New Roman"/>
          <w:sz w:val="24"/>
          <w:szCs w:val="24"/>
        </w:rPr>
        <w:t xml:space="preserve">4.3.2 Evaluace a studie zprostředkujících </w:t>
      </w:r>
      <w:r w:rsidR="005F429F" w:rsidRPr="00C466D8">
        <w:rPr>
          <w:rFonts w:ascii="Times New Roman" w:hAnsi="Times New Roman"/>
          <w:sz w:val="24"/>
          <w:szCs w:val="24"/>
        </w:rPr>
        <w:t>subjektů</w:t>
      </w:r>
      <w:bookmarkEnd w:id="155"/>
      <w:r w:rsidRPr="00C466D8">
        <w:rPr>
          <w:rFonts w:ascii="Times New Roman" w:hAnsi="Times New Roman"/>
          <w:sz w:val="24"/>
          <w:szCs w:val="24"/>
        </w:rPr>
        <w:t xml:space="preserve"> </w:t>
      </w:r>
    </w:p>
    <w:p w:rsidR="00393A0D" w:rsidRPr="001863D7" w:rsidRDefault="00393A0D" w:rsidP="00393A0D">
      <w:pPr>
        <w:rPr>
          <w:b/>
          <w:sz w:val="22"/>
          <w:szCs w:val="22"/>
          <w:u w:val="single"/>
        </w:rPr>
      </w:pPr>
      <w:r w:rsidRPr="001863D7">
        <w:rPr>
          <w:b/>
          <w:sz w:val="22"/>
          <w:szCs w:val="22"/>
          <w:u w:val="single"/>
        </w:rPr>
        <w:t xml:space="preserve">Audit realizace projektů 4., 5. a 8. výzvy oblasti intervence 3.2 Integrovaného operačního programu </w:t>
      </w:r>
    </w:p>
    <w:p w:rsidR="00B62C5F" w:rsidRPr="007D7070" w:rsidRDefault="00393A0D" w:rsidP="00B62C5F">
      <w:pPr>
        <w:jc w:val="both"/>
        <w:rPr>
          <w:b/>
          <w:bCs/>
          <w:sz w:val="22"/>
          <w:szCs w:val="22"/>
        </w:rPr>
      </w:pPr>
      <w:proofErr w:type="spellStart"/>
      <w:r>
        <w:rPr>
          <w:sz w:val="22"/>
          <w:szCs w:val="22"/>
        </w:rPr>
        <w:t>MZd</w:t>
      </w:r>
      <w:proofErr w:type="spellEnd"/>
      <w:r>
        <w:rPr>
          <w:sz w:val="22"/>
          <w:szCs w:val="22"/>
        </w:rPr>
        <w:t xml:space="preserve"> ČR</w:t>
      </w:r>
      <w:r w:rsidRPr="006F654D">
        <w:rPr>
          <w:sz w:val="22"/>
          <w:szCs w:val="22"/>
        </w:rPr>
        <w:t xml:space="preserve"> v roce 2011 připravilo</w:t>
      </w:r>
      <w:r w:rsidR="004B5125">
        <w:rPr>
          <w:sz w:val="22"/>
          <w:szCs w:val="22"/>
        </w:rPr>
        <w:t xml:space="preserve"> evaluaci s názvem „</w:t>
      </w:r>
      <w:r w:rsidRPr="006F654D">
        <w:rPr>
          <w:sz w:val="22"/>
          <w:szCs w:val="22"/>
        </w:rPr>
        <w:t>Audit 4., 5. a 8. výzvy Ministerstva zdravotnictví</w:t>
      </w:r>
      <w:r w:rsidR="006D3879">
        <w:rPr>
          <w:sz w:val="22"/>
          <w:szCs w:val="22"/>
        </w:rPr>
        <w:t>“.</w:t>
      </w:r>
      <w:r w:rsidRPr="006F654D">
        <w:rPr>
          <w:sz w:val="22"/>
          <w:szCs w:val="22"/>
        </w:rPr>
        <w:t xml:space="preserve"> </w:t>
      </w:r>
      <w:r w:rsidR="00B62C5F" w:rsidRPr="006F654D">
        <w:rPr>
          <w:sz w:val="22"/>
          <w:szCs w:val="22"/>
        </w:rPr>
        <w:t xml:space="preserve">Přestože je zakázka nazvána jako audit, může být považována rovněž za evaluaci, ze které vzejde zhodnocení implementačního systému ZS při administraci projektů a především doporučení pro jeho změnu – zejména úpravy Operačního manuálu ZS GG </w:t>
      </w:r>
      <w:proofErr w:type="spellStart"/>
      <w:r w:rsidR="00B62C5F" w:rsidRPr="006F654D">
        <w:rPr>
          <w:sz w:val="22"/>
          <w:szCs w:val="22"/>
        </w:rPr>
        <w:t>MZd</w:t>
      </w:r>
      <w:proofErr w:type="spellEnd"/>
      <w:r w:rsidR="00B62C5F" w:rsidRPr="006F654D">
        <w:rPr>
          <w:sz w:val="22"/>
          <w:szCs w:val="22"/>
        </w:rPr>
        <w:t>, úprava konkrétních pracovních postupů odboru evropských fondů</w:t>
      </w:r>
      <w:r w:rsidR="00B62C5F">
        <w:rPr>
          <w:sz w:val="22"/>
          <w:szCs w:val="22"/>
        </w:rPr>
        <w:t xml:space="preserve"> na Ministerstvu zdravotnictví</w:t>
      </w:r>
      <w:r w:rsidR="00B62C5F" w:rsidRPr="006F654D">
        <w:rPr>
          <w:sz w:val="22"/>
          <w:szCs w:val="22"/>
        </w:rPr>
        <w:t xml:space="preserve">, návrhy na zlepšení komunikace a předávání informací. Výstupem budou rovněž doporučení pro realizaci zakázek v prostředí českého zdravotnictví. </w:t>
      </w:r>
    </w:p>
    <w:p w:rsidR="00393A0D" w:rsidRPr="006F654D" w:rsidRDefault="00393A0D" w:rsidP="00393A0D">
      <w:pPr>
        <w:jc w:val="both"/>
        <w:rPr>
          <w:b/>
          <w:bCs/>
          <w:sz w:val="22"/>
          <w:szCs w:val="22"/>
        </w:rPr>
      </w:pPr>
      <w:r w:rsidRPr="006F654D">
        <w:rPr>
          <w:sz w:val="22"/>
          <w:szCs w:val="22"/>
        </w:rPr>
        <w:lastRenderedPageBreak/>
        <w:t>Evaluace</w:t>
      </w:r>
      <w:r w:rsidRPr="006F654D" w:rsidDel="00543836">
        <w:rPr>
          <w:sz w:val="22"/>
          <w:szCs w:val="22"/>
        </w:rPr>
        <w:t xml:space="preserve"> </w:t>
      </w:r>
      <w:r w:rsidRPr="006F654D">
        <w:rPr>
          <w:sz w:val="22"/>
          <w:szCs w:val="22"/>
        </w:rPr>
        <w:t xml:space="preserve">navazuje na Audit realizace projektů 1. výzvy oblasti intervence 3.2 Integrovaného operačního programu, realizovaný na začátku roku 2011. Cílem </w:t>
      </w:r>
      <w:r w:rsidR="00B62C5F">
        <w:rPr>
          <w:sz w:val="22"/>
          <w:szCs w:val="22"/>
        </w:rPr>
        <w:t xml:space="preserve">evaluace </w:t>
      </w:r>
      <w:r w:rsidR="00B62C5F" w:rsidRPr="006F654D">
        <w:rPr>
          <w:sz w:val="22"/>
          <w:szCs w:val="22"/>
        </w:rPr>
        <w:t>je</w:t>
      </w:r>
      <w:r w:rsidRPr="006F654D">
        <w:rPr>
          <w:sz w:val="22"/>
          <w:szCs w:val="22"/>
        </w:rPr>
        <w:t xml:space="preserve"> kontrola a vyhodnocení průběhu zadávacích řízení všech grantových projektů 4., 5. a 8. výzvy oblasti intervence 3.2 IOP. Na jejím základě dodavatel provede analýzu efektivnosti výběrových řízení především z hlediska dosažení cen v místě a čase obvyklých. Cílem je rovněž posouzení administrativních postupů </w:t>
      </w:r>
      <w:r w:rsidR="00B62C5F">
        <w:rPr>
          <w:sz w:val="22"/>
          <w:szCs w:val="22"/>
        </w:rPr>
        <w:br/>
      </w:r>
      <w:r w:rsidRPr="006F654D">
        <w:rPr>
          <w:sz w:val="22"/>
          <w:szCs w:val="22"/>
        </w:rPr>
        <w:t>a procesů odboru evropských fondů při administraci projektů a ověření dodržování postupů pracovníky odboru.</w:t>
      </w:r>
    </w:p>
    <w:p w:rsidR="00393A0D" w:rsidRPr="0044204C" w:rsidRDefault="00393A0D" w:rsidP="00393A0D">
      <w:pPr>
        <w:rPr>
          <w:b/>
          <w:bCs/>
        </w:rPr>
      </w:pPr>
    </w:p>
    <w:p w:rsidR="00393A0D" w:rsidRPr="006F654D" w:rsidRDefault="00393A0D" w:rsidP="000C6761">
      <w:pPr>
        <w:jc w:val="both"/>
        <w:rPr>
          <w:sz w:val="22"/>
          <w:szCs w:val="22"/>
        </w:rPr>
      </w:pPr>
      <w:r w:rsidRPr="006F654D">
        <w:rPr>
          <w:sz w:val="22"/>
          <w:szCs w:val="22"/>
        </w:rPr>
        <w:t>Realizace byla rozdělena na tři části, které probíhají podle termínů ukončení projektů</w:t>
      </w:r>
      <w:r w:rsidR="00493741" w:rsidRPr="006F654D">
        <w:rPr>
          <w:sz w:val="22"/>
          <w:szCs w:val="22"/>
        </w:rPr>
        <w:t>.</w:t>
      </w:r>
      <w:r w:rsidR="00493741">
        <w:rPr>
          <w:sz w:val="22"/>
          <w:szCs w:val="22"/>
        </w:rPr>
        <w:t xml:space="preserve"> V současné</w:t>
      </w:r>
      <w:r>
        <w:rPr>
          <w:sz w:val="22"/>
          <w:szCs w:val="22"/>
        </w:rPr>
        <w:t xml:space="preserve"> chvíli je ukončována realizace části 2</w:t>
      </w:r>
      <w:r w:rsidRPr="00301E8C">
        <w:rPr>
          <w:sz w:val="22"/>
          <w:szCs w:val="22"/>
        </w:rPr>
        <w:t xml:space="preserve"> </w:t>
      </w:r>
      <w:r w:rsidRPr="006F654D">
        <w:rPr>
          <w:sz w:val="22"/>
          <w:szCs w:val="22"/>
        </w:rPr>
        <w:t>Audit</w:t>
      </w:r>
      <w:r>
        <w:rPr>
          <w:sz w:val="22"/>
          <w:szCs w:val="22"/>
        </w:rPr>
        <w:t>u</w:t>
      </w:r>
      <w:r w:rsidRPr="006F654D">
        <w:rPr>
          <w:sz w:val="22"/>
          <w:szCs w:val="22"/>
        </w:rPr>
        <w:t xml:space="preserve"> realizace proj</w:t>
      </w:r>
      <w:r>
        <w:rPr>
          <w:sz w:val="22"/>
          <w:szCs w:val="22"/>
        </w:rPr>
        <w:t>ektů 5</w:t>
      </w:r>
      <w:r w:rsidRPr="006F654D">
        <w:rPr>
          <w:sz w:val="22"/>
          <w:szCs w:val="22"/>
        </w:rPr>
        <w:t>. výzvy oblasti intervence 3.2 Int</w:t>
      </w:r>
      <w:r>
        <w:rPr>
          <w:sz w:val="22"/>
          <w:szCs w:val="22"/>
        </w:rPr>
        <w:t xml:space="preserve">egrovaného operačního programu, předpokládané dokončení auditu </w:t>
      </w:r>
      <w:r w:rsidR="000C6761">
        <w:rPr>
          <w:sz w:val="22"/>
          <w:szCs w:val="22"/>
        </w:rPr>
        <w:t xml:space="preserve">je </w:t>
      </w:r>
      <w:r>
        <w:rPr>
          <w:sz w:val="22"/>
          <w:szCs w:val="22"/>
        </w:rPr>
        <w:t>do konce září 2015. A</w:t>
      </w:r>
      <w:r w:rsidRPr="00682C60">
        <w:rPr>
          <w:sz w:val="22"/>
          <w:szCs w:val="22"/>
        </w:rPr>
        <w:t xml:space="preserve">udit 8. </w:t>
      </w:r>
      <w:r>
        <w:rPr>
          <w:sz w:val="22"/>
          <w:szCs w:val="22"/>
        </w:rPr>
        <w:t>v</w:t>
      </w:r>
      <w:r w:rsidRPr="00682C60">
        <w:rPr>
          <w:sz w:val="22"/>
          <w:szCs w:val="22"/>
        </w:rPr>
        <w:t>ýzvy</w:t>
      </w:r>
      <w:r>
        <w:rPr>
          <w:sz w:val="22"/>
          <w:szCs w:val="22"/>
        </w:rPr>
        <w:t xml:space="preserve"> je v realizační fázi a ukončení je předpokládáno k 30.11 2015</w:t>
      </w:r>
      <w:r w:rsidR="000C6761">
        <w:rPr>
          <w:sz w:val="22"/>
          <w:szCs w:val="22"/>
        </w:rPr>
        <w:t>.</w:t>
      </w:r>
    </w:p>
    <w:p w:rsidR="00393A0D" w:rsidRPr="0044204C" w:rsidRDefault="004B5125" w:rsidP="00393A0D">
      <w:pPr>
        <w:rPr>
          <w:b/>
          <w:bCs/>
        </w:rPr>
      </w:pPr>
      <w:r>
        <w:rPr>
          <w:b/>
          <w:bCs/>
        </w:rPr>
        <w:t xml:space="preserve"> </w:t>
      </w:r>
    </w:p>
    <w:p w:rsidR="00393A0D" w:rsidRDefault="00393A0D" w:rsidP="00393A0D">
      <w:pPr>
        <w:rPr>
          <w:sz w:val="22"/>
          <w:szCs w:val="22"/>
        </w:rPr>
      </w:pPr>
      <w:r w:rsidRPr="006F654D">
        <w:rPr>
          <w:sz w:val="22"/>
          <w:szCs w:val="22"/>
        </w:rPr>
        <w:t>Předpokládaný termín: říjen 2013 –</w:t>
      </w:r>
      <w:r>
        <w:rPr>
          <w:sz w:val="22"/>
          <w:szCs w:val="22"/>
        </w:rPr>
        <w:t xml:space="preserve"> listopad 2015</w:t>
      </w:r>
    </w:p>
    <w:p w:rsidR="00393A0D" w:rsidRDefault="00393A0D" w:rsidP="00393A0D">
      <w:pPr>
        <w:rPr>
          <w:sz w:val="22"/>
          <w:szCs w:val="22"/>
        </w:rPr>
      </w:pPr>
      <w:r>
        <w:rPr>
          <w:sz w:val="22"/>
          <w:szCs w:val="22"/>
        </w:rPr>
        <w:t xml:space="preserve">Část 1 </w:t>
      </w:r>
      <w:r w:rsidRPr="006F654D">
        <w:rPr>
          <w:sz w:val="22"/>
          <w:szCs w:val="22"/>
        </w:rPr>
        <w:t>Audit realizace projektů 4. výzvy oblasti intervence 3.2 Int</w:t>
      </w:r>
      <w:r>
        <w:rPr>
          <w:sz w:val="22"/>
          <w:szCs w:val="22"/>
        </w:rPr>
        <w:t>egrovaného operačního programu.</w:t>
      </w:r>
    </w:p>
    <w:p w:rsidR="00393A0D" w:rsidRDefault="00393A0D" w:rsidP="00393A0D">
      <w:pPr>
        <w:rPr>
          <w:sz w:val="22"/>
          <w:szCs w:val="22"/>
        </w:rPr>
      </w:pPr>
      <w:r w:rsidRPr="006F654D">
        <w:rPr>
          <w:sz w:val="22"/>
          <w:szCs w:val="22"/>
        </w:rPr>
        <w:t>Cena zakázky: 154</w:t>
      </w:r>
      <w:r>
        <w:rPr>
          <w:sz w:val="22"/>
          <w:szCs w:val="22"/>
        </w:rPr>
        <w:t> </w:t>
      </w:r>
      <w:r w:rsidRPr="006F654D">
        <w:rPr>
          <w:sz w:val="22"/>
          <w:szCs w:val="22"/>
        </w:rPr>
        <w:t>880</w:t>
      </w:r>
      <w:r>
        <w:rPr>
          <w:sz w:val="22"/>
          <w:szCs w:val="22"/>
        </w:rPr>
        <w:t>,-</w:t>
      </w:r>
      <w:r w:rsidRPr="006F654D">
        <w:rPr>
          <w:sz w:val="22"/>
          <w:szCs w:val="22"/>
        </w:rPr>
        <w:t xml:space="preserve"> vč. DPH</w:t>
      </w:r>
    </w:p>
    <w:p w:rsidR="00393A0D" w:rsidRDefault="00393A0D" w:rsidP="00393A0D">
      <w:pPr>
        <w:rPr>
          <w:sz w:val="22"/>
          <w:szCs w:val="22"/>
        </w:rPr>
      </w:pPr>
      <w:r>
        <w:rPr>
          <w:sz w:val="22"/>
          <w:szCs w:val="22"/>
        </w:rPr>
        <w:t xml:space="preserve">Část 2 </w:t>
      </w:r>
      <w:r w:rsidRPr="006F654D">
        <w:rPr>
          <w:sz w:val="22"/>
          <w:szCs w:val="22"/>
        </w:rPr>
        <w:t>Audit realizace proj</w:t>
      </w:r>
      <w:r>
        <w:rPr>
          <w:sz w:val="22"/>
          <w:szCs w:val="22"/>
        </w:rPr>
        <w:t>ektů 5</w:t>
      </w:r>
      <w:r w:rsidRPr="006F654D">
        <w:rPr>
          <w:sz w:val="22"/>
          <w:szCs w:val="22"/>
        </w:rPr>
        <w:t>. výzvy oblasti intervence 3.2 Int</w:t>
      </w:r>
      <w:r>
        <w:rPr>
          <w:sz w:val="22"/>
          <w:szCs w:val="22"/>
        </w:rPr>
        <w:t>egrovaného operačního programu.</w:t>
      </w:r>
    </w:p>
    <w:p w:rsidR="00393A0D" w:rsidRDefault="00393A0D" w:rsidP="00393A0D">
      <w:pPr>
        <w:rPr>
          <w:sz w:val="22"/>
          <w:szCs w:val="22"/>
        </w:rPr>
      </w:pPr>
      <w:r w:rsidRPr="006F654D">
        <w:rPr>
          <w:sz w:val="22"/>
          <w:szCs w:val="22"/>
        </w:rPr>
        <w:t xml:space="preserve">Cena zakázky: </w:t>
      </w:r>
      <w:r>
        <w:rPr>
          <w:sz w:val="22"/>
          <w:szCs w:val="22"/>
        </w:rPr>
        <w:t xml:space="preserve">690 184,- </w:t>
      </w:r>
      <w:r w:rsidRPr="006F654D">
        <w:rPr>
          <w:sz w:val="22"/>
          <w:szCs w:val="22"/>
        </w:rPr>
        <w:t>vč. DPH</w:t>
      </w:r>
    </w:p>
    <w:p w:rsidR="00393A0D" w:rsidRDefault="00393A0D" w:rsidP="00393A0D">
      <w:pPr>
        <w:rPr>
          <w:sz w:val="22"/>
          <w:szCs w:val="22"/>
        </w:rPr>
      </w:pPr>
      <w:r>
        <w:rPr>
          <w:sz w:val="22"/>
          <w:szCs w:val="22"/>
        </w:rPr>
        <w:t xml:space="preserve">Část 3 </w:t>
      </w:r>
      <w:r w:rsidRPr="006F654D">
        <w:rPr>
          <w:sz w:val="22"/>
          <w:szCs w:val="22"/>
        </w:rPr>
        <w:t>Audit realizace proj</w:t>
      </w:r>
      <w:r>
        <w:rPr>
          <w:sz w:val="22"/>
          <w:szCs w:val="22"/>
        </w:rPr>
        <w:t>ektů 8</w:t>
      </w:r>
      <w:r w:rsidRPr="006F654D">
        <w:rPr>
          <w:sz w:val="22"/>
          <w:szCs w:val="22"/>
        </w:rPr>
        <w:t>. výzvy oblasti intervence 3.2 Int</w:t>
      </w:r>
      <w:r>
        <w:rPr>
          <w:sz w:val="22"/>
          <w:szCs w:val="22"/>
        </w:rPr>
        <w:t>egrovaného operačního programu.</w:t>
      </w:r>
    </w:p>
    <w:p w:rsidR="00393A0D" w:rsidRDefault="00393A0D" w:rsidP="00393A0D">
      <w:pPr>
        <w:rPr>
          <w:sz w:val="22"/>
          <w:szCs w:val="22"/>
        </w:rPr>
      </w:pPr>
      <w:r w:rsidRPr="006F654D">
        <w:rPr>
          <w:sz w:val="22"/>
          <w:szCs w:val="22"/>
        </w:rPr>
        <w:t xml:space="preserve">Cena zakázky: </w:t>
      </w:r>
      <w:r>
        <w:rPr>
          <w:sz w:val="22"/>
          <w:szCs w:val="22"/>
        </w:rPr>
        <w:t xml:space="preserve">929 522,- </w:t>
      </w:r>
      <w:r w:rsidRPr="006F654D">
        <w:rPr>
          <w:sz w:val="22"/>
          <w:szCs w:val="22"/>
        </w:rPr>
        <w:t>vč. DPH</w:t>
      </w:r>
    </w:p>
    <w:p w:rsidR="00393A0D" w:rsidRDefault="00393A0D" w:rsidP="00393A0D">
      <w:pPr>
        <w:rPr>
          <w:sz w:val="22"/>
          <w:szCs w:val="22"/>
        </w:rPr>
      </w:pPr>
    </w:p>
    <w:p w:rsidR="00393A0D" w:rsidRDefault="00393A0D" w:rsidP="00393A0D">
      <w:pPr>
        <w:rPr>
          <w:sz w:val="22"/>
          <w:szCs w:val="22"/>
          <w:u w:val="single"/>
        </w:rPr>
      </w:pPr>
    </w:p>
    <w:p w:rsidR="00393A0D" w:rsidRPr="001863D7" w:rsidRDefault="00393A0D" w:rsidP="00393A0D">
      <w:pPr>
        <w:rPr>
          <w:b/>
          <w:sz w:val="22"/>
          <w:szCs w:val="22"/>
          <w:u w:val="single"/>
        </w:rPr>
      </w:pPr>
      <w:r w:rsidRPr="001863D7">
        <w:rPr>
          <w:b/>
          <w:sz w:val="22"/>
          <w:szCs w:val="22"/>
          <w:u w:val="single"/>
        </w:rPr>
        <w:t xml:space="preserve">Evaluace oblasti intervence 3.2 s ohledem na dosažení definovaných cílů a zkušeností s implementací podpory v rámci českého zdravotnictví </w:t>
      </w:r>
    </w:p>
    <w:p w:rsidR="00393A0D" w:rsidRPr="00B520AC" w:rsidRDefault="00393A0D" w:rsidP="00393A0D">
      <w:pPr>
        <w:rPr>
          <w:sz w:val="22"/>
          <w:szCs w:val="22"/>
          <w:u w:val="single"/>
        </w:rPr>
      </w:pPr>
    </w:p>
    <w:p w:rsidR="00393A0D" w:rsidRDefault="00BE59D3" w:rsidP="00393A0D">
      <w:pPr>
        <w:jc w:val="both"/>
        <w:rPr>
          <w:sz w:val="22"/>
          <w:szCs w:val="22"/>
        </w:rPr>
      </w:pPr>
      <w:r w:rsidRPr="00CB1C13">
        <w:rPr>
          <w:sz w:val="22"/>
          <w:szCs w:val="22"/>
        </w:rPr>
        <w:t>Předmětem plnění je evaluace výsledků dopadů projektů realizovaných v rámci oblasti intervence Služby v oblasti veřejného zdraví Integrovaného operačního programu (3.2 IOP). Evaluace se bude členit na obecnou část a na část členěnou podle věcného dělení oblasti intervence 3.2 IOP. Obě části budou rozděleny na část obsahující deskriptivní fakta</w:t>
      </w:r>
      <w:r w:rsidR="000C6761">
        <w:rPr>
          <w:sz w:val="22"/>
          <w:szCs w:val="22"/>
        </w:rPr>
        <w:t>,</w:t>
      </w:r>
      <w:r w:rsidRPr="00CB1C13">
        <w:rPr>
          <w:sz w:val="22"/>
          <w:szCs w:val="22"/>
        </w:rPr>
        <w:t xml:space="preserve"> založená na analýze nemocničních dat</w:t>
      </w:r>
      <w:r w:rsidR="000C6761">
        <w:rPr>
          <w:sz w:val="22"/>
          <w:szCs w:val="22"/>
        </w:rPr>
        <w:t>,</w:t>
      </w:r>
      <w:r w:rsidRPr="00CB1C13">
        <w:rPr>
          <w:sz w:val="22"/>
          <w:szCs w:val="22"/>
        </w:rPr>
        <w:t xml:space="preserve"> a část odpovídající na otázky efektivnosti a úspěšnosti oblasti intervence 3.2 IOP. Evaluace si klade za cíl zjistit skutečné dopady a původně nepředvídatelné vlivy oblasti intervence 3.2 IOP na zdravotnictví v České republice.</w:t>
      </w:r>
      <w:r>
        <w:rPr>
          <w:sz w:val="22"/>
          <w:szCs w:val="22"/>
        </w:rPr>
        <w:t xml:space="preserve"> </w:t>
      </w:r>
      <w:r w:rsidR="00393A0D" w:rsidRPr="00E923AF">
        <w:rPr>
          <w:sz w:val="22"/>
          <w:szCs w:val="22"/>
        </w:rPr>
        <w:t xml:space="preserve">Vzhledem ke stavu realizace oblasti intervence budou výstupy evaluace především použity jako podkladová analýza pro </w:t>
      </w:r>
      <w:r w:rsidR="0030483C">
        <w:rPr>
          <w:sz w:val="22"/>
          <w:szCs w:val="22"/>
        </w:rPr>
        <w:t xml:space="preserve">nastavení a případné úpravy </w:t>
      </w:r>
      <w:r w:rsidR="00F651F9">
        <w:rPr>
          <w:sz w:val="22"/>
          <w:szCs w:val="22"/>
        </w:rPr>
        <w:t>specifického cíle</w:t>
      </w:r>
      <w:r w:rsidR="0030483C">
        <w:rPr>
          <w:sz w:val="22"/>
          <w:szCs w:val="22"/>
        </w:rPr>
        <w:t xml:space="preserve"> 2.3 Integrovaného regionálního operačního programu v období 2014-2020. </w:t>
      </w:r>
      <w:r w:rsidR="00393A0D" w:rsidRPr="00E923AF">
        <w:rPr>
          <w:sz w:val="22"/>
          <w:szCs w:val="22"/>
        </w:rPr>
        <w:t xml:space="preserve"> </w:t>
      </w:r>
    </w:p>
    <w:p w:rsidR="00B62C5F" w:rsidRPr="00E923AF" w:rsidRDefault="00B62C5F" w:rsidP="00393A0D">
      <w:pPr>
        <w:jc w:val="both"/>
        <w:rPr>
          <w:b/>
          <w:bCs/>
          <w:sz w:val="22"/>
          <w:szCs w:val="22"/>
        </w:rPr>
      </w:pPr>
    </w:p>
    <w:p w:rsidR="00393A0D" w:rsidRPr="00920DDF" w:rsidRDefault="00393A0D" w:rsidP="00393A0D">
      <w:pPr>
        <w:rPr>
          <w:sz w:val="22"/>
          <w:szCs w:val="22"/>
        </w:rPr>
      </w:pPr>
      <w:r w:rsidRPr="00920DDF">
        <w:rPr>
          <w:sz w:val="22"/>
          <w:szCs w:val="22"/>
        </w:rPr>
        <w:t>Zpracování: interní a externí</w:t>
      </w:r>
    </w:p>
    <w:p w:rsidR="00393A0D" w:rsidRPr="00E923AF" w:rsidRDefault="00393A0D" w:rsidP="00393A0D">
      <w:pPr>
        <w:rPr>
          <w:sz w:val="22"/>
          <w:szCs w:val="22"/>
        </w:rPr>
      </w:pPr>
      <w:r>
        <w:rPr>
          <w:sz w:val="22"/>
          <w:szCs w:val="22"/>
        </w:rPr>
        <w:t xml:space="preserve">Časový rámec: </w:t>
      </w:r>
      <w:r w:rsidR="00493741">
        <w:rPr>
          <w:sz w:val="22"/>
          <w:szCs w:val="22"/>
        </w:rPr>
        <w:t xml:space="preserve">září </w:t>
      </w:r>
      <w:r>
        <w:rPr>
          <w:sz w:val="22"/>
          <w:szCs w:val="22"/>
        </w:rPr>
        <w:t xml:space="preserve">2015 </w:t>
      </w:r>
      <w:r w:rsidR="00D46AAA">
        <w:rPr>
          <w:sz w:val="22"/>
          <w:szCs w:val="22"/>
        </w:rPr>
        <w:t>-</w:t>
      </w:r>
      <w:r w:rsidR="00BE59D3">
        <w:rPr>
          <w:sz w:val="22"/>
          <w:szCs w:val="22"/>
        </w:rPr>
        <w:t xml:space="preserve"> </w:t>
      </w:r>
      <w:r w:rsidR="00493741">
        <w:rPr>
          <w:sz w:val="22"/>
          <w:szCs w:val="22"/>
        </w:rPr>
        <w:t xml:space="preserve"> prosinec</w:t>
      </w:r>
      <w:r>
        <w:rPr>
          <w:sz w:val="22"/>
          <w:szCs w:val="22"/>
        </w:rPr>
        <w:t xml:space="preserve"> 2015</w:t>
      </w:r>
    </w:p>
    <w:p w:rsidR="00393A0D" w:rsidRPr="00E923AF" w:rsidRDefault="00393A0D" w:rsidP="00393A0D">
      <w:pPr>
        <w:rPr>
          <w:sz w:val="22"/>
          <w:szCs w:val="22"/>
        </w:rPr>
      </w:pPr>
      <w:r w:rsidRPr="00E923AF">
        <w:rPr>
          <w:sz w:val="22"/>
          <w:szCs w:val="22"/>
        </w:rPr>
        <w:t xml:space="preserve">Finanční rozsah: bude stanoven </w:t>
      </w:r>
      <w:r>
        <w:rPr>
          <w:sz w:val="22"/>
          <w:szCs w:val="22"/>
        </w:rPr>
        <w:t>na</w:t>
      </w:r>
      <w:r w:rsidRPr="00E923AF">
        <w:rPr>
          <w:sz w:val="22"/>
          <w:szCs w:val="22"/>
        </w:rPr>
        <w:t xml:space="preserve"> základě konkrétního zadání </w:t>
      </w:r>
    </w:p>
    <w:p w:rsidR="00393A0D" w:rsidRPr="00E923AF" w:rsidRDefault="00393A0D" w:rsidP="00393A0D">
      <w:pPr>
        <w:rPr>
          <w:sz w:val="22"/>
          <w:szCs w:val="22"/>
        </w:rPr>
      </w:pPr>
      <w:r w:rsidRPr="00E923AF">
        <w:rPr>
          <w:sz w:val="22"/>
          <w:szCs w:val="22"/>
        </w:rPr>
        <w:t>Garant: ministerstvo zdravotnictví</w:t>
      </w:r>
    </w:p>
    <w:p w:rsidR="00393A0D" w:rsidRDefault="00393A0D" w:rsidP="00393A0D"/>
    <w:p w:rsidR="00393A0D" w:rsidRPr="00682C60" w:rsidRDefault="00393A0D" w:rsidP="00393A0D">
      <w:pPr>
        <w:rPr>
          <w:sz w:val="22"/>
          <w:szCs w:val="22"/>
        </w:rPr>
      </w:pPr>
      <w:r>
        <w:rPr>
          <w:sz w:val="22"/>
          <w:szCs w:val="22"/>
        </w:rPr>
        <w:t xml:space="preserve">Zadávací dokumentace byla zveřejněna na profilu zadavatele ve věštníku veřejných zakázek. </w:t>
      </w:r>
      <w:r w:rsidR="001760C1">
        <w:rPr>
          <w:sz w:val="22"/>
          <w:szCs w:val="22"/>
        </w:rPr>
        <w:t>Realizace zakázky bude zahájena v říjnu.</w:t>
      </w:r>
    </w:p>
    <w:p w:rsidR="00393A0D" w:rsidRPr="00523271" w:rsidRDefault="00393A0D" w:rsidP="00393A0D"/>
    <w:p w:rsidR="00D644B0" w:rsidRPr="00C466D8" w:rsidRDefault="00D644B0">
      <w:pPr>
        <w:pStyle w:val="Nadpis2"/>
        <w:spacing w:before="360"/>
        <w:rPr>
          <w:rFonts w:ascii="Times New Roman" w:hAnsi="Times New Roman"/>
          <w:i w:val="0"/>
        </w:rPr>
      </w:pPr>
      <w:bookmarkStart w:id="156" w:name="_Toc433873527"/>
      <w:r w:rsidRPr="00C466D8">
        <w:rPr>
          <w:rFonts w:ascii="Times New Roman" w:hAnsi="Times New Roman"/>
          <w:i w:val="0"/>
        </w:rPr>
        <w:t>4.4 Ostatní aktivity řídícího orgánu a monitorovacího výboru</w:t>
      </w:r>
      <w:bookmarkEnd w:id="156"/>
    </w:p>
    <w:p w:rsidR="00D644B0" w:rsidRPr="00CE7900" w:rsidRDefault="00D644B0" w:rsidP="00742852">
      <w:pPr>
        <w:pStyle w:val="Nadpis3"/>
        <w:rPr>
          <w:rFonts w:ascii="Times New Roman" w:hAnsi="Times New Roman"/>
          <w:sz w:val="24"/>
          <w:szCs w:val="24"/>
        </w:rPr>
      </w:pPr>
      <w:bookmarkStart w:id="157" w:name="_Toc433873528"/>
      <w:r w:rsidRPr="00CE7900">
        <w:rPr>
          <w:rFonts w:ascii="Times New Roman" w:hAnsi="Times New Roman"/>
          <w:sz w:val="24"/>
          <w:szCs w:val="24"/>
        </w:rPr>
        <w:t>4.4.1 Aktivity řídícího orgánu</w:t>
      </w:r>
      <w:bookmarkEnd w:id="157"/>
    </w:p>
    <w:p w:rsidR="009C1E60" w:rsidRDefault="009C1E60" w:rsidP="009C1E60">
      <w:pPr>
        <w:rPr>
          <w:b/>
          <w:sz w:val="24"/>
          <w:szCs w:val="24"/>
        </w:rPr>
      </w:pPr>
    </w:p>
    <w:p w:rsidR="00AC77E3" w:rsidRDefault="00AC77E3" w:rsidP="009C1E60">
      <w:pPr>
        <w:rPr>
          <w:b/>
          <w:sz w:val="24"/>
          <w:szCs w:val="24"/>
        </w:rPr>
      </w:pPr>
      <w:r>
        <w:rPr>
          <w:b/>
          <w:sz w:val="24"/>
          <w:szCs w:val="24"/>
        </w:rPr>
        <w:t xml:space="preserve">4.4.1.1 Jednání s EK </w:t>
      </w:r>
    </w:p>
    <w:p w:rsidR="0085585E" w:rsidRDefault="00F21CE0" w:rsidP="00F21CE0">
      <w:pPr>
        <w:jc w:val="both"/>
        <w:rPr>
          <w:sz w:val="22"/>
          <w:szCs w:val="22"/>
        </w:rPr>
      </w:pPr>
      <w:r w:rsidRPr="00F21CE0">
        <w:rPr>
          <w:sz w:val="22"/>
          <w:szCs w:val="22"/>
        </w:rPr>
        <w:t>Dne 15. července 2015 proběhlo jednání zástupců řídicích orgánů, Evropské komise a dalších relevantních institucí „</w:t>
      </w:r>
      <w:proofErr w:type="spellStart"/>
      <w:r w:rsidRPr="00F21CE0">
        <w:rPr>
          <w:sz w:val="22"/>
          <w:szCs w:val="22"/>
        </w:rPr>
        <w:t>Task</w:t>
      </w:r>
      <w:proofErr w:type="spellEnd"/>
      <w:r w:rsidRPr="00F21CE0">
        <w:rPr>
          <w:sz w:val="22"/>
          <w:szCs w:val="22"/>
        </w:rPr>
        <w:t xml:space="preserve"> </w:t>
      </w:r>
      <w:proofErr w:type="spellStart"/>
      <w:r w:rsidRPr="00F21CE0">
        <w:rPr>
          <w:sz w:val="22"/>
          <w:szCs w:val="22"/>
        </w:rPr>
        <w:t>Force</w:t>
      </w:r>
      <w:proofErr w:type="spellEnd"/>
      <w:r w:rsidRPr="00F21CE0">
        <w:rPr>
          <w:sz w:val="22"/>
          <w:szCs w:val="22"/>
        </w:rPr>
        <w:t xml:space="preserve"> on </w:t>
      </w:r>
      <w:proofErr w:type="spellStart"/>
      <w:r w:rsidRPr="00F21CE0">
        <w:rPr>
          <w:sz w:val="22"/>
          <w:szCs w:val="22"/>
        </w:rPr>
        <w:t>Better</w:t>
      </w:r>
      <w:proofErr w:type="spellEnd"/>
      <w:r w:rsidRPr="00F21CE0">
        <w:rPr>
          <w:sz w:val="22"/>
          <w:szCs w:val="22"/>
        </w:rPr>
        <w:t xml:space="preserve"> </w:t>
      </w:r>
      <w:proofErr w:type="spellStart"/>
      <w:r w:rsidRPr="00F21CE0">
        <w:rPr>
          <w:sz w:val="22"/>
          <w:szCs w:val="22"/>
        </w:rPr>
        <w:t>Implementation</w:t>
      </w:r>
      <w:proofErr w:type="spellEnd"/>
      <w:r w:rsidRPr="00F21CE0">
        <w:rPr>
          <w:sz w:val="22"/>
          <w:szCs w:val="22"/>
        </w:rPr>
        <w:t xml:space="preserve">“.  Hlavním tématem jednání byl stav implementace operačních programů realizovaných v programovém období 2007-2013. Zástupci řídicího orgánu IOP informovali Evropskou komisi o aktuálním stavu implementace a Evropská komise vzala informaci na vědomí. </w:t>
      </w:r>
    </w:p>
    <w:p w:rsidR="00F21CE0" w:rsidRPr="00F21CE0" w:rsidRDefault="00F21CE0" w:rsidP="00F21CE0">
      <w:pPr>
        <w:jc w:val="both"/>
        <w:rPr>
          <w:sz w:val="22"/>
          <w:szCs w:val="22"/>
        </w:rPr>
      </w:pPr>
      <w:r w:rsidRPr="00F21CE0">
        <w:rPr>
          <w:sz w:val="22"/>
          <w:szCs w:val="22"/>
        </w:rPr>
        <w:lastRenderedPageBreak/>
        <w:t xml:space="preserve">Zástupci ČR a Evropské komise se shodli na nutnosti pokračovat v úsilí vedoucí k maximálnímu </w:t>
      </w:r>
      <w:r w:rsidR="0085585E">
        <w:rPr>
          <w:sz w:val="22"/>
          <w:szCs w:val="22"/>
        </w:rPr>
        <w:br/>
      </w:r>
      <w:r w:rsidRPr="00F21CE0">
        <w:rPr>
          <w:sz w:val="22"/>
          <w:szCs w:val="22"/>
        </w:rPr>
        <w:t xml:space="preserve">a efektivnímu dočerpání prostředků pro programové období 2007–2013. Evropská komise doporučila řídicím orgánům využití institutu nedokončených projektů či fázování a vyzvala řídicí orgán IOP, aby znovu zvážil využití části zbývající alokace na projekty realizované prostřednictvím finančních nástrojů (ověření možnosti uplatnění doporučených opatření viz plnění krizového plánu IOP v příloze č. 2). </w:t>
      </w:r>
    </w:p>
    <w:p w:rsidR="00A731AD" w:rsidRDefault="00A731AD" w:rsidP="002B6462">
      <w:pPr>
        <w:rPr>
          <w:b/>
          <w:sz w:val="24"/>
          <w:szCs w:val="24"/>
        </w:rPr>
      </w:pPr>
    </w:p>
    <w:p w:rsidR="001803E1" w:rsidRDefault="009C1E60" w:rsidP="002B6462">
      <w:pPr>
        <w:rPr>
          <w:b/>
          <w:sz w:val="24"/>
          <w:szCs w:val="24"/>
        </w:rPr>
      </w:pPr>
      <w:r w:rsidRPr="00C466D8">
        <w:rPr>
          <w:b/>
          <w:sz w:val="24"/>
          <w:szCs w:val="24"/>
        </w:rPr>
        <w:t xml:space="preserve">4.4.1.1 </w:t>
      </w:r>
      <w:r w:rsidR="00944435">
        <w:rPr>
          <w:b/>
          <w:sz w:val="24"/>
          <w:szCs w:val="24"/>
        </w:rPr>
        <w:t>Krizový plán</w:t>
      </w:r>
    </w:p>
    <w:p w:rsidR="00867A02" w:rsidRDefault="000C6761" w:rsidP="002B6462">
      <w:pPr>
        <w:rPr>
          <w:rFonts w:eastAsia="Calibri"/>
          <w:sz w:val="22"/>
          <w:szCs w:val="22"/>
          <w:lang w:eastAsia="en-US"/>
        </w:rPr>
      </w:pPr>
      <w:r>
        <w:rPr>
          <w:sz w:val="24"/>
          <w:szCs w:val="24"/>
        </w:rPr>
        <w:t>V</w:t>
      </w:r>
      <w:r w:rsidR="00867A02" w:rsidRPr="00C3485E">
        <w:rPr>
          <w:sz w:val="24"/>
          <w:szCs w:val="24"/>
        </w:rPr>
        <w:t xml:space="preserve">iz </w:t>
      </w:r>
      <w:r>
        <w:rPr>
          <w:sz w:val="24"/>
          <w:szCs w:val="24"/>
        </w:rPr>
        <w:t>k</w:t>
      </w:r>
      <w:r w:rsidR="00867A02" w:rsidRPr="00C3485E">
        <w:rPr>
          <w:sz w:val="24"/>
          <w:szCs w:val="24"/>
        </w:rPr>
        <w:t>apitola 2.4.7 Krizové řízení a plnění usnesení vlády č. 1</w:t>
      </w:r>
      <w:r w:rsidR="00C3485E" w:rsidRPr="00C3485E">
        <w:rPr>
          <w:sz w:val="24"/>
          <w:szCs w:val="24"/>
        </w:rPr>
        <w:t>24/</w:t>
      </w:r>
      <w:r w:rsidR="00C3485E">
        <w:rPr>
          <w:sz w:val="24"/>
          <w:szCs w:val="24"/>
        </w:rPr>
        <w:t>2015</w:t>
      </w:r>
      <w:r>
        <w:rPr>
          <w:sz w:val="24"/>
          <w:szCs w:val="24"/>
        </w:rPr>
        <w:t>.</w:t>
      </w:r>
    </w:p>
    <w:p w:rsidR="00D30353" w:rsidRDefault="00D30353" w:rsidP="00D30353">
      <w:pPr>
        <w:jc w:val="both"/>
      </w:pPr>
    </w:p>
    <w:p w:rsidR="00D30353" w:rsidRPr="00D30353" w:rsidRDefault="00D30353" w:rsidP="00D30353">
      <w:pPr>
        <w:jc w:val="both"/>
      </w:pPr>
    </w:p>
    <w:p w:rsidR="001616C7" w:rsidRDefault="00D644B0" w:rsidP="00B77A84">
      <w:pPr>
        <w:keepNext/>
        <w:jc w:val="both"/>
        <w:rPr>
          <w:b/>
          <w:sz w:val="22"/>
          <w:szCs w:val="22"/>
        </w:rPr>
      </w:pPr>
      <w:r w:rsidRPr="00BE195C">
        <w:rPr>
          <w:b/>
          <w:sz w:val="22"/>
          <w:szCs w:val="22"/>
        </w:rPr>
        <w:t>4.4.1.</w:t>
      </w:r>
      <w:r w:rsidR="00285624">
        <w:rPr>
          <w:b/>
          <w:sz w:val="22"/>
          <w:szCs w:val="22"/>
        </w:rPr>
        <w:t>2</w:t>
      </w:r>
      <w:r w:rsidRPr="00BE195C">
        <w:rPr>
          <w:b/>
          <w:sz w:val="22"/>
          <w:szCs w:val="22"/>
        </w:rPr>
        <w:t xml:space="preserve"> Vzdělávání</w:t>
      </w:r>
    </w:p>
    <w:p w:rsidR="001616C7" w:rsidRDefault="00F3533C" w:rsidP="00A60258">
      <w:pPr>
        <w:pStyle w:val="Tabulkanzev"/>
        <w:rPr>
          <w:rStyle w:val="Siln"/>
        </w:rPr>
      </w:pPr>
      <w:bookmarkStart w:id="158" w:name="_Toc433873577"/>
      <w:r w:rsidRPr="00A60258">
        <w:rPr>
          <w:rStyle w:val="Siln"/>
        </w:rPr>
        <w:t>Přehled realizovaného vzdělávání</w:t>
      </w:r>
      <w:bookmarkEnd w:id="158"/>
    </w:p>
    <w:tbl>
      <w:tblPr>
        <w:tblW w:w="9422" w:type="dxa"/>
        <w:jc w:val="center"/>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Look w:val="01E0" w:firstRow="1" w:lastRow="1" w:firstColumn="1" w:lastColumn="1" w:noHBand="0" w:noVBand="0"/>
      </w:tblPr>
      <w:tblGrid>
        <w:gridCol w:w="2131"/>
        <w:gridCol w:w="2310"/>
        <w:gridCol w:w="4981"/>
      </w:tblGrid>
      <w:tr w:rsidR="00846EC6" w:rsidRPr="00C0782C" w:rsidTr="00846EC6">
        <w:trPr>
          <w:trHeight w:val="322"/>
          <w:tblHeader/>
          <w:jc w:val="center"/>
        </w:trPr>
        <w:tc>
          <w:tcPr>
            <w:tcW w:w="2131" w:type="dxa"/>
            <w:shd w:val="clear" w:color="auto" w:fill="C6D9F1" w:themeFill="text2" w:themeFillTint="33"/>
            <w:vAlign w:val="center"/>
          </w:tcPr>
          <w:p w:rsidR="00846EC6" w:rsidRPr="00DB0DC8" w:rsidRDefault="00846EC6" w:rsidP="00846EC6">
            <w:pPr>
              <w:spacing w:before="60" w:after="60" w:line="240" w:lineRule="exact"/>
              <w:jc w:val="center"/>
              <w:rPr>
                <w:rFonts w:eastAsia="Calibri"/>
                <w:b/>
              </w:rPr>
            </w:pPr>
            <w:r w:rsidRPr="00DB0DC8">
              <w:rPr>
                <w:rFonts w:eastAsia="Calibri"/>
                <w:b/>
              </w:rPr>
              <w:t>Vyhodnocení vzdělávacích plánů/Aktivita</w:t>
            </w:r>
          </w:p>
        </w:tc>
        <w:tc>
          <w:tcPr>
            <w:tcW w:w="2310" w:type="dxa"/>
            <w:shd w:val="clear" w:color="auto" w:fill="C6D9F1" w:themeFill="text2" w:themeFillTint="33"/>
            <w:vAlign w:val="center"/>
          </w:tcPr>
          <w:p w:rsidR="00846EC6" w:rsidRPr="00DB0DC8" w:rsidRDefault="00846EC6" w:rsidP="00846EC6">
            <w:pPr>
              <w:spacing w:before="60" w:after="60" w:line="240" w:lineRule="exact"/>
              <w:jc w:val="center"/>
              <w:rPr>
                <w:rFonts w:eastAsia="Calibri"/>
                <w:b/>
              </w:rPr>
            </w:pPr>
            <w:r w:rsidRPr="00DB0DC8">
              <w:rPr>
                <w:rFonts w:eastAsia="Calibri"/>
                <w:b/>
              </w:rPr>
              <w:t xml:space="preserve">Role ŘO </w:t>
            </w:r>
          </w:p>
        </w:tc>
        <w:tc>
          <w:tcPr>
            <w:tcW w:w="4981" w:type="dxa"/>
            <w:shd w:val="clear" w:color="auto" w:fill="C6D9F1" w:themeFill="text2" w:themeFillTint="33"/>
            <w:vAlign w:val="center"/>
          </w:tcPr>
          <w:p w:rsidR="00846EC6" w:rsidRPr="00DB0DC8" w:rsidRDefault="00846EC6" w:rsidP="00846EC6">
            <w:pPr>
              <w:spacing w:before="60" w:after="60" w:line="240" w:lineRule="exact"/>
              <w:jc w:val="center"/>
              <w:rPr>
                <w:rFonts w:eastAsia="Calibri"/>
                <w:b/>
              </w:rPr>
            </w:pPr>
            <w:r w:rsidRPr="00DB0DC8">
              <w:rPr>
                <w:rFonts w:eastAsia="Calibri"/>
                <w:b/>
              </w:rPr>
              <w:t>Komentář</w:t>
            </w:r>
          </w:p>
        </w:tc>
      </w:tr>
      <w:tr w:rsidR="00846EC6" w:rsidRPr="00C0782C" w:rsidTr="00846EC6">
        <w:trPr>
          <w:trHeight w:val="531"/>
          <w:jc w:val="center"/>
        </w:trPr>
        <w:tc>
          <w:tcPr>
            <w:tcW w:w="2131" w:type="dxa"/>
            <w:vAlign w:val="center"/>
          </w:tcPr>
          <w:p w:rsidR="00846EC6" w:rsidRPr="008967E2" w:rsidRDefault="00846EC6" w:rsidP="00846EC6">
            <w:pPr>
              <w:spacing w:before="60" w:after="60" w:line="240" w:lineRule="exact"/>
              <w:rPr>
                <w:rFonts w:eastAsia="Calibri"/>
                <w:sz w:val="22"/>
                <w:szCs w:val="22"/>
              </w:rPr>
            </w:pPr>
            <w:r w:rsidRPr="008967E2">
              <w:rPr>
                <w:rFonts w:eastAsia="Calibri"/>
                <w:sz w:val="22"/>
                <w:szCs w:val="22"/>
              </w:rPr>
              <w:t>Realizace vzdělávání organizovaného Řídícím orgánem pro zprostředkující subjekty.</w:t>
            </w:r>
          </w:p>
        </w:tc>
        <w:tc>
          <w:tcPr>
            <w:tcW w:w="2310" w:type="dxa"/>
            <w:vAlign w:val="center"/>
          </w:tcPr>
          <w:p w:rsidR="00846EC6" w:rsidRPr="008967E2" w:rsidRDefault="00846EC6" w:rsidP="00846EC6">
            <w:pPr>
              <w:spacing w:before="60" w:after="60" w:line="240" w:lineRule="exact"/>
              <w:rPr>
                <w:rFonts w:eastAsia="Calibri"/>
                <w:sz w:val="22"/>
                <w:szCs w:val="22"/>
              </w:rPr>
            </w:pPr>
            <w:r w:rsidRPr="008967E2">
              <w:rPr>
                <w:rFonts w:eastAsia="Calibri"/>
                <w:sz w:val="22"/>
                <w:szCs w:val="22"/>
              </w:rPr>
              <w:t xml:space="preserve">Realizace vzdělávacích akcí, které vyplývají z aktuálních problémů v implementaci IOP </w:t>
            </w:r>
            <w:r w:rsidRPr="008967E2">
              <w:rPr>
                <w:rFonts w:eastAsia="Calibri"/>
                <w:sz w:val="22"/>
                <w:szCs w:val="22"/>
              </w:rPr>
              <w:br/>
              <w:t>a tematické oblasti nepokrývá nabídka externích školení na trhu.</w:t>
            </w:r>
          </w:p>
        </w:tc>
        <w:tc>
          <w:tcPr>
            <w:tcW w:w="4981" w:type="dxa"/>
            <w:vAlign w:val="center"/>
          </w:tcPr>
          <w:p w:rsidR="00846EC6" w:rsidRPr="008967E2" w:rsidRDefault="00846EC6" w:rsidP="00846EC6">
            <w:pPr>
              <w:pStyle w:val="Prosttext"/>
              <w:jc w:val="both"/>
              <w:rPr>
                <w:rFonts w:ascii="Times New Roman" w:hAnsi="Times New Roman"/>
                <w:sz w:val="22"/>
                <w:szCs w:val="22"/>
                <w:highlight w:val="yellow"/>
              </w:rPr>
            </w:pPr>
            <w:r w:rsidRPr="000C6761">
              <w:rPr>
                <w:rFonts w:ascii="Times New Roman" w:hAnsi="Times New Roman"/>
                <w:sz w:val="22"/>
                <w:szCs w:val="22"/>
              </w:rPr>
              <w:t xml:space="preserve">Od 17. 4. 2015 do 30. 9. 2015 uspořádal ŘO </w:t>
            </w:r>
            <w:r w:rsidRPr="000C6761">
              <w:rPr>
                <w:rFonts w:ascii="Times New Roman" w:hAnsi="Times New Roman"/>
                <w:sz w:val="22"/>
                <w:szCs w:val="22"/>
              </w:rPr>
              <w:br/>
              <w:t xml:space="preserve">1 vzdělávací akci, proškoleno bylo 5 osob. Tematicky byla vzdělávací akce zaměřena na Finanční a řídící kontrolu. </w:t>
            </w:r>
          </w:p>
        </w:tc>
      </w:tr>
      <w:tr w:rsidR="00846EC6" w:rsidRPr="00C0782C" w:rsidTr="00846EC6">
        <w:trPr>
          <w:trHeight w:val="459"/>
          <w:jc w:val="center"/>
        </w:trPr>
        <w:tc>
          <w:tcPr>
            <w:tcW w:w="2131" w:type="dxa"/>
            <w:vAlign w:val="center"/>
          </w:tcPr>
          <w:p w:rsidR="00846EC6" w:rsidRPr="008967E2" w:rsidRDefault="00846EC6" w:rsidP="00846EC6">
            <w:pPr>
              <w:spacing w:before="60" w:after="60" w:line="240" w:lineRule="exact"/>
              <w:rPr>
                <w:rFonts w:eastAsia="Calibri"/>
                <w:sz w:val="22"/>
                <w:szCs w:val="22"/>
              </w:rPr>
            </w:pPr>
            <w:r w:rsidRPr="008967E2">
              <w:rPr>
                <w:rFonts w:eastAsia="Calibri"/>
                <w:sz w:val="22"/>
                <w:szCs w:val="22"/>
              </w:rPr>
              <w:t>Realizace vzdělávání ŘO</w:t>
            </w:r>
          </w:p>
          <w:p w:rsidR="00846EC6" w:rsidRPr="008967E2" w:rsidRDefault="00846EC6" w:rsidP="00846EC6">
            <w:pPr>
              <w:spacing w:before="60" w:after="60" w:line="240" w:lineRule="exact"/>
              <w:rPr>
                <w:rFonts w:eastAsia="Calibri"/>
                <w:sz w:val="22"/>
                <w:szCs w:val="22"/>
              </w:rPr>
            </w:pPr>
          </w:p>
        </w:tc>
        <w:tc>
          <w:tcPr>
            <w:tcW w:w="2310" w:type="dxa"/>
            <w:vAlign w:val="center"/>
          </w:tcPr>
          <w:p w:rsidR="00846EC6" w:rsidRPr="008967E2" w:rsidRDefault="00846EC6" w:rsidP="00846EC6">
            <w:pPr>
              <w:spacing w:before="60" w:after="60" w:line="240" w:lineRule="exact"/>
              <w:rPr>
                <w:rFonts w:eastAsia="Calibri"/>
                <w:sz w:val="22"/>
                <w:szCs w:val="22"/>
              </w:rPr>
            </w:pPr>
            <w:r w:rsidRPr="008967E2">
              <w:rPr>
                <w:rFonts w:eastAsia="Calibri"/>
                <w:sz w:val="22"/>
                <w:szCs w:val="22"/>
              </w:rPr>
              <w:t>Realizace vzdělávacích akcí, které vyplývají z individuálních vzdělávacích plánů pracovníků ŘO, resp. ročního plánu IOP.</w:t>
            </w:r>
          </w:p>
        </w:tc>
        <w:tc>
          <w:tcPr>
            <w:tcW w:w="4981" w:type="dxa"/>
            <w:vAlign w:val="center"/>
          </w:tcPr>
          <w:p w:rsidR="00846EC6" w:rsidRPr="008967E2" w:rsidRDefault="00846EC6" w:rsidP="000C6761">
            <w:pPr>
              <w:spacing w:after="160" w:line="240" w:lineRule="exact"/>
              <w:jc w:val="both"/>
              <w:rPr>
                <w:rFonts w:eastAsia="Calibri"/>
                <w:sz w:val="22"/>
                <w:szCs w:val="22"/>
              </w:rPr>
            </w:pPr>
            <w:r w:rsidRPr="008967E2">
              <w:rPr>
                <w:rFonts w:eastAsia="Calibri"/>
                <w:sz w:val="22"/>
                <w:szCs w:val="22"/>
              </w:rPr>
              <w:t xml:space="preserve">Od 17. 4. 2015 do 30. 9. 2015 bylo proškoleno </w:t>
            </w:r>
            <w:r w:rsidRPr="008967E2">
              <w:rPr>
                <w:rFonts w:eastAsia="Calibri"/>
                <w:sz w:val="22"/>
                <w:szCs w:val="22"/>
              </w:rPr>
              <w:br/>
              <w:t>v 51 vzdělávacích akcích 227 pracovníků ŘO IOP. Tematicky byly vzdělávací akce zaměřené na finanční</w:t>
            </w:r>
            <w:r w:rsidR="000C6761">
              <w:rPr>
                <w:rFonts w:eastAsia="Calibri"/>
                <w:sz w:val="22"/>
                <w:szCs w:val="22"/>
              </w:rPr>
              <w:t xml:space="preserve"> </w:t>
            </w:r>
            <w:r w:rsidRPr="008967E2">
              <w:rPr>
                <w:rFonts w:eastAsia="Calibri"/>
                <w:sz w:val="22"/>
                <w:szCs w:val="22"/>
              </w:rPr>
              <w:t>a řídící kontrolu, finanční řízení, informační systémy, monitoring a evaluace, počítačové dovednosti, povinné školení ŘO IOP, veřejná podpora, veřejné zakázky, příprava a řízení projektů, vstupní vzdělávání MMR úvodní a následné.</w:t>
            </w:r>
          </w:p>
        </w:tc>
      </w:tr>
    </w:tbl>
    <w:p w:rsidR="00846EC6" w:rsidRPr="00DB0DC8" w:rsidRDefault="00846EC6" w:rsidP="00846EC6">
      <w:pPr>
        <w:rPr>
          <w:i/>
          <w:sz w:val="18"/>
          <w:szCs w:val="18"/>
        </w:rPr>
      </w:pPr>
      <w:r w:rsidRPr="00DB0DC8">
        <w:rPr>
          <w:i/>
          <w:sz w:val="18"/>
          <w:szCs w:val="18"/>
        </w:rPr>
        <w:t>Zdroj: ŘO k 30. 9. 2015</w:t>
      </w:r>
    </w:p>
    <w:p w:rsidR="00846EC6" w:rsidRPr="00846EC6" w:rsidRDefault="00846EC6" w:rsidP="00846EC6"/>
    <w:p w:rsidR="00D644B0" w:rsidRDefault="00D644B0" w:rsidP="00586C9F">
      <w:pPr>
        <w:pStyle w:val="Nadpis3"/>
        <w:rPr>
          <w:rFonts w:ascii="Times New Roman" w:hAnsi="Times New Roman"/>
          <w:sz w:val="24"/>
          <w:szCs w:val="24"/>
        </w:rPr>
      </w:pPr>
      <w:bookmarkStart w:id="159" w:name="_Toc433873529"/>
      <w:r w:rsidRPr="00C466D8">
        <w:rPr>
          <w:rFonts w:ascii="Times New Roman" w:hAnsi="Times New Roman"/>
          <w:sz w:val="24"/>
          <w:szCs w:val="24"/>
        </w:rPr>
        <w:t>4.4.2 Aktivity monitorovacího výboru</w:t>
      </w:r>
      <w:bookmarkEnd w:id="159"/>
    </w:p>
    <w:p w:rsidR="000D6FF9" w:rsidRPr="00245C36" w:rsidRDefault="008036B6" w:rsidP="00245C36">
      <w:pPr>
        <w:jc w:val="both"/>
        <w:rPr>
          <w:bCs/>
          <w:sz w:val="22"/>
          <w:szCs w:val="22"/>
        </w:rPr>
      </w:pPr>
      <w:r w:rsidRPr="008036B6">
        <w:rPr>
          <w:bCs/>
          <w:sz w:val="22"/>
          <w:szCs w:val="22"/>
        </w:rPr>
        <w:t xml:space="preserve">Předchozí 15. zasedání Monitorovacího výboru IOP se konalo dne 16. června 2015. Z jednání vyplynula řada závěrů a úkolů pro ŘO a jednotlivé ZS, které jsou přílohou </w:t>
      </w:r>
      <w:r>
        <w:rPr>
          <w:bCs/>
          <w:sz w:val="22"/>
          <w:szCs w:val="22"/>
        </w:rPr>
        <w:t xml:space="preserve">č. </w:t>
      </w:r>
      <w:r w:rsidR="00457137">
        <w:rPr>
          <w:bCs/>
          <w:sz w:val="22"/>
          <w:szCs w:val="22"/>
        </w:rPr>
        <w:t>3</w:t>
      </w:r>
    </w:p>
    <w:p w:rsidR="00D644B0" w:rsidRPr="009C349A" w:rsidRDefault="00D644B0">
      <w:pPr>
        <w:pStyle w:val="Nadpis3"/>
        <w:rPr>
          <w:rFonts w:ascii="Times New Roman" w:hAnsi="Times New Roman"/>
          <w:sz w:val="24"/>
          <w:szCs w:val="24"/>
        </w:rPr>
      </w:pPr>
      <w:bookmarkStart w:id="160" w:name="_Toc433873530"/>
      <w:r w:rsidRPr="00C466D8">
        <w:rPr>
          <w:rFonts w:ascii="Times New Roman" w:hAnsi="Times New Roman"/>
          <w:sz w:val="24"/>
          <w:szCs w:val="24"/>
        </w:rPr>
        <w:t>4.4.3 Aktivity pracovních skupin</w:t>
      </w:r>
      <w:bookmarkEnd w:id="160"/>
      <w:r w:rsidRPr="009C349A">
        <w:rPr>
          <w:rFonts w:ascii="Times New Roman" w:hAnsi="Times New Roman"/>
          <w:sz w:val="24"/>
          <w:szCs w:val="24"/>
        </w:rPr>
        <w:t xml:space="preserve"> </w:t>
      </w:r>
    </w:p>
    <w:p w:rsidR="005D7E9F" w:rsidRPr="005D7E9F" w:rsidRDefault="005D7E9F" w:rsidP="005D7E9F">
      <w:pPr>
        <w:jc w:val="both"/>
        <w:rPr>
          <w:sz w:val="22"/>
          <w:szCs w:val="22"/>
        </w:rPr>
      </w:pPr>
      <w:r w:rsidRPr="005D7E9F">
        <w:rPr>
          <w:sz w:val="22"/>
          <w:szCs w:val="22"/>
        </w:rPr>
        <w:t>Pracovní skupiny představují nástroj komunikace k</w:t>
      </w:r>
      <w:r w:rsidR="00EB7E2B">
        <w:rPr>
          <w:sz w:val="22"/>
          <w:szCs w:val="22"/>
        </w:rPr>
        <w:t> </w:t>
      </w:r>
      <w:r w:rsidRPr="005D7E9F">
        <w:rPr>
          <w:sz w:val="22"/>
          <w:szCs w:val="22"/>
        </w:rPr>
        <w:t>aktuálním tématům či problémům. Z</w:t>
      </w:r>
      <w:r w:rsidR="00EB7E2B">
        <w:rPr>
          <w:sz w:val="22"/>
          <w:szCs w:val="22"/>
        </w:rPr>
        <w:t> </w:t>
      </w:r>
      <w:r w:rsidRPr="005D7E9F">
        <w:rPr>
          <w:sz w:val="22"/>
          <w:szCs w:val="22"/>
        </w:rPr>
        <w:t>jednání PS se pořizuje zápis a ŘO provádí hodnocení činnosti PS. V</w:t>
      </w:r>
      <w:r w:rsidR="00EB7E2B">
        <w:rPr>
          <w:sz w:val="22"/>
          <w:szCs w:val="22"/>
        </w:rPr>
        <w:t> </w:t>
      </w:r>
      <w:r w:rsidRPr="005D7E9F">
        <w:rPr>
          <w:sz w:val="22"/>
          <w:szCs w:val="22"/>
        </w:rPr>
        <w:t>součinnosti s</w:t>
      </w:r>
      <w:r w:rsidR="00EB7E2B">
        <w:rPr>
          <w:sz w:val="22"/>
          <w:szCs w:val="22"/>
        </w:rPr>
        <w:t> </w:t>
      </w:r>
      <w:r w:rsidRPr="005D7E9F">
        <w:rPr>
          <w:sz w:val="22"/>
          <w:szCs w:val="22"/>
        </w:rPr>
        <w:t>členy PS se hodnotí četnost setkání v</w:t>
      </w:r>
      <w:r w:rsidR="00EB7E2B">
        <w:rPr>
          <w:sz w:val="22"/>
          <w:szCs w:val="22"/>
        </w:rPr>
        <w:t> </w:t>
      </w:r>
      <w:r w:rsidRPr="005D7E9F">
        <w:rPr>
          <w:sz w:val="22"/>
          <w:szCs w:val="22"/>
        </w:rPr>
        <w:t>roce, účast, plnění úkolů zadaných na pracovní skupině, zapojení a aktivita členů, spokojenost členů s</w:t>
      </w:r>
      <w:r w:rsidR="00EB7E2B">
        <w:rPr>
          <w:sz w:val="22"/>
          <w:szCs w:val="22"/>
        </w:rPr>
        <w:t> </w:t>
      </w:r>
      <w:r w:rsidRPr="005D7E9F">
        <w:rPr>
          <w:sz w:val="22"/>
          <w:szCs w:val="22"/>
        </w:rPr>
        <w:t xml:space="preserve">organizací PS a přínos pracovní skupiny.  </w:t>
      </w:r>
    </w:p>
    <w:p w:rsidR="005D7E9F" w:rsidRPr="005D7E9F" w:rsidRDefault="005D7E9F" w:rsidP="005D7E9F">
      <w:pPr>
        <w:jc w:val="both"/>
        <w:rPr>
          <w:sz w:val="22"/>
          <w:szCs w:val="22"/>
        </w:rPr>
      </w:pPr>
    </w:p>
    <w:p w:rsidR="005D7E9F" w:rsidRPr="005D7E9F" w:rsidRDefault="005D7E9F" w:rsidP="005D7E9F">
      <w:pPr>
        <w:jc w:val="both"/>
        <w:rPr>
          <w:sz w:val="22"/>
          <w:szCs w:val="22"/>
        </w:rPr>
      </w:pPr>
      <w:r w:rsidRPr="005D7E9F">
        <w:rPr>
          <w:sz w:val="22"/>
          <w:szCs w:val="22"/>
        </w:rPr>
        <w:t>Pracovní skupiny mohou pružně reagovat na aktuálně řešené problémy v</w:t>
      </w:r>
      <w:r w:rsidR="00EB7E2B">
        <w:rPr>
          <w:sz w:val="22"/>
          <w:szCs w:val="22"/>
        </w:rPr>
        <w:t> </w:t>
      </w:r>
      <w:r w:rsidRPr="005D7E9F">
        <w:rPr>
          <w:sz w:val="22"/>
          <w:szCs w:val="22"/>
        </w:rPr>
        <w:t xml:space="preserve">implementaci IOP. </w:t>
      </w:r>
      <w:r w:rsidR="007371BB">
        <w:rPr>
          <w:sz w:val="22"/>
          <w:szCs w:val="22"/>
        </w:rPr>
        <w:br/>
      </w:r>
      <w:r w:rsidRPr="005D7E9F">
        <w:rPr>
          <w:sz w:val="22"/>
          <w:szCs w:val="22"/>
        </w:rPr>
        <w:t>Ve značné míře jsou využívány také jako nástroj vzdělávání.</w:t>
      </w:r>
    </w:p>
    <w:p w:rsidR="005D7E9F" w:rsidRDefault="005D7E9F" w:rsidP="005D7E9F">
      <w:pPr>
        <w:jc w:val="both"/>
        <w:rPr>
          <w:sz w:val="22"/>
          <w:szCs w:val="22"/>
        </w:rPr>
      </w:pPr>
    </w:p>
    <w:p w:rsidR="0085585E" w:rsidRDefault="0085585E" w:rsidP="005D7E9F">
      <w:pPr>
        <w:jc w:val="both"/>
        <w:rPr>
          <w:b/>
          <w:sz w:val="22"/>
          <w:szCs w:val="22"/>
          <w:u w:val="single"/>
        </w:rPr>
      </w:pPr>
    </w:p>
    <w:p w:rsidR="0085585E" w:rsidRDefault="0085585E" w:rsidP="005D7E9F">
      <w:pPr>
        <w:jc w:val="both"/>
        <w:rPr>
          <w:b/>
          <w:sz w:val="22"/>
          <w:szCs w:val="22"/>
          <w:u w:val="single"/>
        </w:rPr>
      </w:pPr>
    </w:p>
    <w:p w:rsidR="0085585E" w:rsidRDefault="0085585E" w:rsidP="005D7E9F">
      <w:pPr>
        <w:jc w:val="both"/>
        <w:rPr>
          <w:b/>
          <w:sz w:val="22"/>
          <w:szCs w:val="22"/>
          <w:u w:val="single"/>
        </w:rPr>
      </w:pPr>
    </w:p>
    <w:p w:rsidR="0085585E" w:rsidRDefault="0085585E" w:rsidP="005D7E9F">
      <w:pPr>
        <w:jc w:val="both"/>
        <w:rPr>
          <w:b/>
          <w:sz w:val="22"/>
          <w:szCs w:val="22"/>
          <w:u w:val="single"/>
        </w:rPr>
      </w:pPr>
    </w:p>
    <w:p w:rsidR="0085585E" w:rsidRDefault="0085585E" w:rsidP="005D7E9F">
      <w:pPr>
        <w:jc w:val="both"/>
        <w:rPr>
          <w:b/>
          <w:sz w:val="22"/>
          <w:szCs w:val="22"/>
          <w:u w:val="single"/>
        </w:rPr>
      </w:pPr>
    </w:p>
    <w:p w:rsidR="0085585E" w:rsidRDefault="0085585E" w:rsidP="005D7E9F">
      <w:pPr>
        <w:jc w:val="both"/>
        <w:rPr>
          <w:b/>
          <w:sz w:val="22"/>
          <w:szCs w:val="22"/>
          <w:u w:val="single"/>
        </w:rPr>
      </w:pPr>
    </w:p>
    <w:p w:rsidR="005D7E9F" w:rsidRPr="005D7E9F" w:rsidRDefault="005D7E9F" w:rsidP="005D7E9F">
      <w:pPr>
        <w:jc w:val="both"/>
        <w:rPr>
          <w:b/>
          <w:sz w:val="22"/>
          <w:szCs w:val="22"/>
          <w:u w:val="single"/>
        </w:rPr>
      </w:pPr>
      <w:r w:rsidRPr="005D7E9F">
        <w:rPr>
          <w:b/>
          <w:sz w:val="22"/>
          <w:szCs w:val="22"/>
          <w:u w:val="single"/>
        </w:rPr>
        <w:lastRenderedPageBreak/>
        <w:t>Hlavní závěry z</w:t>
      </w:r>
      <w:r w:rsidR="00EB7E2B">
        <w:rPr>
          <w:b/>
          <w:sz w:val="22"/>
          <w:szCs w:val="22"/>
          <w:u w:val="single"/>
        </w:rPr>
        <w:t> </w:t>
      </w:r>
      <w:r w:rsidRPr="005D7E9F">
        <w:rPr>
          <w:b/>
          <w:sz w:val="22"/>
          <w:szCs w:val="22"/>
          <w:u w:val="single"/>
        </w:rPr>
        <w:t>jednání pracovních skupin</w:t>
      </w:r>
    </w:p>
    <w:p w:rsidR="005D7E9F" w:rsidRPr="005D7E9F" w:rsidRDefault="005D7E9F" w:rsidP="005D7E9F">
      <w:pPr>
        <w:jc w:val="both"/>
        <w:rPr>
          <w:sz w:val="22"/>
          <w:szCs w:val="22"/>
        </w:rPr>
      </w:pPr>
    </w:p>
    <w:p w:rsidR="005D7E9F" w:rsidRDefault="005D7E9F" w:rsidP="005D7E9F">
      <w:pPr>
        <w:jc w:val="both"/>
        <w:rPr>
          <w:b/>
          <w:sz w:val="22"/>
          <w:szCs w:val="22"/>
        </w:rPr>
      </w:pPr>
      <w:r w:rsidRPr="005D7E9F">
        <w:rPr>
          <w:b/>
          <w:sz w:val="22"/>
          <w:szCs w:val="22"/>
        </w:rPr>
        <w:t>PS pro komunikaci</w:t>
      </w:r>
    </w:p>
    <w:p w:rsidR="00B4215E" w:rsidRPr="00310B20" w:rsidRDefault="00B4215E" w:rsidP="00B4215E">
      <w:pPr>
        <w:jc w:val="both"/>
        <w:rPr>
          <w:sz w:val="22"/>
          <w:szCs w:val="22"/>
        </w:rPr>
      </w:pPr>
      <w:r>
        <w:rPr>
          <w:sz w:val="22"/>
          <w:szCs w:val="22"/>
        </w:rPr>
        <w:t xml:space="preserve">Pracovní skupina pro komunikaci se ve sledovaném období sešla dne 26. června 2015. </w:t>
      </w:r>
      <w:r w:rsidRPr="00310B20">
        <w:rPr>
          <w:sz w:val="22"/>
          <w:szCs w:val="22"/>
        </w:rPr>
        <w:t>Zúčastnili se zástupci CRR, zprostředkujícího subjektu a řídícího orgánu IOP. Na pracovní skupině se přítomní informovali o svých aktivitách v oblasti publicity. ŘO IOP informoval o záměru zachovat web www.kvalitazivota.eu i v dalším období a vyzval k doplňování aktuálních projektů. ŘO představil publikaci Katalog projektů IOP a chystanou Putovní výstavu projektů IOP.</w:t>
      </w:r>
    </w:p>
    <w:p w:rsidR="00323F9E" w:rsidRDefault="00323F9E" w:rsidP="005D7E9F">
      <w:pPr>
        <w:jc w:val="both"/>
        <w:rPr>
          <w:b/>
          <w:sz w:val="22"/>
          <w:szCs w:val="22"/>
        </w:rPr>
      </w:pPr>
    </w:p>
    <w:p w:rsidR="00F572F4" w:rsidRDefault="009F0A67" w:rsidP="005D7E9F">
      <w:pPr>
        <w:jc w:val="both"/>
        <w:rPr>
          <w:b/>
          <w:sz w:val="22"/>
          <w:szCs w:val="22"/>
        </w:rPr>
      </w:pPr>
      <w:r>
        <w:rPr>
          <w:b/>
          <w:sz w:val="22"/>
          <w:szCs w:val="22"/>
        </w:rPr>
        <w:t>PS PILOT</w:t>
      </w:r>
      <w:r w:rsidR="00F572F4">
        <w:rPr>
          <w:b/>
          <w:sz w:val="22"/>
          <w:szCs w:val="22"/>
        </w:rPr>
        <w:t xml:space="preserve"> </w:t>
      </w:r>
    </w:p>
    <w:p w:rsidR="009F0A67" w:rsidRDefault="00124277" w:rsidP="00F572F4">
      <w:pPr>
        <w:jc w:val="both"/>
        <w:rPr>
          <w:b/>
          <w:sz w:val="22"/>
          <w:szCs w:val="22"/>
        </w:rPr>
      </w:pPr>
      <w:r w:rsidRPr="00B13499">
        <w:rPr>
          <w:sz w:val="22"/>
          <w:szCs w:val="22"/>
        </w:rPr>
        <w:t>PS Pilot se schází ad hoc</w:t>
      </w:r>
      <w:r w:rsidR="000C6761">
        <w:rPr>
          <w:sz w:val="22"/>
          <w:szCs w:val="22"/>
        </w:rPr>
        <w:t>,</w:t>
      </w:r>
      <w:r w:rsidRPr="00B13499">
        <w:rPr>
          <w:sz w:val="22"/>
          <w:szCs w:val="22"/>
        </w:rPr>
        <w:t xml:space="preserve"> </w:t>
      </w:r>
      <w:r w:rsidR="000C6761">
        <w:rPr>
          <w:sz w:val="22"/>
          <w:szCs w:val="22"/>
        </w:rPr>
        <w:t>v</w:t>
      </w:r>
      <w:r w:rsidRPr="00B13499">
        <w:rPr>
          <w:sz w:val="22"/>
          <w:szCs w:val="22"/>
        </w:rPr>
        <w:t xml:space="preserve">ětšina </w:t>
      </w:r>
      <w:r w:rsidR="000C6761">
        <w:rPr>
          <w:sz w:val="22"/>
          <w:szCs w:val="22"/>
        </w:rPr>
        <w:t>projektů</w:t>
      </w:r>
      <w:r w:rsidRPr="00B13499">
        <w:rPr>
          <w:sz w:val="22"/>
          <w:szCs w:val="22"/>
        </w:rPr>
        <w:t xml:space="preserve"> je zrealizována</w:t>
      </w:r>
      <w:r w:rsidR="00F572F4" w:rsidRPr="00B13499">
        <w:rPr>
          <w:sz w:val="22"/>
          <w:szCs w:val="22"/>
        </w:rPr>
        <w:t>.</w:t>
      </w:r>
      <w:r w:rsidR="00F572F4">
        <w:rPr>
          <w:sz w:val="22"/>
          <w:szCs w:val="22"/>
        </w:rPr>
        <w:t xml:space="preserve"> </w:t>
      </w:r>
    </w:p>
    <w:p w:rsidR="009E4C38" w:rsidRDefault="009E4C38" w:rsidP="005D7E9F">
      <w:pPr>
        <w:jc w:val="both"/>
        <w:rPr>
          <w:b/>
          <w:sz w:val="22"/>
          <w:szCs w:val="22"/>
        </w:rPr>
      </w:pPr>
    </w:p>
    <w:p w:rsidR="00A97BC8" w:rsidRDefault="00A97BC8" w:rsidP="00A97BC8">
      <w:pPr>
        <w:jc w:val="both"/>
        <w:rPr>
          <w:b/>
          <w:sz w:val="22"/>
          <w:szCs w:val="22"/>
        </w:rPr>
      </w:pPr>
      <w:r w:rsidRPr="009026D3">
        <w:rPr>
          <w:b/>
          <w:sz w:val="22"/>
          <w:szCs w:val="22"/>
        </w:rPr>
        <w:t>PS Technická pomoc</w:t>
      </w:r>
    </w:p>
    <w:p w:rsidR="005D5D01" w:rsidRPr="005D5D01" w:rsidRDefault="005D5D01" w:rsidP="00A97BC8">
      <w:pPr>
        <w:jc w:val="both"/>
        <w:rPr>
          <w:sz w:val="22"/>
          <w:szCs w:val="22"/>
        </w:rPr>
      </w:pPr>
      <w:r w:rsidRPr="00A619D2">
        <w:rPr>
          <w:sz w:val="22"/>
          <w:szCs w:val="22"/>
        </w:rPr>
        <w:t>PS Technické pomoci se ve sledovaném období nesešla. V roce 201</w:t>
      </w:r>
      <w:r w:rsidR="001E3795">
        <w:rPr>
          <w:sz w:val="22"/>
          <w:szCs w:val="22"/>
        </w:rPr>
        <w:t>5</w:t>
      </w:r>
      <w:r w:rsidRPr="00A619D2">
        <w:rPr>
          <w:sz w:val="22"/>
          <w:szCs w:val="22"/>
        </w:rPr>
        <w:t xml:space="preserve"> proběhly aktualizace příručky pro žadatele, o které byli žadatelé informováni, a aktuální verze příručky byla vyvěšena na webu SF. Jelikož v oblasti Technické pomoci nebyly závažné problémy, případně otázky k řešení, které by se dotýkal</w:t>
      </w:r>
      <w:r w:rsidR="000C6761">
        <w:rPr>
          <w:sz w:val="22"/>
          <w:szCs w:val="22"/>
        </w:rPr>
        <w:t>y</w:t>
      </w:r>
      <w:r w:rsidRPr="00A619D2">
        <w:rPr>
          <w:sz w:val="22"/>
          <w:szCs w:val="22"/>
        </w:rPr>
        <w:t xml:space="preserve"> všech příjemců TP IOP, nebyl důvod svolávat setkání PS.</w:t>
      </w:r>
    </w:p>
    <w:p w:rsidR="00A97BC8" w:rsidRPr="009026D3" w:rsidRDefault="00A97BC8" w:rsidP="00A97BC8">
      <w:pPr>
        <w:rPr>
          <w:rStyle w:val="Siln"/>
          <w:b w:val="0"/>
          <w:bCs w:val="0"/>
          <w:sz w:val="22"/>
          <w:szCs w:val="22"/>
        </w:rPr>
      </w:pPr>
    </w:p>
    <w:p w:rsidR="00A97BC8" w:rsidRDefault="00A97BC8" w:rsidP="00A97BC8">
      <w:pPr>
        <w:jc w:val="both"/>
        <w:rPr>
          <w:b/>
          <w:sz w:val="22"/>
          <w:szCs w:val="22"/>
        </w:rPr>
      </w:pPr>
      <w:r w:rsidRPr="005D7E9F">
        <w:rPr>
          <w:b/>
          <w:sz w:val="22"/>
          <w:szCs w:val="22"/>
        </w:rPr>
        <w:t>PS Finanční řízení</w:t>
      </w:r>
    </w:p>
    <w:p w:rsidR="0024224E" w:rsidRDefault="00F1524A" w:rsidP="00A97BC8">
      <w:pPr>
        <w:jc w:val="both"/>
        <w:rPr>
          <w:sz w:val="22"/>
          <w:szCs w:val="22"/>
        </w:rPr>
      </w:pPr>
      <w:r w:rsidRPr="00F1524A">
        <w:rPr>
          <w:sz w:val="22"/>
          <w:szCs w:val="22"/>
        </w:rPr>
        <w:t xml:space="preserve">Jednání PS se ve sledovaném období neuskutečnilo, otázky čerpání a </w:t>
      </w:r>
      <w:r w:rsidR="00C36246" w:rsidRPr="00F1524A">
        <w:rPr>
          <w:sz w:val="22"/>
          <w:szCs w:val="22"/>
        </w:rPr>
        <w:t>administrace</w:t>
      </w:r>
      <w:r w:rsidRPr="00F1524A">
        <w:rPr>
          <w:sz w:val="22"/>
          <w:szCs w:val="22"/>
        </w:rPr>
        <w:t xml:space="preserve"> </w:t>
      </w:r>
      <w:proofErr w:type="spellStart"/>
      <w:r w:rsidRPr="00F1524A">
        <w:rPr>
          <w:sz w:val="22"/>
          <w:szCs w:val="22"/>
        </w:rPr>
        <w:t>ŽoP</w:t>
      </w:r>
      <w:proofErr w:type="spellEnd"/>
      <w:r w:rsidRPr="00F1524A">
        <w:rPr>
          <w:sz w:val="22"/>
          <w:szCs w:val="22"/>
        </w:rPr>
        <w:t xml:space="preserve"> byly řešeny se ZS individuálním</w:t>
      </w:r>
      <w:r w:rsidR="000C6761">
        <w:rPr>
          <w:sz w:val="22"/>
          <w:szCs w:val="22"/>
        </w:rPr>
        <w:t>i</w:t>
      </w:r>
      <w:r w:rsidRPr="00F1524A">
        <w:rPr>
          <w:sz w:val="22"/>
          <w:szCs w:val="22"/>
        </w:rPr>
        <w:t xml:space="preserve"> konzultac</w:t>
      </w:r>
      <w:r w:rsidR="000C6761">
        <w:rPr>
          <w:sz w:val="22"/>
          <w:szCs w:val="22"/>
        </w:rPr>
        <w:t>emi</w:t>
      </w:r>
      <w:r w:rsidRPr="00F1524A">
        <w:rPr>
          <w:sz w:val="22"/>
          <w:szCs w:val="22"/>
        </w:rPr>
        <w:t>.</w:t>
      </w:r>
    </w:p>
    <w:p w:rsidR="00F1524A" w:rsidRDefault="00F1524A" w:rsidP="00A97BC8">
      <w:pPr>
        <w:jc w:val="both"/>
        <w:rPr>
          <w:b/>
          <w:sz w:val="22"/>
          <w:szCs w:val="22"/>
        </w:rPr>
      </w:pPr>
    </w:p>
    <w:p w:rsidR="00A97BC8" w:rsidRDefault="00A97BC8" w:rsidP="00A97BC8">
      <w:pPr>
        <w:jc w:val="both"/>
        <w:rPr>
          <w:b/>
          <w:sz w:val="22"/>
          <w:szCs w:val="22"/>
        </w:rPr>
      </w:pPr>
      <w:r>
        <w:rPr>
          <w:b/>
          <w:sz w:val="22"/>
          <w:szCs w:val="22"/>
        </w:rPr>
        <w:t>PS pro evaluaci</w:t>
      </w:r>
    </w:p>
    <w:p w:rsidR="00A97BC8" w:rsidRPr="00EE3159" w:rsidRDefault="00523271" w:rsidP="00A97BC8">
      <w:pPr>
        <w:jc w:val="both"/>
        <w:rPr>
          <w:sz w:val="22"/>
          <w:szCs w:val="22"/>
        </w:rPr>
      </w:pPr>
      <w:r w:rsidRPr="00EE3159">
        <w:rPr>
          <w:sz w:val="22"/>
          <w:szCs w:val="22"/>
        </w:rPr>
        <w:t>PS se pravidelně neschází, problematika je řešena operativně prostřednictvím emailové komunikace</w:t>
      </w:r>
      <w:r w:rsidR="00EE3159">
        <w:rPr>
          <w:sz w:val="22"/>
          <w:szCs w:val="22"/>
        </w:rPr>
        <w:t>.</w:t>
      </w:r>
    </w:p>
    <w:p w:rsidR="005D5D01" w:rsidRDefault="005D5D01" w:rsidP="00A97BC8">
      <w:pPr>
        <w:jc w:val="both"/>
        <w:rPr>
          <w:b/>
          <w:sz w:val="22"/>
          <w:szCs w:val="22"/>
        </w:rPr>
      </w:pPr>
    </w:p>
    <w:p w:rsidR="00A97BC8" w:rsidRDefault="00A97BC8" w:rsidP="00A97BC8">
      <w:pPr>
        <w:jc w:val="both"/>
        <w:rPr>
          <w:b/>
          <w:sz w:val="22"/>
          <w:szCs w:val="22"/>
        </w:rPr>
      </w:pPr>
      <w:r>
        <w:rPr>
          <w:b/>
          <w:sz w:val="22"/>
          <w:szCs w:val="22"/>
        </w:rPr>
        <w:t>PS IS a monitorování</w:t>
      </w:r>
    </w:p>
    <w:p w:rsidR="00A97BC8" w:rsidRPr="00034643" w:rsidRDefault="00034643" w:rsidP="005D7E9F">
      <w:pPr>
        <w:jc w:val="both"/>
        <w:rPr>
          <w:sz w:val="22"/>
          <w:szCs w:val="22"/>
        </w:rPr>
      </w:pPr>
      <w:r w:rsidRPr="00034643">
        <w:rPr>
          <w:sz w:val="22"/>
          <w:szCs w:val="22"/>
        </w:rPr>
        <w:t>PS IS a monitorování se vzhledem k pokročilé realizaci programu neměla potřebu sejít. ŘO se ve sledovaném období věnoval ve spolupráci se ZS CRR nastavení a přípravě postupů v MS2014+ pro IROP</w:t>
      </w:r>
      <w:r w:rsidR="000C6761">
        <w:rPr>
          <w:sz w:val="22"/>
          <w:szCs w:val="22"/>
        </w:rPr>
        <w:t>.</w:t>
      </w:r>
    </w:p>
    <w:p w:rsidR="00034643" w:rsidRDefault="00034643" w:rsidP="005D7E9F">
      <w:pPr>
        <w:jc w:val="both"/>
        <w:rPr>
          <w:b/>
          <w:sz w:val="22"/>
          <w:szCs w:val="22"/>
        </w:rPr>
      </w:pPr>
    </w:p>
    <w:p w:rsidR="00A73B58" w:rsidRDefault="00A73B58" w:rsidP="00A73B58">
      <w:pPr>
        <w:jc w:val="both"/>
        <w:rPr>
          <w:b/>
          <w:sz w:val="22"/>
          <w:szCs w:val="22"/>
        </w:rPr>
      </w:pPr>
      <w:r w:rsidRPr="009026D3">
        <w:rPr>
          <w:b/>
          <w:sz w:val="22"/>
          <w:szCs w:val="22"/>
        </w:rPr>
        <w:t xml:space="preserve">PS pro </w:t>
      </w:r>
      <w:r w:rsidR="00ED67BB">
        <w:rPr>
          <w:b/>
          <w:sz w:val="22"/>
          <w:szCs w:val="22"/>
        </w:rPr>
        <w:t xml:space="preserve">oblast intervence </w:t>
      </w:r>
      <w:r w:rsidRPr="009026D3">
        <w:rPr>
          <w:b/>
          <w:sz w:val="22"/>
          <w:szCs w:val="22"/>
        </w:rPr>
        <w:t>5.2</w:t>
      </w:r>
    </w:p>
    <w:p w:rsidR="00124277" w:rsidRPr="00124277" w:rsidRDefault="00124277" w:rsidP="00A73B58">
      <w:pPr>
        <w:jc w:val="both"/>
        <w:rPr>
          <w:sz w:val="22"/>
          <w:szCs w:val="22"/>
        </w:rPr>
      </w:pPr>
      <w:r w:rsidRPr="00B13499">
        <w:rPr>
          <w:sz w:val="22"/>
          <w:szCs w:val="22"/>
        </w:rPr>
        <w:t>Ve sledovaném období nebylo nutné tuto PS svolávat.</w:t>
      </w:r>
    </w:p>
    <w:p w:rsidR="00FB2150" w:rsidRDefault="00FB2150" w:rsidP="00FB2150">
      <w:pPr>
        <w:jc w:val="both"/>
        <w:rPr>
          <w:sz w:val="22"/>
          <w:szCs w:val="22"/>
        </w:rPr>
      </w:pPr>
    </w:p>
    <w:p w:rsidR="004B2286" w:rsidRDefault="00492CDF" w:rsidP="00FB2150">
      <w:pPr>
        <w:jc w:val="both"/>
        <w:rPr>
          <w:b/>
          <w:sz w:val="22"/>
          <w:szCs w:val="22"/>
        </w:rPr>
      </w:pPr>
      <w:r w:rsidRPr="00BE195C">
        <w:rPr>
          <w:b/>
          <w:sz w:val="22"/>
          <w:szCs w:val="22"/>
        </w:rPr>
        <w:t>PS pro řízení rizik</w:t>
      </w:r>
    </w:p>
    <w:p w:rsidR="0042412B" w:rsidRPr="00711F35" w:rsidRDefault="0042412B" w:rsidP="00711F35">
      <w:pPr>
        <w:jc w:val="both"/>
        <w:rPr>
          <w:sz w:val="22"/>
          <w:szCs w:val="22"/>
        </w:rPr>
      </w:pPr>
      <w:r w:rsidRPr="00711F35">
        <w:rPr>
          <w:sz w:val="22"/>
          <w:szCs w:val="22"/>
        </w:rPr>
        <w:t xml:space="preserve">Ve sledovaném období se pracovní skupina pro řízení rizik sešla 2. 9. 2015. Hlavním předmětem jednání bylo projednání Katalogu rizik IOP a vyhodnocení realizovaných nápravných opatření </w:t>
      </w:r>
      <w:r w:rsidRPr="00711F35">
        <w:rPr>
          <w:sz w:val="22"/>
          <w:szCs w:val="22"/>
        </w:rPr>
        <w:br/>
        <w:t>a poskytnutí informací k dalšímu postupu v současné etapě IOP.</w:t>
      </w:r>
    </w:p>
    <w:p w:rsidR="009A2901" w:rsidRDefault="009A2901" w:rsidP="00A73B58">
      <w:pPr>
        <w:jc w:val="both"/>
        <w:rPr>
          <w:b/>
          <w:sz w:val="22"/>
          <w:szCs w:val="22"/>
        </w:rPr>
      </w:pPr>
    </w:p>
    <w:p w:rsidR="00A73B58" w:rsidRDefault="00A73B58" w:rsidP="00A73B58">
      <w:pPr>
        <w:jc w:val="both"/>
        <w:rPr>
          <w:b/>
          <w:sz w:val="22"/>
          <w:szCs w:val="22"/>
        </w:rPr>
      </w:pPr>
      <w:r w:rsidRPr="005D7E9F">
        <w:rPr>
          <w:b/>
          <w:sz w:val="22"/>
          <w:szCs w:val="22"/>
        </w:rPr>
        <w:t>PS pro veřejné zakázky</w:t>
      </w:r>
    </w:p>
    <w:p w:rsidR="00D03D46" w:rsidRPr="00D03D46" w:rsidRDefault="00D03D46" w:rsidP="00D03D46">
      <w:pPr>
        <w:jc w:val="both"/>
        <w:rPr>
          <w:sz w:val="22"/>
          <w:szCs w:val="22"/>
        </w:rPr>
      </w:pPr>
      <w:r w:rsidRPr="00D03D46">
        <w:rPr>
          <w:sz w:val="22"/>
          <w:szCs w:val="22"/>
        </w:rPr>
        <w:t>V období 17.</w:t>
      </w:r>
      <w:r>
        <w:rPr>
          <w:sz w:val="22"/>
          <w:szCs w:val="22"/>
        </w:rPr>
        <w:t xml:space="preserve"> </w:t>
      </w:r>
      <w:r w:rsidRPr="00D03D46">
        <w:rPr>
          <w:sz w:val="22"/>
          <w:szCs w:val="22"/>
        </w:rPr>
        <w:t>4.</w:t>
      </w:r>
      <w:r>
        <w:rPr>
          <w:sz w:val="22"/>
          <w:szCs w:val="22"/>
        </w:rPr>
        <w:t xml:space="preserve"> </w:t>
      </w:r>
      <w:r w:rsidRPr="00D03D46">
        <w:rPr>
          <w:sz w:val="22"/>
          <w:szCs w:val="22"/>
        </w:rPr>
        <w:t>2015</w:t>
      </w:r>
      <w:r>
        <w:rPr>
          <w:sz w:val="22"/>
          <w:szCs w:val="22"/>
        </w:rPr>
        <w:t xml:space="preserve"> </w:t>
      </w:r>
      <w:r w:rsidRPr="00D03D46">
        <w:rPr>
          <w:sz w:val="22"/>
          <w:szCs w:val="22"/>
        </w:rPr>
        <w:t>-</w:t>
      </w:r>
      <w:r>
        <w:rPr>
          <w:sz w:val="22"/>
          <w:szCs w:val="22"/>
        </w:rPr>
        <w:t xml:space="preserve"> </w:t>
      </w:r>
      <w:r w:rsidRPr="00D03D46">
        <w:rPr>
          <w:sz w:val="22"/>
          <w:szCs w:val="22"/>
        </w:rPr>
        <w:t xml:space="preserve">30. 9. 2015 se PS pro veřejné zakázky </w:t>
      </w:r>
      <w:r w:rsidR="00F00D8B" w:rsidRPr="00D03D46">
        <w:rPr>
          <w:sz w:val="22"/>
          <w:szCs w:val="22"/>
        </w:rPr>
        <w:t>nescházela</w:t>
      </w:r>
      <w:r w:rsidR="00F00D8B">
        <w:rPr>
          <w:sz w:val="22"/>
          <w:szCs w:val="22"/>
        </w:rPr>
        <w:t xml:space="preserve">, </w:t>
      </w:r>
      <w:r w:rsidR="00F00D8B" w:rsidRPr="00D03D46">
        <w:rPr>
          <w:sz w:val="22"/>
          <w:szCs w:val="22"/>
        </w:rPr>
        <w:t>konkrétní</w:t>
      </w:r>
      <w:r w:rsidRPr="00D03D46">
        <w:rPr>
          <w:sz w:val="22"/>
          <w:szCs w:val="22"/>
        </w:rPr>
        <w:t xml:space="preserve"> problémy</w:t>
      </w:r>
      <w:r>
        <w:rPr>
          <w:sz w:val="22"/>
          <w:szCs w:val="22"/>
        </w:rPr>
        <w:t xml:space="preserve"> jsou řešeny</w:t>
      </w:r>
      <w:r w:rsidRPr="00D03D46">
        <w:rPr>
          <w:sz w:val="22"/>
          <w:szCs w:val="22"/>
        </w:rPr>
        <w:t xml:space="preserve"> formou individuálních konzultací.</w:t>
      </w:r>
    </w:p>
    <w:p w:rsidR="00E06CAD" w:rsidRDefault="00E06CAD" w:rsidP="00A73B58">
      <w:pPr>
        <w:jc w:val="both"/>
        <w:rPr>
          <w:b/>
          <w:sz w:val="22"/>
          <w:szCs w:val="22"/>
        </w:rPr>
      </w:pPr>
    </w:p>
    <w:p w:rsidR="00A73B58" w:rsidRDefault="00A73B58" w:rsidP="00A73B58">
      <w:pPr>
        <w:jc w:val="both"/>
        <w:rPr>
          <w:b/>
          <w:sz w:val="22"/>
          <w:szCs w:val="22"/>
        </w:rPr>
      </w:pPr>
      <w:r w:rsidRPr="005D7E9F">
        <w:rPr>
          <w:b/>
          <w:sz w:val="22"/>
          <w:szCs w:val="22"/>
        </w:rPr>
        <w:t>PS J</w:t>
      </w:r>
      <w:r w:rsidR="007E2A5B">
        <w:rPr>
          <w:b/>
          <w:sz w:val="22"/>
          <w:szCs w:val="22"/>
        </w:rPr>
        <w:t>ESSICA</w:t>
      </w:r>
    </w:p>
    <w:p w:rsidR="007B10A5" w:rsidRPr="007B10A5" w:rsidRDefault="007B10A5" w:rsidP="00A73B58">
      <w:pPr>
        <w:jc w:val="both"/>
        <w:rPr>
          <w:sz w:val="22"/>
          <w:szCs w:val="22"/>
        </w:rPr>
      </w:pPr>
      <w:r w:rsidRPr="00306F43">
        <w:rPr>
          <w:sz w:val="22"/>
          <w:szCs w:val="22"/>
        </w:rPr>
        <w:t xml:space="preserve">Od září 2012 se PS neschází, probíhají technická jednání mezi ŘO a HF. </w:t>
      </w:r>
    </w:p>
    <w:p w:rsidR="00FB2150" w:rsidRDefault="00FB2150" w:rsidP="00FB2150">
      <w:pPr>
        <w:jc w:val="both"/>
        <w:rPr>
          <w:b/>
          <w:sz w:val="22"/>
          <w:szCs w:val="22"/>
        </w:rPr>
      </w:pPr>
    </w:p>
    <w:p w:rsidR="005D7E9F" w:rsidRDefault="005D7E9F" w:rsidP="005D7E9F">
      <w:pPr>
        <w:jc w:val="both"/>
        <w:rPr>
          <w:b/>
          <w:sz w:val="22"/>
          <w:szCs w:val="22"/>
        </w:rPr>
      </w:pPr>
      <w:r w:rsidRPr="005D7E9F">
        <w:rPr>
          <w:b/>
          <w:sz w:val="22"/>
          <w:szCs w:val="22"/>
        </w:rPr>
        <w:t xml:space="preserve">PS pro snížení rizik ve Smart </w:t>
      </w:r>
      <w:proofErr w:type="spellStart"/>
      <w:r w:rsidRPr="005D7E9F">
        <w:rPr>
          <w:b/>
          <w:sz w:val="22"/>
          <w:szCs w:val="22"/>
        </w:rPr>
        <w:t>Administration</w:t>
      </w:r>
      <w:proofErr w:type="spellEnd"/>
    </w:p>
    <w:p w:rsidR="00674265" w:rsidRPr="00344519" w:rsidRDefault="0051304D" w:rsidP="005D7E9F">
      <w:pPr>
        <w:jc w:val="both"/>
        <w:rPr>
          <w:color w:val="FF0000"/>
          <w:sz w:val="22"/>
          <w:szCs w:val="22"/>
        </w:rPr>
      </w:pPr>
      <w:r w:rsidRPr="00344519">
        <w:rPr>
          <w:sz w:val="22"/>
          <w:szCs w:val="22"/>
        </w:rPr>
        <w:t xml:space="preserve">PS </w:t>
      </w:r>
      <w:r w:rsidR="00344519" w:rsidRPr="00344519">
        <w:rPr>
          <w:color w:val="000000"/>
          <w:sz w:val="22"/>
          <w:szCs w:val="22"/>
        </w:rPr>
        <w:t>se v daném období nesešla, protože to vzhledem k pokročilosti implementace IOP již nebylo nutné</w:t>
      </w:r>
    </w:p>
    <w:p w:rsidR="003F3ADF" w:rsidRDefault="003F3ADF" w:rsidP="009E7087">
      <w:pPr>
        <w:jc w:val="both"/>
        <w:rPr>
          <w:sz w:val="22"/>
          <w:szCs w:val="22"/>
        </w:rPr>
      </w:pPr>
    </w:p>
    <w:p w:rsidR="00D644B0" w:rsidRDefault="00D644B0">
      <w:pPr>
        <w:pStyle w:val="Nadpis2"/>
        <w:rPr>
          <w:b w:val="0"/>
        </w:rPr>
      </w:pPr>
      <w:bookmarkStart w:id="161" w:name="_Toc433873531"/>
      <w:bookmarkStart w:id="162" w:name="_GoBack"/>
      <w:bookmarkEnd w:id="162"/>
      <w:r w:rsidRPr="00C466D8">
        <w:rPr>
          <w:rFonts w:ascii="Times New Roman" w:hAnsi="Times New Roman"/>
          <w:i w:val="0"/>
        </w:rPr>
        <w:t>4.5 Administrativní kapacita subjektů implementační struktury programu</w:t>
      </w:r>
      <w:bookmarkEnd w:id="161"/>
    </w:p>
    <w:p w:rsidR="00341280" w:rsidRPr="00341280" w:rsidRDefault="00341280" w:rsidP="00341280">
      <w:pPr>
        <w:jc w:val="both"/>
        <w:rPr>
          <w:sz w:val="22"/>
          <w:szCs w:val="22"/>
        </w:rPr>
      </w:pPr>
      <w:r w:rsidRPr="00341280">
        <w:rPr>
          <w:sz w:val="22"/>
          <w:szCs w:val="22"/>
        </w:rPr>
        <w:t>ŘO IOP sleduje a eviduje administrativní kapacitu subjektů zapojených do implementace IOP. Následující tabulky administrativní kapacity vytvořil</w:t>
      </w:r>
      <w:r w:rsidR="000C6761">
        <w:rPr>
          <w:sz w:val="22"/>
          <w:szCs w:val="22"/>
        </w:rPr>
        <w:t>y</w:t>
      </w:r>
      <w:r w:rsidRPr="00341280">
        <w:rPr>
          <w:sz w:val="22"/>
          <w:szCs w:val="22"/>
        </w:rPr>
        <w:t xml:space="preserve">  ŘO IOP a ZS podle pokynu NOK pro tvorbu zprávy o realizaci. </w:t>
      </w:r>
    </w:p>
    <w:p w:rsidR="00341280" w:rsidRPr="00341280" w:rsidRDefault="00341280" w:rsidP="00341280">
      <w:pPr>
        <w:jc w:val="both"/>
        <w:rPr>
          <w:sz w:val="22"/>
          <w:szCs w:val="22"/>
        </w:rPr>
      </w:pPr>
      <w:r w:rsidRPr="00341280">
        <w:rPr>
          <w:sz w:val="22"/>
          <w:szCs w:val="22"/>
        </w:rPr>
        <w:lastRenderedPageBreak/>
        <w:t>V tabulce jsou uvedeny všechny útvary a přepočtené stavy pracovníků, kteří se podílejí na implementaci IOP. Kromě pracovníků řídícího orgánu a zprostředkujících subjektů jsou uvedeny odborné útvary MMR ČR, které spolupracují s řídícím orgánem v oblastech cestovního ruchu, územního plánovaní a podpory bydlení, dále finanční a personální útvar MMR ČR.</w:t>
      </w:r>
    </w:p>
    <w:p w:rsidR="00341280" w:rsidRPr="00341280" w:rsidRDefault="00341280" w:rsidP="00341280">
      <w:pPr>
        <w:jc w:val="both"/>
        <w:rPr>
          <w:sz w:val="22"/>
          <w:szCs w:val="22"/>
        </w:rPr>
      </w:pPr>
      <w:r w:rsidRPr="00341280">
        <w:rPr>
          <w:sz w:val="22"/>
          <w:szCs w:val="22"/>
        </w:rPr>
        <w:t xml:space="preserve">Tabulka znázorňuje strukturu subjektů, které se podílejí na implementaci IOP. Sloupec „Počet zaměstnanců“ znamená počet pracovních úvazků podílejících se na implementaci IOP dle FTE (Full </w:t>
      </w:r>
      <w:proofErr w:type="spellStart"/>
      <w:r w:rsidRPr="00341280">
        <w:rPr>
          <w:sz w:val="22"/>
          <w:szCs w:val="22"/>
        </w:rPr>
        <w:t>time</w:t>
      </w:r>
      <w:proofErr w:type="spellEnd"/>
      <w:r w:rsidRPr="00341280">
        <w:rPr>
          <w:sz w:val="22"/>
          <w:szCs w:val="22"/>
        </w:rPr>
        <w:t xml:space="preserve"> </w:t>
      </w:r>
      <w:proofErr w:type="spellStart"/>
      <w:r w:rsidRPr="00341280">
        <w:rPr>
          <w:sz w:val="22"/>
          <w:szCs w:val="22"/>
        </w:rPr>
        <w:t>equivalent</w:t>
      </w:r>
      <w:proofErr w:type="spellEnd"/>
      <w:r w:rsidRPr="00341280">
        <w:rPr>
          <w:sz w:val="22"/>
          <w:szCs w:val="22"/>
        </w:rPr>
        <w:t>). Zaměstnanec zapojený celým pracovním poměrem (neboli 100 % pracovní náplně), je hodnocen částkou 1.0 FTE, zaměstnanec, který se na implementaci podílí jednou čtvrtinou své pracovní náplně, je hodnocen částkou 0,25 FTE.</w:t>
      </w:r>
    </w:p>
    <w:p w:rsidR="00E46163" w:rsidRDefault="00E46163" w:rsidP="001D018D">
      <w:pPr>
        <w:jc w:val="both"/>
        <w:rPr>
          <w:sz w:val="22"/>
          <w:szCs w:val="22"/>
        </w:rPr>
      </w:pPr>
    </w:p>
    <w:p w:rsidR="00F77AD7" w:rsidRDefault="00F77AD7" w:rsidP="001D018D">
      <w:pPr>
        <w:jc w:val="both"/>
        <w:rPr>
          <w:sz w:val="22"/>
          <w:szCs w:val="22"/>
        </w:rPr>
      </w:pPr>
    </w:p>
    <w:p w:rsidR="00F77AD7" w:rsidRDefault="00F77AD7" w:rsidP="001D018D">
      <w:pPr>
        <w:jc w:val="both"/>
        <w:rPr>
          <w:sz w:val="22"/>
          <w:szCs w:val="22"/>
        </w:rPr>
      </w:pPr>
    </w:p>
    <w:p w:rsidR="001D018D" w:rsidRDefault="001D018D" w:rsidP="001D018D">
      <w:pPr>
        <w:pStyle w:val="Tabulkanzev"/>
        <w:rPr>
          <w:rStyle w:val="Siln"/>
        </w:rPr>
      </w:pPr>
      <w:bookmarkStart w:id="163" w:name="_Toc433873578"/>
      <w:r w:rsidRPr="00514131">
        <w:rPr>
          <w:rStyle w:val="Siln"/>
        </w:rPr>
        <w:t>Stav administrativní kapacity implementační struktury IOP</w:t>
      </w:r>
      <w:bookmarkEnd w:id="163"/>
    </w:p>
    <w:tbl>
      <w:tblPr>
        <w:tblW w:w="9061" w:type="dxa"/>
        <w:jc w:val="center"/>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CellMar>
          <w:left w:w="70" w:type="dxa"/>
          <w:right w:w="70" w:type="dxa"/>
        </w:tblCellMar>
        <w:tblLook w:val="04A0" w:firstRow="1" w:lastRow="0" w:firstColumn="1" w:lastColumn="0" w:noHBand="0" w:noVBand="1"/>
      </w:tblPr>
      <w:tblGrid>
        <w:gridCol w:w="1595"/>
        <w:gridCol w:w="2297"/>
        <w:gridCol w:w="2154"/>
        <w:gridCol w:w="1579"/>
        <w:gridCol w:w="1436"/>
      </w:tblGrid>
      <w:tr w:rsidR="00341280" w:rsidRPr="00BE26CC" w:rsidTr="00341280">
        <w:trPr>
          <w:trHeight w:val="730"/>
          <w:tblHeader/>
          <w:jc w:val="center"/>
        </w:trPr>
        <w:tc>
          <w:tcPr>
            <w:tcW w:w="1595" w:type="dxa"/>
            <w:shd w:val="clear" w:color="auto" w:fill="B8CCE4" w:themeFill="accent1" w:themeFillTint="66"/>
            <w:vAlign w:val="center"/>
            <w:hideMark/>
          </w:tcPr>
          <w:p w:rsidR="00341280" w:rsidRPr="00BE26CC" w:rsidRDefault="00341280" w:rsidP="00341280">
            <w:pPr>
              <w:jc w:val="center"/>
              <w:rPr>
                <w:b/>
                <w:bCs/>
                <w:color w:val="000000"/>
                <w:sz w:val="18"/>
                <w:szCs w:val="18"/>
              </w:rPr>
            </w:pPr>
            <w:r w:rsidRPr="00BE26CC">
              <w:rPr>
                <w:b/>
                <w:bCs/>
                <w:color w:val="000000"/>
                <w:sz w:val="18"/>
                <w:szCs w:val="18"/>
              </w:rPr>
              <w:t>Útvar</w:t>
            </w:r>
          </w:p>
        </w:tc>
        <w:tc>
          <w:tcPr>
            <w:tcW w:w="2297" w:type="dxa"/>
            <w:shd w:val="clear" w:color="auto" w:fill="B8CCE4" w:themeFill="accent1" w:themeFillTint="66"/>
            <w:vAlign w:val="center"/>
            <w:hideMark/>
          </w:tcPr>
          <w:p w:rsidR="00341280" w:rsidRPr="00BE26CC" w:rsidRDefault="00341280" w:rsidP="00341280">
            <w:pPr>
              <w:jc w:val="center"/>
              <w:rPr>
                <w:b/>
                <w:bCs/>
                <w:color w:val="000000"/>
                <w:sz w:val="18"/>
                <w:szCs w:val="18"/>
              </w:rPr>
            </w:pPr>
            <w:r w:rsidRPr="00BE26CC">
              <w:rPr>
                <w:b/>
                <w:bCs/>
                <w:color w:val="000000"/>
                <w:sz w:val="18"/>
                <w:szCs w:val="18"/>
              </w:rPr>
              <w:t>Odbor</w:t>
            </w:r>
          </w:p>
        </w:tc>
        <w:tc>
          <w:tcPr>
            <w:tcW w:w="2154" w:type="dxa"/>
            <w:shd w:val="clear" w:color="auto" w:fill="B8CCE4" w:themeFill="accent1" w:themeFillTint="66"/>
            <w:vAlign w:val="center"/>
            <w:hideMark/>
          </w:tcPr>
          <w:p w:rsidR="00341280" w:rsidRPr="00BE26CC" w:rsidRDefault="00341280" w:rsidP="00341280">
            <w:pPr>
              <w:jc w:val="center"/>
              <w:rPr>
                <w:b/>
                <w:bCs/>
                <w:color w:val="000000"/>
                <w:sz w:val="18"/>
                <w:szCs w:val="18"/>
              </w:rPr>
            </w:pPr>
            <w:r w:rsidRPr="00BE26CC">
              <w:rPr>
                <w:b/>
                <w:bCs/>
                <w:color w:val="000000"/>
                <w:sz w:val="18"/>
                <w:szCs w:val="18"/>
              </w:rPr>
              <w:t>Oddělení</w:t>
            </w:r>
          </w:p>
        </w:tc>
        <w:tc>
          <w:tcPr>
            <w:tcW w:w="1579" w:type="dxa"/>
            <w:shd w:val="clear" w:color="auto" w:fill="B8CCE4" w:themeFill="accent1" w:themeFillTint="66"/>
            <w:vAlign w:val="center"/>
            <w:hideMark/>
          </w:tcPr>
          <w:p w:rsidR="00341280" w:rsidRPr="00BE26CC" w:rsidRDefault="00341280" w:rsidP="00341280">
            <w:pPr>
              <w:jc w:val="center"/>
              <w:rPr>
                <w:b/>
                <w:bCs/>
                <w:color w:val="000000"/>
                <w:sz w:val="18"/>
                <w:szCs w:val="18"/>
              </w:rPr>
            </w:pPr>
            <w:r w:rsidRPr="00BE26CC">
              <w:rPr>
                <w:b/>
                <w:bCs/>
                <w:color w:val="000000"/>
                <w:sz w:val="18"/>
                <w:szCs w:val="18"/>
              </w:rPr>
              <w:t>Počet zaměstnanců (přepočtené pracovní úvazky)</w:t>
            </w:r>
          </w:p>
        </w:tc>
        <w:tc>
          <w:tcPr>
            <w:tcW w:w="1436" w:type="dxa"/>
            <w:shd w:val="clear" w:color="auto" w:fill="B8CCE4" w:themeFill="accent1" w:themeFillTint="66"/>
            <w:vAlign w:val="center"/>
            <w:hideMark/>
          </w:tcPr>
          <w:p w:rsidR="00341280" w:rsidRPr="00BE26CC" w:rsidRDefault="00341280" w:rsidP="00341280">
            <w:pPr>
              <w:jc w:val="center"/>
              <w:rPr>
                <w:b/>
                <w:bCs/>
                <w:color w:val="000000"/>
                <w:sz w:val="18"/>
                <w:szCs w:val="18"/>
              </w:rPr>
            </w:pPr>
            <w:r w:rsidRPr="00BE26CC">
              <w:rPr>
                <w:b/>
                <w:bCs/>
                <w:color w:val="000000"/>
                <w:sz w:val="18"/>
                <w:szCs w:val="18"/>
              </w:rPr>
              <w:t>Celkem za útvar (přepočtené pracovní úvazky)</w:t>
            </w:r>
          </w:p>
        </w:tc>
      </w:tr>
      <w:tr w:rsidR="00341280" w:rsidRPr="00BE26CC" w:rsidTr="00D416DD">
        <w:trPr>
          <w:trHeight w:val="300"/>
          <w:jc w:val="center"/>
        </w:trPr>
        <w:tc>
          <w:tcPr>
            <w:tcW w:w="1595" w:type="dxa"/>
            <w:vMerge w:val="restart"/>
            <w:shd w:val="clear" w:color="auto" w:fill="auto"/>
            <w:vAlign w:val="center"/>
            <w:hideMark/>
          </w:tcPr>
          <w:p w:rsidR="00341280" w:rsidRPr="00BE26CC" w:rsidRDefault="00341280" w:rsidP="00341280">
            <w:pPr>
              <w:rPr>
                <w:color w:val="000000"/>
                <w:sz w:val="18"/>
                <w:szCs w:val="18"/>
              </w:rPr>
            </w:pPr>
            <w:r w:rsidRPr="00BE26CC">
              <w:rPr>
                <w:color w:val="000000"/>
                <w:sz w:val="18"/>
                <w:szCs w:val="18"/>
              </w:rPr>
              <w:t>Řídící orgán</w:t>
            </w:r>
          </w:p>
        </w:tc>
        <w:tc>
          <w:tcPr>
            <w:tcW w:w="2297" w:type="dxa"/>
            <w:vMerge w:val="restart"/>
            <w:shd w:val="clear" w:color="auto" w:fill="auto"/>
            <w:vAlign w:val="center"/>
            <w:hideMark/>
          </w:tcPr>
          <w:p w:rsidR="00341280" w:rsidRPr="00BE26CC" w:rsidRDefault="00341280" w:rsidP="00341280">
            <w:pPr>
              <w:rPr>
                <w:color w:val="000000"/>
                <w:sz w:val="18"/>
                <w:szCs w:val="18"/>
              </w:rPr>
            </w:pPr>
            <w:r w:rsidRPr="00BE26CC">
              <w:rPr>
                <w:color w:val="000000"/>
                <w:sz w:val="18"/>
                <w:szCs w:val="18"/>
              </w:rPr>
              <w:t>Odbor řízení operačních programů</w:t>
            </w:r>
          </w:p>
        </w:tc>
        <w:tc>
          <w:tcPr>
            <w:tcW w:w="2154" w:type="dxa"/>
            <w:shd w:val="clear" w:color="auto" w:fill="auto"/>
            <w:vAlign w:val="center"/>
            <w:hideMark/>
          </w:tcPr>
          <w:p w:rsidR="00341280" w:rsidRPr="00BE26CC" w:rsidRDefault="00341280" w:rsidP="00D416DD">
            <w:pPr>
              <w:rPr>
                <w:color w:val="000000"/>
                <w:sz w:val="18"/>
                <w:szCs w:val="18"/>
              </w:rPr>
            </w:pPr>
            <w:r w:rsidRPr="00BE26CC">
              <w:rPr>
                <w:color w:val="000000"/>
                <w:sz w:val="18"/>
                <w:szCs w:val="18"/>
              </w:rPr>
              <w:t>Ředitel odboru a sekretariát odboru</w:t>
            </w:r>
          </w:p>
        </w:tc>
        <w:tc>
          <w:tcPr>
            <w:tcW w:w="1579" w:type="dxa"/>
            <w:shd w:val="clear" w:color="auto" w:fill="auto"/>
            <w:noWrap/>
            <w:vAlign w:val="center"/>
          </w:tcPr>
          <w:p w:rsidR="00341280" w:rsidRPr="00BE26CC" w:rsidRDefault="00341280" w:rsidP="00CE0B51">
            <w:pPr>
              <w:jc w:val="right"/>
              <w:rPr>
                <w:color w:val="000000"/>
                <w:sz w:val="18"/>
                <w:szCs w:val="18"/>
              </w:rPr>
            </w:pPr>
            <w:r w:rsidRPr="00BE26CC">
              <w:rPr>
                <w:color w:val="000000"/>
                <w:sz w:val="18"/>
                <w:szCs w:val="18"/>
              </w:rPr>
              <w:t>2,00</w:t>
            </w:r>
          </w:p>
        </w:tc>
        <w:tc>
          <w:tcPr>
            <w:tcW w:w="1436" w:type="dxa"/>
            <w:vMerge w:val="restart"/>
            <w:shd w:val="clear" w:color="auto" w:fill="auto"/>
            <w:noWrap/>
            <w:vAlign w:val="center"/>
          </w:tcPr>
          <w:p w:rsidR="00341280" w:rsidRPr="00BE26CC" w:rsidRDefault="00341280" w:rsidP="00341280">
            <w:pPr>
              <w:jc w:val="center"/>
              <w:rPr>
                <w:color w:val="000000"/>
                <w:sz w:val="18"/>
                <w:szCs w:val="18"/>
                <w:highlight w:val="yellow"/>
              </w:rPr>
            </w:pPr>
            <w:r w:rsidRPr="00BE26CC">
              <w:rPr>
                <w:color w:val="000000"/>
                <w:sz w:val="18"/>
                <w:szCs w:val="18"/>
              </w:rPr>
              <w:t>71,325</w:t>
            </w:r>
          </w:p>
        </w:tc>
      </w:tr>
      <w:tr w:rsidR="00341280" w:rsidRPr="00BE26CC" w:rsidTr="00D416DD">
        <w:trPr>
          <w:trHeight w:val="300"/>
          <w:jc w:val="center"/>
        </w:trPr>
        <w:tc>
          <w:tcPr>
            <w:tcW w:w="1595" w:type="dxa"/>
            <w:vMerge/>
            <w:vAlign w:val="center"/>
            <w:hideMark/>
          </w:tcPr>
          <w:p w:rsidR="00341280" w:rsidRPr="00BE26CC" w:rsidRDefault="00341280" w:rsidP="00341280">
            <w:pPr>
              <w:rPr>
                <w:color w:val="000000"/>
                <w:sz w:val="18"/>
                <w:szCs w:val="18"/>
              </w:rPr>
            </w:pPr>
          </w:p>
        </w:tc>
        <w:tc>
          <w:tcPr>
            <w:tcW w:w="2297" w:type="dxa"/>
            <w:vMerge/>
            <w:vAlign w:val="center"/>
            <w:hideMark/>
          </w:tcPr>
          <w:p w:rsidR="00341280" w:rsidRPr="00BE26CC" w:rsidRDefault="00341280" w:rsidP="00341280">
            <w:pPr>
              <w:rPr>
                <w:color w:val="000000"/>
                <w:sz w:val="18"/>
                <w:szCs w:val="18"/>
              </w:rPr>
            </w:pPr>
          </w:p>
        </w:tc>
        <w:tc>
          <w:tcPr>
            <w:tcW w:w="2154" w:type="dxa"/>
            <w:shd w:val="clear" w:color="auto" w:fill="auto"/>
            <w:vAlign w:val="center"/>
            <w:hideMark/>
          </w:tcPr>
          <w:p w:rsidR="00341280" w:rsidRPr="00BE26CC" w:rsidRDefault="00341280" w:rsidP="00D416DD">
            <w:pPr>
              <w:rPr>
                <w:color w:val="000000"/>
                <w:sz w:val="18"/>
                <w:szCs w:val="18"/>
              </w:rPr>
            </w:pPr>
            <w:r w:rsidRPr="00BE26CC">
              <w:rPr>
                <w:color w:val="000000"/>
                <w:sz w:val="18"/>
                <w:szCs w:val="18"/>
              </w:rPr>
              <w:t xml:space="preserve">Oddělení řízení </w:t>
            </w:r>
          </w:p>
        </w:tc>
        <w:tc>
          <w:tcPr>
            <w:tcW w:w="1579" w:type="dxa"/>
            <w:shd w:val="clear" w:color="auto" w:fill="auto"/>
            <w:noWrap/>
            <w:vAlign w:val="center"/>
          </w:tcPr>
          <w:p w:rsidR="00341280" w:rsidRPr="00BE26CC" w:rsidRDefault="00341280" w:rsidP="00CE0B51">
            <w:pPr>
              <w:jc w:val="right"/>
              <w:rPr>
                <w:color w:val="000000"/>
                <w:sz w:val="18"/>
                <w:szCs w:val="18"/>
              </w:rPr>
            </w:pPr>
            <w:r w:rsidRPr="00BE26CC">
              <w:rPr>
                <w:color w:val="000000"/>
                <w:sz w:val="18"/>
                <w:szCs w:val="18"/>
              </w:rPr>
              <w:t>10,00</w:t>
            </w:r>
          </w:p>
        </w:tc>
        <w:tc>
          <w:tcPr>
            <w:tcW w:w="1436" w:type="dxa"/>
            <w:vMerge/>
            <w:vAlign w:val="center"/>
          </w:tcPr>
          <w:p w:rsidR="00341280" w:rsidRPr="00BE26CC" w:rsidRDefault="00341280" w:rsidP="00341280">
            <w:pPr>
              <w:rPr>
                <w:color w:val="000000"/>
                <w:sz w:val="18"/>
                <w:szCs w:val="18"/>
                <w:highlight w:val="yellow"/>
              </w:rPr>
            </w:pPr>
          </w:p>
        </w:tc>
      </w:tr>
      <w:tr w:rsidR="00341280" w:rsidRPr="00BE26CC" w:rsidTr="00D416DD">
        <w:trPr>
          <w:trHeight w:val="300"/>
          <w:jc w:val="center"/>
        </w:trPr>
        <w:tc>
          <w:tcPr>
            <w:tcW w:w="1595" w:type="dxa"/>
            <w:vMerge/>
            <w:vAlign w:val="center"/>
            <w:hideMark/>
          </w:tcPr>
          <w:p w:rsidR="00341280" w:rsidRPr="00BE26CC" w:rsidRDefault="00341280" w:rsidP="00341280">
            <w:pPr>
              <w:rPr>
                <w:color w:val="000000"/>
                <w:sz w:val="18"/>
                <w:szCs w:val="18"/>
              </w:rPr>
            </w:pPr>
          </w:p>
        </w:tc>
        <w:tc>
          <w:tcPr>
            <w:tcW w:w="2297" w:type="dxa"/>
            <w:vMerge/>
            <w:vAlign w:val="center"/>
            <w:hideMark/>
          </w:tcPr>
          <w:p w:rsidR="00341280" w:rsidRPr="00BE26CC" w:rsidRDefault="00341280" w:rsidP="00341280">
            <w:pPr>
              <w:rPr>
                <w:color w:val="000000"/>
                <w:sz w:val="18"/>
                <w:szCs w:val="18"/>
              </w:rPr>
            </w:pPr>
          </w:p>
        </w:tc>
        <w:tc>
          <w:tcPr>
            <w:tcW w:w="2154" w:type="dxa"/>
            <w:shd w:val="clear" w:color="auto" w:fill="auto"/>
            <w:vAlign w:val="center"/>
            <w:hideMark/>
          </w:tcPr>
          <w:p w:rsidR="00341280" w:rsidRPr="00BE26CC" w:rsidRDefault="00341280" w:rsidP="00D416DD">
            <w:pPr>
              <w:rPr>
                <w:color w:val="000000"/>
                <w:sz w:val="18"/>
                <w:szCs w:val="18"/>
              </w:rPr>
            </w:pPr>
            <w:r w:rsidRPr="00BE26CC">
              <w:rPr>
                <w:color w:val="000000"/>
                <w:sz w:val="18"/>
                <w:szCs w:val="18"/>
              </w:rPr>
              <w:t>Oddělení metodiky</w:t>
            </w:r>
          </w:p>
        </w:tc>
        <w:tc>
          <w:tcPr>
            <w:tcW w:w="1579" w:type="dxa"/>
            <w:shd w:val="clear" w:color="auto" w:fill="auto"/>
            <w:noWrap/>
            <w:vAlign w:val="center"/>
          </w:tcPr>
          <w:p w:rsidR="00341280" w:rsidRPr="00BE26CC" w:rsidRDefault="00341280" w:rsidP="00CE0B51">
            <w:pPr>
              <w:jc w:val="right"/>
              <w:rPr>
                <w:color w:val="000000"/>
                <w:sz w:val="18"/>
                <w:szCs w:val="18"/>
              </w:rPr>
            </w:pPr>
            <w:r w:rsidRPr="00BE26CC">
              <w:rPr>
                <w:color w:val="000000"/>
                <w:sz w:val="18"/>
                <w:szCs w:val="18"/>
              </w:rPr>
              <w:t>11,50</w:t>
            </w:r>
          </w:p>
        </w:tc>
        <w:tc>
          <w:tcPr>
            <w:tcW w:w="1436" w:type="dxa"/>
            <w:vMerge/>
            <w:vAlign w:val="center"/>
          </w:tcPr>
          <w:p w:rsidR="00341280" w:rsidRPr="00BE26CC" w:rsidRDefault="00341280" w:rsidP="00341280">
            <w:pPr>
              <w:rPr>
                <w:color w:val="000000"/>
                <w:sz w:val="18"/>
                <w:szCs w:val="18"/>
                <w:highlight w:val="yellow"/>
              </w:rPr>
            </w:pPr>
          </w:p>
        </w:tc>
      </w:tr>
      <w:tr w:rsidR="00341280" w:rsidRPr="00BE26CC" w:rsidTr="00D416DD">
        <w:trPr>
          <w:trHeight w:val="300"/>
          <w:jc w:val="center"/>
        </w:trPr>
        <w:tc>
          <w:tcPr>
            <w:tcW w:w="1595" w:type="dxa"/>
            <w:vMerge/>
            <w:vAlign w:val="center"/>
            <w:hideMark/>
          </w:tcPr>
          <w:p w:rsidR="00341280" w:rsidRPr="00BE26CC" w:rsidRDefault="00341280" w:rsidP="00341280">
            <w:pPr>
              <w:rPr>
                <w:color w:val="000000"/>
                <w:sz w:val="18"/>
                <w:szCs w:val="18"/>
              </w:rPr>
            </w:pPr>
          </w:p>
        </w:tc>
        <w:tc>
          <w:tcPr>
            <w:tcW w:w="2297" w:type="dxa"/>
            <w:vMerge/>
            <w:vAlign w:val="center"/>
            <w:hideMark/>
          </w:tcPr>
          <w:p w:rsidR="00341280" w:rsidRPr="00BE26CC" w:rsidRDefault="00341280" w:rsidP="00341280">
            <w:pPr>
              <w:rPr>
                <w:color w:val="000000"/>
                <w:sz w:val="18"/>
                <w:szCs w:val="18"/>
              </w:rPr>
            </w:pPr>
          </w:p>
        </w:tc>
        <w:tc>
          <w:tcPr>
            <w:tcW w:w="2154" w:type="dxa"/>
            <w:shd w:val="clear" w:color="auto" w:fill="auto"/>
            <w:vAlign w:val="center"/>
            <w:hideMark/>
          </w:tcPr>
          <w:p w:rsidR="00341280" w:rsidRPr="00BE26CC" w:rsidRDefault="00341280" w:rsidP="00D416DD">
            <w:pPr>
              <w:rPr>
                <w:color w:val="000000"/>
                <w:sz w:val="18"/>
                <w:szCs w:val="18"/>
              </w:rPr>
            </w:pPr>
            <w:r w:rsidRPr="00BE26CC">
              <w:rPr>
                <w:color w:val="000000"/>
                <w:sz w:val="18"/>
                <w:szCs w:val="18"/>
              </w:rPr>
              <w:t>Oddělení monitoringu</w:t>
            </w:r>
          </w:p>
        </w:tc>
        <w:tc>
          <w:tcPr>
            <w:tcW w:w="1579" w:type="dxa"/>
            <w:shd w:val="clear" w:color="auto" w:fill="auto"/>
            <w:noWrap/>
            <w:vAlign w:val="center"/>
          </w:tcPr>
          <w:p w:rsidR="00341280" w:rsidRPr="00BE26CC" w:rsidRDefault="00341280" w:rsidP="00CE0B51">
            <w:pPr>
              <w:jc w:val="right"/>
              <w:rPr>
                <w:color w:val="000000"/>
                <w:sz w:val="18"/>
                <w:szCs w:val="18"/>
              </w:rPr>
            </w:pPr>
            <w:r w:rsidRPr="00BE26CC">
              <w:rPr>
                <w:color w:val="000000"/>
                <w:sz w:val="18"/>
                <w:szCs w:val="18"/>
              </w:rPr>
              <w:t>6,00</w:t>
            </w:r>
          </w:p>
        </w:tc>
        <w:tc>
          <w:tcPr>
            <w:tcW w:w="1436" w:type="dxa"/>
            <w:vMerge/>
            <w:vAlign w:val="center"/>
          </w:tcPr>
          <w:p w:rsidR="00341280" w:rsidRPr="00BE26CC" w:rsidRDefault="00341280" w:rsidP="00341280">
            <w:pPr>
              <w:rPr>
                <w:color w:val="000000"/>
                <w:sz w:val="18"/>
                <w:szCs w:val="18"/>
                <w:highlight w:val="yellow"/>
              </w:rPr>
            </w:pPr>
          </w:p>
        </w:tc>
      </w:tr>
      <w:tr w:rsidR="00341280" w:rsidRPr="00BE26CC" w:rsidTr="00D416DD">
        <w:trPr>
          <w:trHeight w:val="300"/>
          <w:jc w:val="center"/>
        </w:trPr>
        <w:tc>
          <w:tcPr>
            <w:tcW w:w="1595" w:type="dxa"/>
            <w:vMerge/>
            <w:vAlign w:val="center"/>
            <w:hideMark/>
          </w:tcPr>
          <w:p w:rsidR="00341280" w:rsidRPr="00BE26CC" w:rsidRDefault="00341280" w:rsidP="00341280">
            <w:pPr>
              <w:rPr>
                <w:color w:val="000000"/>
                <w:sz w:val="18"/>
                <w:szCs w:val="18"/>
              </w:rPr>
            </w:pPr>
          </w:p>
        </w:tc>
        <w:tc>
          <w:tcPr>
            <w:tcW w:w="2297" w:type="dxa"/>
            <w:vMerge/>
            <w:vAlign w:val="center"/>
            <w:hideMark/>
          </w:tcPr>
          <w:p w:rsidR="00341280" w:rsidRPr="00BE26CC" w:rsidRDefault="00341280" w:rsidP="00341280">
            <w:pPr>
              <w:rPr>
                <w:color w:val="000000"/>
                <w:sz w:val="18"/>
                <w:szCs w:val="18"/>
              </w:rPr>
            </w:pPr>
          </w:p>
        </w:tc>
        <w:tc>
          <w:tcPr>
            <w:tcW w:w="2154" w:type="dxa"/>
            <w:shd w:val="clear" w:color="auto" w:fill="auto"/>
            <w:vAlign w:val="center"/>
            <w:hideMark/>
          </w:tcPr>
          <w:p w:rsidR="00341280" w:rsidRPr="00BE26CC" w:rsidRDefault="00341280" w:rsidP="00D416DD">
            <w:pPr>
              <w:rPr>
                <w:color w:val="000000"/>
                <w:sz w:val="18"/>
                <w:szCs w:val="18"/>
              </w:rPr>
            </w:pPr>
            <w:r w:rsidRPr="00BE26CC">
              <w:rPr>
                <w:color w:val="000000"/>
                <w:sz w:val="18"/>
                <w:szCs w:val="18"/>
              </w:rPr>
              <w:t xml:space="preserve">Oddělení kontroly </w:t>
            </w:r>
          </w:p>
        </w:tc>
        <w:tc>
          <w:tcPr>
            <w:tcW w:w="1579" w:type="dxa"/>
            <w:shd w:val="clear" w:color="auto" w:fill="auto"/>
            <w:noWrap/>
            <w:vAlign w:val="center"/>
          </w:tcPr>
          <w:p w:rsidR="00341280" w:rsidRPr="00BE26CC" w:rsidRDefault="00341280" w:rsidP="00CE0B51">
            <w:pPr>
              <w:jc w:val="right"/>
              <w:rPr>
                <w:color w:val="000000"/>
                <w:sz w:val="18"/>
                <w:szCs w:val="18"/>
              </w:rPr>
            </w:pPr>
            <w:r w:rsidRPr="00BE26CC">
              <w:rPr>
                <w:color w:val="000000"/>
                <w:sz w:val="18"/>
                <w:szCs w:val="18"/>
              </w:rPr>
              <w:t>12,50</w:t>
            </w:r>
          </w:p>
        </w:tc>
        <w:tc>
          <w:tcPr>
            <w:tcW w:w="1436" w:type="dxa"/>
            <w:vMerge/>
            <w:vAlign w:val="center"/>
          </w:tcPr>
          <w:p w:rsidR="00341280" w:rsidRPr="00BE26CC" w:rsidRDefault="00341280" w:rsidP="00341280">
            <w:pPr>
              <w:rPr>
                <w:color w:val="000000"/>
                <w:sz w:val="18"/>
                <w:szCs w:val="18"/>
                <w:highlight w:val="yellow"/>
              </w:rPr>
            </w:pPr>
          </w:p>
        </w:tc>
      </w:tr>
      <w:tr w:rsidR="00341280" w:rsidRPr="00BE26CC" w:rsidTr="00D416DD">
        <w:trPr>
          <w:trHeight w:val="300"/>
          <w:jc w:val="center"/>
        </w:trPr>
        <w:tc>
          <w:tcPr>
            <w:tcW w:w="1595" w:type="dxa"/>
            <w:vMerge/>
            <w:vAlign w:val="center"/>
          </w:tcPr>
          <w:p w:rsidR="00341280" w:rsidRPr="00BE26CC" w:rsidRDefault="00341280" w:rsidP="00341280">
            <w:pPr>
              <w:rPr>
                <w:color w:val="000000"/>
                <w:sz w:val="18"/>
                <w:szCs w:val="18"/>
              </w:rPr>
            </w:pPr>
          </w:p>
        </w:tc>
        <w:tc>
          <w:tcPr>
            <w:tcW w:w="2297" w:type="dxa"/>
            <w:vMerge/>
            <w:vAlign w:val="center"/>
          </w:tcPr>
          <w:p w:rsidR="00341280" w:rsidRPr="00BE26CC" w:rsidRDefault="00341280" w:rsidP="00341280">
            <w:pPr>
              <w:rPr>
                <w:color w:val="000000"/>
                <w:sz w:val="18"/>
                <w:szCs w:val="18"/>
              </w:rPr>
            </w:pPr>
          </w:p>
        </w:tc>
        <w:tc>
          <w:tcPr>
            <w:tcW w:w="2154" w:type="dxa"/>
            <w:shd w:val="clear" w:color="auto" w:fill="auto"/>
            <w:vAlign w:val="center"/>
          </w:tcPr>
          <w:p w:rsidR="00341280" w:rsidRPr="00BE26CC" w:rsidRDefault="00341280" w:rsidP="00D416DD">
            <w:pPr>
              <w:rPr>
                <w:color w:val="000000"/>
                <w:sz w:val="18"/>
                <w:szCs w:val="18"/>
              </w:rPr>
            </w:pPr>
            <w:r w:rsidRPr="00BE26CC">
              <w:rPr>
                <w:color w:val="000000"/>
                <w:sz w:val="18"/>
                <w:szCs w:val="18"/>
              </w:rPr>
              <w:t>Oddělení podpory OP</w:t>
            </w:r>
          </w:p>
        </w:tc>
        <w:tc>
          <w:tcPr>
            <w:tcW w:w="1579" w:type="dxa"/>
            <w:shd w:val="clear" w:color="auto" w:fill="auto"/>
            <w:noWrap/>
            <w:vAlign w:val="center"/>
          </w:tcPr>
          <w:p w:rsidR="00341280" w:rsidRPr="00BE26CC" w:rsidRDefault="00341280" w:rsidP="00CE0B51">
            <w:pPr>
              <w:jc w:val="right"/>
              <w:rPr>
                <w:color w:val="000000"/>
                <w:sz w:val="18"/>
                <w:szCs w:val="18"/>
              </w:rPr>
            </w:pPr>
            <w:r w:rsidRPr="00BE26CC">
              <w:rPr>
                <w:color w:val="000000"/>
                <w:sz w:val="18"/>
                <w:szCs w:val="18"/>
              </w:rPr>
              <w:t>9,725</w:t>
            </w:r>
          </w:p>
        </w:tc>
        <w:tc>
          <w:tcPr>
            <w:tcW w:w="1436" w:type="dxa"/>
            <w:vMerge/>
            <w:vAlign w:val="center"/>
          </w:tcPr>
          <w:p w:rsidR="00341280" w:rsidRPr="00BE26CC" w:rsidRDefault="00341280" w:rsidP="00341280">
            <w:pPr>
              <w:rPr>
                <w:color w:val="000000"/>
                <w:sz w:val="18"/>
                <w:szCs w:val="18"/>
                <w:highlight w:val="yellow"/>
              </w:rPr>
            </w:pPr>
          </w:p>
        </w:tc>
      </w:tr>
      <w:tr w:rsidR="00341280" w:rsidRPr="00BE26CC" w:rsidTr="00D416DD">
        <w:trPr>
          <w:trHeight w:val="559"/>
          <w:jc w:val="center"/>
        </w:trPr>
        <w:tc>
          <w:tcPr>
            <w:tcW w:w="1595" w:type="dxa"/>
            <w:vMerge/>
            <w:vAlign w:val="center"/>
            <w:hideMark/>
          </w:tcPr>
          <w:p w:rsidR="00341280" w:rsidRPr="00BE26CC" w:rsidRDefault="00341280" w:rsidP="00341280">
            <w:pPr>
              <w:rPr>
                <w:color w:val="000000"/>
                <w:sz w:val="18"/>
                <w:szCs w:val="18"/>
              </w:rPr>
            </w:pPr>
          </w:p>
        </w:tc>
        <w:tc>
          <w:tcPr>
            <w:tcW w:w="2297" w:type="dxa"/>
            <w:vMerge w:val="restart"/>
            <w:shd w:val="clear" w:color="auto" w:fill="auto"/>
            <w:vAlign w:val="center"/>
            <w:hideMark/>
          </w:tcPr>
          <w:p w:rsidR="00341280" w:rsidRPr="00BE26CC" w:rsidRDefault="00341280" w:rsidP="00341280">
            <w:pPr>
              <w:rPr>
                <w:color w:val="000000"/>
                <w:sz w:val="18"/>
                <w:szCs w:val="18"/>
              </w:rPr>
            </w:pPr>
            <w:r w:rsidRPr="00BE26CC">
              <w:rPr>
                <w:color w:val="000000"/>
                <w:sz w:val="18"/>
                <w:szCs w:val="18"/>
              </w:rPr>
              <w:t>Odbor rozpočtu</w:t>
            </w:r>
          </w:p>
        </w:tc>
        <w:tc>
          <w:tcPr>
            <w:tcW w:w="2154" w:type="dxa"/>
            <w:shd w:val="clear" w:color="auto" w:fill="auto"/>
            <w:vAlign w:val="center"/>
            <w:hideMark/>
          </w:tcPr>
          <w:p w:rsidR="00341280" w:rsidRPr="00BE26CC" w:rsidRDefault="00341280" w:rsidP="00D416DD">
            <w:pPr>
              <w:rPr>
                <w:color w:val="000000"/>
                <w:sz w:val="18"/>
                <w:szCs w:val="18"/>
              </w:rPr>
            </w:pPr>
            <w:r w:rsidRPr="00BE26CC">
              <w:rPr>
                <w:color w:val="000000"/>
                <w:sz w:val="18"/>
                <w:szCs w:val="18"/>
              </w:rPr>
              <w:t>Oddělení administrace programů EU</w:t>
            </w:r>
          </w:p>
        </w:tc>
        <w:tc>
          <w:tcPr>
            <w:tcW w:w="1579" w:type="dxa"/>
            <w:shd w:val="clear" w:color="auto" w:fill="auto"/>
            <w:noWrap/>
            <w:vAlign w:val="center"/>
          </w:tcPr>
          <w:p w:rsidR="00341280" w:rsidRPr="00BE26CC" w:rsidRDefault="00341280" w:rsidP="00CE0B51">
            <w:pPr>
              <w:jc w:val="right"/>
              <w:rPr>
                <w:color w:val="000000"/>
                <w:sz w:val="18"/>
                <w:szCs w:val="18"/>
              </w:rPr>
            </w:pPr>
            <w:r w:rsidRPr="00BE26CC">
              <w:rPr>
                <w:color w:val="000000"/>
                <w:sz w:val="18"/>
                <w:szCs w:val="18"/>
              </w:rPr>
              <w:t>14,00</w:t>
            </w:r>
          </w:p>
        </w:tc>
        <w:tc>
          <w:tcPr>
            <w:tcW w:w="1436" w:type="dxa"/>
            <w:vMerge/>
            <w:vAlign w:val="center"/>
          </w:tcPr>
          <w:p w:rsidR="00341280" w:rsidRPr="00BE26CC" w:rsidRDefault="00341280" w:rsidP="00341280">
            <w:pPr>
              <w:rPr>
                <w:color w:val="000000"/>
                <w:sz w:val="18"/>
                <w:szCs w:val="18"/>
                <w:highlight w:val="yellow"/>
              </w:rPr>
            </w:pPr>
          </w:p>
        </w:tc>
      </w:tr>
      <w:tr w:rsidR="00341280" w:rsidRPr="00BE26CC" w:rsidTr="00D416DD">
        <w:trPr>
          <w:trHeight w:val="497"/>
          <w:jc w:val="center"/>
        </w:trPr>
        <w:tc>
          <w:tcPr>
            <w:tcW w:w="1595" w:type="dxa"/>
            <w:vMerge/>
            <w:vAlign w:val="center"/>
          </w:tcPr>
          <w:p w:rsidR="00341280" w:rsidRPr="00BE26CC" w:rsidRDefault="00341280" w:rsidP="00341280">
            <w:pPr>
              <w:rPr>
                <w:color w:val="000000"/>
                <w:sz w:val="18"/>
                <w:szCs w:val="18"/>
              </w:rPr>
            </w:pPr>
          </w:p>
        </w:tc>
        <w:tc>
          <w:tcPr>
            <w:tcW w:w="2297" w:type="dxa"/>
            <w:vMerge/>
            <w:shd w:val="clear" w:color="auto" w:fill="auto"/>
            <w:vAlign w:val="center"/>
          </w:tcPr>
          <w:p w:rsidR="00341280" w:rsidRPr="00BE26CC" w:rsidRDefault="00341280" w:rsidP="00341280">
            <w:pPr>
              <w:rPr>
                <w:color w:val="000000"/>
                <w:sz w:val="18"/>
                <w:szCs w:val="18"/>
              </w:rPr>
            </w:pPr>
          </w:p>
        </w:tc>
        <w:tc>
          <w:tcPr>
            <w:tcW w:w="2154" w:type="dxa"/>
            <w:shd w:val="clear" w:color="auto" w:fill="auto"/>
            <w:vAlign w:val="center"/>
          </w:tcPr>
          <w:p w:rsidR="00341280" w:rsidRPr="00BE26CC" w:rsidRDefault="00341280" w:rsidP="00D416DD">
            <w:pPr>
              <w:rPr>
                <w:color w:val="000000"/>
                <w:sz w:val="18"/>
                <w:szCs w:val="18"/>
              </w:rPr>
            </w:pPr>
            <w:r w:rsidRPr="00BE26CC">
              <w:rPr>
                <w:color w:val="000000"/>
                <w:sz w:val="18"/>
                <w:szCs w:val="18"/>
              </w:rPr>
              <w:t>Oddělení financování programů</w:t>
            </w:r>
          </w:p>
        </w:tc>
        <w:tc>
          <w:tcPr>
            <w:tcW w:w="1579" w:type="dxa"/>
            <w:shd w:val="clear" w:color="auto" w:fill="auto"/>
            <w:noWrap/>
            <w:vAlign w:val="center"/>
          </w:tcPr>
          <w:p w:rsidR="00341280" w:rsidRPr="00BE26CC" w:rsidRDefault="00341280" w:rsidP="00CE0B51">
            <w:pPr>
              <w:jc w:val="right"/>
              <w:rPr>
                <w:color w:val="000000"/>
                <w:sz w:val="18"/>
                <w:szCs w:val="18"/>
              </w:rPr>
            </w:pPr>
            <w:r w:rsidRPr="00BE26CC">
              <w:rPr>
                <w:color w:val="000000"/>
                <w:sz w:val="18"/>
                <w:szCs w:val="18"/>
              </w:rPr>
              <w:t>1,00</w:t>
            </w:r>
          </w:p>
        </w:tc>
        <w:tc>
          <w:tcPr>
            <w:tcW w:w="1436" w:type="dxa"/>
            <w:vMerge/>
            <w:vAlign w:val="center"/>
          </w:tcPr>
          <w:p w:rsidR="00341280" w:rsidRPr="00BE26CC" w:rsidRDefault="00341280" w:rsidP="00341280">
            <w:pPr>
              <w:rPr>
                <w:color w:val="000000"/>
                <w:sz w:val="18"/>
                <w:szCs w:val="18"/>
                <w:highlight w:val="yellow"/>
              </w:rPr>
            </w:pPr>
          </w:p>
        </w:tc>
      </w:tr>
      <w:tr w:rsidR="00341280" w:rsidRPr="00BE26CC" w:rsidTr="00341280">
        <w:trPr>
          <w:trHeight w:val="476"/>
          <w:jc w:val="center"/>
        </w:trPr>
        <w:tc>
          <w:tcPr>
            <w:tcW w:w="1595" w:type="dxa"/>
            <w:vMerge w:val="restart"/>
            <w:shd w:val="clear" w:color="auto" w:fill="auto"/>
            <w:vAlign w:val="center"/>
            <w:hideMark/>
          </w:tcPr>
          <w:p w:rsidR="00341280" w:rsidRPr="00BE26CC" w:rsidRDefault="00341280" w:rsidP="00341280">
            <w:pPr>
              <w:rPr>
                <w:color w:val="000000"/>
                <w:sz w:val="18"/>
                <w:szCs w:val="18"/>
              </w:rPr>
            </w:pPr>
            <w:r w:rsidRPr="00BE26CC">
              <w:rPr>
                <w:color w:val="000000"/>
                <w:sz w:val="18"/>
                <w:szCs w:val="18"/>
              </w:rPr>
              <w:t>Gestoři odborných útvarů MMR ČR</w:t>
            </w:r>
          </w:p>
        </w:tc>
        <w:tc>
          <w:tcPr>
            <w:tcW w:w="2297" w:type="dxa"/>
            <w:shd w:val="clear" w:color="auto" w:fill="auto"/>
            <w:vAlign w:val="center"/>
            <w:hideMark/>
          </w:tcPr>
          <w:p w:rsidR="00341280" w:rsidRPr="00BE26CC" w:rsidRDefault="00341280" w:rsidP="00341280">
            <w:pPr>
              <w:rPr>
                <w:color w:val="000000"/>
                <w:sz w:val="18"/>
                <w:szCs w:val="18"/>
              </w:rPr>
            </w:pPr>
            <w:r w:rsidRPr="00BE26CC">
              <w:rPr>
                <w:color w:val="000000"/>
                <w:sz w:val="18"/>
                <w:szCs w:val="18"/>
              </w:rPr>
              <w:t>Odbor politiky bydlení</w:t>
            </w:r>
          </w:p>
        </w:tc>
        <w:tc>
          <w:tcPr>
            <w:tcW w:w="2154" w:type="dxa"/>
            <w:shd w:val="clear" w:color="auto" w:fill="auto"/>
            <w:vAlign w:val="center"/>
            <w:hideMark/>
          </w:tcPr>
          <w:p w:rsidR="00341280" w:rsidRPr="00BE26CC" w:rsidRDefault="00341280" w:rsidP="00341280">
            <w:pPr>
              <w:rPr>
                <w:color w:val="000000"/>
                <w:sz w:val="18"/>
                <w:szCs w:val="18"/>
              </w:rPr>
            </w:pPr>
            <w:r w:rsidRPr="00BE26CC">
              <w:rPr>
                <w:color w:val="000000"/>
                <w:sz w:val="18"/>
                <w:szCs w:val="18"/>
              </w:rPr>
              <w:t>Oddělení administrativy národních programů IOP</w:t>
            </w:r>
          </w:p>
        </w:tc>
        <w:tc>
          <w:tcPr>
            <w:tcW w:w="1579" w:type="dxa"/>
            <w:shd w:val="clear" w:color="auto" w:fill="auto"/>
            <w:noWrap/>
            <w:vAlign w:val="center"/>
          </w:tcPr>
          <w:p w:rsidR="00341280" w:rsidRPr="00BE26CC" w:rsidRDefault="00341280" w:rsidP="00341280">
            <w:pPr>
              <w:jc w:val="right"/>
              <w:rPr>
                <w:color w:val="000000"/>
                <w:sz w:val="18"/>
                <w:szCs w:val="18"/>
              </w:rPr>
            </w:pPr>
            <w:r w:rsidRPr="00BE26CC">
              <w:rPr>
                <w:color w:val="000000"/>
                <w:sz w:val="18"/>
                <w:szCs w:val="18"/>
              </w:rPr>
              <w:t>1,00</w:t>
            </w:r>
          </w:p>
        </w:tc>
        <w:tc>
          <w:tcPr>
            <w:tcW w:w="1436" w:type="dxa"/>
            <w:vMerge/>
            <w:vAlign w:val="center"/>
          </w:tcPr>
          <w:p w:rsidR="00341280" w:rsidRPr="00BE26CC" w:rsidRDefault="00341280" w:rsidP="00341280">
            <w:pPr>
              <w:rPr>
                <w:color w:val="000000"/>
                <w:sz w:val="18"/>
                <w:szCs w:val="18"/>
                <w:highlight w:val="yellow"/>
              </w:rPr>
            </w:pPr>
          </w:p>
        </w:tc>
      </w:tr>
      <w:tr w:rsidR="00341280" w:rsidRPr="00BE26CC" w:rsidTr="00341280">
        <w:trPr>
          <w:trHeight w:val="655"/>
          <w:jc w:val="center"/>
        </w:trPr>
        <w:tc>
          <w:tcPr>
            <w:tcW w:w="1595" w:type="dxa"/>
            <w:vMerge/>
            <w:shd w:val="clear" w:color="auto" w:fill="auto"/>
            <w:vAlign w:val="center"/>
            <w:hideMark/>
          </w:tcPr>
          <w:p w:rsidR="00341280" w:rsidRPr="00BE26CC" w:rsidRDefault="00341280" w:rsidP="00341280">
            <w:pPr>
              <w:rPr>
                <w:color w:val="000000"/>
                <w:sz w:val="18"/>
                <w:szCs w:val="18"/>
              </w:rPr>
            </w:pPr>
          </w:p>
        </w:tc>
        <w:tc>
          <w:tcPr>
            <w:tcW w:w="2297" w:type="dxa"/>
            <w:shd w:val="clear" w:color="auto" w:fill="auto"/>
            <w:vAlign w:val="center"/>
            <w:hideMark/>
          </w:tcPr>
          <w:p w:rsidR="00341280" w:rsidRPr="00BE26CC" w:rsidRDefault="00341280" w:rsidP="00341280">
            <w:pPr>
              <w:rPr>
                <w:color w:val="000000"/>
                <w:sz w:val="18"/>
                <w:szCs w:val="18"/>
              </w:rPr>
            </w:pPr>
            <w:r w:rsidRPr="00BE26CC">
              <w:rPr>
                <w:color w:val="000000"/>
                <w:sz w:val="18"/>
                <w:szCs w:val="18"/>
              </w:rPr>
              <w:t>Odbor personální</w:t>
            </w:r>
          </w:p>
        </w:tc>
        <w:tc>
          <w:tcPr>
            <w:tcW w:w="2154" w:type="dxa"/>
            <w:shd w:val="clear" w:color="auto" w:fill="auto"/>
            <w:vAlign w:val="center"/>
            <w:hideMark/>
          </w:tcPr>
          <w:p w:rsidR="00341280" w:rsidRPr="00BE26CC" w:rsidRDefault="00341280" w:rsidP="00341280">
            <w:pPr>
              <w:rPr>
                <w:color w:val="000000"/>
                <w:sz w:val="18"/>
                <w:szCs w:val="18"/>
              </w:rPr>
            </w:pPr>
            <w:r w:rsidRPr="00BE26CC">
              <w:rPr>
                <w:color w:val="000000"/>
                <w:sz w:val="18"/>
                <w:szCs w:val="18"/>
              </w:rPr>
              <w:t>Oddělení platů a personální evidence</w:t>
            </w:r>
          </w:p>
        </w:tc>
        <w:tc>
          <w:tcPr>
            <w:tcW w:w="1579" w:type="dxa"/>
            <w:shd w:val="clear" w:color="auto" w:fill="auto"/>
            <w:noWrap/>
            <w:vAlign w:val="center"/>
          </w:tcPr>
          <w:p w:rsidR="00341280" w:rsidRPr="00BE26CC" w:rsidRDefault="00341280" w:rsidP="00341280">
            <w:pPr>
              <w:jc w:val="right"/>
              <w:rPr>
                <w:color w:val="000000"/>
                <w:sz w:val="18"/>
                <w:szCs w:val="18"/>
              </w:rPr>
            </w:pPr>
            <w:r w:rsidRPr="00BE26CC">
              <w:rPr>
                <w:color w:val="000000"/>
                <w:sz w:val="18"/>
                <w:szCs w:val="18"/>
              </w:rPr>
              <w:t>0,40</w:t>
            </w:r>
          </w:p>
        </w:tc>
        <w:tc>
          <w:tcPr>
            <w:tcW w:w="1436" w:type="dxa"/>
            <w:vMerge/>
            <w:vAlign w:val="center"/>
          </w:tcPr>
          <w:p w:rsidR="00341280" w:rsidRPr="00BE26CC" w:rsidRDefault="00341280" w:rsidP="00341280">
            <w:pPr>
              <w:rPr>
                <w:color w:val="000000"/>
                <w:sz w:val="18"/>
                <w:szCs w:val="18"/>
                <w:highlight w:val="yellow"/>
              </w:rPr>
            </w:pPr>
          </w:p>
        </w:tc>
      </w:tr>
      <w:tr w:rsidR="00341280" w:rsidRPr="00BE26CC" w:rsidTr="00341280">
        <w:trPr>
          <w:trHeight w:val="615"/>
          <w:jc w:val="center"/>
        </w:trPr>
        <w:tc>
          <w:tcPr>
            <w:tcW w:w="1595" w:type="dxa"/>
            <w:shd w:val="clear" w:color="auto" w:fill="auto"/>
            <w:vAlign w:val="center"/>
          </w:tcPr>
          <w:p w:rsidR="00341280" w:rsidRPr="00BE26CC" w:rsidRDefault="00341280" w:rsidP="00341280">
            <w:pPr>
              <w:rPr>
                <w:color w:val="000000"/>
                <w:sz w:val="18"/>
                <w:szCs w:val="18"/>
              </w:rPr>
            </w:pPr>
            <w:r w:rsidRPr="00BE26CC">
              <w:rPr>
                <w:color w:val="000000"/>
                <w:sz w:val="18"/>
                <w:szCs w:val="18"/>
              </w:rPr>
              <w:t>Finanční útvar MMR</w:t>
            </w:r>
          </w:p>
        </w:tc>
        <w:tc>
          <w:tcPr>
            <w:tcW w:w="2297" w:type="dxa"/>
            <w:shd w:val="clear" w:color="auto" w:fill="auto"/>
            <w:vAlign w:val="center"/>
          </w:tcPr>
          <w:p w:rsidR="00341280" w:rsidRPr="00BE26CC" w:rsidRDefault="00341280" w:rsidP="00341280">
            <w:pPr>
              <w:rPr>
                <w:color w:val="000000"/>
                <w:sz w:val="18"/>
                <w:szCs w:val="18"/>
              </w:rPr>
            </w:pPr>
            <w:r w:rsidRPr="00BE26CC">
              <w:rPr>
                <w:color w:val="000000"/>
                <w:sz w:val="18"/>
                <w:szCs w:val="18"/>
              </w:rPr>
              <w:t>Odbor účetnictví a finančních služeb</w:t>
            </w:r>
          </w:p>
        </w:tc>
        <w:tc>
          <w:tcPr>
            <w:tcW w:w="2154" w:type="dxa"/>
            <w:shd w:val="clear" w:color="auto" w:fill="auto"/>
            <w:vAlign w:val="center"/>
          </w:tcPr>
          <w:p w:rsidR="00341280" w:rsidRPr="00BE26CC" w:rsidRDefault="00341280" w:rsidP="00341280">
            <w:pPr>
              <w:rPr>
                <w:color w:val="000000"/>
                <w:sz w:val="18"/>
                <w:szCs w:val="18"/>
              </w:rPr>
            </w:pPr>
            <w:r w:rsidRPr="00BE26CC">
              <w:rPr>
                <w:color w:val="000000"/>
                <w:sz w:val="18"/>
                <w:szCs w:val="18"/>
              </w:rPr>
              <w:t>Oddělení účtování evropských fondů a oddělení účtování kapitoly</w:t>
            </w:r>
          </w:p>
        </w:tc>
        <w:tc>
          <w:tcPr>
            <w:tcW w:w="1579" w:type="dxa"/>
            <w:shd w:val="clear" w:color="auto" w:fill="auto"/>
            <w:noWrap/>
            <w:vAlign w:val="center"/>
          </w:tcPr>
          <w:p w:rsidR="00341280" w:rsidRPr="00BE26CC" w:rsidRDefault="00341280" w:rsidP="00341280">
            <w:pPr>
              <w:jc w:val="right"/>
              <w:rPr>
                <w:color w:val="000000"/>
                <w:sz w:val="18"/>
                <w:szCs w:val="18"/>
              </w:rPr>
            </w:pPr>
            <w:r w:rsidRPr="00BE26CC">
              <w:rPr>
                <w:color w:val="000000"/>
                <w:sz w:val="18"/>
                <w:szCs w:val="18"/>
              </w:rPr>
              <w:t>3,20</w:t>
            </w:r>
          </w:p>
        </w:tc>
        <w:tc>
          <w:tcPr>
            <w:tcW w:w="1436" w:type="dxa"/>
            <w:vMerge/>
            <w:vAlign w:val="center"/>
          </w:tcPr>
          <w:p w:rsidR="00341280" w:rsidRPr="00BE26CC" w:rsidRDefault="00341280" w:rsidP="00341280">
            <w:pPr>
              <w:rPr>
                <w:color w:val="000000"/>
                <w:sz w:val="18"/>
                <w:szCs w:val="18"/>
                <w:highlight w:val="yellow"/>
              </w:rPr>
            </w:pPr>
          </w:p>
        </w:tc>
      </w:tr>
      <w:tr w:rsidR="00341280" w:rsidRPr="00BE26CC" w:rsidTr="00341280">
        <w:trPr>
          <w:trHeight w:val="300"/>
          <w:jc w:val="center"/>
        </w:trPr>
        <w:tc>
          <w:tcPr>
            <w:tcW w:w="1595" w:type="dxa"/>
            <w:vMerge w:val="restart"/>
            <w:shd w:val="clear" w:color="auto" w:fill="auto"/>
            <w:vAlign w:val="center"/>
            <w:hideMark/>
          </w:tcPr>
          <w:p w:rsidR="00341280" w:rsidRPr="00BE26CC" w:rsidRDefault="00341280" w:rsidP="00341280">
            <w:pPr>
              <w:rPr>
                <w:color w:val="000000"/>
                <w:sz w:val="18"/>
                <w:szCs w:val="18"/>
              </w:rPr>
            </w:pPr>
            <w:r w:rsidRPr="00BE26CC">
              <w:rPr>
                <w:color w:val="000000"/>
                <w:sz w:val="18"/>
                <w:szCs w:val="18"/>
              </w:rPr>
              <w:t>Ministerstvo zdravotnictví ČR</w:t>
            </w:r>
          </w:p>
        </w:tc>
        <w:tc>
          <w:tcPr>
            <w:tcW w:w="2297" w:type="dxa"/>
            <w:vMerge w:val="restart"/>
            <w:shd w:val="clear" w:color="auto" w:fill="auto"/>
            <w:vAlign w:val="center"/>
            <w:hideMark/>
          </w:tcPr>
          <w:p w:rsidR="00341280" w:rsidRPr="00BE26CC" w:rsidRDefault="00341280" w:rsidP="00341280">
            <w:pPr>
              <w:rPr>
                <w:color w:val="000000"/>
                <w:sz w:val="18"/>
                <w:szCs w:val="18"/>
              </w:rPr>
            </w:pPr>
            <w:r w:rsidRPr="00BE26CC">
              <w:rPr>
                <w:color w:val="000000"/>
                <w:sz w:val="18"/>
                <w:szCs w:val="18"/>
              </w:rPr>
              <w:t>Odbor evropských fondů</w:t>
            </w:r>
          </w:p>
        </w:tc>
        <w:tc>
          <w:tcPr>
            <w:tcW w:w="2154" w:type="dxa"/>
            <w:shd w:val="clear" w:color="auto" w:fill="auto"/>
            <w:vAlign w:val="center"/>
            <w:hideMark/>
          </w:tcPr>
          <w:p w:rsidR="00341280" w:rsidRPr="00BE26CC" w:rsidRDefault="00341280" w:rsidP="00341280">
            <w:pPr>
              <w:rPr>
                <w:color w:val="000000"/>
                <w:sz w:val="18"/>
                <w:szCs w:val="18"/>
              </w:rPr>
            </w:pPr>
            <w:r w:rsidRPr="00BE26CC">
              <w:rPr>
                <w:color w:val="000000"/>
                <w:sz w:val="18"/>
                <w:szCs w:val="18"/>
              </w:rPr>
              <w:t>Oddělení metodik</w:t>
            </w:r>
          </w:p>
        </w:tc>
        <w:tc>
          <w:tcPr>
            <w:tcW w:w="1579" w:type="dxa"/>
            <w:shd w:val="clear" w:color="auto" w:fill="auto"/>
            <w:noWrap/>
            <w:vAlign w:val="center"/>
          </w:tcPr>
          <w:p w:rsidR="00341280" w:rsidRPr="00BE26CC" w:rsidRDefault="00341280" w:rsidP="00341280">
            <w:pPr>
              <w:jc w:val="right"/>
              <w:rPr>
                <w:color w:val="000000"/>
                <w:sz w:val="18"/>
                <w:szCs w:val="18"/>
              </w:rPr>
            </w:pPr>
            <w:r w:rsidRPr="00BE26CC">
              <w:rPr>
                <w:color w:val="000000"/>
                <w:sz w:val="18"/>
                <w:szCs w:val="18"/>
              </w:rPr>
              <w:t>5,00</w:t>
            </w:r>
          </w:p>
        </w:tc>
        <w:tc>
          <w:tcPr>
            <w:tcW w:w="1436" w:type="dxa"/>
            <w:vMerge w:val="restart"/>
            <w:shd w:val="clear" w:color="auto" w:fill="auto"/>
            <w:noWrap/>
            <w:vAlign w:val="center"/>
          </w:tcPr>
          <w:p w:rsidR="00341280" w:rsidRPr="00BE26CC" w:rsidRDefault="00341280" w:rsidP="00341280">
            <w:pPr>
              <w:jc w:val="center"/>
              <w:rPr>
                <w:color w:val="000000"/>
                <w:sz w:val="18"/>
                <w:szCs w:val="18"/>
                <w:highlight w:val="yellow"/>
              </w:rPr>
            </w:pPr>
            <w:r w:rsidRPr="00BE26CC">
              <w:rPr>
                <w:color w:val="000000"/>
                <w:sz w:val="18"/>
                <w:szCs w:val="18"/>
              </w:rPr>
              <w:t>23,50</w:t>
            </w:r>
          </w:p>
        </w:tc>
      </w:tr>
      <w:tr w:rsidR="00341280" w:rsidRPr="00BE26CC" w:rsidTr="00341280">
        <w:trPr>
          <w:trHeight w:val="353"/>
          <w:jc w:val="center"/>
        </w:trPr>
        <w:tc>
          <w:tcPr>
            <w:tcW w:w="1595" w:type="dxa"/>
            <w:vMerge/>
            <w:vAlign w:val="center"/>
            <w:hideMark/>
          </w:tcPr>
          <w:p w:rsidR="00341280" w:rsidRPr="00BE26CC" w:rsidRDefault="00341280" w:rsidP="00341280">
            <w:pPr>
              <w:rPr>
                <w:color w:val="000000"/>
                <w:sz w:val="18"/>
                <w:szCs w:val="18"/>
              </w:rPr>
            </w:pPr>
          </w:p>
        </w:tc>
        <w:tc>
          <w:tcPr>
            <w:tcW w:w="2297" w:type="dxa"/>
            <w:vMerge/>
            <w:vAlign w:val="center"/>
            <w:hideMark/>
          </w:tcPr>
          <w:p w:rsidR="00341280" w:rsidRPr="00BE26CC" w:rsidRDefault="00341280" w:rsidP="00341280">
            <w:pPr>
              <w:rPr>
                <w:color w:val="000000"/>
                <w:sz w:val="18"/>
                <w:szCs w:val="18"/>
              </w:rPr>
            </w:pPr>
          </w:p>
        </w:tc>
        <w:tc>
          <w:tcPr>
            <w:tcW w:w="2154" w:type="dxa"/>
            <w:shd w:val="clear" w:color="auto" w:fill="auto"/>
            <w:vAlign w:val="center"/>
            <w:hideMark/>
          </w:tcPr>
          <w:p w:rsidR="00341280" w:rsidRPr="00BE26CC" w:rsidRDefault="00341280" w:rsidP="00341280">
            <w:pPr>
              <w:rPr>
                <w:color w:val="000000"/>
                <w:sz w:val="18"/>
                <w:szCs w:val="18"/>
              </w:rPr>
            </w:pPr>
            <w:r w:rsidRPr="00BE26CC">
              <w:rPr>
                <w:color w:val="000000"/>
                <w:sz w:val="18"/>
                <w:szCs w:val="18"/>
              </w:rPr>
              <w:t>Oddělení projektového řízení</w:t>
            </w:r>
          </w:p>
        </w:tc>
        <w:tc>
          <w:tcPr>
            <w:tcW w:w="1579" w:type="dxa"/>
            <w:shd w:val="clear" w:color="auto" w:fill="auto"/>
            <w:noWrap/>
            <w:vAlign w:val="center"/>
          </w:tcPr>
          <w:p w:rsidR="00341280" w:rsidRPr="00BE26CC" w:rsidRDefault="00341280" w:rsidP="00341280">
            <w:pPr>
              <w:jc w:val="right"/>
              <w:rPr>
                <w:color w:val="000000"/>
                <w:sz w:val="18"/>
                <w:szCs w:val="18"/>
              </w:rPr>
            </w:pPr>
            <w:r w:rsidRPr="00BE26CC">
              <w:rPr>
                <w:color w:val="000000"/>
                <w:sz w:val="18"/>
                <w:szCs w:val="18"/>
              </w:rPr>
              <w:t>4,00</w:t>
            </w:r>
          </w:p>
        </w:tc>
        <w:tc>
          <w:tcPr>
            <w:tcW w:w="1436" w:type="dxa"/>
            <w:vMerge/>
            <w:vAlign w:val="center"/>
          </w:tcPr>
          <w:p w:rsidR="00341280" w:rsidRPr="00BE26CC" w:rsidRDefault="00341280" w:rsidP="00341280">
            <w:pPr>
              <w:rPr>
                <w:color w:val="000000"/>
                <w:sz w:val="18"/>
                <w:szCs w:val="18"/>
                <w:highlight w:val="yellow"/>
              </w:rPr>
            </w:pPr>
          </w:p>
        </w:tc>
      </w:tr>
      <w:tr w:rsidR="00341280" w:rsidRPr="00BE26CC" w:rsidTr="00341280">
        <w:trPr>
          <w:trHeight w:val="416"/>
          <w:jc w:val="center"/>
        </w:trPr>
        <w:tc>
          <w:tcPr>
            <w:tcW w:w="1595" w:type="dxa"/>
            <w:vMerge/>
            <w:vAlign w:val="center"/>
            <w:hideMark/>
          </w:tcPr>
          <w:p w:rsidR="00341280" w:rsidRPr="00BE26CC" w:rsidRDefault="00341280" w:rsidP="00341280">
            <w:pPr>
              <w:rPr>
                <w:color w:val="000000"/>
                <w:sz w:val="18"/>
                <w:szCs w:val="18"/>
              </w:rPr>
            </w:pPr>
          </w:p>
        </w:tc>
        <w:tc>
          <w:tcPr>
            <w:tcW w:w="2297" w:type="dxa"/>
            <w:vMerge/>
            <w:vAlign w:val="center"/>
            <w:hideMark/>
          </w:tcPr>
          <w:p w:rsidR="00341280" w:rsidRPr="00BE26CC" w:rsidRDefault="00341280" w:rsidP="00341280">
            <w:pPr>
              <w:rPr>
                <w:color w:val="000000"/>
                <w:sz w:val="18"/>
                <w:szCs w:val="18"/>
              </w:rPr>
            </w:pPr>
          </w:p>
        </w:tc>
        <w:tc>
          <w:tcPr>
            <w:tcW w:w="2154" w:type="dxa"/>
            <w:shd w:val="clear" w:color="auto" w:fill="auto"/>
            <w:vAlign w:val="center"/>
            <w:hideMark/>
          </w:tcPr>
          <w:p w:rsidR="00341280" w:rsidRPr="00BE26CC" w:rsidRDefault="00341280" w:rsidP="00341280">
            <w:pPr>
              <w:rPr>
                <w:color w:val="000000"/>
                <w:sz w:val="18"/>
                <w:szCs w:val="18"/>
              </w:rPr>
            </w:pPr>
            <w:r w:rsidRPr="00BE26CC">
              <w:rPr>
                <w:color w:val="000000"/>
                <w:sz w:val="18"/>
                <w:szCs w:val="18"/>
              </w:rPr>
              <w:t>Oddělení financování projektů</w:t>
            </w:r>
          </w:p>
        </w:tc>
        <w:tc>
          <w:tcPr>
            <w:tcW w:w="1579" w:type="dxa"/>
            <w:shd w:val="clear" w:color="auto" w:fill="auto"/>
            <w:noWrap/>
            <w:vAlign w:val="center"/>
          </w:tcPr>
          <w:p w:rsidR="00341280" w:rsidRPr="00BE26CC" w:rsidRDefault="00341280" w:rsidP="00341280">
            <w:pPr>
              <w:jc w:val="right"/>
              <w:rPr>
                <w:color w:val="000000"/>
                <w:sz w:val="18"/>
                <w:szCs w:val="18"/>
              </w:rPr>
            </w:pPr>
            <w:r w:rsidRPr="00BE26CC">
              <w:rPr>
                <w:color w:val="000000"/>
                <w:sz w:val="18"/>
                <w:szCs w:val="18"/>
              </w:rPr>
              <w:t>5,00</w:t>
            </w:r>
          </w:p>
        </w:tc>
        <w:tc>
          <w:tcPr>
            <w:tcW w:w="1436" w:type="dxa"/>
            <w:vMerge/>
            <w:vAlign w:val="center"/>
          </w:tcPr>
          <w:p w:rsidR="00341280" w:rsidRPr="00BE26CC" w:rsidRDefault="00341280" w:rsidP="00341280">
            <w:pPr>
              <w:rPr>
                <w:color w:val="000000"/>
                <w:sz w:val="18"/>
                <w:szCs w:val="18"/>
                <w:highlight w:val="yellow"/>
              </w:rPr>
            </w:pPr>
          </w:p>
        </w:tc>
      </w:tr>
      <w:tr w:rsidR="00341280" w:rsidRPr="00BE26CC" w:rsidTr="00341280">
        <w:trPr>
          <w:trHeight w:val="601"/>
          <w:jc w:val="center"/>
        </w:trPr>
        <w:tc>
          <w:tcPr>
            <w:tcW w:w="1595" w:type="dxa"/>
            <w:vMerge/>
            <w:vAlign w:val="center"/>
            <w:hideMark/>
          </w:tcPr>
          <w:p w:rsidR="00341280" w:rsidRPr="00BE26CC" w:rsidRDefault="00341280" w:rsidP="00341280">
            <w:pPr>
              <w:rPr>
                <w:color w:val="000000"/>
                <w:sz w:val="18"/>
                <w:szCs w:val="18"/>
              </w:rPr>
            </w:pPr>
          </w:p>
        </w:tc>
        <w:tc>
          <w:tcPr>
            <w:tcW w:w="2297" w:type="dxa"/>
            <w:vMerge/>
            <w:vAlign w:val="center"/>
            <w:hideMark/>
          </w:tcPr>
          <w:p w:rsidR="00341280" w:rsidRPr="00BE26CC" w:rsidRDefault="00341280" w:rsidP="00341280">
            <w:pPr>
              <w:rPr>
                <w:color w:val="000000"/>
                <w:sz w:val="18"/>
                <w:szCs w:val="18"/>
              </w:rPr>
            </w:pPr>
          </w:p>
        </w:tc>
        <w:tc>
          <w:tcPr>
            <w:tcW w:w="2154" w:type="dxa"/>
            <w:shd w:val="clear" w:color="auto" w:fill="auto"/>
            <w:vAlign w:val="center"/>
            <w:hideMark/>
          </w:tcPr>
          <w:p w:rsidR="00341280" w:rsidRPr="00BE26CC" w:rsidRDefault="00341280" w:rsidP="00341280">
            <w:pPr>
              <w:rPr>
                <w:color w:val="000000"/>
                <w:sz w:val="18"/>
                <w:szCs w:val="18"/>
              </w:rPr>
            </w:pPr>
            <w:r w:rsidRPr="00BE26CC">
              <w:rPr>
                <w:color w:val="000000"/>
                <w:sz w:val="18"/>
                <w:szCs w:val="18"/>
              </w:rPr>
              <w:t>Oddělení monitoringu, kontroly a technické pomoci</w:t>
            </w:r>
          </w:p>
        </w:tc>
        <w:tc>
          <w:tcPr>
            <w:tcW w:w="1579" w:type="dxa"/>
            <w:shd w:val="clear" w:color="auto" w:fill="auto"/>
            <w:noWrap/>
            <w:vAlign w:val="center"/>
          </w:tcPr>
          <w:p w:rsidR="00341280" w:rsidRPr="00BE26CC" w:rsidRDefault="00341280" w:rsidP="00341280">
            <w:pPr>
              <w:jc w:val="right"/>
              <w:rPr>
                <w:color w:val="000000"/>
                <w:sz w:val="18"/>
                <w:szCs w:val="18"/>
              </w:rPr>
            </w:pPr>
            <w:r w:rsidRPr="00BE26CC">
              <w:rPr>
                <w:color w:val="000000"/>
                <w:sz w:val="18"/>
                <w:szCs w:val="18"/>
              </w:rPr>
              <w:t>6,00</w:t>
            </w:r>
          </w:p>
        </w:tc>
        <w:tc>
          <w:tcPr>
            <w:tcW w:w="1436" w:type="dxa"/>
            <w:vMerge/>
            <w:vAlign w:val="center"/>
          </w:tcPr>
          <w:p w:rsidR="00341280" w:rsidRPr="00BE26CC" w:rsidRDefault="00341280" w:rsidP="00341280">
            <w:pPr>
              <w:rPr>
                <w:color w:val="000000"/>
                <w:sz w:val="18"/>
                <w:szCs w:val="18"/>
                <w:highlight w:val="yellow"/>
              </w:rPr>
            </w:pPr>
          </w:p>
        </w:tc>
      </w:tr>
      <w:tr w:rsidR="00341280" w:rsidRPr="00BE26CC" w:rsidTr="00341280">
        <w:trPr>
          <w:trHeight w:val="536"/>
          <w:jc w:val="center"/>
        </w:trPr>
        <w:tc>
          <w:tcPr>
            <w:tcW w:w="1595" w:type="dxa"/>
            <w:vMerge/>
            <w:vAlign w:val="center"/>
            <w:hideMark/>
          </w:tcPr>
          <w:p w:rsidR="00341280" w:rsidRPr="00BE26CC" w:rsidRDefault="00341280" w:rsidP="00341280">
            <w:pPr>
              <w:rPr>
                <w:color w:val="000000"/>
                <w:sz w:val="18"/>
                <w:szCs w:val="18"/>
              </w:rPr>
            </w:pPr>
          </w:p>
        </w:tc>
        <w:tc>
          <w:tcPr>
            <w:tcW w:w="2297" w:type="dxa"/>
            <w:vMerge/>
            <w:vAlign w:val="center"/>
            <w:hideMark/>
          </w:tcPr>
          <w:p w:rsidR="00341280" w:rsidRPr="00BE26CC" w:rsidRDefault="00341280" w:rsidP="00341280">
            <w:pPr>
              <w:rPr>
                <w:color w:val="000000"/>
                <w:sz w:val="18"/>
                <w:szCs w:val="18"/>
              </w:rPr>
            </w:pPr>
          </w:p>
        </w:tc>
        <w:tc>
          <w:tcPr>
            <w:tcW w:w="2154" w:type="dxa"/>
            <w:shd w:val="clear" w:color="auto" w:fill="auto"/>
            <w:vAlign w:val="center"/>
            <w:hideMark/>
          </w:tcPr>
          <w:p w:rsidR="00341280" w:rsidRPr="00BE26CC" w:rsidRDefault="00341280" w:rsidP="00341280">
            <w:pPr>
              <w:rPr>
                <w:color w:val="000000"/>
                <w:sz w:val="18"/>
                <w:szCs w:val="18"/>
              </w:rPr>
            </w:pPr>
            <w:r w:rsidRPr="00BE26CC">
              <w:rPr>
                <w:color w:val="000000"/>
                <w:sz w:val="18"/>
                <w:szCs w:val="18"/>
              </w:rPr>
              <w:t>Ředitel, asistentka, administrativní pracovnice</w:t>
            </w:r>
          </w:p>
        </w:tc>
        <w:tc>
          <w:tcPr>
            <w:tcW w:w="1579" w:type="dxa"/>
            <w:shd w:val="clear" w:color="auto" w:fill="auto"/>
            <w:noWrap/>
            <w:vAlign w:val="center"/>
          </w:tcPr>
          <w:p w:rsidR="00341280" w:rsidRPr="00BE26CC" w:rsidRDefault="00341280" w:rsidP="00341280">
            <w:pPr>
              <w:jc w:val="right"/>
              <w:rPr>
                <w:color w:val="000000"/>
                <w:sz w:val="18"/>
                <w:szCs w:val="18"/>
              </w:rPr>
            </w:pPr>
            <w:r w:rsidRPr="00BE26CC">
              <w:rPr>
                <w:color w:val="000000"/>
                <w:sz w:val="18"/>
                <w:szCs w:val="18"/>
              </w:rPr>
              <w:t>3,50</w:t>
            </w:r>
          </w:p>
        </w:tc>
        <w:tc>
          <w:tcPr>
            <w:tcW w:w="1436" w:type="dxa"/>
            <w:vMerge/>
            <w:vAlign w:val="center"/>
          </w:tcPr>
          <w:p w:rsidR="00341280" w:rsidRPr="00BE26CC" w:rsidRDefault="00341280" w:rsidP="00341280">
            <w:pPr>
              <w:rPr>
                <w:color w:val="000000"/>
                <w:sz w:val="18"/>
                <w:szCs w:val="18"/>
                <w:highlight w:val="yellow"/>
              </w:rPr>
            </w:pPr>
          </w:p>
        </w:tc>
      </w:tr>
      <w:tr w:rsidR="00341280" w:rsidRPr="00BE26CC" w:rsidTr="00341280">
        <w:trPr>
          <w:trHeight w:val="300"/>
          <w:jc w:val="center"/>
        </w:trPr>
        <w:tc>
          <w:tcPr>
            <w:tcW w:w="1595" w:type="dxa"/>
            <w:vMerge w:val="restart"/>
            <w:shd w:val="clear" w:color="auto" w:fill="auto"/>
            <w:vAlign w:val="center"/>
            <w:hideMark/>
          </w:tcPr>
          <w:p w:rsidR="00341280" w:rsidRPr="00BE26CC" w:rsidRDefault="00341280" w:rsidP="00341280">
            <w:pPr>
              <w:rPr>
                <w:color w:val="000000"/>
                <w:sz w:val="18"/>
                <w:szCs w:val="18"/>
              </w:rPr>
            </w:pPr>
            <w:r w:rsidRPr="00BE26CC">
              <w:rPr>
                <w:color w:val="000000"/>
                <w:sz w:val="18"/>
                <w:szCs w:val="18"/>
              </w:rPr>
              <w:t>Ministerstvo vnitra ČR</w:t>
            </w:r>
          </w:p>
        </w:tc>
        <w:tc>
          <w:tcPr>
            <w:tcW w:w="2297" w:type="dxa"/>
            <w:vMerge w:val="restart"/>
            <w:shd w:val="clear" w:color="auto" w:fill="auto"/>
            <w:vAlign w:val="center"/>
            <w:hideMark/>
          </w:tcPr>
          <w:p w:rsidR="00341280" w:rsidRPr="00BE26CC" w:rsidRDefault="00341280" w:rsidP="00341280">
            <w:pPr>
              <w:rPr>
                <w:sz w:val="18"/>
                <w:szCs w:val="18"/>
              </w:rPr>
            </w:pPr>
            <w:r w:rsidRPr="00BE26CC">
              <w:rPr>
                <w:sz w:val="18"/>
                <w:szCs w:val="18"/>
              </w:rPr>
              <w:t>OSF</w:t>
            </w:r>
          </w:p>
          <w:p w:rsidR="00341280" w:rsidRPr="00BE26CC" w:rsidRDefault="00341280" w:rsidP="00341280">
            <w:pPr>
              <w:rPr>
                <w:sz w:val="18"/>
                <w:szCs w:val="18"/>
              </w:rPr>
            </w:pPr>
          </w:p>
          <w:p w:rsidR="00341280" w:rsidRPr="00BE26CC" w:rsidRDefault="00341280" w:rsidP="00341280">
            <w:pPr>
              <w:rPr>
                <w:sz w:val="18"/>
                <w:szCs w:val="18"/>
              </w:rPr>
            </w:pPr>
          </w:p>
        </w:tc>
        <w:tc>
          <w:tcPr>
            <w:tcW w:w="2154" w:type="dxa"/>
            <w:shd w:val="clear" w:color="auto" w:fill="auto"/>
            <w:vAlign w:val="center"/>
            <w:hideMark/>
          </w:tcPr>
          <w:p w:rsidR="00341280" w:rsidRPr="00BE26CC" w:rsidRDefault="00341280" w:rsidP="00341280">
            <w:pPr>
              <w:rPr>
                <w:color w:val="000000"/>
                <w:sz w:val="18"/>
                <w:szCs w:val="18"/>
              </w:rPr>
            </w:pPr>
          </w:p>
          <w:p w:rsidR="00341280" w:rsidRPr="00BE26CC" w:rsidRDefault="00341280" w:rsidP="00341280">
            <w:pPr>
              <w:rPr>
                <w:sz w:val="18"/>
                <w:szCs w:val="18"/>
              </w:rPr>
            </w:pPr>
            <w:r w:rsidRPr="00BE26CC">
              <w:rPr>
                <w:color w:val="000000"/>
                <w:sz w:val="18"/>
                <w:szCs w:val="18"/>
              </w:rPr>
              <w:t>Oddělení publicity a TP + ředitel</w:t>
            </w:r>
          </w:p>
        </w:tc>
        <w:tc>
          <w:tcPr>
            <w:tcW w:w="1579" w:type="dxa"/>
            <w:shd w:val="clear" w:color="auto" w:fill="auto"/>
            <w:noWrap/>
            <w:vAlign w:val="center"/>
          </w:tcPr>
          <w:p w:rsidR="00341280" w:rsidRPr="00BE26CC" w:rsidRDefault="00341280" w:rsidP="00341280">
            <w:pPr>
              <w:jc w:val="right"/>
              <w:rPr>
                <w:sz w:val="18"/>
                <w:szCs w:val="18"/>
              </w:rPr>
            </w:pPr>
            <w:r w:rsidRPr="00BE26CC">
              <w:rPr>
                <w:sz w:val="18"/>
                <w:szCs w:val="18"/>
              </w:rPr>
              <w:t>6,01</w:t>
            </w:r>
          </w:p>
        </w:tc>
        <w:tc>
          <w:tcPr>
            <w:tcW w:w="1436" w:type="dxa"/>
            <w:vMerge w:val="restart"/>
            <w:shd w:val="clear" w:color="auto" w:fill="auto"/>
            <w:noWrap/>
            <w:vAlign w:val="center"/>
          </w:tcPr>
          <w:p w:rsidR="00341280" w:rsidRPr="00BE26CC" w:rsidRDefault="00341280" w:rsidP="00341280">
            <w:pPr>
              <w:jc w:val="center"/>
              <w:rPr>
                <w:sz w:val="18"/>
                <w:szCs w:val="18"/>
              </w:rPr>
            </w:pPr>
            <w:r w:rsidRPr="00BE26CC">
              <w:rPr>
                <w:sz w:val="18"/>
                <w:szCs w:val="18"/>
              </w:rPr>
              <w:t>23,26</w:t>
            </w:r>
          </w:p>
        </w:tc>
      </w:tr>
      <w:tr w:rsidR="00341280" w:rsidRPr="00BE26CC" w:rsidTr="00341280">
        <w:trPr>
          <w:trHeight w:val="300"/>
          <w:jc w:val="center"/>
        </w:trPr>
        <w:tc>
          <w:tcPr>
            <w:tcW w:w="1595" w:type="dxa"/>
            <w:vMerge/>
            <w:vAlign w:val="center"/>
            <w:hideMark/>
          </w:tcPr>
          <w:p w:rsidR="00341280" w:rsidRPr="00BE26CC" w:rsidRDefault="00341280" w:rsidP="00341280">
            <w:pPr>
              <w:rPr>
                <w:color w:val="000000"/>
                <w:sz w:val="18"/>
                <w:szCs w:val="18"/>
              </w:rPr>
            </w:pPr>
          </w:p>
        </w:tc>
        <w:tc>
          <w:tcPr>
            <w:tcW w:w="2297" w:type="dxa"/>
            <w:vMerge/>
            <w:shd w:val="clear" w:color="auto" w:fill="auto"/>
            <w:vAlign w:val="center"/>
            <w:hideMark/>
          </w:tcPr>
          <w:p w:rsidR="00341280" w:rsidRPr="00BE26CC" w:rsidRDefault="00341280" w:rsidP="00341280">
            <w:pPr>
              <w:rPr>
                <w:sz w:val="18"/>
                <w:szCs w:val="18"/>
              </w:rPr>
            </w:pPr>
          </w:p>
        </w:tc>
        <w:tc>
          <w:tcPr>
            <w:tcW w:w="2154" w:type="dxa"/>
            <w:shd w:val="clear" w:color="auto" w:fill="auto"/>
            <w:vAlign w:val="center"/>
            <w:hideMark/>
          </w:tcPr>
          <w:p w:rsidR="00341280" w:rsidRPr="00BE26CC" w:rsidRDefault="00341280" w:rsidP="00341280">
            <w:pPr>
              <w:rPr>
                <w:sz w:val="18"/>
                <w:szCs w:val="18"/>
              </w:rPr>
            </w:pPr>
            <w:r w:rsidRPr="00BE26CC">
              <w:rPr>
                <w:color w:val="000000"/>
                <w:sz w:val="18"/>
                <w:szCs w:val="18"/>
              </w:rPr>
              <w:t>Metodik a hodnocení projektu</w:t>
            </w:r>
          </w:p>
        </w:tc>
        <w:tc>
          <w:tcPr>
            <w:tcW w:w="1579" w:type="dxa"/>
            <w:shd w:val="clear" w:color="auto" w:fill="auto"/>
            <w:noWrap/>
            <w:vAlign w:val="center"/>
          </w:tcPr>
          <w:p w:rsidR="00341280" w:rsidRPr="00BE26CC" w:rsidRDefault="00341280" w:rsidP="00341280">
            <w:pPr>
              <w:jc w:val="right"/>
              <w:rPr>
                <w:sz w:val="18"/>
                <w:szCs w:val="18"/>
              </w:rPr>
            </w:pPr>
            <w:r w:rsidRPr="00BE26CC">
              <w:rPr>
                <w:sz w:val="18"/>
                <w:szCs w:val="18"/>
              </w:rPr>
              <w:t>1,26</w:t>
            </w:r>
          </w:p>
        </w:tc>
        <w:tc>
          <w:tcPr>
            <w:tcW w:w="1436" w:type="dxa"/>
            <w:vMerge/>
            <w:vAlign w:val="center"/>
          </w:tcPr>
          <w:p w:rsidR="00341280" w:rsidRPr="00BE26CC" w:rsidRDefault="00341280" w:rsidP="00341280">
            <w:pPr>
              <w:rPr>
                <w:sz w:val="18"/>
                <w:szCs w:val="18"/>
              </w:rPr>
            </w:pPr>
          </w:p>
        </w:tc>
      </w:tr>
      <w:tr w:rsidR="00341280" w:rsidRPr="00BE26CC" w:rsidTr="00341280">
        <w:trPr>
          <w:trHeight w:val="300"/>
          <w:jc w:val="center"/>
        </w:trPr>
        <w:tc>
          <w:tcPr>
            <w:tcW w:w="1595" w:type="dxa"/>
            <w:vMerge/>
            <w:vAlign w:val="center"/>
            <w:hideMark/>
          </w:tcPr>
          <w:p w:rsidR="00341280" w:rsidRPr="00BE26CC" w:rsidRDefault="00341280" w:rsidP="00341280">
            <w:pPr>
              <w:rPr>
                <w:color w:val="000000"/>
                <w:sz w:val="18"/>
                <w:szCs w:val="18"/>
              </w:rPr>
            </w:pPr>
          </w:p>
        </w:tc>
        <w:tc>
          <w:tcPr>
            <w:tcW w:w="2297" w:type="dxa"/>
            <w:vMerge/>
            <w:shd w:val="clear" w:color="auto" w:fill="auto"/>
            <w:vAlign w:val="center"/>
            <w:hideMark/>
          </w:tcPr>
          <w:p w:rsidR="00341280" w:rsidRPr="00BE26CC" w:rsidRDefault="00341280" w:rsidP="00341280">
            <w:pPr>
              <w:rPr>
                <w:sz w:val="18"/>
                <w:szCs w:val="18"/>
              </w:rPr>
            </w:pPr>
          </w:p>
        </w:tc>
        <w:tc>
          <w:tcPr>
            <w:tcW w:w="2154" w:type="dxa"/>
            <w:shd w:val="clear" w:color="auto" w:fill="auto"/>
            <w:vAlign w:val="center"/>
            <w:hideMark/>
          </w:tcPr>
          <w:p w:rsidR="00341280" w:rsidRPr="00BE26CC" w:rsidRDefault="00341280" w:rsidP="00341280">
            <w:pPr>
              <w:rPr>
                <w:sz w:val="18"/>
                <w:szCs w:val="18"/>
              </w:rPr>
            </w:pPr>
            <w:r w:rsidRPr="00BE26CC">
              <w:rPr>
                <w:color w:val="000000"/>
                <w:sz w:val="18"/>
                <w:szCs w:val="18"/>
              </w:rPr>
              <w:t xml:space="preserve">Realizace IOP </w:t>
            </w:r>
          </w:p>
        </w:tc>
        <w:tc>
          <w:tcPr>
            <w:tcW w:w="1579" w:type="dxa"/>
            <w:shd w:val="clear" w:color="auto" w:fill="auto"/>
            <w:noWrap/>
            <w:vAlign w:val="center"/>
          </w:tcPr>
          <w:p w:rsidR="00341280" w:rsidRPr="00BE26CC" w:rsidRDefault="00341280" w:rsidP="00341280">
            <w:pPr>
              <w:jc w:val="right"/>
              <w:rPr>
                <w:sz w:val="18"/>
                <w:szCs w:val="18"/>
              </w:rPr>
            </w:pPr>
            <w:r w:rsidRPr="00BE26CC">
              <w:rPr>
                <w:sz w:val="18"/>
                <w:szCs w:val="18"/>
              </w:rPr>
              <w:t>9,38</w:t>
            </w:r>
          </w:p>
        </w:tc>
        <w:tc>
          <w:tcPr>
            <w:tcW w:w="1436" w:type="dxa"/>
            <w:vMerge/>
            <w:vAlign w:val="center"/>
          </w:tcPr>
          <w:p w:rsidR="00341280" w:rsidRPr="00BE26CC" w:rsidRDefault="00341280" w:rsidP="00341280">
            <w:pPr>
              <w:rPr>
                <w:sz w:val="18"/>
                <w:szCs w:val="18"/>
              </w:rPr>
            </w:pPr>
          </w:p>
        </w:tc>
      </w:tr>
      <w:tr w:rsidR="00341280" w:rsidRPr="00BE26CC" w:rsidTr="00341280">
        <w:trPr>
          <w:trHeight w:val="300"/>
          <w:jc w:val="center"/>
        </w:trPr>
        <w:tc>
          <w:tcPr>
            <w:tcW w:w="1595" w:type="dxa"/>
            <w:vMerge/>
            <w:vAlign w:val="center"/>
            <w:hideMark/>
          </w:tcPr>
          <w:p w:rsidR="00341280" w:rsidRPr="00BE26CC" w:rsidRDefault="00341280" w:rsidP="00341280">
            <w:pPr>
              <w:rPr>
                <w:color w:val="000000"/>
                <w:sz w:val="18"/>
                <w:szCs w:val="18"/>
              </w:rPr>
            </w:pPr>
          </w:p>
        </w:tc>
        <w:tc>
          <w:tcPr>
            <w:tcW w:w="2297" w:type="dxa"/>
            <w:vMerge/>
            <w:shd w:val="clear" w:color="auto" w:fill="auto"/>
            <w:vAlign w:val="center"/>
            <w:hideMark/>
          </w:tcPr>
          <w:p w:rsidR="00341280" w:rsidRPr="00BE26CC" w:rsidRDefault="00341280" w:rsidP="00341280">
            <w:pPr>
              <w:rPr>
                <w:sz w:val="18"/>
                <w:szCs w:val="18"/>
              </w:rPr>
            </w:pPr>
          </w:p>
        </w:tc>
        <w:tc>
          <w:tcPr>
            <w:tcW w:w="2154" w:type="dxa"/>
            <w:shd w:val="clear" w:color="auto" w:fill="auto"/>
            <w:vAlign w:val="center"/>
            <w:hideMark/>
          </w:tcPr>
          <w:p w:rsidR="00341280" w:rsidRPr="00BE26CC" w:rsidRDefault="00341280" w:rsidP="00341280">
            <w:pPr>
              <w:rPr>
                <w:sz w:val="18"/>
                <w:szCs w:val="18"/>
              </w:rPr>
            </w:pPr>
            <w:r w:rsidRPr="00BE26CC">
              <w:rPr>
                <w:color w:val="000000"/>
                <w:sz w:val="18"/>
                <w:szCs w:val="18"/>
              </w:rPr>
              <w:t xml:space="preserve">Kontroly projektů </w:t>
            </w:r>
          </w:p>
        </w:tc>
        <w:tc>
          <w:tcPr>
            <w:tcW w:w="1579" w:type="dxa"/>
            <w:shd w:val="clear" w:color="auto" w:fill="auto"/>
            <w:noWrap/>
            <w:vAlign w:val="center"/>
          </w:tcPr>
          <w:p w:rsidR="00341280" w:rsidRPr="00BE26CC" w:rsidRDefault="00341280" w:rsidP="00341280">
            <w:pPr>
              <w:jc w:val="right"/>
              <w:rPr>
                <w:sz w:val="18"/>
                <w:szCs w:val="18"/>
              </w:rPr>
            </w:pPr>
            <w:r w:rsidRPr="00BE26CC">
              <w:rPr>
                <w:sz w:val="18"/>
                <w:szCs w:val="18"/>
              </w:rPr>
              <w:t>5,57</w:t>
            </w:r>
          </w:p>
        </w:tc>
        <w:tc>
          <w:tcPr>
            <w:tcW w:w="1436" w:type="dxa"/>
            <w:vMerge/>
            <w:vAlign w:val="center"/>
          </w:tcPr>
          <w:p w:rsidR="00341280" w:rsidRPr="00BE26CC" w:rsidRDefault="00341280" w:rsidP="00341280">
            <w:pPr>
              <w:rPr>
                <w:sz w:val="18"/>
                <w:szCs w:val="18"/>
              </w:rPr>
            </w:pPr>
          </w:p>
        </w:tc>
      </w:tr>
      <w:tr w:rsidR="00341280" w:rsidRPr="00BE26CC" w:rsidTr="00341280">
        <w:trPr>
          <w:trHeight w:val="348"/>
          <w:jc w:val="center"/>
        </w:trPr>
        <w:tc>
          <w:tcPr>
            <w:tcW w:w="1595" w:type="dxa"/>
            <w:vMerge/>
            <w:vAlign w:val="center"/>
            <w:hideMark/>
          </w:tcPr>
          <w:p w:rsidR="00341280" w:rsidRPr="00BE26CC" w:rsidRDefault="00341280" w:rsidP="00341280">
            <w:pPr>
              <w:rPr>
                <w:color w:val="000000"/>
                <w:sz w:val="18"/>
                <w:szCs w:val="18"/>
              </w:rPr>
            </w:pPr>
          </w:p>
        </w:tc>
        <w:tc>
          <w:tcPr>
            <w:tcW w:w="2297" w:type="dxa"/>
            <w:shd w:val="clear" w:color="auto" w:fill="auto"/>
            <w:vAlign w:val="center"/>
            <w:hideMark/>
          </w:tcPr>
          <w:p w:rsidR="00341280" w:rsidRPr="00BE26CC" w:rsidRDefault="00341280" w:rsidP="00341280">
            <w:pPr>
              <w:rPr>
                <w:sz w:val="18"/>
                <w:szCs w:val="18"/>
              </w:rPr>
            </w:pPr>
            <w:r w:rsidRPr="00BE26CC">
              <w:rPr>
                <w:sz w:val="18"/>
                <w:szCs w:val="18"/>
              </w:rPr>
              <w:t>Ekonomický odbor MV ČR</w:t>
            </w:r>
          </w:p>
        </w:tc>
        <w:tc>
          <w:tcPr>
            <w:tcW w:w="2154" w:type="dxa"/>
            <w:shd w:val="clear" w:color="auto" w:fill="auto"/>
            <w:vAlign w:val="center"/>
            <w:hideMark/>
          </w:tcPr>
          <w:p w:rsidR="00341280" w:rsidRPr="00BE26CC" w:rsidRDefault="00341280" w:rsidP="00341280">
            <w:pPr>
              <w:rPr>
                <w:sz w:val="18"/>
                <w:szCs w:val="18"/>
              </w:rPr>
            </w:pPr>
            <w:r w:rsidRPr="00BE26CC">
              <w:rPr>
                <w:color w:val="000000"/>
                <w:sz w:val="18"/>
                <w:szCs w:val="18"/>
              </w:rPr>
              <w:t>Finančního řízení plateb</w:t>
            </w:r>
          </w:p>
        </w:tc>
        <w:tc>
          <w:tcPr>
            <w:tcW w:w="1579" w:type="dxa"/>
            <w:shd w:val="clear" w:color="auto" w:fill="auto"/>
            <w:noWrap/>
            <w:vAlign w:val="center"/>
          </w:tcPr>
          <w:p w:rsidR="00341280" w:rsidRPr="00BE26CC" w:rsidRDefault="00341280" w:rsidP="00341280">
            <w:pPr>
              <w:jc w:val="right"/>
              <w:rPr>
                <w:sz w:val="18"/>
                <w:szCs w:val="18"/>
              </w:rPr>
            </w:pPr>
            <w:r w:rsidRPr="00BE26CC">
              <w:rPr>
                <w:sz w:val="18"/>
                <w:szCs w:val="18"/>
              </w:rPr>
              <w:t>1,04</w:t>
            </w:r>
          </w:p>
        </w:tc>
        <w:tc>
          <w:tcPr>
            <w:tcW w:w="1436" w:type="dxa"/>
            <w:vMerge/>
            <w:vAlign w:val="center"/>
          </w:tcPr>
          <w:p w:rsidR="00341280" w:rsidRPr="00BE26CC" w:rsidRDefault="00341280" w:rsidP="00341280">
            <w:pPr>
              <w:rPr>
                <w:sz w:val="18"/>
                <w:szCs w:val="18"/>
              </w:rPr>
            </w:pPr>
          </w:p>
        </w:tc>
      </w:tr>
      <w:tr w:rsidR="00341280" w:rsidRPr="00BE26CC" w:rsidTr="00341280">
        <w:trPr>
          <w:trHeight w:val="359"/>
          <w:jc w:val="center"/>
        </w:trPr>
        <w:tc>
          <w:tcPr>
            <w:tcW w:w="1595" w:type="dxa"/>
            <w:vMerge w:val="restart"/>
            <w:shd w:val="clear" w:color="auto" w:fill="auto"/>
            <w:vAlign w:val="center"/>
            <w:hideMark/>
          </w:tcPr>
          <w:p w:rsidR="00341280" w:rsidRPr="00BE26CC" w:rsidRDefault="00341280" w:rsidP="00341280">
            <w:pPr>
              <w:rPr>
                <w:color w:val="000000"/>
                <w:sz w:val="18"/>
                <w:szCs w:val="18"/>
              </w:rPr>
            </w:pPr>
            <w:r w:rsidRPr="00BE26CC">
              <w:rPr>
                <w:color w:val="000000"/>
                <w:sz w:val="18"/>
                <w:szCs w:val="18"/>
              </w:rPr>
              <w:t xml:space="preserve">Ministerstvo práce a sociálních věcí </w:t>
            </w:r>
            <w:r w:rsidRPr="00BE26CC">
              <w:rPr>
                <w:color w:val="000000"/>
                <w:sz w:val="18"/>
                <w:szCs w:val="18"/>
              </w:rPr>
              <w:lastRenderedPageBreak/>
              <w:t>ČR</w:t>
            </w:r>
          </w:p>
        </w:tc>
        <w:tc>
          <w:tcPr>
            <w:tcW w:w="2297" w:type="dxa"/>
            <w:shd w:val="clear" w:color="auto" w:fill="auto"/>
            <w:hideMark/>
          </w:tcPr>
          <w:p w:rsidR="00341280" w:rsidRPr="00BE26CC" w:rsidRDefault="00341280" w:rsidP="00341280">
            <w:pPr>
              <w:rPr>
                <w:color w:val="000000"/>
                <w:sz w:val="18"/>
                <w:szCs w:val="18"/>
              </w:rPr>
            </w:pPr>
            <w:r w:rsidRPr="00BE26CC">
              <w:rPr>
                <w:sz w:val="18"/>
                <w:szCs w:val="18"/>
              </w:rPr>
              <w:lastRenderedPageBreak/>
              <w:t>Odbor ostatních evropských fondů</w:t>
            </w:r>
          </w:p>
        </w:tc>
        <w:tc>
          <w:tcPr>
            <w:tcW w:w="2154" w:type="dxa"/>
            <w:shd w:val="clear" w:color="auto" w:fill="auto"/>
            <w:hideMark/>
          </w:tcPr>
          <w:p w:rsidR="00341280" w:rsidRPr="00BE26CC" w:rsidRDefault="00341280" w:rsidP="00341280">
            <w:pPr>
              <w:rPr>
                <w:color w:val="000000"/>
                <w:sz w:val="18"/>
                <w:szCs w:val="18"/>
              </w:rPr>
            </w:pPr>
            <w:r w:rsidRPr="00BE26CC">
              <w:rPr>
                <w:sz w:val="18"/>
                <w:szCs w:val="18"/>
              </w:rPr>
              <w:t>Oddělení ERDF</w:t>
            </w:r>
          </w:p>
        </w:tc>
        <w:tc>
          <w:tcPr>
            <w:tcW w:w="1579" w:type="dxa"/>
            <w:shd w:val="clear" w:color="auto" w:fill="auto"/>
            <w:noWrap/>
          </w:tcPr>
          <w:p w:rsidR="00341280" w:rsidRPr="00BE26CC" w:rsidRDefault="00341280" w:rsidP="00341280">
            <w:pPr>
              <w:jc w:val="right"/>
              <w:rPr>
                <w:color w:val="000000"/>
                <w:sz w:val="18"/>
                <w:szCs w:val="18"/>
              </w:rPr>
            </w:pPr>
            <w:r w:rsidRPr="00BE26CC">
              <w:rPr>
                <w:color w:val="000000"/>
                <w:sz w:val="18"/>
                <w:szCs w:val="18"/>
              </w:rPr>
              <w:t>7,82</w:t>
            </w:r>
          </w:p>
        </w:tc>
        <w:tc>
          <w:tcPr>
            <w:tcW w:w="1436" w:type="dxa"/>
            <w:vMerge w:val="restart"/>
            <w:shd w:val="clear" w:color="auto" w:fill="auto"/>
            <w:noWrap/>
            <w:vAlign w:val="center"/>
          </w:tcPr>
          <w:p w:rsidR="00341280" w:rsidRPr="00BE26CC" w:rsidRDefault="00341280" w:rsidP="00341280">
            <w:pPr>
              <w:jc w:val="center"/>
              <w:rPr>
                <w:color w:val="000000"/>
                <w:sz w:val="18"/>
                <w:szCs w:val="18"/>
              </w:rPr>
            </w:pPr>
            <w:r w:rsidRPr="00BE26CC">
              <w:rPr>
                <w:color w:val="000000"/>
                <w:sz w:val="18"/>
                <w:szCs w:val="18"/>
              </w:rPr>
              <w:t>15,95</w:t>
            </w:r>
          </w:p>
        </w:tc>
      </w:tr>
      <w:tr w:rsidR="00341280" w:rsidRPr="00BE26CC" w:rsidTr="00341280">
        <w:trPr>
          <w:trHeight w:val="394"/>
          <w:jc w:val="center"/>
        </w:trPr>
        <w:tc>
          <w:tcPr>
            <w:tcW w:w="1595" w:type="dxa"/>
            <w:vMerge/>
            <w:vAlign w:val="center"/>
            <w:hideMark/>
          </w:tcPr>
          <w:p w:rsidR="00341280" w:rsidRPr="00BE26CC" w:rsidRDefault="00341280" w:rsidP="00341280">
            <w:pPr>
              <w:rPr>
                <w:color w:val="000000"/>
                <w:sz w:val="18"/>
                <w:szCs w:val="18"/>
              </w:rPr>
            </w:pPr>
          </w:p>
        </w:tc>
        <w:tc>
          <w:tcPr>
            <w:tcW w:w="2297" w:type="dxa"/>
            <w:vMerge w:val="restart"/>
            <w:shd w:val="clear" w:color="auto" w:fill="auto"/>
            <w:hideMark/>
          </w:tcPr>
          <w:p w:rsidR="00341280" w:rsidRPr="00BE26CC" w:rsidRDefault="00341280" w:rsidP="00341280">
            <w:pPr>
              <w:rPr>
                <w:color w:val="000000"/>
                <w:sz w:val="18"/>
                <w:szCs w:val="18"/>
              </w:rPr>
            </w:pPr>
            <w:r w:rsidRPr="00BE26CC">
              <w:rPr>
                <w:sz w:val="18"/>
                <w:szCs w:val="18"/>
              </w:rPr>
              <w:t xml:space="preserve">Odbor finančního řízení </w:t>
            </w:r>
            <w:r w:rsidRPr="00BE26CC">
              <w:rPr>
                <w:sz w:val="18"/>
                <w:szCs w:val="18"/>
              </w:rPr>
              <w:br/>
              <w:t xml:space="preserve">a </w:t>
            </w:r>
            <w:proofErr w:type="spellStart"/>
            <w:r w:rsidRPr="00BE26CC">
              <w:rPr>
                <w:sz w:val="18"/>
                <w:szCs w:val="18"/>
              </w:rPr>
              <w:t>kontrolingu</w:t>
            </w:r>
            <w:proofErr w:type="spellEnd"/>
          </w:p>
          <w:p w:rsidR="00341280" w:rsidRPr="00BE26CC" w:rsidRDefault="00341280" w:rsidP="00341280">
            <w:pPr>
              <w:rPr>
                <w:color w:val="000000"/>
                <w:sz w:val="18"/>
                <w:szCs w:val="18"/>
              </w:rPr>
            </w:pPr>
          </w:p>
        </w:tc>
        <w:tc>
          <w:tcPr>
            <w:tcW w:w="2154" w:type="dxa"/>
            <w:shd w:val="clear" w:color="auto" w:fill="auto"/>
            <w:hideMark/>
          </w:tcPr>
          <w:p w:rsidR="00341280" w:rsidRPr="00BE26CC" w:rsidRDefault="00341280" w:rsidP="00341280">
            <w:pPr>
              <w:rPr>
                <w:color w:val="000000"/>
                <w:sz w:val="18"/>
                <w:szCs w:val="18"/>
              </w:rPr>
            </w:pPr>
            <w:r w:rsidRPr="00BE26CC">
              <w:rPr>
                <w:sz w:val="18"/>
                <w:szCs w:val="18"/>
              </w:rPr>
              <w:t xml:space="preserve">Oddělení finančního řízení </w:t>
            </w:r>
            <w:r w:rsidRPr="00BE26CC">
              <w:rPr>
                <w:sz w:val="18"/>
                <w:szCs w:val="18"/>
              </w:rPr>
              <w:br/>
              <w:t xml:space="preserve">a </w:t>
            </w:r>
            <w:proofErr w:type="spellStart"/>
            <w:r w:rsidRPr="00BE26CC">
              <w:rPr>
                <w:sz w:val="18"/>
                <w:szCs w:val="18"/>
              </w:rPr>
              <w:t>kontrolingu</w:t>
            </w:r>
            <w:proofErr w:type="spellEnd"/>
            <w:r w:rsidRPr="00BE26CC">
              <w:rPr>
                <w:sz w:val="18"/>
                <w:szCs w:val="18"/>
              </w:rPr>
              <w:t xml:space="preserve"> dotací</w:t>
            </w:r>
          </w:p>
        </w:tc>
        <w:tc>
          <w:tcPr>
            <w:tcW w:w="1579" w:type="dxa"/>
            <w:shd w:val="clear" w:color="auto" w:fill="auto"/>
            <w:noWrap/>
          </w:tcPr>
          <w:p w:rsidR="00341280" w:rsidRPr="00BE26CC" w:rsidRDefault="00341280" w:rsidP="00341280">
            <w:pPr>
              <w:jc w:val="right"/>
              <w:rPr>
                <w:color w:val="000000"/>
                <w:sz w:val="18"/>
                <w:szCs w:val="18"/>
              </w:rPr>
            </w:pPr>
            <w:r w:rsidRPr="00BE26CC">
              <w:rPr>
                <w:color w:val="000000"/>
                <w:sz w:val="18"/>
                <w:szCs w:val="18"/>
              </w:rPr>
              <w:t>7,28</w:t>
            </w:r>
          </w:p>
        </w:tc>
        <w:tc>
          <w:tcPr>
            <w:tcW w:w="1436" w:type="dxa"/>
            <w:vMerge/>
            <w:vAlign w:val="center"/>
          </w:tcPr>
          <w:p w:rsidR="00341280" w:rsidRPr="00BE26CC" w:rsidRDefault="00341280" w:rsidP="00341280">
            <w:pPr>
              <w:rPr>
                <w:color w:val="000000"/>
                <w:sz w:val="18"/>
                <w:szCs w:val="18"/>
              </w:rPr>
            </w:pPr>
          </w:p>
        </w:tc>
      </w:tr>
      <w:tr w:rsidR="00341280" w:rsidRPr="00BE26CC" w:rsidTr="00341280">
        <w:trPr>
          <w:trHeight w:val="345"/>
          <w:jc w:val="center"/>
        </w:trPr>
        <w:tc>
          <w:tcPr>
            <w:tcW w:w="1595" w:type="dxa"/>
            <w:vMerge/>
            <w:vAlign w:val="center"/>
          </w:tcPr>
          <w:p w:rsidR="00341280" w:rsidRPr="00BE26CC" w:rsidRDefault="00341280" w:rsidP="00341280">
            <w:pPr>
              <w:rPr>
                <w:color w:val="000000"/>
                <w:sz w:val="18"/>
                <w:szCs w:val="18"/>
              </w:rPr>
            </w:pPr>
          </w:p>
        </w:tc>
        <w:tc>
          <w:tcPr>
            <w:tcW w:w="2297" w:type="dxa"/>
            <w:vMerge/>
            <w:shd w:val="clear" w:color="auto" w:fill="auto"/>
          </w:tcPr>
          <w:p w:rsidR="00341280" w:rsidRPr="00BE26CC" w:rsidRDefault="00341280" w:rsidP="00341280">
            <w:pPr>
              <w:rPr>
                <w:color w:val="000000"/>
                <w:sz w:val="18"/>
                <w:szCs w:val="18"/>
              </w:rPr>
            </w:pPr>
          </w:p>
        </w:tc>
        <w:tc>
          <w:tcPr>
            <w:tcW w:w="2154" w:type="dxa"/>
            <w:shd w:val="clear" w:color="auto" w:fill="auto"/>
          </w:tcPr>
          <w:p w:rsidR="00341280" w:rsidRPr="00BE26CC" w:rsidRDefault="00341280" w:rsidP="00341280">
            <w:pPr>
              <w:rPr>
                <w:color w:val="000000"/>
                <w:sz w:val="18"/>
                <w:szCs w:val="18"/>
              </w:rPr>
            </w:pPr>
            <w:r w:rsidRPr="00BE26CC">
              <w:rPr>
                <w:sz w:val="18"/>
                <w:szCs w:val="18"/>
              </w:rPr>
              <w:t xml:space="preserve">Oddělení finančního řízení </w:t>
            </w:r>
            <w:r w:rsidRPr="00BE26CC">
              <w:rPr>
                <w:sz w:val="18"/>
                <w:szCs w:val="18"/>
              </w:rPr>
              <w:br/>
              <w:t xml:space="preserve">a </w:t>
            </w:r>
            <w:proofErr w:type="spellStart"/>
            <w:r w:rsidRPr="00BE26CC">
              <w:rPr>
                <w:sz w:val="18"/>
                <w:szCs w:val="18"/>
              </w:rPr>
              <w:t>kontrolingu</w:t>
            </w:r>
            <w:proofErr w:type="spellEnd"/>
            <w:r w:rsidRPr="00BE26CC">
              <w:rPr>
                <w:sz w:val="18"/>
                <w:szCs w:val="18"/>
              </w:rPr>
              <w:t xml:space="preserve"> investic</w:t>
            </w:r>
          </w:p>
        </w:tc>
        <w:tc>
          <w:tcPr>
            <w:tcW w:w="1579" w:type="dxa"/>
            <w:shd w:val="clear" w:color="auto" w:fill="auto"/>
            <w:noWrap/>
          </w:tcPr>
          <w:p w:rsidR="00341280" w:rsidRPr="00BE26CC" w:rsidRDefault="00341280" w:rsidP="00341280">
            <w:pPr>
              <w:jc w:val="right"/>
              <w:rPr>
                <w:color w:val="000000"/>
                <w:sz w:val="18"/>
                <w:szCs w:val="18"/>
              </w:rPr>
            </w:pPr>
            <w:r w:rsidRPr="00BE26CC">
              <w:rPr>
                <w:color w:val="000000"/>
                <w:sz w:val="18"/>
                <w:szCs w:val="18"/>
              </w:rPr>
              <w:t>0,70</w:t>
            </w:r>
          </w:p>
        </w:tc>
        <w:tc>
          <w:tcPr>
            <w:tcW w:w="1436" w:type="dxa"/>
            <w:vMerge/>
            <w:vAlign w:val="center"/>
          </w:tcPr>
          <w:p w:rsidR="00341280" w:rsidRPr="00BE26CC" w:rsidRDefault="00341280" w:rsidP="00341280">
            <w:pPr>
              <w:rPr>
                <w:color w:val="000000"/>
                <w:sz w:val="18"/>
                <w:szCs w:val="18"/>
              </w:rPr>
            </w:pPr>
          </w:p>
        </w:tc>
      </w:tr>
      <w:tr w:rsidR="00341280" w:rsidRPr="00BE26CC" w:rsidTr="00341280">
        <w:trPr>
          <w:trHeight w:val="294"/>
          <w:jc w:val="center"/>
        </w:trPr>
        <w:tc>
          <w:tcPr>
            <w:tcW w:w="1595" w:type="dxa"/>
            <w:vMerge/>
            <w:vAlign w:val="center"/>
            <w:hideMark/>
          </w:tcPr>
          <w:p w:rsidR="00341280" w:rsidRPr="00BE26CC" w:rsidRDefault="00341280" w:rsidP="00341280">
            <w:pPr>
              <w:rPr>
                <w:color w:val="000000"/>
                <w:sz w:val="18"/>
                <w:szCs w:val="18"/>
              </w:rPr>
            </w:pPr>
          </w:p>
        </w:tc>
        <w:tc>
          <w:tcPr>
            <w:tcW w:w="2297" w:type="dxa"/>
            <w:vMerge/>
            <w:hideMark/>
          </w:tcPr>
          <w:p w:rsidR="00341280" w:rsidRPr="00BE26CC" w:rsidRDefault="00341280" w:rsidP="00341280">
            <w:pPr>
              <w:rPr>
                <w:color w:val="000000"/>
                <w:sz w:val="18"/>
                <w:szCs w:val="18"/>
              </w:rPr>
            </w:pPr>
          </w:p>
        </w:tc>
        <w:tc>
          <w:tcPr>
            <w:tcW w:w="2154" w:type="dxa"/>
            <w:tcBorders>
              <w:bottom w:val="single" w:sz="6" w:space="0" w:color="1F497D" w:themeColor="text2"/>
            </w:tcBorders>
            <w:shd w:val="clear" w:color="auto" w:fill="auto"/>
            <w:hideMark/>
          </w:tcPr>
          <w:p w:rsidR="00341280" w:rsidRPr="00BE26CC" w:rsidRDefault="00341280" w:rsidP="00341280">
            <w:pPr>
              <w:rPr>
                <w:color w:val="000000"/>
                <w:sz w:val="18"/>
                <w:szCs w:val="18"/>
              </w:rPr>
            </w:pPr>
            <w:r w:rsidRPr="00BE26CC">
              <w:rPr>
                <w:sz w:val="18"/>
                <w:szCs w:val="18"/>
              </w:rPr>
              <w:t xml:space="preserve">Ostatní oddělení MPSV, která se podílí na implementaci IOP </w:t>
            </w:r>
          </w:p>
        </w:tc>
        <w:tc>
          <w:tcPr>
            <w:tcW w:w="1579" w:type="dxa"/>
            <w:tcBorders>
              <w:bottom w:val="single" w:sz="6" w:space="0" w:color="1F497D" w:themeColor="text2"/>
            </w:tcBorders>
            <w:shd w:val="clear" w:color="auto" w:fill="auto"/>
            <w:noWrap/>
          </w:tcPr>
          <w:p w:rsidR="00341280" w:rsidRPr="00BE26CC" w:rsidRDefault="00341280" w:rsidP="00341280">
            <w:pPr>
              <w:jc w:val="right"/>
              <w:rPr>
                <w:color w:val="000000"/>
                <w:sz w:val="18"/>
                <w:szCs w:val="18"/>
              </w:rPr>
            </w:pPr>
            <w:r w:rsidRPr="00BE26CC">
              <w:rPr>
                <w:color w:val="000000"/>
                <w:sz w:val="18"/>
                <w:szCs w:val="18"/>
              </w:rPr>
              <w:t>0,15</w:t>
            </w:r>
          </w:p>
        </w:tc>
        <w:tc>
          <w:tcPr>
            <w:tcW w:w="1436" w:type="dxa"/>
            <w:vMerge/>
            <w:vAlign w:val="center"/>
          </w:tcPr>
          <w:p w:rsidR="00341280" w:rsidRPr="00BE26CC" w:rsidRDefault="00341280" w:rsidP="00341280">
            <w:pPr>
              <w:rPr>
                <w:color w:val="000000"/>
                <w:sz w:val="18"/>
                <w:szCs w:val="18"/>
              </w:rPr>
            </w:pPr>
          </w:p>
        </w:tc>
      </w:tr>
      <w:tr w:rsidR="00341280" w:rsidRPr="00BE26CC" w:rsidTr="00341280">
        <w:trPr>
          <w:trHeight w:val="477"/>
          <w:jc w:val="center"/>
        </w:trPr>
        <w:tc>
          <w:tcPr>
            <w:tcW w:w="1595" w:type="dxa"/>
            <w:vMerge w:val="restart"/>
            <w:shd w:val="clear" w:color="auto" w:fill="auto"/>
            <w:vAlign w:val="center"/>
          </w:tcPr>
          <w:p w:rsidR="00341280" w:rsidRPr="00BE26CC" w:rsidRDefault="00341280" w:rsidP="00341280">
            <w:pPr>
              <w:rPr>
                <w:color w:val="000000"/>
                <w:sz w:val="18"/>
                <w:szCs w:val="18"/>
              </w:rPr>
            </w:pPr>
            <w:r w:rsidRPr="00BE26CC">
              <w:rPr>
                <w:color w:val="000000"/>
                <w:sz w:val="18"/>
                <w:szCs w:val="18"/>
              </w:rPr>
              <w:t>Centrum pro regionální rozvoj České republiky</w:t>
            </w:r>
          </w:p>
        </w:tc>
        <w:tc>
          <w:tcPr>
            <w:tcW w:w="2297" w:type="dxa"/>
            <w:vMerge w:val="restart"/>
            <w:shd w:val="clear" w:color="auto" w:fill="auto"/>
            <w:vAlign w:val="center"/>
          </w:tcPr>
          <w:p w:rsidR="00341280" w:rsidRPr="00BE26CC" w:rsidRDefault="00341280" w:rsidP="00341280">
            <w:pPr>
              <w:rPr>
                <w:color w:val="000000"/>
                <w:sz w:val="18"/>
                <w:szCs w:val="18"/>
              </w:rPr>
            </w:pPr>
            <w:r w:rsidRPr="00BE26CC">
              <w:rPr>
                <w:color w:val="000000"/>
                <w:sz w:val="18"/>
                <w:szCs w:val="18"/>
              </w:rPr>
              <w:t>Odbor centrální administrace programů</w:t>
            </w:r>
          </w:p>
        </w:tc>
        <w:tc>
          <w:tcPr>
            <w:tcW w:w="2154" w:type="dxa"/>
            <w:tcBorders>
              <w:top w:val="single" w:sz="6" w:space="0" w:color="1F497D" w:themeColor="text2"/>
              <w:bottom w:val="single" w:sz="6" w:space="0" w:color="1F497D" w:themeColor="text2"/>
            </w:tcBorders>
            <w:shd w:val="clear" w:color="auto" w:fill="auto"/>
          </w:tcPr>
          <w:p w:rsidR="00341280" w:rsidRPr="00BE26CC" w:rsidRDefault="00341280" w:rsidP="00341280">
            <w:pPr>
              <w:rPr>
                <w:color w:val="000000"/>
                <w:sz w:val="18"/>
                <w:szCs w:val="18"/>
              </w:rPr>
            </w:pPr>
            <w:r w:rsidRPr="00BE26CC">
              <w:rPr>
                <w:color w:val="000000"/>
                <w:sz w:val="18"/>
                <w:szCs w:val="18"/>
              </w:rPr>
              <w:t>Oddělení administrace OSS</w:t>
            </w:r>
          </w:p>
        </w:tc>
        <w:tc>
          <w:tcPr>
            <w:tcW w:w="1579" w:type="dxa"/>
            <w:tcBorders>
              <w:top w:val="single" w:sz="6" w:space="0" w:color="1F497D" w:themeColor="text2"/>
              <w:bottom w:val="single" w:sz="6" w:space="0" w:color="1F497D" w:themeColor="text2"/>
            </w:tcBorders>
            <w:shd w:val="clear" w:color="auto" w:fill="auto"/>
            <w:noWrap/>
            <w:vAlign w:val="center"/>
          </w:tcPr>
          <w:p w:rsidR="00341280" w:rsidRPr="00BE26CC" w:rsidRDefault="00341280" w:rsidP="00341280">
            <w:pPr>
              <w:jc w:val="right"/>
              <w:rPr>
                <w:color w:val="000000"/>
                <w:sz w:val="18"/>
                <w:szCs w:val="18"/>
              </w:rPr>
            </w:pPr>
            <w:r w:rsidRPr="00BE26CC">
              <w:rPr>
                <w:color w:val="000000"/>
                <w:sz w:val="18"/>
                <w:szCs w:val="18"/>
              </w:rPr>
              <w:t>11,25</w:t>
            </w:r>
          </w:p>
        </w:tc>
        <w:tc>
          <w:tcPr>
            <w:tcW w:w="1436" w:type="dxa"/>
            <w:vMerge w:val="restart"/>
            <w:shd w:val="clear" w:color="auto" w:fill="auto"/>
            <w:noWrap/>
            <w:vAlign w:val="center"/>
          </w:tcPr>
          <w:p w:rsidR="00341280" w:rsidRPr="00BE26CC" w:rsidRDefault="00341280" w:rsidP="00341280">
            <w:pPr>
              <w:jc w:val="center"/>
              <w:rPr>
                <w:color w:val="000000"/>
                <w:sz w:val="18"/>
                <w:szCs w:val="18"/>
              </w:rPr>
            </w:pPr>
            <w:r w:rsidRPr="00BE26CC">
              <w:rPr>
                <w:color w:val="000000"/>
                <w:sz w:val="18"/>
                <w:szCs w:val="18"/>
              </w:rPr>
              <w:t>51,00</w:t>
            </w:r>
          </w:p>
        </w:tc>
      </w:tr>
      <w:tr w:rsidR="00341280" w:rsidRPr="00BE26CC" w:rsidTr="00341280">
        <w:trPr>
          <w:trHeight w:val="468"/>
          <w:jc w:val="center"/>
        </w:trPr>
        <w:tc>
          <w:tcPr>
            <w:tcW w:w="1595" w:type="dxa"/>
            <w:vMerge/>
            <w:shd w:val="clear" w:color="auto" w:fill="auto"/>
            <w:vAlign w:val="center"/>
          </w:tcPr>
          <w:p w:rsidR="00341280" w:rsidRPr="00BE26CC" w:rsidRDefault="00341280" w:rsidP="00341280">
            <w:pPr>
              <w:rPr>
                <w:color w:val="000000"/>
                <w:sz w:val="18"/>
                <w:szCs w:val="18"/>
              </w:rPr>
            </w:pPr>
          </w:p>
        </w:tc>
        <w:tc>
          <w:tcPr>
            <w:tcW w:w="2297" w:type="dxa"/>
            <w:vMerge/>
            <w:shd w:val="clear" w:color="auto" w:fill="auto"/>
            <w:vAlign w:val="center"/>
          </w:tcPr>
          <w:p w:rsidR="00341280" w:rsidRPr="00BE26CC" w:rsidRDefault="00341280" w:rsidP="00341280">
            <w:pPr>
              <w:rPr>
                <w:color w:val="000000"/>
                <w:sz w:val="18"/>
                <w:szCs w:val="18"/>
              </w:rPr>
            </w:pPr>
          </w:p>
        </w:tc>
        <w:tc>
          <w:tcPr>
            <w:tcW w:w="2154" w:type="dxa"/>
            <w:tcBorders>
              <w:top w:val="single" w:sz="6" w:space="0" w:color="1F497D" w:themeColor="text2"/>
              <w:bottom w:val="single" w:sz="6" w:space="0" w:color="1F497D" w:themeColor="text2"/>
            </w:tcBorders>
            <w:shd w:val="clear" w:color="auto" w:fill="auto"/>
          </w:tcPr>
          <w:p w:rsidR="00341280" w:rsidRPr="00BE26CC" w:rsidRDefault="00341280" w:rsidP="00341280">
            <w:pPr>
              <w:rPr>
                <w:color w:val="000000"/>
                <w:sz w:val="18"/>
                <w:szCs w:val="18"/>
              </w:rPr>
            </w:pPr>
            <w:r w:rsidRPr="00BE26CC">
              <w:rPr>
                <w:sz w:val="18"/>
                <w:szCs w:val="18"/>
              </w:rPr>
              <w:t>Oddělení administrace udržitelnosti IOP</w:t>
            </w:r>
          </w:p>
        </w:tc>
        <w:tc>
          <w:tcPr>
            <w:tcW w:w="1579" w:type="dxa"/>
            <w:tcBorders>
              <w:top w:val="single" w:sz="6" w:space="0" w:color="1F497D" w:themeColor="text2"/>
              <w:bottom w:val="single" w:sz="6" w:space="0" w:color="1F497D" w:themeColor="text2"/>
            </w:tcBorders>
            <w:shd w:val="clear" w:color="auto" w:fill="auto"/>
            <w:noWrap/>
            <w:vAlign w:val="center"/>
          </w:tcPr>
          <w:p w:rsidR="00341280" w:rsidRPr="00BE26CC" w:rsidRDefault="00341280" w:rsidP="00341280">
            <w:pPr>
              <w:jc w:val="right"/>
              <w:rPr>
                <w:color w:val="000000"/>
                <w:sz w:val="18"/>
                <w:szCs w:val="18"/>
              </w:rPr>
            </w:pPr>
            <w:r w:rsidRPr="00BE26CC">
              <w:rPr>
                <w:color w:val="000000"/>
                <w:sz w:val="18"/>
                <w:szCs w:val="18"/>
              </w:rPr>
              <w:t>1,5</w:t>
            </w:r>
          </w:p>
        </w:tc>
        <w:tc>
          <w:tcPr>
            <w:tcW w:w="1436" w:type="dxa"/>
            <w:vMerge/>
            <w:shd w:val="clear" w:color="auto" w:fill="auto"/>
            <w:noWrap/>
            <w:vAlign w:val="center"/>
          </w:tcPr>
          <w:p w:rsidR="00341280" w:rsidRPr="00BE26CC" w:rsidRDefault="00341280" w:rsidP="00341280">
            <w:pPr>
              <w:jc w:val="center"/>
              <w:rPr>
                <w:color w:val="000000"/>
                <w:sz w:val="18"/>
                <w:szCs w:val="18"/>
              </w:rPr>
            </w:pPr>
          </w:p>
        </w:tc>
      </w:tr>
      <w:tr w:rsidR="00341280" w:rsidRPr="00BE26CC" w:rsidTr="00341280">
        <w:trPr>
          <w:trHeight w:val="300"/>
          <w:jc w:val="center"/>
        </w:trPr>
        <w:tc>
          <w:tcPr>
            <w:tcW w:w="1595" w:type="dxa"/>
            <w:vMerge/>
            <w:shd w:val="clear" w:color="auto" w:fill="auto"/>
            <w:vAlign w:val="center"/>
          </w:tcPr>
          <w:p w:rsidR="00341280" w:rsidRPr="00BE26CC" w:rsidRDefault="00341280" w:rsidP="00341280">
            <w:pPr>
              <w:rPr>
                <w:color w:val="000000"/>
                <w:sz w:val="18"/>
                <w:szCs w:val="18"/>
              </w:rPr>
            </w:pPr>
          </w:p>
        </w:tc>
        <w:tc>
          <w:tcPr>
            <w:tcW w:w="2297" w:type="dxa"/>
            <w:shd w:val="clear" w:color="auto" w:fill="auto"/>
            <w:vAlign w:val="center"/>
          </w:tcPr>
          <w:p w:rsidR="00341280" w:rsidRPr="00BE26CC" w:rsidRDefault="00341280" w:rsidP="00341280">
            <w:pPr>
              <w:rPr>
                <w:color w:val="000000"/>
                <w:sz w:val="18"/>
                <w:szCs w:val="18"/>
              </w:rPr>
            </w:pPr>
            <w:r w:rsidRPr="00BE26CC">
              <w:rPr>
                <w:color w:val="000000"/>
                <w:sz w:val="18"/>
                <w:szCs w:val="18"/>
              </w:rPr>
              <w:t>Sekce řízení administrace programů</w:t>
            </w:r>
          </w:p>
        </w:tc>
        <w:tc>
          <w:tcPr>
            <w:tcW w:w="2154" w:type="dxa"/>
            <w:tcBorders>
              <w:top w:val="single" w:sz="6" w:space="0" w:color="1F497D" w:themeColor="text2"/>
            </w:tcBorders>
            <w:shd w:val="clear" w:color="auto" w:fill="auto"/>
            <w:vAlign w:val="center"/>
          </w:tcPr>
          <w:p w:rsidR="00341280" w:rsidRPr="00BE26CC" w:rsidRDefault="00341280" w:rsidP="00341280">
            <w:pPr>
              <w:rPr>
                <w:color w:val="000000"/>
                <w:sz w:val="18"/>
                <w:szCs w:val="18"/>
              </w:rPr>
            </w:pPr>
          </w:p>
        </w:tc>
        <w:tc>
          <w:tcPr>
            <w:tcW w:w="1579" w:type="dxa"/>
            <w:tcBorders>
              <w:top w:val="single" w:sz="6" w:space="0" w:color="1F497D" w:themeColor="text2"/>
            </w:tcBorders>
            <w:shd w:val="clear" w:color="auto" w:fill="auto"/>
            <w:noWrap/>
            <w:vAlign w:val="center"/>
          </w:tcPr>
          <w:p w:rsidR="00341280" w:rsidRPr="00BE26CC" w:rsidRDefault="00341280" w:rsidP="00341280">
            <w:pPr>
              <w:jc w:val="right"/>
              <w:rPr>
                <w:color w:val="000000"/>
                <w:sz w:val="18"/>
                <w:szCs w:val="18"/>
              </w:rPr>
            </w:pPr>
            <w:r w:rsidRPr="00BE26CC">
              <w:rPr>
                <w:color w:val="000000"/>
                <w:sz w:val="18"/>
                <w:szCs w:val="18"/>
              </w:rPr>
              <w:t>0,50</w:t>
            </w:r>
          </w:p>
        </w:tc>
        <w:tc>
          <w:tcPr>
            <w:tcW w:w="1436" w:type="dxa"/>
            <w:vMerge/>
            <w:shd w:val="clear" w:color="auto" w:fill="auto"/>
            <w:noWrap/>
            <w:vAlign w:val="center"/>
          </w:tcPr>
          <w:p w:rsidR="00341280" w:rsidRPr="00BE26CC" w:rsidRDefault="00341280" w:rsidP="00341280">
            <w:pPr>
              <w:jc w:val="center"/>
              <w:rPr>
                <w:color w:val="000000"/>
                <w:sz w:val="18"/>
                <w:szCs w:val="18"/>
              </w:rPr>
            </w:pPr>
          </w:p>
        </w:tc>
      </w:tr>
      <w:tr w:rsidR="00341280" w:rsidRPr="00BE26CC" w:rsidTr="00341280">
        <w:trPr>
          <w:trHeight w:val="300"/>
          <w:jc w:val="center"/>
        </w:trPr>
        <w:tc>
          <w:tcPr>
            <w:tcW w:w="1595" w:type="dxa"/>
            <w:vMerge/>
            <w:shd w:val="clear" w:color="auto" w:fill="auto"/>
            <w:vAlign w:val="center"/>
          </w:tcPr>
          <w:p w:rsidR="00341280" w:rsidRPr="00BE26CC" w:rsidRDefault="00341280" w:rsidP="00341280">
            <w:pPr>
              <w:rPr>
                <w:color w:val="000000"/>
                <w:sz w:val="18"/>
                <w:szCs w:val="18"/>
              </w:rPr>
            </w:pPr>
          </w:p>
        </w:tc>
        <w:tc>
          <w:tcPr>
            <w:tcW w:w="2297" w:type="dxa"/>
            <w:vMerge w:val="restart"/>
            <w:shd w:val="clear" w:color="auto" w:fill="auto"/>
            <w:vAlign w:val="center"/>
          </w:tcPr>
          <w:p w:rsidR="00341280" w:rsidRPr="00BE26CC" w:rsidRDefault="00341280" w:rsidP="00341280">
            <w:pPr>
              <w:rPr>
                <w:color w:val="000000"/>
                <w:sz w:val="18"/>
                <w:szCs w:val="18"/>
              </w:rPr>
            </w:pPr>
            <w:r w:rsidRPr="00BE26CC">
              <w:rPr>
                <w:color w:val="000000"/>
                <w:sz w:val="18"/>
                <w:szCs w:val="18"/>
              </w:rPr>
              <w:t>Odbor řízení administrace programů</w:t>
            </w:r>
          </w:p>
        </w:tc>
        <w:tc>
          <w:tcPr>
            <w:tcW w:w="2154" w:type="dxa"/>
            <w:shd w:val="clear" w:color="auto" w:fill="auto"/>
            <w:vAlign w:val="center"/>
          </w:tcPr>
          <w:p w:rsidR="00341280" w:rsidRPr="00BE26CC" w:rsidRDefault="00341280" w:rsidP="00341280">
            <w:pPr>
              <w:rPr>
                <w:color w:val="000000"/>
                <w:sz w:val="18"/>
                <w:szCs w:val="18"/>
              </w:rPr>
            </w:pPr>
            <w:r w:rsidRPr="00BE26CC">
              <w:rPr>
                <w:color w:val="000000"/>
                <w:sz w:val="18"/>
                <w:szCs w:val="18"/>
              </w:rPr>
              <w:t>Oddělení průřezových činností</w:t>
            </w:r>
          </w:p>
        </w:tc>
        <w:tc>
          <w:tcPr>
            <w:tcW w:w="1579" w:type="dxa"/>
            <w:shd w:val="clear" w:color="auto" w:fill="auto"/>
            <w:noWrap/>
            <w:vAlign w:val="center"/>
          </w:tcPr>
          <w:p w:rsidR="00341280" w:rsidRPr="00BE26CC" w:rsidRDefault="00341280" w:rsidP="00341280">
            <w:pPr>
              <w:jc w:val="right"/>
              <w:rPr>
                <w:color w:val="000000"/>
                <w:sz w:val="18"/>
                <w:szCs w:val="18"/>
              </w:rPr>
            </w:pPr>
            <w:r w:rsidRPr="00BE26CC">
              <w:rPr>
                <w:color w:val="000000"/>
                <w:sz w:val="18"/>
                <w:szCs w:val="18"/>
              </w:rPr>
              <w:t>1,00</w:t>
            </w:r>
          </w:p>
        </w:tc>
        <w:tc>
          <w:tcPr>
            <w:tcW w:w="1436" w:type="dxa"/>
            <w:vMerge/>
            <w:shd w:val="clear" w:color="auto" w:fill="auto"/>
            <w:noWrap/>
            <w:vAlign w:val="center"/>
          </w:tcPr>
          <w:p w:rsidR="00341280" w:rsidRPr="00BE26CC" w:rsidRDefault="00341280" w:rsidP="00341280">
            <w:pPr>
              <w:jc w:val="center"/>
              <w:rPr>
                <w:color w:val="000000"/>
                <w:sz w:val="18"/>
                <w:szCs w:val="18"/>
              </w:rPr>
            </w:pPr>
          </w:p>
        </w:tc>
      </w:tr>
      <w:tr w:rsidR="00341280" w:rsidRPr="00BE26CC" w:rsidTr="00341280">
        <w:trPr>
          <w:trHeight w:val="300"/>
          <w:jc w:val="center"/>
        </w:trPr>
        <w:tc>
          <w:tcPr>
            <w:tcW w:w="1595" w:type="dxa"/>
            <w:vMerge/>
            <w:shd w:val="clear" w:color="auto" w:fill="auto"/>
            <w:vAlign w:val="center"/>
          </w:tcPr>
          <w:p w:rsidR="00341280" w:rsidRPr="00BE26CC" w:rsidRDefault="00341280" w:rsidP="00341280">
            <w:pPr>
              <w:rPr>
                <w:color w:val="000000"/>
                <w:sz w:val="18"/>
                <w:szCs w:val="18"/>
              </w:rPr>
            </w:pPr>
          </w:p>
        </w:tc>
        <w:tc>
          <w:tcPr>
            <w:tcW w:w="2297" w:type="dxa"/>
            <w:vMerge/>
            <w:shd w:val="clear" w:color="auto" w:fill="auto"/>
            <w:vAlign w:val="center"/>
          </w:tcPr>
          <w:p w:rsidR="00341280" w:rsidRPr="00BE26CC" w:rsidRDefault="00341280" w:rsidP="00341280">
            <w:pPr>
              <w:rPr>
                <w:color w:val="000000"/>
                <w:sz w:val="18"/>
                <w:szCs w:val="18"/>
              </w:rPr>
            </w:pPr>
          </w:p>
        </w:tc>
        <w:tc>
          <w:tcPr>
            <w:tcW w:w="2154" w:type="dxa"/>
            <w:shd w:val="clear" w:color="auto" w:fill="auto"/>
            <w:vAlign w:val="center"/>
          </w:tcPr>
          <w:p w:rsidR="00341280" w:rsidRPr="00BE26CC" w:rsidRDefault="00341280" w:rsidP="00341280">
            <w:pPr>
              <w:rPr>
                <w:color w:val="000000"/>
                <w:sz w:val="18"/>
                <w:szCs w:val="18"/>
              </w:rPr>
            </w:pPr>
            <w:r w:rsidRPr="00BE26CC">
              <w:rPr>
                <w:color w:val="000000"/>
                <w:sz w:val="18"/>
                <w:szCs w:val="18"/>
              </w:rPr>
              <w:t>Oddělení metodiky</w:t>
            </w:r>
          </w:p>
        </w:tc>
        <w:tc>
          <w:tcPr>
            <w:tcW w:w="1579" w:type="dxa"/>
            <w:shd w:val="clear" w:color="auto" w:fill="auto"/>
            <w:noWrap/>
            <w:vAlign w:val="center"/>
          </w:tcPr>
          <w:p w:rsidR="00341280" w:rsidRPr="00BE26CC" w:rsidRDefault="00341280" w:rsidP="00341280">
            <w:pPr>
              <w:jc w:val="right"/>
              <w:rPr>
                <w:color w:val="000000"/>
                <w:sz w:val="18"/>
                <w:szCs w:val="18"/>
              </w:rPr>
            </w:pPr>
            <w:r w:rsidRPr="00BE26CC">
              <w:rPr>
                <w:color w:val="000000"/>
                <w:sz w:val="18"/>
                <w:szCs w:val="18"/>
              </w:rPr>
              <w:t>2,50</w:t>
            </w:r>
          </w:p>
        </w:tc>
        <w:tc>
          <w:tcPr>
            <w:tcW w:w="1436" w:type="dxa"/>
            <w:vMerge/>
            <w:shd w:val="clear" w:color="auto" w:fill="auto"/>
            <w:noWrap/>
            <w:vAlign w:val="center"/>
          </w:tcPr>
          <w:p w:rsidR="00341280" w:rsidRPr="00BE26CC" w:rsidRDefault="00341280" w:rsidP="00341280">
            <w:pPr>
              <w:jc w:val="center"/>
              <w:rPr>
                <w:color w:val="000000"/>
                <w:sz w:val="18"/>
                <w:szCs w:val="18"/>
              </w:rPr>
            </w:pPr>
          </w:p>
        </w:tc>
      </w:tr>
      <w:tr w:rsidR="00341280" w:rsidRPr="00BE26CC" w:rsidTr="00341280">
        <w:trPr>
          <w:trHeight w:val="300"/>
          <w:jc w:val="center"/>
        </w:trPr>
        <w:tc>
          <w:tcPr>
            <w:tcW w:w="1595" w:type="dxa"/>
            <w:vMerge/>
            <w:shd w:val="clear" w:color="auto" w:fill="auto"/>
            <w:vAlign w:val="center"/>
          </w:tcPr>
          <w:p w:rsidR="00341280" w:rsidRPr="00BE26CC" w:rsidRDefault="00341280" w:rsidP="00341280">
            <w:pPr>
              <w:rPr>
                <w:color w:val="000000"/>
                <w:sz w:val="18"/>
                <w:szCs w:val="18"/>
              </w:rPr>
            </w:pPr>
          </w:p>
        </w:tc>
        <w:tc>
          <w:tcPr>
            <w:tcW w:w="2297" w:type="dxa"/>
            <w:vMerge/>
            <w:shd w:val="clear" w:color="auto" w:fill="auto"/>
            <w:vAlign w:val="center"/>
          </w:tcPr>
          <w:p w:rsidR="00341280" w:rsidRPr="00BE26CC" w:rsidRDefault="00341280" w:rsidP="00341280">
            <w:pPr>
              <w:rPr>
                <w:color w:val="000000"/>
                <w:sz w:val="18"/>
                <w:szCs w:val="18"/>
              </w:rPr>
            </w:pPr>
          </w:p>
        </w:tc>
        <w:tc>
          <w:tcPr>
            <w:tcW w:w="2154" w:type="dxa"/>
            <w:shd w:val="clear" w:color="auto" w:fill="auto"/>
            <w:vAlign w:val="center"/>
          </w:tcPr>
          <w:p w:rsidR="00341280" w:rsidRPr="00BE26CC" w:rsidRDefault="00341280" w:rsidP="00341280">
            <w:pPr>
              <w:rPr>
                <w:color w:val="000000"/>
                <w:sz w:val="18"/>
                <w:szCs w:val="18"/>
              </w:rPr>
            </w:pPr>
            <w:r w:rsidRPr="00BE26CC">
              <w:rPr>
                <w:color w:val="000000"/>
                <w:sz w:val="18"/>
                <w:szCs w:val="18"/>
              </w:rPr>
              <w:t>Oddělení administrace plateb</w:t>
            </w:r>
          </w:p>
        </w:tc>
        <w:tc>
          <w:tcPr>
            <w:tcW w:w="1579" w:type="dxa"/>
            <w:shd w:val="clear" w:color="auto" w:fill="auto"/>
            <w:noWrap/>
            <w:vAlign w:val="center"/>
          </w:tcPr>
          <w:p w:rsidR="00341280" w:rsidRPr="00BE26CC" w:rsidRDefault="00341280" w:rsidP="00341280">
            <w:pPr>
              <w:jc w:val="right"/>
              <w:rPr>
                <w:color w:val="000000"/>
                <w:sz w:val="18"/>
                <w:szCs w:val="18"/>
              </w:rPr>
            </w:pPr>
            <w:r w:rsidRPr="00BE26CC">
              <w:rPr>
                <w:color w:val="000000"/>
                <w:sz w:val="18"/>
                <w:szCs w:val="18"/>
              </w:rPr>
              <w:t>2,75</w:t>
            </w:r>
          </w:p>
        </w:tc>
        <w:tc>
          <w:tcPr>
            <w:tcW w:w="1436" w:type="dxa"/>
            <w:vMerge/>
            <w:shd w:val="clear" w:color="auto" w:fill="auto"/>
            <w:noWrap/>
            <w:vAlign w:val="center"/>
          </w:tcPr>
          <w:p w:rsidR="00341280" w:rsidRPr="00BE26CC" w:rsidRDefault="00341280" w:rsidP="00341280">
            <w:pPr>
              <w:jc w:val="center"/>
              <w:rPr>
                <w:color w:val="000000"/>
                <w:sz w:val="18"/>
                <w:szCs w:val="18"/>
              </w:rPr>
            </w:pPr>
          </w:p>
        </w:tc>
      </w:tr>
      <w:tr w:rsidR="00341280" w:rsidRPr="00BE26CC" w:rsidTr="00341280">
        <w:trPr>
          <w:trHeight w:val="300"/>
          <w:jc w:val="center"/>
        </w:trPr>
        <w:tc>
          <w:tcPr>
            <w:tcW w:w="1595" w:type="dxa"/>
            <w:vMerge/>
            <w:shd w:val="clear" w:color="auto" w:fill="auto"/>
            <w:vAlign w:val="center"/>
          </w:tcPr>
          <w:p w:rsidR="00341280" w:rsidRPr="00BE26CC" w:rsidRDefault="00341280" w:rsidP="00341280">
            <w:pPr>
              <w:rPr>
                <w:color w:val="000000"/>
                <w:sz w:val="18"/>
                <w:szCs w:val="18"/>
              </w:rPr>
            </w:pPr>
          </w:p>
        </w:tc>
        <w:tc>
          <w:tcPr>
            <w:tcW w:w="2297" w:type="dxa"/>
            <w:vMerge/>
            <w:shd w:val="clear" w:color="auto" w:fill="auto"/>
            <w:vAlign w:val="center"/>
          </w:tcPr>
          <w:p w:rsidR="00341280" w:rsidRPr="00BE26CC" w:rsidRDefault="00341280" w:rsidP="00341280">
            <w:pPr>
              <w:rPr>
                <w:color w:val="000000"/>
                <w:sz w:val="18"/>
                <w:szCs w:val="18"/>
              </w:rPr>
            </w:pPr>
          </w:p>
        </w:tc>
        <w:tc>
          <w:tcPr>
            <w:tcW w:w="2154" w:type="dxa"/>
            <w:shd w:val="clear" w:color="auto" w:fill="auto"/>
            <w:vAlign w:val="center"/>
          </w:tcPr>
          <w:p w:rsidR="00341280" w:rsidRPr="00BE26CC" w:rsidRDefault="00341280" w:rsidP="00341280">
            <w:pPr>
              <w:rPr>
                <w:color w:val="000000"/>
                <w:sz w:val="18"/>
                <w:szCs w:val="18"/>
              </w:rPr>
            </w:pPr>
            <w:r w:rsidRPr="00BE26CC">
              <w:rPr>
                <w:color w:val="000000"/>
                <w:sz w:val="18"/>
                <w:szCs w:val="18"/>
              </w:rPr>
              <w:t>Oddělení administrace VZ</w:t>
            </w:r>
          </w:p>
        </w:tc>
        <w:tc>
          <w:tcPr>
            <w:tcW w:w="1579" w:type="dxa"/>
            <w:shd w:val="clear" w:color="auto" w:fill="auto"/>
            <w:noWrap/>
            <w:vAlign w:val="center"/>
          </w:tcPr>
          <w:p w:rsidR="00341280" w:rsidRPr="00BE26CC" w:rsidRDefault="00341280" w:rsidP="00341280">
            <w:pPr>
              <w:jc w:val="right"/>
              <w:rPr>
                <w:color w:val="000000"/>
                <w:sz w:val="18"/>
                <w:szCs w:val="18"/>
              </w:rPr>
            </w:pPr>
            <w:r w:rsidRPr="00BE26CC">
              <w:rPr>
                <w:color w:val="000000"/>
                <w:sz w:val="18"/>
                <w:szCs w:val="18"/>
              </w:rPr>
              <w:t>5,00</w:t>
            </w:r>
          </w:p>
        </w:tc>
        <w:tc>
          <w:tcPr>
            <w:tcW w:w="1436" w:type="dxa"/>
            <w:vMerge/>
            <w:shd w:val="clear" w:color="auto" w:fill="auto"/>
            <w:noWrap/>
            <w:vAlign w:val="center"/>
          </w:tcPr>
          <w:p w:rsidR="00341280" w:rsidRPr="00BE26CC" w:rsidRDefault="00341280" w:rsidP="00341280">
            <w:pPr>
              <w:jc w:val="center"/>
              <w:rPr>
                <w:color w:val="000000"/>
                <w:sz w:val="18"/>
                <w:szCs w:val="18"/>
              </w:rPr>
            </w:pPr>
          </w:p>
        </w:tc>
      </w:tr>
      <w:tr w:rsidR="00341280" w:rsidRPr="00BE26CC" w:rsidTr="00341280">
        <w:trPr>
          <w:trHeight w:val="300"/>
          <w:jc w:val="center"/>
        </w:trPr>
        <w:tc>
          <w:tcPr>
            <w:tcW w:w="1595" w:type="dxa"/>
            <w:vMerge/>
            <w:shd w:val="clear" w:color="auto" w:fill="auto"/>
            <w:vAlign w:val="center"/>
            <w:hideMark/>
          </w:tcPr>
          <w:p w:rsidR="00341280" w:rsidRPr="00BE26CC" w:rsidRDefault="00341280" w:rsidP="00341280">
            <w:pPr>
              <w:rPr>
                <w:color w:val="000000"/>
                <w:sz w:val="18"/>
                <w:szCs w:val="18"/>
              </w:rPr>
            </w:pPr>
          </w:p>
        </w:tc>
        <w:tc>
          <w:tcPr>
            <w:tcW w:w="2297" w:type="dxa"/>
            <w:vMerge w:val="restart"/>
            <w:shd w:val="clear" w:color="auto" w:fill="auto"/>
            <w:vAlign w:val="center"/>
            <w:hideMark/>
          </w:tcPr>
          <w:p w:rsidR="00341280" w:rsidRPr="00BE26CC" w:rsidRDefault="00341280" w:rsidP="00341280">
            <w:pPr>
              <w:rPr>
                <w:color w:val="000000"/>
                <w:sz w:val="18"/>
                <w:szCs w:val="18"/>
              </w:rPr>
            </w:pPr>
            <w:r w:rsidRPr="00BE26CC">
              <w:rPr>
                <w:color w:val="000000"/>
                <w:sz w:val="18"/>
                <w:szCs w:val="18"/>
              </w:rPr>
              <w:t> Odbor administrace programů</w:t>
            </w:r>
          </w:p>
        </w:tc>
        <w:tc>
          <w:tcPr>
            <w:tcW w:w="2154" w:type="dxa"/>
            <w:shd w:val="clear" w:color="auto" w:fill="auto"/>
            <w:vAlign w:val="center"/>
            <w:hideMark/>
          </w:tcPr>
          <w:p w:rsidR="00341280" w:rsidRPr="00BE26CC" w:rsidRDefault="00341280" w:rsidP="00341280">
            <w:pPr>
              <w:rPr>
                <w:color w:val="000000"/>
                <w:sz w:val="18"/>
                <w:szCs w:val="18"/>
              </w:rPr>
            </w:pPr>
            <w:r w:rsidRPr="00BE26CC">
              <w:rPr>
                <w:color w:val="000000"/>
                <w:sz w:val="18"/>
                <w:szCs w:val="18"/>
              </w:rPr>
              <w:t>Oddělení pro Jihočeský kraj</w:t>
            </w:r>
          </w:p>
        </w:tc>
        <w:tc>
          <w:tcPr>
            <w:tcW w:w="1579" w:type="dxa"/>
            <w:shd w:val="clear" w:color="auto" w:fill="auto"/>
            <w:noWrap/>
            <w:vAlign w:val="center"/>
          </w:tcPr>
          <w:p w:rsidR="00341280" w:rsidRPr="00BE26CC" w:rsidRDefault="00341280" w:rsidP="00341280">
            <w:pPr>
              <w:jc w:val="right"/>
              <w:rPr>
                <w:color w:val="000000"/>
                <w:sz w:val="18"/>
                <w:szCs w:val="18"/>
              </w:rPr>
            </w:pPr>
            <w:r w:rsidRPr="00BE26CC">
              <w:rPr>
                <w:color w:val="000000"/>
                <w:sz w:val="18"/>
                <w:szCs w:val="18"/>
              </w:rPr>
              <w:t>4,00</w:t>
            </w:r>
          </w:p>
        </w:tc>
        <w:tc>
          <w:tcPr>
            <w:tcW w:w="1436" w:type="dxa"/>
            <w:vMerge/>
            <w:shd w:val="clear" w:color="auto" w:fill="auto"/>
            <w:noWrap/>
            <w:vAlign w:val="center"/>
          </w:tcPr>
          <w:p w:rsidR="00341280" w:rsidRPr="00BE26CC" w:rsidRDefault="00341280" w:rsidP="00341280">
            <w:pPr>
              <w:jc w:val="center"/>
              <w:rPr>
                <w:color w:val="000000"/>
                <w:sz w:val="18"/>
                <w:szCs w:val="18"/>
              </w:rPr>
            </w:pPr>
          </w:p>
        </w:tc>
      </w:tr>
      <w:tr w:rsidR="00341280" w:rsidRPr="00BE26CC" w:rsidTr="00341280">
        <w:trPr>
          <w:trHeight w:val="300"/>
          <w:jc w:val="center"/>
        </w:trPr>
        <w:tc>
          <w:tcPr>
            <w:tcW w:w="1595" w:type="dxa"/>
            <w:vMerge/>
            <w:vAlign w:val="center"/>
            <w:hideMark/>
          </w:tcPr>
          <w:p w:rsidR="00341280" w:rsidRPr="00BE26CC" w:rsidRDefault="00341280" w:rsidP="00341280">
            <w:pPr>
              <w:rPr>
                <w:color w:val="000000"/>
                <w:sz w:val="18"/>
                <w:szCs w:val="18"/>
              </w:rPr>
            </w:pPr>
          </w:p>
        </w:tc>
        <w:tc>
          <w:tcPr>
            <w:tcW w:w="2297" w:type="dxa"/>
            <w:vMerge/>
            <w:vAlign w:val="center"/>
            <w:hideMark/>
          </w:tcPr>
          <w:p w:rsidR="00341280" w:rsidRPr="00BE26CC" w:rsidRDefault="00341280" w:rsidP="00341280">
            <w:pPr>
              <w:rPr>
                <w:color w:val="000000"/>
                <w:sz w:val="18"/>
                <w:szCs w:val="18"/>
              </w:rPr>
            </w:pPr>
          </w:p>
        </w:tc>
        <w:tc>
          <w:tcPr>
            <w:tcW w:w="2154" w:type="dxa"/>
            <w:shd w:val="clear" w:color="auto" w:fill="auto"/>
            <w:vAlign w:val="center"/>
            <w:hideMark/>
          </w:tcPr>
          <w:p w:rsidR="00341280" w:rsidRPr="00BE26CC" w:rsidRDefault="00341280" w:rsidP="00341280">
            <w:pPr>
              <w:rPr>
                <w:color w:val="000000"/>
                <w:sz w:val="18"/>
                <w:szCs w:val="18"/>
              </w:rPr>
            </w:pPr>
            <w:r w:rsidRPr="00BE26CC">
              <w:rPr>
                <w:color w:val="000000"/>
                <w:sz w:val="18"/>
                <w:szCs w:val="18"/>
              </w:rPr>
              <w:t>Oddělení pro Jihomoravský kraj</w:t>
            </w:r>
          </w:p>
        </w:tc>
        <w:tc>
          <w:tcPr>
            <w:tcW w:w="1579" w:type="dxa"/>
            <w:shd w:val="clear" w:color="auto" w:fill="auto"/>
            <w:noWrap/>
            <w:vAlign w:val="center"/>
          </w:tcPr>
          <w:p w:rsidR="00341280" w:rsidRPr="00BE26CC" w:rsidRDefault="00341280" w:rsidP="00341280">
            <w:pPr>
              <w:jc w:val="right"/>
              <w:rPr>
                <w:color w:val="000000"/>
                <w:sz w:val="18"/>
                <w:szCs w:val="18"/>
              </w:rPr>
            </w:pPr>
            <w:r w:rsidRPr="00BE26CC">
              <w:rPr>
                <w:color w:val="000000"/>
                <w:sz w:val="18"/>
                <w:szCs w:val="18"/>
              </w:rPr>
              <w:t>4,00</w:t>
            </w:r>
          </w:p>
        </w:tc>
        <w:tc>
          <w:tcPr>
            <w:tcW w:w="1436" w:type="dxa"/>
            <w:vMerge/>
            <w:vAlign w:val="center"/>
          </w:tcPr>
          <w:p w:rsidR="00341280" w:rsidRPr="00BE26CC" w:rsidRDefault="00341280" w:rsidP="00341280">
            <w:pPr>
              <w:rPr>
                <w:color w:val="000000"/>
                <w:sz w:val="18"/>
                <w:szCs w:val="18"/>
              </w:rPr>
            </w:pPr>
          </w:p>
        </w:tc>
      </w:tr>
      <w:tr w:rsidR="00341280" w:rsidRPr="00BE26CC" w:rsidTr="00341280">
        <w:trPr>
          <w:trHeight w:val="410"/>
          <w:jc w:val="center"/>
        </w:trPr>
        <w:tc>
          <w:tcPr>
            <w:tcW w:w="1595" w:type="dxa"/>
            <w:vMerge/>
            <w:vAlign w:val="center"/>
            <w:hideMark/>
          </w:tcPr>
          <w:p w:rsidR="00341280" w:rsidRPr="00BE26CC" w:rsidRDefault="00341280" w:rsidP="00341280">
            <w:pPr>
              <w:rPr>
                <w:color w:val="000000"/>
                <w:sz w:val="18"/>
                <w:szCs w:val="18"/>
              </w:rPr>
            </w:pPr>
          </w:p>
        </w:tc>
        <w:tc>
          <w:tcPr>
            <w:tcW w:w="2297" w:type="dxa"/>
            <w:vMerge/>
            <w:vAlign w:val="center"/>
            <w:hideMark/>
          </w:tcPr>
          <w:p w:rsidR="00341280" w:rsidRPr="00BE26CC" w:rsidRDefault="00341280" w:rsidP="00341280">
            <w:pPr>
              <w:rPr>
                <w:color w:val="000000"/>
                <w:sz w:val="18"/>
                <w:szCs w:val="18"/>
              </w:rPr>
            </w:pPr>
          </w:p>
        </w:tc>
        <w:tc>
          <w:tcPr>
            <w:tcW w:w="2154" w:type="dxa"/>
            <w:shd w:val="clear" w:color="auto" w:fill="auto"/>
            <w:vAlign w:val="center"/>
            <w:hideMark/>
          </w:tcPr>
          <w:p w:rsidR="00341280" w:rsidRPr="00BE26CC" w:rsidRDefault="00341280" w:rsidP="00341280">
            <w:pPr>
              <w:rPr>
                <w:color w:val="000000"/>
                <w:sz w:val="18"/>
                <w:szCs w:val="18"/>
              </w:rPr>
            </w:pPr>
            <w:r w:rsidRPr="00BE26CC">
              <w:rPr>
                <w:color w:val="000000"/>
                <w:sz w:val="18"/>
                <w:szCs w:val="18"/>
              </w:rPr>
              <w:t>Oddělení pro Královehradecký kraj</w:t>
            </w:r>
          </w:p>
        </w:tc>
        <w:tc>
          <w:tcPr>
            <w:tcW w:w="1579" w:type="dxa"/>
            <w:shd w:val="clear" w:color="auto" w:fill="auto"/>
            <w:noWrap/>
            <w:vAlign w:val="center"/>
          </w:tcPr>
          <w:p w:rsidR="00341280" w:rsidRPr="00BE26CC" w:rsidRDefault="00341280" w:rsidP="00341280">
            <w:pPr>
              <w:jc w:val="right"/>
              <w:rPr>
                <w:color w:val="000000"/>
                <w:sz w:val="18"/>
                <w:szCs w:val="18"/>
              </w:rPr>
            </w:pPr>
            <w:r w:rsidRPr="00BE26CC">
              <w:rPr>
                <w:color w:val="000000"/>
                <w:sz w:val="18"/>
                <w:szCs w:val="18"/>
              </w:rPr>
              <w:t>5,50</w:t>
            </w:r>
          </w:p>
        </w:tc>
        <w:tc>
          <w:tcPr>
            <w:tcW w:w="1436" w:type="dxa"/>
            <w:vMerge/>
            <w:vAlign w:val="center"/>
          </w:tcPr>
          <w:p w:rsidR="00341280" w:rsidRPr="00BE26CC" w:rsidRDefault="00341280" w:rsidP="00341280">
            <w:pPr>
              <w:rPr>
                <w:color w:val="000000"/>
                <w:sz w:val="18"/>
                <w:szCs w:val="18"/>
              </w:rPr>
            </w:pPr>
          </w:p>
        </w:tc>
      </w:tr>
      <w:tr w:rsidR="00341280" w:rsidRPr="00BE26CC" w:rsidTr="00341280">
        <w:trPr>
          <w:trHeight w:val="410"/>
          <w:jc w:val="center"/>
        </w:trPr>
        <w:tc>
          <w:tcPr>
            <w:tcW w:w="1595" w:type="dxa"/>
            <w:vMerge/>
            <w:vAlign w:val="center"/>
          </w:tcPr>
          <w:p w:rsidR="00341280" w:rsidRPr="00BE26CC" w:rsidRDefault="00341280" w:rsidP="00341280">
            <w:pPr>
              <w:rPr>
                <w:color w:val="000000"/>
                <w:sz w:val="18"/>
                <w:szCs w:val="18"/>
              </w:rPr>
            </w:pPr>
          </w:p>
        </w:tc>
        <w:tc>
          <w:tcPr>
            <w:tcW w:w="2297" w:type="dxa"/>
            <w:vMerge/>
            <w:vAlign w:val="center"/>
          </w:tcPr>
          <w:p w:rsidR="00341280" w:rsidRPr="00BE26CC" w:rsidRDefault="00341280" w:rsidP="00341280">
            <w:pPr>
              <w:rPr>
                <w:color w:val="000000"/>
                <w:sz w:val="18"/>
                <w:szCs w:val="18"/>
              </w:rPr>
            </w:pPr>
          </w:p>
        </w:tc>
        <w:tc>
          <w:tcPr>
            <w:tcW w:w="2154" w:type="dxa"/>
            <w:shd w:val="clear" w:color="auto" w:fill="auto"/>
            <w:vAlign w:val="center"/>
          </w:tcPr>
          <w:p w:rsidR="00341280" w:rsidRPr="00BE26CC" w:rsidRDefault="00341280" w:rsidP="00341280">
            <w:pPr>
              <w:rPr>
                <w:color w:val="000000"/>
                <w:sz w:val="18"/>
                <w:szCs w:val="18"/>
              </w:rPr>
            </w:pPr>
            <w:r w:rsidRPr="00BE26CC">
              <w:rPr>
                <w:color w:val="000000"/>
                <w:sz w:val="18"/>
                <w:szCs w:val="18"/>
              </w:rPr>
              <w:t>Oddělení pro Moravskoslezský kraj</w:t>
            </w:r>
          </w:p>
        </w:tc>
        <w:tc>
          <w:tcPr>
            <w:tcW w:w="1579" w:type="dxa"/>
            <w:shd w:val="clear" w:color="auto" w:fill="auto"/>
            <w:noWrap/>
            <w:vAlign w:val="center"/>
          </w:tcPr>
          <w:p w:rsidR="00341280" w:rsidRPr="00BE26CC" w:rsidRDefault="00341280" w:rsidP="00341280">
            <w:pPr>
              <w:jc w:val="right"/>
              <w:rPr>
                <w:color w:val="000000"/>
                <w:sz w:val="18"/>
                <w:szCs w:val="18"/>
              </w:rPr>
            </w:pPr>
            <w:r w:rsidRPr="00BE26CC">
              <w:rPr>
                <w:color w:val="000000"/>
                <w:sz w:val="18"/>
                <w:szCs w:val="18"/>
              </w:rPr>
              <w:t>3,00</w:t>
            </w:r>
          </w:p>
        </w:tc>
        <w:tc>
          <w:tcPr>
            <w:tcW w:w="1436" w:type="dxa"/>
            <w:vMerge/>
            <w:vAlign w:val="center"/>
          </w:tcPr>
          <w:p w:rsidR="00341280" w:rsidRPr="00BE26CC" w:rsidRDefault="00341280" w:rsidP="00341280">
            <w:pPr>
              <w:rPr>
                <w:color w:val="000000"/>
                <w:sz w:val="18"/>
                <w:szCs w:val="18"/>
              </w:rPr>
            </w:pPr>
          </w:p>
        </w:tc>
      </w:tr>
      <w:tr w:rsidR="00341280" w:rsidRPr="00BE26CC" w:rsidTr="00341280">
        <w:trPr>
          <w:trHeight w:val="410"/>
          <w:jc w:val="center"/>
        </w:trPr>
        <w:tc>
          <w:tcPr>
            <w:tcW w:w="1595" w:type="dxa"/>
            <w:vMerge/>
            <w:vAlign w:val="center"/>
          </w:tcPr>
          <w:p w:rsidR="00341280" w:rsidRPr="00BE26CC" w:rsidRDefault="00341280" w:rsidP="00341280">
            <w:pPr>
              <w:rPr>
                <w:color w:val="000000"/>
                <w:sz w:val="18"/>
                <w:szCs w:val="18"/>
              </w:rPr>
            </w:pPr>
          </w:p>
        </w:tc>
        <w:tc>
          <w:tcPr>
            <w:tcW w:w="2297" w:type="dxa"/>
            <w:vMerge/>
            <w:vAlign w:val="center"/>
          </w:tcPr>
          <w:p w:rsidR="00341280" w:rsidRPr="00BE26CC" w:rsidRDefault="00341280" w:rsidP="00341280">
            <w:pPr>
              <w:rPr>
                <w:color w:val="000000"/>
                <w:sz w:val="18"/>
                <w:szCs w:val="18"/>
              </w:rPr>
            </w:pPr>
          </w:p>
        </w:tc>
        <w:tc>
          <w:tcPr>
            <w:tcW w:w="2154" w:type="dxa"/>
            <w:shd w:val="clear" w:color="auto" w:fill="auto"/>
            <w:vAlign w:val="center"/>
          </w:tcPr>
          <w:p w:rsidR="00341280" w:rsidRPr="00BE26CC" w:rsidRDefault="00341280" w:rsidP="00341280">
            <w:pPr>
              <w:rPr>
                <w:color w:val="000000"/>
                <w:sz w:val="18"/>
                <w:szCs w:val="18"/>
              </w:rPr>
            </w:pPr>
            <w:r w:rsidRPr="00BE26CC">
              <w:rPr>
                <w:color w:val="000000"/>
                <w:sz w:val="18"/>
                <w:szCs w:val="18"/>
              </w:rPr>
              <w:t>Oddělení pro Olomoucký kraj</w:t>
            </w:r>
          </w:p>
        </w:tc>
        <w:tc>
          <w:tcPr>
            <w:tcW w:w="1579" w:type="dxa"/>
            <w:shd w:val="clear" w:color="auto" w:fill="auto"/>
            <w:noWrap/>
            <w:vAlign w:val="center"/>
          </w:tcPr>
          <w:p w:rsidR="00341280" w:rsidRPr="00BE26CC" w:rsidRDefault="00341280" w:rsidP="00341280">
            <w:pPr>
              <w:jc w:val="right"/>
              <w:rPr>
                <w:color w:val="000000"/>
                <w:sz w:val="18"/>
                <w:szCs w:val="18"/>
              </w:rPr>
            </w:pPr>
            <w:r w:rsidRPr="00BE26CC">
              <w:rPr>
                <w:color w:val="000000"/>
                <w:sz w:val="18"/>
                <w:szCs w:val="18"/>
              </w:rPr>
              <w:t>6,00</w:t>
            </w:r>
          </w:p>
        </w:tc>
        <w:tc>
          <w:tcPr>
            <w:tcW w:w="1436" w:type="dxa"/>
            <w:vMerge/>
            <w:vAlign w:val="center"/>
          </w:tcPr>
          <w:p w:rsidR="00341280" w:rsidRPr="00BE26CC" w:rsidRDefault="00341280" w:rsidP="00341280">
            <w:pPr>
              <w:rPr>
                <w:color w:val="000000"/>
                <w:sz w:val="18"/>
                <w:szCs w:val="18"/>
              </w:rPr>
            </w:pPr>
          </w:p>
        </w:tc>
      </w:tr>
      <w:tr w:rsidR="00341280" w:rsidRPr="00BE26CC" w:rsidTr="00341280">
        <w:trPr>
          <w:trHeight w:val="410"/>
          <w:jc w:val="center"/>
        </w:trPr>
        <w:tc>
          <w:tcPr>
            <w:tcW w:w="1595" w:type="dxa"/>
            <w:vMerge/>
            <w:vAlign w:val="center"/>
          </w:tcPr>
          <w:p w:rsidR="00341280" w:rsidRPr="00BE26CC" w:rsidRDefault="00341280" w:rsidP="00341280">
            <w:pPr>
              <w:rPr>
                <w:color w:val="000000"/>
                <w:sz w:val="18"/>
                <w:szCs w:val="18"/>
              </w:rPr>
            </w:pPr>
          </w:p>
        </w:tc>
        <w:tc>
          <w:tcPr>
            <w:tcW w:w="2297" w:type="dxa"/>
            <w:vMerge/>
            <w:vAlign w:val="center"/>
          </w:tcPr>
          <w:p w:rsidR="00341280" w:rsidRPr="00BE26CC" w:rsidRDefault="00341280" w:rsidP="00341280">
            <w:pPr>
              <w:rPr>
                <w:color w:val="000000"/>
                <w:sz w:val="18"/>
                <w:szCs w:val="18"/>
              </w:rPr>
            </w:pPr>
          </w:p>
        </w:tc>
        <w:tc>
          <w:tcPr>
            <w:tcW w:w="2154" w:type="dxa"/>
            <w:shd w:val="clear" w:color="auto" w:fill="auto"/>
            <w:vAlign w:val="center"/>
          </w:tcPr>
          <w:p w:rsidR="00341280" w:rsidRPr="00BE26CC" w:rsidRDefault="00341280" w:rsidP="00341280">
            <w:pPr>
              <w:rPr>
                <w:color w:val="000000"/>
                <w:sz w:val="18"/>
                <w:szCs w:val="18"/>
              </w:rPr>
            </w:pPr>
            <w:r w:rsidRPr="00BE26CC">
              <w:rPr>
                <w:color w:val="000000"/>
                <w:sz w:val="18"/>
                <w:szCs w:val="18"/>
              </w:rPr>
              <w:t>Oddělení pro Ústecký kraj</w:t>
            </w:r>
          </w:p>
        </w:tc>
        <w:tc>
          <w:tcPr>
            <w:tcW w:w="1579" w:type="dxa"/>
            <w:shd w:val="clear" w:color="auto" w:fill="auto"/>
            <w:noWrap/>
            <w:vAlign w:val="center"/>
          </w:tcPr>
          <w:p w:rsidR="00341280" w:rsidRPr="00BE26CC" w:rsidRDefault="00341280" w:rsidP="00341280">
            <w:pPr>
              <w:jc w:val="right"/>
              <w:rPr>
                <w:color w:val="000000"/>
                <w:sz w:val="18"/>
                <w:szCs w:val="18"/>
              </w:rPr>
            </w:pPr>
            <w:r w:rsidRPr="00BE26CC">
              <w:rPr>
                <w:color w:val="000000"/>
                <w:sz w:val="18"/>
                <w:szCs w:val="18"/>
              </w:rPr>
              <w:t>4,00</w:t>
            </w:r>
          </w:p>
        </w:tc>
        <w:tc>
          <w:tcPr>
            <w:tcW w:w="1436" w:type="dxa"/>
            <w:vMerge/>
            <w:vAlign w:val="center"/>
          </w:tcPr>
          <w:p w:rsidR="00341280" w:rsidRPr="00BE26CC" w:rsidRDefault="00341280" w:rsidP="00341280">
            <w:pPr>
              <w:rPr>
                <w:color w:val="000000"/>
                <w:sz w:val="18"/>
                <w:szCs w:val="18"/>
              </w:rPr>
            </w:pPr>
          </w:p>
        </w:tc>
      </w:tr>
      <w:tr w:rsidR="00341280" w:rsidRPr="00BE26CC" w:rsidTr="00CE0B51">
        <w:trPr>
          <w:trHeight w:val="315"/>
          <w:jc w:val="center"/>
        </w:trPr>
        <w:tc>
          <w:tcPr>
            <w:tcW w:w="1595" w:type="dxa"/>
            <w:shd w:val="clear" w:color="auto" w:fill="95B3D7" w:themeFill="accent1" w:themeFillTint="99"/>
            <w:noWrap/>
            <w:vAlign w:val="center"/>
            <w:hideMark/>
          </w:tcPr>
          <w:p w:rsidR="00341280" w:rsidRPr="00BE26CC" w:rsidRDefault="00341280" w:rsidP="00CE0B51">
            <w:pPr>
              <w:rPr>
                <w:b/>
                <w:bCs/>
                <w:color w:val="000000"/>
                <w:sz w:val="18"/>
                <w:szCs w:val="18"/>
              </w:rPr>
            </w:pPr>
            <w:r w:rsidRPr="00BE26CC">
              <w:rPr>
                <w:b/>
                <w:bCs/>
                <w:color w:val="000000"/>
                <w:sz w:val="18"/>
                <w:szCs w:val="18"/>
              </w:rPr>
              <w:t>Celkem</w:t>
            </w:r>
          </w:p>
        </w:tc>
        <w:tc>
          <w:tcPr>
            <w:tcW w:w="2297" w:type="dxa"/>
            <w:shd w:val="clear" w:color="auto" w:fill="95B3D7" w:themeFill="accent1" w:themeFillTint="99"/>
            <w:noWrap/>
            <w:vAlign w:val="center"/>
            <w:hideMark/>
          </w:tcPr>
          <w:p w:rsidR="00341280" w:rsidRPr="00BE26CC" w:rsidRDefault="00341280" w:rsidP="00CE0B51">
            <w:pPr>
              <w:rPr>
                <w:b/>
                <w:bCs/>
                <w:color w:val="000000"/>
                <w:sz w:val="18"/>
                <w:szCs w:val="18"/>
              </w:rPr>
            </w:pPr>
            <w:r w:rsidRPr="00BE26CC">
              <w:rPr>
                <w:b/>
                <w:bCs/>
                <w:color w:val="000000"/>
                <w:sz w:val="18"/>
                <w:szCs w:val="18"/>
              </w:rPr>
              <w:t> </w:t>
            </w:r>
          </w:p>
        </w:tc>
        <w:tc>
          <w:tcPr>
            <w:tcW w:w="2154" w:type="dxa"/>
            <w:shd w:val="clear" w:color="auto" w:fill="95B3D7" w:themeFill="accent1" w:themeFillTint="99"/>
            <w:noWrap/>
            <w:vAlign w:val="center"/>
            <w:hideMark/>
          </w:tcPr>
          <w:p w:rsidR="00341280" w:rsidRPr="00BE26CC" w:rsidRDefault="00341280" w:rsidP="00CE0B51">
            <w:pPr>
              <w:rPr>
                <w:b/>
                <w:bCs/>
                <w:color w:val="000000"/>
                <w:sz w:val="18"/>
                <w:szCs w:val="18"/>
              </w:rPr>
            </w:pPr>
            <w:r w:rsidRPr="00BE26CC">
              <w:rPr>
                <w:b/>
                <w:bCs/>
                <w:color w:val="000000"/>
                <w:sz w:val="18"/>
                <w:szCs w:val="18"/>
              </w:rPr>
              <w:t> </w:t>
            </w:r>
          </w:p>
        </w:tc>
        <w:tc>
          <w:tcPr>
            <w:tcW w:w="1579" w:type="dxa"/>
            <w:shd w:val="clear" w:color="auto" w:fill="95B3D7" w:themeFill="accent1" w:themeFillTint="99"/>
            <w:noWrap/>
            <w:vAlign w:val="center"/>
          </w:tcPr>
          <w:p w:rsidR="00341280" w:rsidRPr="00BE26CC" w:rsidRDefault="00341280" w:rsidP="00CE0B51">
            <w:pPr>
              <w:jc w:val="right"/>
              <w:rPr>
                <w:b/>
                <w:bCs/>
                <w:color w:val="000000"/>
                <w:sz w:val="18"/>
                <w:szCs w:val="18"/>
                <w:highlight w:val="yellow"/>
              </w:rPr>
            </w:pPr>
            <w:r w:rsidRPr="00BE26CC">
              <w:rPr>
                <w:b/>
                <w:bCs/>
                <w:color w:val="000000"/>
                <w:sz w:val="18"/>
                <w:szCs w:val="18"/>
              </w:rPr>
              <w:t>185,035</w:t>
            </w:r>
          </w:p>
        </w:tc>
        <w:tc>
          <w:tcPr>
            <w:tcW w:w="1436" w:type="dxa"/>
            <w:shd w:val="clear" w:color="auto" w:fill="95B3D7" w:themeFill="accent1" w:themeFillTint="99"/>
            <w:noWrap/>
            <w:vAlign w:val="center"/>
          </w:tcPr>
          <w:p w:rsidR="00341280" w:rsidRPr="00BE26CC" w:rsidRDefault="00341280" w:rsidP="00CE0B51">
            <w:pPr>
              <w:jc w:val="right"/>
              <w:rPr>
                <w:b/>
                <w:bCs/>
                <w:color w:val="000000"/>
                <w:sz w:val="18"/>
                <w:szCs w:val="18"/>
                <w:highlight w:val="yellow"/>
              </w:rPr>
            </w:pPr>
            <w:r w:rsidRPr="00BE26CC">
              <w:rPr>
                <w:b/>
                <w:bCs/>
                <w:color w:val="000000"/>
                <w:sz w:val="18"/>
                <w:szCs w:val="18"/>
              </w:rPr>
              <w:t>185,035</w:t>
            </w:r>
          </w:p>
        </w:tc>
      </w:tr>
    </w:tbl>
    <w:p w:rsidR="00CA6D9B" w:rsidRDefault="00CA6D9B" w:rsidP="00CA6D9B">
      <w:pPr>
        <w:rPr>
          <w:i/>
          <w:sz w:val="18"/>
          <w:szCs w:val="18"/>
        </w:rPr>
      </w:pPr>
      <w:r w:rsidRPr="00813D31">
        <w:rPr>
          <w:i/>
          <w:sz w:val="18"/>
          <w:szCs w:val="18"/>
        </w:rPr>
        <w:t>Zdroj:</w:t>
      </w:r>
      <w:r>
        <w:rPr>
          <w:i/>
          <w:sz w:val="18"/>
          <w:szCs w:val="18"/>
        </w:rPr>
        <w:t xml:space="preserve"> </w:t>
      </w:r>
      <w:r w:rsidRPr="00813D31">
        <w:rPr>
          <w:i/>
          <w:sz w:val="18"/>
          <w:szCs w:val="18"/>
        </w:rPr>
        <w:t xml:space="preserve">ŘO  a ZS  </w:t>
      </w:r>
      <w:r w:rsidR="00914BC7">
        <w:rPr>
          <w:i/>
          <w:sz w:val="18"/>
          <w:szCs w:val="18"/>
        </w:rPr>
        <w:t>k 30. 9. 2015</w:t>
      </w:r>
    </w:p>
    <w:p w:rsidR="00CA6D9B" w:rsidRDefault="00CA6D9B" w:rsidP="001D018D">
      <w:pPr>
        <w:jc w:val="both"/>
        <w:rPr>
          <w:sz w:val="22"/>
          <w:szCs w:val="22"/>
        </w:rPr>
      </w:pPr>
    </w:p>
    <w:p w:rsidR="00586DE3" w:rsidRDefault="00586DE3" w:rsidP="001D018D">
      <w:pPr>
        <w:jc w:val="both"/>
        <w:rPr>
          <w:sz w:val="22"/>
          <w:szCs w:val="22"/>
        </w:rPr>
      </w:pPr>
    </w:p>
    <w:p w:rsidR="00CA6D9B" w:rsidRDefault="00CA6D9B" w:rsidP="00CA6D9B">
      <w:pPr>
        <w:jc w:val="both"/>
        <w:rPr>
          <w:sz w:val="22"/>
          <w:szCs w:val="22"/>
        </w:rPr>
      </w:pPr>
      <w:r w:rsidRPr="003A0827">
        <w:rPr>
          <w:sz w:val="22"/>
          <w:szCs w:val="22"/>
        </w:rPr>
        <w:t xml:space="preserve">Následující tabulka obsahuje srovnání současné administrativní kapacity IOP se stavem </w:t>
      </w:r>
      <w:r w:rsidR="00914BC7">
        <w:rPr>
          <w:sz w:val="22"/>
          <w:szCs w:val="22"/>
        </w:rPr>
        <w:t>k 30. 9. 2015</w:t>
      </w:r>
      <w:r w:rsidRPr="003A0827">
        <w:rPr>
          <w:sz w:val="22"/>
          <w:szCs w:val="22"/>
        </w:rPr>
        <w:t xml:space="preserve"> </w:t>
      </w:r>
      <w:r>
        <w:rPr>
          <w:sz w:val="22"/>
          <w:szCs w:val="22"/>
        </w:rPr>
        <w:br/>
      </w:r>
      <w:r w:rsidRPr="003A0827">
        <w:rPr>
          <w:sz w:val="22"/>
          <w:szCs w:val="22"/>
        </w:rPr>
        <w:t>a plánovaný sta</w:t>
      </w:r>
      <w:r w:rsidR="00CB6E4E">
        <w:rPr>
          <w:sz w:val="22"/>
          <w:szCs w:val="22"/>
        </w:rPr>
        <w:t>v zaměstnanců do konce roku 2015 a 2016</w:t>
      </w:r>
      <w:r w:rsidRPr="003A0827">
        <w:rPr>
          <w:sz w:val="22"/>
          <w:szCs w:val="22"/>
        </w:rPr>
        <w:t xml:space="preserve">. </w:t>
      </w:r>
      <w:r w:rsidR="00CB6E4E">
        <w:rPr>
          <w:sz w:val="22"/>
          <w:szCs w:val="22"/>
        </w:rPr>
        <w:t>P</w:t>
      </w:r>
      <w:r w:rsidR="00CB6E4E" w:rsidRPr="00CB6E4E">
        <w:rPr>
          <w:sz w:val="22"/>
          <w:szCs w:val="22"/>
        </w:rPr>
        <w:t>lán úvazků pro rok 2016 je ryze indikativní, neboť všechny mzdové výdaje na zajištění admini</w:t>
      </w:r>
      <w:r w:rsidR="00CB6E4E">
        <w:rPr>
          <w:sz w:val="22"/>
          <w:szCs w:val="22"/>
        </w:rPr>
        <w:t>strace IOP budou hrazeny z IROP</w:t>
      </w:r>
      <w:r w:rsidR="00CB6E4E" w:rsidRPr="00CB6E4E">
        <w:rPr>
          <w:sz w:val="22"/>
          <w:szCs w:val="22"/>
        </w:rPr>
        <w:t xml:space="preserve">. </w:t>
      </w:r>
    </w:p>
    <w:p w:rsidR="003820FF" w:rsidRDefault="003820FF" w:rsidP="001D018D">
      <w:pPr>
        <w:jc w:val="both"/>
        <w:rPr>
          <w:sz w:val="22"/>
          <w:szCs w:val="22"/>
        </w:rPr>
      </w:pPr>
    </w:p>
    <w:p w:rsidR="00CB6E4E" w:rsidRDefault="00CB6E4E" w:rsidP="001D018D">
      <w:pPr>
        <w:jc w:val="both"/>
        <w:rPr>
          <w:sz w:val="22"/>
          <w:szCs w:val="22"/>
        </w:rPr>
      </w:pPr>
    </w:p>
    <w:p w:rsidR="00CB6E4E" w:rsidRDefault="00CB6E4E" w:rsidP="001D018D">
      <w:pPr>
        <w:jc w:val="both"/>
        <w:rPr>
          <w:sz w:val="22"/>
          <w:szCs w:val="22"/>
        </w:rPr>
      </w:pPr>
    </w:p>
    <w:p w:rsidR="00CB6E4E" w:rsidRDefault="00CB6E4E" w:rsidP="001D018D">
      <w:pPr>
        <w:jc w:val="both"/>
        <w:rPr>
          <w:sz w:val="22"/>
          <w:szCs w:val="22"/>
        </w:rPr>
      </w:pPr>
    </w:p>
    <w:p w:rsidR="00CB6E4E" w:rsidRDefault="00CB6E4E" w:rsidP="001D018D">
      <w:pPr>
        <w:jc w:val="both"/>
        <w:rPr>
          <w:sz w:val="22"/>
          <w:szCs w:val="22"/>
        </w:rPr>
      </w:pPr>
    </w:p>
    <w:p w:rsidR="00CB6E4E" w:rsidRDefault="00CB6E4E" w:rsidP="001D018D">
      <w:pPr>
        <w:jc w:val="both"/>
        <w:rPr>
          <w:sz w:val="22"/>
          <w:szCs w:val="22"/>
        </w:rPr>
      </w:pPr>
    </w:p>
    <w:p w:rsidR="00CB6E4E" w:rsidRDefault="00CB6E4E" w:rsidP="001D018D">
      <w:pPr>
        <w:jc w:val="both"/>
        <w:rPr>
          <w:sz w:val="22"/>
          <w:szCs w:val="22"/>
        </w:rPr>
      </w:pPr>
    </w:p>
    <w:p w:rsidR="00CB6E4E" w:rsidRDefault="00CB6E4E" w:rsidP="001D018D">
      <w:pPr>
        <w:jc w:val="both"/>
        <w:rPr>
          <w:sz w:val="22"/>
          <w:szCs w:val="22"/>
        </w:rPr>
      </w:pPr>
    </w:p>
    <w:p w:rsidR="00CB6E4E" w:rsidRDefault="00CB6E4E" w:rsidP="001D018D">
      <w:pPr>
        <w:jc w:val="both"/>
        <w:rPr>
          <w:sz w:val="22"/>
          <w:szCs w:val="22"/>
        </w:rPr>
      </w:pPr>
    </w:p>
    <w:p w:rsidR="00CB6E4E" w:rsidRDefault="00CB6E4E" w:rsidP="001D018D">
      <w:pPr>
        <w:jc w:val="both"/>
        <w:rPr>
          <w:sz w:val="22"/>
          <w:szCs w:val="22"/>
        </w:rPr>
      </w:pPr>
    </w:p>
    <w:p w:rsidR="00CB6E4E" w:rsidRDefault="00CB6E4E" w:rsidP="001D018D">
      <w:pPr>
        <w:jc w:val="both"/>
        <w:rPr>
          <w:sz w:val="22"/>
          <w:szCs w:val="22"/>
        </w:rPr>
      </w:pPr>
    </w:p>
    <w:p w:rsidR="00CB6E4E" w:rsidRDefault="00CB6E4E" w:rsidP="001D018D">
      <w:pPr>
        <w:jc w:val="both"/>
        <w:rPr>
          <w:sz w:val="22"/>
          <w:szCs w:val="22"/>
        </w:rPr>
      </w:pPr>
    </w:p>
    <w:p w:rsidR="00CB6E4E" w:rsidRDefault="00CB6E4E" w:rsidP="001D018D">
      <w:pPr>
        <w:jc w:val="both"/>
        <w:rPr>
          <w:sz w:val="22"/>
          <w:szCs w:val="22"/>
        </w:rPr>
      </w:pPr>
    </w:p>
    <w:p w:rsidR="00CB6E4E" w:rsidRDefault="00CB6E4E" w:rsidP="001D018D">
      <w:pPr>
        <w:jc w:val="both"/>
        <w:rPr>
          <w:sz w:val="22"/>
          <w:szCs w:val="22"/>
        </w:rPr>
      </w:pPr>
    </w:p>
    <w:p w:rsidR="00CB6E4E" w:rsidRDefault="00CB6E4E" w:rsidP="001D018D">
      <w:pPr>
        <w:jc w:val="both"/>
        <w:rPr>
          <w:sz w:val="22"/>
          <w:szCs w:val="22"/>
        </w:rPr>
      </w:pPr>
    </w:p>
    <w:p w:rsidR="00CB6E4E" w:rsidRDefault="00CB6E4E" w:rsidP="001D018D">
      <w:pPr>
        <w:jc w:val="both"/>
        <w:rPr>
          <w:sz w:val="22"/>
          <w:szCs w:val="22"/>
        </w:rPr>
      </w:pPr>
    </w:p>
    <w:p w:rsidR="00CB6E4E" w:rsidRDefault="00CB6E4E" w:rsidP="001D018D">
      <w:pPr>
        <w:jc w:val="both"/>
        <w:rPr>
          <w:sz w:val="22"/>
          <w:szCs w:val="22"/>
        </w:rPr>
      </w:pPr>
    </w:p>
    <w:p w:rsidR="00CB6E4E" w:rsidRDefault="001D018D" w:rsidP="00CB6E4E">
      <w:pPr>
        <w:pStyle w:val="Tabulkanzev"/>
        <w:keepNext/>
        <w:keepLines/>
      </w:pPr>
      <w:bookmarkStart w:id="164" w:name="_Toc433873579"/>
      <w:r w:rsidRPr="00514131">
        <w:rPr>
          <w:rStyle w:val="Siln"/>
        </w:rPr>
        <w:lastRenderedPageBreak/>
        <w:t>Sledování stavu administrativní kapacity v programovém období 2007 – 2013</w:t>
      </w:r>
      <w:bookmarkEnd w:id="164"/>
    </w:p>
    <w:tbl>
      <w:tblPr>
        <w:tblW w:w="8647" w:type="dxa"/>
        <w:tblInd w:w="-72" w:type="dxa"/>
        <w:tblBorders>
          <w:top w:val="double" w:sz="4" w:space="0" w:color="1F497D"/>
          <w:left w:val="double" w:sz="4" w:space="0" w:color="1F497D"/>
          <w:bottom w:val="double" w:sz="4" w:space="0" w:color="1F497D"/>
          <w:right w:val="double" w:sz="4" w:space="0" w:color="1F497D"/>
          <w:insideH w:val="single" w:sz="8" w:space="0" w:color="1F497D"/>
          <w:insideV w:val="single" w:sz="8" w:space="0" w:color="1F497D"/>
        </w:tblBorders>
        <w:tblCellMar>
          <w:left w:w="0" w:type="dxa"/>
          <w:right w:w="0" w:type="dxa"/>
        </w:tblCellMar>
        <w:tblLook w:val="04A0" w:firstRow="1" w:lastRow="0" w:firstColumn="1" w:lastColumn="0" w:noHBand="0" w:noVBand="1"/>
      </w:tblPr>
      <w:tblGrid>
        <w:gridCol w:w="3119"/>
        <w:gridCol w:w="1625"/>
        <w:gridCol w:w="1842"/>
        <w:gridCol w:w="1069"/>
        <w:gridCol w:w="992"/>
      </w:tblGrid>
      <w:tr w:rsidR="00CB6E4E" w:rsidTr="00CB6E4E">
        <w:trPr>
          <w:trHeight w:val="934"/>
          <w:tblHeader/>
        </w:trPr>
        <w:tc>
          <w:tcPr>
            <w:tcW w:w="3119" w:type="dxa"/>
            <w:shd w:val="clear" w:color="auto" w:fill="B8CCE4"/>
            <w:noWrap/>
            <w:tcMar>
              <w:top w:w="0" w:type="dxa"/>
              <w:left w:w="70" w:type="dxa"/>
              <w:bottom w:w="0" w:type="dxa"/>
              <w:right w:w="70" w:type="dxa"/>
            </w:tcMar>
            <w:vAlign w:val="center"/>
            <w:hideMark/>
          </w:tcPr>
          <w:p w:rsidR="00CB6E4E" w:rsidRDefault="00CB6E4E">
            <w:pPr>
              <w:keepNext/>
              <w:spacing w:after="200" w:line="276" w:lineRule="auto"/>
              <w:jc w:val="center"/>
              <w:rPr>
                <w:rFonts w:ascii="Calibri" w:eastAsiaTheme="minorHAnsi" w:hAnsi="Calibri"/>
                <w:b/>
                <w:bCs/>
                <w:color w:val="000000"/>
                <w:sz w:val="18"/>
                <w:szCs w:val="18"/>
                <w:lang w:eastAsia="en-US"/>
              </w:rPr>
            </w:pPr>
            <w:r>
              <w:rPr>
                <w:b/>
                <w:bCs/>
                <w:color w:val="000000"/>
                <w:sz w:val="18"/>
                <w:szCs w:val="18"/>
              </w:rPr>
              <w:t>Subjekt implementace</w:t>
            </w:r>
          </w:p>
        </w:tc>
        <w:tc>
          <w:tcPr>
            <w:tcW w:w="1625" w:type="dxa"/>
            <w:shd w:val="clear" w:color="auto" w:fill="B8CCE4"/>
            <w:tcMar>
              <w:top w:w="0" w:type="dxa"/>
              <w:left w:w="70" w:type="dxa"/>
              <w:bottom w:w="0" w:type="dxa"/>
              <w:right w:w="70" w:type="dxa"/>
            </w:tcMar>
            <w:vAlign w:val="center"/>
            <w:hideMark/>
          </w:tcPr>
          <w:p w:rsidR="00CB6E4E" w:rsidRDefault="00CB6E4E">
            <w:pPr>
              <w:keepNext/>
              <w:spacing w:after="200" w:line="276" w:lineRule="auto"/>
              <w:jc w:val="center"/>
              <w:rPr>
                <w:rFonts w:ascii="Calibri" w:eastAsiaTheme="minorHAnsi" w:hAnsi="Calibri"/>
                <w:b/>
                <w:bCs/>
                <w:color w:val="000000"/>
                <w:sz w:val="18"/>
                <w:szCs w:val="18"/>
                <w:lang w:eastAsia="en-US"/>
              </w:rPr>
            </w:pPr>
            <w:r>
              <w:rPr>
                <w:b/>
                <w:bCs/>
                <w:color w:val="000000"/>
                <w:sz w:val="18"/>
                <w:szCs w:val="18"/>
              </w:rPr>
              <w:t xml:space="preserve">Počet pracovních úvazků uvedený </w:t>
            </w:r>
            <w:r>
              <w:rPr>
                <w:b/>
                <w:bCs/>
                <w:color w:val="000000"/>
                <w:sz w:val="18"/>
                <w:szCs w:val="18"/>
              </w:rPr>
              <w:br/>
              <w:t>k 16. 4. 2015</w:t>
            </w:r>
          </w:p>
        </w:tc>
        <w:tc>
          <w:tcPr>
            <w:tcW w:w="1842" w:type="dxa"/>
            <w:shd w:val="clear" w:color="auto" w:fill="B8CCE4"/>
            <w:tcMar>
              <w:top w:w="0" w:type="dxa"/>
              <w:left w:w="70" w:type="dxa"/>
              <w:bottom w:w="0" w:type="dxa"/>
              <w:right w:w="70" w:type="dxa"/>
            </w:tcMar>
            <w:vAlign w:val="center"/>
            <w:hideMark/>
          </w:tcPr>
          <w:p w:rsidR="00CB6E4E" w:rsidRDefault="00CB6E4E">
            <w:pPr>
              <w:keepNext/>
              <w:spacing w:after="200" w:line="276" w:lineRule="auto"/>
              <w:jc w:val="center"/>
              <w:rPr>
                <w:rFonts w:ascii="Calibri" w:eastAsiaTheme="minorHAnsi" w:hAnsi="Calibri"/>
                <w:b/>
                <w:bCs/>
                <w:color w:val="000000"/>
                <w:sz w:val="18"/>
                <w:szCs w:val="18"/>
                <w:lang w:eastAsia="en-US"/>
              </w:rPr>
            </w:pPr>
            <w:r>
              <w:rPr>
                <w:b/>
                <w:bCs/>
                <w:color w:val="000000"/>
                <w:sz w:val="18"/>
                <w:szCs w:val="18"/>
              </w:rPr>
              <w:t xml:space="preserve">Počet pracovních úvazků </w:t>
            </w:r>
            <w:r>
              <w:rPr>
                <w:b/>
                <w:bCs/>
                <w:color w:val="000000"/>
                <w:sz w:val="18"/>
                <w:szCs w:val="18"/>
              </w:rPr>
              <w:br/>
              <w:t> k 30. 9. 2015</w:t>
            </w:r>
          </w:p>
        </w:tc>
        <w:tc>
          <w:tcPr>
            <w:tcW w:w="1069" w:type="dxa"/>
            <w:shd w:val="clear" w:color="auto" w:fill="B8CCE4"/>
            <w:tcMar>
              <w:top w:w="0" w:type="dxa"/>
              <w:left w:w="70" w:type="dxa"/>
              <w:bottom w:w="0" w:type="dxa"/>
              <w:right w:w="70" w:type="dxa"/>
            </w:tcMar>
            <w:vAlign w:val="center"/>
            <w:hideMark/>
          </w:tcPr>
          <w:p w:rsidR="00CB6E4E" w:rsidRDefault="00CB6E4E">
            <w:pPr>
              <w:keepNext/>
              <w:spacing w:after="200" w:line="276" w:lineRule="auto"/>
              <w:jc w:val="center"/>
              <w:rPr>
                <w:rFonts w:ascii="Calibri" w:eastAsiaTheme="minorHAnsi" w:hAnsi="Calibri"/>
                <w:b/>
                <w:bCs/>
                <w:color w:val="000000"/>
                <w:sz w:val="18"/>
                <w:szCs w:val="18"/>
                <w:lang w:eastAsia="en-US"/>
              </w:rPr>
            </w:pPr>
            <w:r>
              <w:rPr>
                <w:b/>
                <w:bCs/>
                <w:color w:val="000000"/>
                <w:sz w:val="18"/>
                <w:szCs w:val="18"/>
              </w:rPr>
              <w:t xml:space="preserve">Plánovaný počet </w:t>
            </w:r>
            <w:r>
              <w:rPr>
                <w:b/>
                <w:bCs/>
                <w:color w:val="000000"/>
                <w:sz w:val="18"/>
                <w:szCs w:val="18"/>
              </w:rPr>
              <w:br/>
              <w:t>r. 2015</w:t>
            </w:r>
          </w:p>
        </w:tc>
        <w:tc>
          <w:tcPr>
            <w:tcW w:w="992" w:type="dxa"/>
            <w:shd w:val="clear" w:color="auto" w:fill="B8CCE4"/>
            <w:hideMark/>
          </w:tcPr>
          <w:p w:rsidR="00CB6E4E" w:rsidRDefault="00CB6E4E">
            <w:pPr>
              <w:keepNext/>
              <w:spacing w:after="200" w:line="276" w:lineRule="auto"/>
              <w:jc w:val="center"/>
              <w:rPr>
                <w:rFonts w:ascii="Calibri" w:eastAsiaTheme="minorHAnsi" w:hAnsi="Calibri"/>
                <w:b/>
                <w:bCs/>
                <w:color w:val="000000"/>
                <w:sz w:val="18"/>
                <w:szCs w:val="18"/>
                <w:lang w:eastAsia="en-US"/>
              </w:rPr>
            </w:pPr>
            <w:r>
              <w:rPr>
                <w:b/>
                <w:bCs/>
                <w:color w:val="000000"/>
                <w:sz w:val="18"/>
                <w:szCs w:val="18"/>
              </w:rPr>
              <w:t xml:space="preserve">Plánovaný počet </w:t>
            </w:r>
            <w:r>
              <w:rPr>
                <w:b/>
                <w:bCs/>
                <w:color w:val="000000"/>
                <w:sz w:val="18"/>
                <w:szCs w:val="18"/>
              </w:rPr>
              <w:br/>
              <w:t>r. 2016</w:t>
            </w:r>
          </w:p>
        </w:tc>
      </w:tr>
      <w:tr w:rsidR="00CB6E4E" w:rsidTr="00CB6E4E">
        <w:trPr>
          <w:trHeight w:val="300"/>
        </w:trPr>
        <w:tc>
          <w:tcPr>
            <w:tcW w:w="3119" w:type="dxa"/>
            <w:noWrap/>
            <w:tcMar>
              <w:top w:w="0" w:type="dxa"/>
              <w:left w:w="70" w:type="dxa"/>
              <w:bottom w:w="0" w:type="dxa"/>
              <w:right w:w="70" w:type="dxa"/>
            </w:tcMar>
            <w:vAlign w:val="center"/>
            <w:hideMark/>
          </w:tcPr>
          <w:p w:rsidR="00CB6E4E" w:rsidRDefault="00CB6E4E">
            <w:pPr>
              <w:keepNext/>
              <w:spacing w:after="200" w:line="276" w:lineRule="auto"/>
              <w:rPr>
                <w:rFonts w:ascii="Calibri" w:eastAsiaTheme="minorHAnsi" w:hAnsi="Calibri"/>
                <w:color w:val="000000"/>
                <w:sz w:val="18"/>
                <w:szCs w:val="18"/>
                <w:lang w:eastAsia="en-US"/>
              </w:rPr>
            </w:pPr>
            <w:r>
              <w:rPr>
                <w:color w:val="000000"/>
                <w:sz w:val="18"/>
                <w:szCs w:val="18"/>
              </w:rPr>
              <w:t>Řídící orgán</w:t>
            </w:r>
          </w:p>
        </w:tc>
        <w:tc>
          <w:tcPr>
            <w:tcW w:w="1625" w:type="dxa"/>
            <w:noWrap/>
            <w:tcMar>
              <w:top w:w="0" w:type="dxa"/>
              <w:left w:w="70" w:type="dxa"/>
              <w:bottom w:w="0" w:type="dxa"/>
              <w:right w:w="70" w:type="dxa"/>
            </w:tcMar>
            <w:hideMark/>
          </w:tcPr>
          <w:p w:rsidR="00CB6E4E" w:rsidRDefault="00CB6E4E">
            <w:pPr>
              <w:spacing w:after="200" w:line="276" w:lineRule="auto"/>
              <w:jc w:val="center"/>
              <w:rPr>
                <w:rFonts w:ascii="Calibri" w:eastAsiaTheme="minorHAnsi" w:hAnsi="Calibri"/>
                <w:sz w:val="18"/>
                <w:szCs w:val="18"/>
                <w:lang w:eastAsia="en-US"/>
              </w:rPr>
            </w:pPr>
            <w:r>
              <w:rPr>
                <w:sz w:val="18"/>
                <w:szCs w:val="18"/>
              </w:rPr>
              <w:t>62,475</w:t>
            </w:r>
          </w:p>
        </w:tc>
        <w:tc>
          <w:tcPr>
            <w:tcW w:w="1842" w:type="dxa"/>
            <w:noWrap/>
            <w:tcMar>
              <w:top w:w="0" w:type="dxa"/>
              <w:left w:w="70" w:type="dxa"/>
              <w:bottom w:w="0" w:type="dxa"/>
              <w:right w:w="70" w:type="dxa"/>
            </w:tcMar>
            <w:vAlign w:val="center"/>
            <w:hideMark/>
          </w:tcPr>
          <w:p w:rsidR="00CB6E4E" w:rsidRDefault="00CB6E4E">
            <w:pPr>
              <w:keepNext/>
              <w:spacing w:after="200" w:line="276" w:lineRule="auto"/>
              <w:jc w:val="center"/>
              <w:rPr>
                <w:rFonts w:ascii="Calibri" w:eastAsiaTheme="minorHAnsi" w:hAnsi="Calibri"/>
                <w:color w:val="000000"/>
                <w:sz w:val="18"/>
                <w:szCs w:val="18"/>
                <w:lang w:eastAsia="en-US"/>
              </w:rPr>
            </w:pPr>
            <w:r>
              <w:rPr>
                <w:color w:val="000000"/>
                <w:sz w:val="18"/>
                <w:szCs w:val="18"/>
              </w:rPr>
              <w:t>66,725</w:t>
            </w:r>
          </w:p>
        </w:tc>
        <w:tc>
          <w:tcPr>
            <w:tcW w:w="1069" w:type="dxa"/>
            <w:noWrap/>
            <w:tcMar>
              <w:top w:w="0" w:type="dxa"/>
              <w:left w:w="70" w:type="dxa"/>
              <w:bottom w:w="0" w:type="dxa"/>
              <w:right w:w="70" w:type="dxa"/>
            </w:tcMar>
            <w:vAlign w:val="center"/>
            <w:hideMark/>
          </w:tcPr>
          <w:p w:rsidR="00CB6E4E" w:rsidRDefault="00CB6E4E">
            <w:pPr>
              <w:keepNext/>
              <w:spacing w:after="200" w:line="276" w:lineRule="auto"/>
              <w:jc w:val="center"/>
              <w:rPr>
                <w:rFonts w:ascii="Calibri" w:eastAsiaTheme="minorHAnsi" w:hAnsi="Calibri"/>
                <w:color w:val="000000"/>
                <w:sz w:val="18"/>
                <w:szCs w:val="18"/>
                <w:lang w:eastAsia="en-US"/>
              </w:rPr>
            </w:pPr>
            <w:r>
              <w:rPr>
                <w:color w:val="000000"/>
                <w:sz w:val="18"/>
                <w:szCs w:val="18"/>
              </w:rPr>
              <w:t>68,725</w:t>
            </w:r>
          </w:p>
        </w:tc>
        <w:tc>
          <w:tcPr>
            <w:tcW w:w="992" w:type="dxa"/>
            <w:hideMark/>
          </w:tcPr>
          <w:p w:rsidR="00CB6E4E" w:rsidRDefault="00CB6E4E">
            <w:pPr>
              <w:keepNext/>
              <w:spacing w:after="200" w:line="276" w:lineRule="auto"/>
              <w:jc w:val="center"/>
              <w:rPr>
                <w:rFonts w:ascii="Calibri" w:eastAsiaTheme="minorHAnsi" w:hAnsi="Calibri"/>
                <w:color w:val="000000"/>
                <w:sz w:val="18"/>
                <w:szCs w:val="18"/>
                <w:vertAlign w:val="superscript"/>
                <w:lang w:eastAsia="en-US"/>
              </w:rPr>
            </w:pPr>
            <w:r>
              <w:rPr>
                <w:color w:val="000000"/>
                <w:sz w:val="18"/>
                <w:szCs w:val="18"/>
              </w:rPr>
              <w:t>12,00</w:t>
            </w:r>
            <w:r>
              <w:rPr>
                <w:color w:val="000000"/>
                <w:sz w:val="18"/>
                <w:szCs w:val="18"/>
                <w:vertAlign w:val="superscript"/>
              </w:rPr>
              <w:t>*</w:t>
            </w:r>
          </w:p>
        </w:tc>
      </w:tr>
      <w:tr w:rsidR="00CB6E4E" w:rsidTr="00CB6E4E">
        <w:trPr>
          <w:trHeight w:val="300"/>
        </w:trPr>
        <w:tc>
          <w:tcPr>
            <w:tcW w:w="3119" w:type="dxa"/>
            <w:noWrap/>
            <w:tcMar>
              <w:top w:w="0" w:type="dxa"/>
              <w:left w:w="70" w:type="dxa"/>
              <w:bottom w:w="0" w:type="dxa"/>
              <w:right w:w="70" w:type="dxa"/>
            </w:tcMar>
            <w:vAlign w:val="center"/>
            <w:hideMark/>
          </w:tcPr>
          <w:p w:rsidR="00CB6E4E" w:rsidRDefault="00CB6E4E">
            <w:pPr>
              <w:keepNext/>
              <w:spacing w:after="200" w:line="276" w:lineRule="auto"/>
              <w:rPr>
                <w:rFonts w:ascii="Calibri" w:eastAsiaTheme="minorHAnsi" w:hAnsi="Calibri"/>
                <w:color w:val="000000"/>
                <w:sz w:val="18"/>
                <w:szCs w:val="18"/>
                <w:lang w:eastAsia="en-US"/>
              </w:rPr>
            </w:pPr>
            <w:r>
              <w:rPr>
                <w:color w:val="000000"/>
                <w:sz w:val="18"/>
                <w:szCs w:val="18"/>
              </w:rPr>
              <w:t xml:space="preserve">Gestoři odborných útvarů MMR ČR </w:t>
            </w:r>
          </w:p>
        </w:tc>
        <w:tc>
          <w:tcPr>
            <w:tcW w:w="1625" w:type="dxa"/>
            <w:noWrap/>
            <w:tcMar>
              <w:top w:w="0" w:type="dxa"/>
              <w:left w:w="70" w:type="dxa"/>
              <w:bottom w:w="0" w:type="dxa"/>
              <w:right w:w="70" w:type="dxa"/>
            </w:tcMar>
            <w:hideMark/>
          </w:tcPr>
          <w:p w:rsidR="00CB6E4E" w:rsidRDefault="00CB6E4E">
            <w:pPr>
              <w:spacing w:after="200" w:line="276" w:lineRule="auto"/>
              <w:jc w:val="center"/>
              <w:rPr>
                <w:rFonts w:ascii="Calibri" w:eastAsiaTheme="minorHAnsi" w:hAnsi="Calibri"/>
                <w:sz w:val="18"/>
                <w:szCs w:val="18"/>
                <w:lang w:eastAsia="en-US"/>
              </w:rPr>
            </w:pPr>
            <w:r>
              <w:rPr>
                <w:sz w:val="18"/>
                <w:szCs w:val="18"/>
              </w:rPr>
              <w:t>1,40</w:t>
            </w:r>
          </w:p>
        </w:tc>
        <w:tc>
          <w:tcPr>
            <w:tcW w:w="1842" w:type="dxa"/>
            <w:noWrap/>
            <w:tcMar>
              <w:top w:w="0" w:type="dxa"/>
              <w:left w:w="70" w:type="dxa"/>
              <w:bottom w:w="0" w:type="dxa"/>
              <w:right w:w="70" w:type="dxa"/>
            </w:tcMar>
            <w:vAlign w:val="center"/>
            <w:hideMark/>
          </w:tcPr>
          <w:p w:rsidR="00CB6E4E" w:rsidRDefault="00CB6E4E">
            <w:pPr>
              <w:keepNext/>
              <w:spacing w:after="200" w:line="276" w:lineRule="auto"/>
              <w:jc w:val="center"/>
              <w:rPr>
                <w:rFonts w:ascii="Calibri" w:eastAsiaTheme="minorHAnsi" w:hAnsi="Calibri"/>
                <w:color w:val="000000"/>
                <w:sz w:val="18"/>
                <w:szCs w:val="18"/>
                <w:lang w:eastAsia="en-US"/>
              </w:rPr>
            </w:pPr>
            <w:r>
              <w:rPr>
                <w:color w:val="000000"/>
                <w:sz w:val="18"/>
                <w:szCs w:val="18"/>
              </w:rPr>
              <w:t>1,40</w:t>
            </w:r>
          </w:p>
        </w:tc>
        <w:tc>
          <w:tcPr>
            <w:tcW w:w="1069" w:type="dxa"/>
            <w:noWrap/>
            <w:tcMar>
              <w:top w:w="0" w:type="dxa"/>
              <w:left w:w="70" w:type="dxa"/>
              <w:bottom w:w="0" w:type="dxa"/>
              <w:right w:w="70" w:type="dxa"/>
            </w:tcMar>
            <w:vAlign w:val="center"/>
            <w:hideMark/>
          </w:tcPr>
          <w:p w:rsidR="00CB6E4E" w:rsidRDefault="00CB6E4E">
            <w:pPr>
              <w:keepNext/>
              <w:spacing w:after="200" w:line="276" w:lineRule="auto"/>
              <w:jc w:val="center"/>
              <w:rPr>
                <w:rFonts w:ascii="Calibri" w:eastAsiaTheme="minorHAnsi" w:hAnsi="Calibri"/>
                <w:color w:val="000000"/>
                <w:sz w:val="18"/>
                <w:szCs w:val="18"/>
                <w:lang w:eastAsia="en-US"/>
              </w:rPr>
            </w:pPr>
            <w:r>
              <w:rPr>
                <w:color w:val="000000"/>
                <w:sz w:val="18"/>
                <w:szCs w:val="18"/>
              </w:rPr>
              <w:t>1,40</w:t>
            </w:r>
          </w:p>
        </w:tc>
        <w:tc>
          <w:tcPr>
            <w:tcW w:w="992" w:type="dxa"/>
            <w:hideMark/>
          </w:tcPr>
          <w:p w:rsidR="00CB6E4E" w:rsidRDefault="00CB6E4E">
            <w:pPr>
              <w:keepNext/>
              <w:spacing w:after="200" w:line="276" w:lineRule="auto"/>
              <w:jc w:val="center"/>
              <w:rPr>
                <w:rFonts w:ascii="Calibri" w:eastAsiaTheme="minorHAnsi" w:hAnsi="Calibri"/>
                <w:color w:val="000000"/>
                <w:sz w:val="18"/>
                <w:szCs w:val="18"/>
                <w:lang w:eastAsia="en-US"/>
              </w:rPr>
            </w:pPr>
            <w:r>
              <w:rPr>
                <w:color w:val="000000"/>
                <w:sz w:val="18"/>
                <w:szCs w:val="18"/>
              </w:rPr>
              <w:t>0</w:t>
            </w:r>
          </w:p>
        </w:tc>
      </w:tr>
      <w:tr w:rsidR="00CB6E4E" w:rsidTr="00CB6E4E">
        <w:trPr>
          <w:trHeight w:val="300"/>
        </w:trPr>
        <w:tc>
          <w:tcPr>
            <w:tcW w:w="3119" w:type="dxa"/>
            <w:noWrap/>
            <w:tcMar>
              <w:top w:w="0" w:type="dxa"/>
              <w:left w:w="70" w:type="dxa"/>
              <w:bottom w:w="0" w:type="dxa"/>
              <w:right w:w="70" w:type="dxa"/>
            </w:tcMar>
            <w:vAlign w:val="center"/>
            <w:hideMark/>
          </w:tcPr>
          <w:p w:rsidR="00CB6E4E" w:rsidRDefault="00CB6E4E">
            <w:pPr>
              <w:keepNext/>
              <w:spacing w:after="200" w:line="276" w:lineRule="auto"/>
              <w:rPr>
                <w:rFonts w:ascii="Calibri" w:eastAsiaTheme="minorHAnsi" w:hAnsi="Calibri"/>
                <w:color w:val="000000"/>
                <w:sz w:val="18"/>
                <w:szCs w:val="18"/>
                <w:lang w:eastAsia="en-US"/>
              </w:rPr>
            </w:pPr>
            <w:r>
              <w:rPr>
                <w:color w:val="000000"/>
                <w:sz w:val="18"/>
                <w:szCs w:val="18"/>
              </w:rPr>
              <w:t>Finanční útvar</w:t>
            </w:r>
          </w:p>
        </w:tc>
        <w:tc>
          <w:tcPr>
            <w:tcW w:w="1625" w:type="dxa"/>
            <w:noWrap/>
            <w:tcMar>
              <w:top w:w="0" w:type="dxa"/>
              <w:left w:w="70" w:type="dxa"/>
              <w:bottom w:w="0" w:type="dxa"/>
              <w:right w:w="70" w:type="dxa"/>
            </w:tcMar>
            <w:hideMark/>
          </w:tcPr>
          <w:p w:rsidR="00CB6E4E" w:rsidRDefault="00CB6E4E">
            <w:pPr>
              <w:spacing w:after="200" w:line="276" w:lineRule="auto"/>
              <w:jc w:val="center"/>
              <w:rPr>
                <w:rFonts w:ascii="Calibri" w:eastAsiaTheme="minorHAnsi" w:hAnsi="Calibri"/>
                <w:sz w:val="18"/>
                <w:szCs w:val="18"/>
                <w:lang w:eastAsia="en-US"/>
              </w:rPr>
            </w:pPr>
            <w:r>
              <w:rPr>
                <w:sz w:val="18"/>
                <w:szCs w:val="18"/>
              </w:rPr>
              <w:t>3,20</w:t>
            </w:r>
          </w:p>
        </w:tc>
        <w:tc>
          <w:tcPr>
            <w:tcW w:w="1842" w:type="dxa"/>
            <w:noWrap/>
            <w:tcMar>
              <w:top w:w="0" w:type="dxa"/>
              <w:left w:w="70" w:type="dxa"/>
              <w:bottom w:w="0" w:type="dxa"/>
              <w:right w:w="70" w:type="dxa"/>
            </w:tcMar>
            <w:vAlign w:val="center"/>
            <w:hideMark/>
          </w:tcPr>
          <w:p w:rsidR="00CB6E4E" w:rsidRDefault="00CB6E4E">
            <w:pPr>
              <w:keepNext/>
              <w:spacing w:after="200" w:line="276" w:lineRule="auto"/>
              <w:jc w:val="center"/>
              <w:rPr>
                <w:rFonts w:ascii="Calibri" w:eastAsiaTheme="minorHAnsi" w:hAnsi="Calibri"/>
                <w:color w:val="000000"/>
                <w:sz w:val="18"/>
                <w:szCs w:val="18"/>
                <w:lang w:eastAsia="en-US"/>
              </w:rPr>
            </w:pPr>
            <w:r>
              <w:rPr>
                <w:color w:val="000000"/>
                <w:sz w:val="18"/>
                <w:szCs w:val="18"/>
              </w:rPr>
              <w:t>3,20</w:t>
            </w:r>
          </w:p>
        </w:tc>
        <w:tc>
          <w:tcPr>
            <w:tcW w:w="1069" w:type="dxa"/>
            <w:noWrap/>
            <w:tcMar>
              <w:top w:w="0" w:type="dxa"/>
              <w:left w:w="70" w:type="dxa"/>
              <w:bottom w:w="0" w:type="dxa"/>
              <w:right w:w="70" w:type="dxa"/>
            </w:tcMar>
            <w:vAlign w:val="center"/>
            <w:hideMark/>
          </w:tcPr>
          <w:p w:rsidR="00CB6E4E" w:rsidRDefault="00CB6E4E">
            <w:pPr>
              <w:keepNext/>
              <w:spacing w:after="200" w:line="276" w:lineRule="auto"/>
              <w:jc w:val="center"/>
              <w:rPr>
                <w:rFonts w:ascii="Calibri" w:eastAsiaTheme="minorHAnsi" w:hAnsi="Calibri"/>
                <w:color w:val="000000"/>
                <w:sz w:val="18"/>
                <w:szCs w:val="18"/>
                <w:lang w:eastAsia="en-US"/>
              </w:rPr>
            </w:pPr>
            <w:r>
              <w:rPr>
                <w:color w:val="000000"/>
                <w:sz w:val="18"/>
                <w:szCs w:val="18"/>
              </w:rPr>
              <w:t>3,20</w:t>
            </w:r>
          </w:p>
        </w:tc>
        <w:tc>
          <w:tcPr>
            <w:tcW w:w="992" w:type="dxa"/>
            <w:hideMark/>
          </w:tcPr>
          <w:p w:rsidR="00CB6E4E" w:rsidRDefault="00CB6E4E">
            <w:pPr>
              <w:keepNext/>
              <w:spacing w:after="200" w:line="276" w:lineRule="auto"/>
              <w:jc w:val="center"/>
              <w:rPr>
                <w:rFonts w:ascii="Calibri" w:eastAsiaTheme="minorHAnsi" w:hAnsi="Calibri"/>
                <w:color w:val="000000"/>
                <w:sz w:val="18"/>
                <w:szCs w:val="18"/>
                <w:lang w:eastAsia="en-US"/>
              </w:rPr>
            </w:pPr>
            <w:r>
              <w:rPr>
                <w:color w:val="000000"/>
                <w:sz w:val="18"/>
                <w:szCs w:val="18"/>
              </w:rPr>
              <w:t>0</w:t>
            </w:r>
          </w:p>
        </w:tc>
      </w:tr>
      <w:tr w:rsidR="00CB6E4E" w:rsidTr="00CB6E4E">
        <w:trPr>
          <w:trHeight w:val="300"/>
        </w:trPr>
        <w:tc>
          <w:tcPr>
            <w:tcW w:w="3119" w:type="dxa"/>
            <w:noWrap/>
            <w:tcMar>
              <w:top w:w="0" w:type="dxa"/>
              <w:left w:w="70" w:type="dxa"/>
              <w:bottom w:w="0" w:type="dxa"/>
              <w:right w:w="70" w:type="dxa"/>
            </w:tcMar>
            <w:vAlign w:val="center"/>
            <w:hideMark/>
          </w:tcPr>
          <w:p w:rsidR="00CB6E4E" w:rsidRDefault="00CB6E4E">
            <w:pPr>
              <w:keepNext/>
              <w:spacing w:after="200" w:line="276" w:lineRule="auto"/>
              <w:rPr>
                <w:rFonts w:ascii="Calibri" w:eastAsiaTheme="minorHAnsi" w:hAnsi="Calibri"/>
                <w:color w:val="000000"/>
                <w:sz w:val="18"/>
                <w:szCs w:val="18"/>
                <w:lang w:eastAsia="en-US"/>
              </w:rPr>
            </w:pPr>
            <w:r>
              <w:rPr>
                <w:color w:val="000000"/>
                <w:sz w:val="18"/>
                <w:szCs w:val="18"/>
              </w:rPr>
              <w:t>Ministerstvo zdravotnictví ČR</w:t>
            </w:r>
          </w:p>
        </w:tc>
        <w:tc>
          <w:tcPr>
            <w:tcW w:w="1625" w:type="dxa"/>
            <w:noWrap/>
            <w:tcMar>
              <w:top w:w="0" w:type="dxa"/>
              <w:left w:w="70" w:type="dxa"/>
              <w:bottom w:w="0" w:type="dxa"/>
              <w:right w:w="70" w:type="dxa"/>
            </w:tcMar>
            <w:hideMark/>
          </w:tcPr>
          <w:p w:rsidR="00CB6E4E" w:rsidRDefault="00CB6E4E">
            <w:pPr>
              <w:spacing w:after="200" w:line="276" w:lineRule="auto"/>
              <w:jc w:val="center"/>
              <w:rPr>
                <w:rFonts w:ascii="Calibri" w:eastAsiaTheme="minorHAnsi" w:hAnsi="Calibri"/>
                <w:sz w:val="18"/>
                <w:szCs w:val="18"/>
                <w:lang w:eastAsia="en-US"/>
              </w:rPr>
            </w:pPr>
            <w:r>
              <w:rPr>
                <w:sz w:val="18"/>
                <w:szCs w:val="18"/>
              </w:rPr>
              <w:t>23,50</w:t>
            </w:r>
          </w:p>
        </w:tc>
        <w:tc>
          <w:tcPr>
            <w:tcW w:w="1842" w:type="dxa"/>
            <w:noWrap/>
            <w:tcMar>
              <w:top w:w="0" w:type="dxa"/>
              <w:left w:w="70" w:type="dxa"/>
              <w:bottom w:w="0" w:type="dxa"/>
              <w:right w:w="70" w:type="dxa"/>
            </w:tcMar>
            <w:vAlign w:val="center"/>
            <w:hideMark/>
          </w:tcPr>
          <w:p w:rsidR="00CB6E4E" w:rsidRDefault="00CB6E4E">
            <w:pPr>
              <w:keepNext/>
              <w:spacing w:after="200" w:line="276" w:lineRule="auto"/>
              <w:jc w:val="center"/>
              <w:rPr>
                <w:rFonts w:ascii="Calibri" w:eastAsiaTheme="minorHAnsi" w:hAnsi="Calibri"/>
                <w:color w:val="000000"/>
                <w:sz w:val="18"/>
                <w:szCs w:val="18"/>
                <w:lang w:eastAsia="en-US"/>
              </w:rPr>
            </w:pPr>
            <w:r>
              <w:rPr>
                <w:color w:val="000000"/>
                <w:sz w:val="18"/>
                <w:szCs w:val="18"/>
              </w:rPr>
              <w:t>23,50</w:t>
            </w:r>
          </w:p>
        </w:tc>
        <w:tc>
          <w:tcPr>
            <w:tcW w:w="1069" w:type="dxa"/>
            <w:noWrap/>
            <w:tcMar>
              <w:top w:w="0" w:type="dxa"/>
              <w:left w:w="70" w:type="dxa"/>
              <w:bottom w:w="0" w:type="dxa"/>
              <w:right w:w="70" w:type="dxa"/>
            </w:tcMar>
            <w:vAlign w:val="center"/>
            <w:hideMark/>
          </w:tcPr>
          <w:p w:rsidR="00CB6E4E" w:rsidRDefault="00CB6E4E">
            <w:pPr>
              <w:keepNext/>
              <w:spacing w:after="200" w:line="276" w:lineRule="auto"/>
              <w:jc w:val="center"/>
              <w:rPr>
                <w:rFonts w:ascii="Calibri" w:eastAsiaTheme="minorHAnsi" w:hAnsi="Calibri"/>
                <w:color w:val="000000"/>
                <w:sz w:val="18"/>
                <w:szCs w:val="18"/>
                <w:lang w:eastAsia="en-US"/>
              </w:rPr>
            </w:pPr>
            <w:r>
              <w:rPr>
                <w:color w:val="000000"/>
                <w:sz w:val="18"/>
                <w:szCs w:val="18"/>
              </w:rPr>
              <w:t>26,00</w:t>
            </w:r>
          </w:p>
        </w:tc>
        <w:tc>
          <w:tcPr>
            <w:tcW w:w="992" w:type="dxa"/>
            <w:hideMark/>
          </w:tcPr>
          <w:p w:rsidR="00CB6E4E" w:rsidRDefault="00CB6E4E">
            <w:pPr>
              <w:keepNext/>
              <w:spacing w:after="200" w:line="276" w:lineRule="auto"/>
              <w:jc w:val="center"/>
              <w:rPr>
                <w:rFonts w:ascii="Calibri" w:eastAsiaTheme="minorHAnsi" w:hAnsi="Calibri"/>
                <w:color w:val="000000"/>
                <w:sz w:val="18"/>
                <w:szCs w:val="18"/>
                <w:lang w:eastAsia="en-US"/>
              </w:rPr>
            </w:pPr>
            <w:r>
              <w:rPr>
                <w:color w:val="000000"/>
                <w:sz w:val="18"/>
                <w:szCs w:val="18"/>
              </w:rPr>
              <w:t>23,00</w:t>
            </w:r>
          </w:p>
        </w:tc>
      </w:tr>
      <w:tr w:rsidR="00CB6E4E" w:rsidTr="00CB6E4E">
        <w:trPr>
          <w:trHeight w:val="300"/>
        </w:trPr>
        <w:tc>
          <w:tcPr>
            <w:tcW w:w="3119" w:type="dxa"/>
            <w:noWrap/>
            <w:tcMar>
              <w:top w:w="0" w:type="dxa"/>
              <w:left w:w="70" w:type="dxa"/>
              <w:bottom w:w="0" w:type="dxa"/>
              <w:right w:w="70" w:type="dxa"/>
            </w:tcMar>
            <w:vAlign w:val="center"/>
            <w:hideMark/>
          </w:tcPr>
          <w:p w:rsidR="00CB6E4E" w:rsidRDefault="00CB6E4E">
            <w:pPr>
              <w:keepNext/>
              <w:spacing w:after="200" w:line="276" w:lineRule="auto"/>
              <w:rPr>
                <w:rFonts w:ascii="Calibri" w:eastAsiaTheme="minorHAnsi" w:hAnsi="Calibri"/>
                <w:color w:val="000000"/>
                <w:sz w:val="18"/>
                <w:szCs w:val="18"/>
                <w:lang w:eastAsia="en-US"/>
              </w:rPr>
            </w:pPr>
            <w:r>
              <w:rPr>
                <w:color w:val="000000"/>
                <w:sz w:val="18"/>
                <w:szCs w:val="18"/>
              </w:rPr>
              <w:t>Ministerstvo vnitra ČR</w:t>
            </w:r>
          </w:p>
        </w:tc>
        <w:tc>
          <w:tcPr>
            <w:tcW w:w="1625" w:type="dxa"/>
            <w:noWrap/>
            <w:tcMar>
              <w:top w:w="0" w:type="dxa"/>
              <w:left w:w="70" w:type="dxa"/>
              <w:bottom w:w="0" w:type="dxa"/>
              <w:right w:w="70" w:type="dxa"/>
            </w:tcMar>
            <w:hideMark/>
          </w:tcPr>
          <w:p w:rsidR="00CB6E4E" w:rsidRDefault="00CB6E4E">
            <w:pPr>
              <w:spacing w:after="200" w:line="276" w:lineRule="auto"/>
              <w:jc w:val="center"/>
              <w:rPr>
                <w:rFonts w:ascii="Calibri" w:eastAsiaTheme="minorHAnsi" w:hAnsi="Calibri"/>
                <w:sz w:val="18"/>
                <w:szCs w:val="18"/>
                <w:lang w:eastAsia="en-US"/>
              </w:rPr>
            </w:pPr>
            <w:r>
              <w:rPr>
                <w:sz w:val="18"/>
                <w:szCs w:val="18"/>
              </w:rPr>
              <w:t>23,72</w:t>
            </w:r>
          </w:p>
        </w:tc>
        <w:tc>
          <w:tcPr>
            <w:tcW w:w="1842" w:type="dxa"/>
            <w:noWrap/>
            <w:tcMar>
              <w:top w:w="0" w:type="dxa"/>
              <w:left w:w="70" w:type="dxa"/>
              <w:bottom w:w="0" w:type="dxa"/>
              <w:right w:w="70" w:type="dxa"/>
            </w:tcMar>
            <w:vAlign w:val="center"/>
            <w:hideMark/>
          </w:tcPr>
          <w:p w:rsidR="00CB6E4E" w:rsidRDefault="00CB6E4E">
            <w:pPr>
              <w:keepNext/>
              <w:spacing w:after="200" w:line="276" w:lineRule="auto"/>
              <w:jc w:val="center"/>
              <w:rPr>
                <w:rFonts w:ascii="Calibri" w:eastAsiaTheme="minorHAnsi" w:hAnsi="Calibri"/>
                <w:sz w:val="18"/>
                <w:szCs w:val="18"/>
                <w:lang w:eastAsia="en-US"/>
              </w:rPr>
            </w:pPr>
            <w:r>
              <w:rPr>
                <w:sz w:val="18"/>
                <w:szCs w:val="18"/>
              </w:rPr>
              <w:t>23,26</w:t>
            </w:r>
          </w:p>
        </w:tc>
        <w:tc>
          <w:tcPr>
            <w:tcW w:w="1069" w:type="dxa"/>
            <w:noWrap/>
            <w:tcMar>
              <w:top w:w="0" w:type="dxa"/>
              <w:left w:w="70" w:type="dxa"/>
              <w:bottom w:w="0" w:type="dxa"/>
              <w:right w:w="70" w:type="dxa"/>
            </w:tcMar>
            <w:vAlign w:val="center"/>
            <w:hideMark/>
          </w:tcPr>
          <w:p w:rsidR="00CB6E4E" w:rsidRDefault="00CB6E4E">
            <w:pPr>
              <w:keepNext/>
              <w:spacing w:after="200" w:line="276" w:lineRule="auto"/>
              <w:jc w:val="center"/>
              <w:rPr>
                <w:rFonts w:ascii="Calibri" w:eastAsiaTheme="minorHAnsi" w:hAnsi="Calibri"/>
                <w:sz w:val="18"/>
                <w:szCs w:val="18"/>
                <w:lang w:eastAsia="en-US"/>
              </w:rPr>
            </w:pPr>
            <w:r>
              <w:rPr>
                <w:sz w:val="18"/>
                <w:szCs w:val="18"/>
              </w:rPr>
              <w:t>22,00</w:t>
            </w:r>
          </w:p>
        </w:tc>
        <w:tc>
          <w:tcPr>
            <w:tcW w:w="992" w:type="dxa"/>
            <w:hideMark/>
          </w:tcPr>
          <w:p w:rsidR="00CB6E4E" w:rsidRDefault="00CB6E4E">
            <w:pPr>
              <w:keepNext/>
              <w:spacing w:after="200" w:line="276" w:lineRule="auto"/>
              <w:jc w:val="center"/>
              <w:rPr>
                <w:rFonts w:ascii="Calibri" w:eastAsiaTheme="minorHAnsi" w:hAnsi="Calibri"/>
                <w:sz w:val="18"/>
                <w:szCs w:val="18"/>
                <w:lang w:eastAsia="en-US"/>
              </w:rPr>
            </w:pPr>
            <w:r>
              <w:rPr>
                <w:sz w:val="18"/>
                <w:szCs w:val="18"/>
              </w:rPr>
              <w:t>9,00</w:t>
            </w:r>
          </w:p>
        </w:tc>
      </w:tr>
      <w:tr w:rsidR="00CB6E4E" w:rsidTr="00CB6E4E">
        <w:trPr>
          <w:trHeight w:val="300"/>
        </w:trPr>
        <w:tc>
          <w:tcPr>
            <w:tcW w:w="3119" w:type="dxa"/>
            <w:noWrap/>
            <w:tcMar>
              <w:top w:w="0" w:type="dxa"/>
              <w:left w:w="70" w:type="dxa"/>
              <w:bottom w:w="0" w:type="dxa"/>
              <w:right w:w="70" w:type="dxa"/>
            </w:tcMar>
            <w:vAlign w:val="center"/>
            <w:hideMark/>
          </w:tcPr>
          <w:p w:rsidR="00CB6E4E" w:rsidRDefault="00CB6E4E">
            <w:pPr>
              <w:keepNext/>
              <w:spacing w:after="200" w:line="276" w:lineRule="auto"/>
              <w:rPr>
                <w:rFonts w:ascii="Calibri" w:eastAsiaTheme="minorHAnsi" w:hAnsi="Calibri"/>
                <w:color w:val="000000"/>
                <w:sz w:val="18"/>
                <w:szCs w:val="18"/>
                <w:lang w:eastAsia="en-US"/>
              </w:rPr>
            </w:pPr>
            <w:r>
              <w:rPr>
                <w:color w:val="000000"/>
                <w:sz w:val="18"/>
                <w:szCs w:val="18"/>
              </w:rPr>
              <w:t>Ministerstvo práce a sociálních věcí ČR</w:t>
            </w:r>
          </w:p>
        </w:tc>
        <w:tc>
          <w:tcPr>
            <w:tcW w:w="1625" w:type="dxa"/>
            <w:noWrap/>
            <w:tcMar>
              <w:top w:w="0" w:type="dxa"/>
              <w:left w:w="70" w:type="dxa"/>
              <w:bottom w:w="0" w:type="dxa"/>
              <w:right w:w="70" w:type="dxa"/>
            </w:tcMar>
            <w:hideMark/>
          </w:tcPr>
          <w:p w:rsidR="00CB6E4E" w:rsidRDefault="00CB6E4E">
            <w:pPr>
              <w:spacing w:after="200" w:line="276" w:lineRule="auto"/>
              <w:jc w:val="center"/>
              <w:rPr>
                <w:rFonts w:ascii="Calibri" w:eastAsiaTheme="minorHAnsi" w:hAnsi="Calibri"/>
                <w:sz w:val="18"/>
                <w:szCs w:val="18"/>
                <w:lang w:eastAsia="en-US"/>
              </w:rPr>
            </w:pPr>
            <w:r>
              <w:rPr>
                <w:sz w:val="18"/>
                <w:szCs w:val="18"/>
              </w:rPr>
              <w:t>20,59</w:t>
            </w:r>
          </w:p>
        </w:tc>
        <w:tc>
          <w:tcPr>
            <w:tcW w:w="1842" w:type="dxa"/>
            <w:noWrap/>
            <w:tcMar>
              <w:top w:w="0" w:type="dxa"/>
              <w:left w:w="70" w:type="dxa"/>
              <w:bottom w:w="0" w:type="dxa"/>
              <w:right w:w="70" w:type="dxa"/>
            </w:tcMar>
            <w:vAlign w:val="center"/>
            <w:hideMark/>
          </w:tcPr>
          <w:p w:rsidR="00CB6E4E" w:rsidRDefault="00CB6E4E">
            <w:pPr>
              <w:keepNext/>
              <w:spacing w:after="200" w:line="276" w:lineRule="auto"/>
              <w:jc w:val="center"/>
              <w:rPr>
                <w:rFonts w:ascii="Calibri" w:eastAsiaTheme="minorHAnsi" w:hAnsi="Calibri"/>
                <w:color w:val="000000"/>
                <w:sz w:val="18"/>
                <w:szCs w:val="18"/>
                <w:lang w:eastAsia="en-US"/>
              </w:rPr>
            </w:pPr>
            <w:r>
              <w:rPr>
                <w:color w:val="000000"/>
                <w:sz w:val="18"/>
                <w:szCs w:val="18"/>
              </w:rPr>
              <w:t>15,95</w:t>
            </w:r>
          </w:p>
        </w:tc>
        <w:tc>
          <w:tcPr>
            <w:tcW w:w="1069" w:type="dxa"/>
            <w:noWrap/>
            <w:tcMar>
              <w:top w:w="0" w:type="dxa"/>
              <w:left w:w="70" w:type="dxa"/>
              <w:bottom w:w="0" w:type="dxa"/>
              <w:right w:w="70" w:type="dxa"/>
            </w:tcMar>
            <w:vAlign w:val="center"/>
            <w:hideMark/>
          </w:tcPr>
          <w:p w:rsidR="00CB6E4E" w:rsidRDefault="00CB6E4E">
            <w:pPr>
              <w:keepNext/>
              <w:spacing w:after="200" w:line="276" w:lineRule="auto"/>
              <w:jc w:val="center"/>
              <w:rPr>
                <w:rFonts w:ascii="Calibri" w:eastAsiaTheme="minorHAnsi" w:hAnsi="Calibri"/>
                <w:color w:val="000000"/>
                <w:sz w:val="18"/>
                <w:szCs w:val="18"/>
                <w:lang w:eastAsia="en-US"/>
              </w:rPr>
            </w:pPr>
            <w:r>
              <w:rPr>
                <w:color w:val="000000"/>
                <w:sz w:val="18"/>
                <w:szCs w:val="18"/>
              </w:rPr>
              <w:t>16,95</w:t>
            </w:r>
          </w:p>
        </w:tc>
        <w:tc>
          <w:tcPr>
            <w:tcW w:w="992" w:type="dxa"/>
            <w:hideMark/>
          </w:tcPr>
          <w:p w:rsidR="00CB6E4E" w:rsidRDefault="00CB6E4E">
            <w:pPr>
              <w:keepNext/>
              <w:spacing w:after="200" w:line="276" w:lineRule="auto"/>
              <w:jc w:val="center"/>
              <w:rPr>
                <w:rFonts w:ascii="Calibri" w:eastAsiaTheme="minorHAnsi" w:hAnsi="Calibri"/>
                <w:color w:val="000000"/>
                <w:sz w:val="18"/>
                <w:szCs w:val="18"/>
                <w:lang w:eastAsia="en-US"/>
              </w:rPr>
            </w:pPr>
            <w:r>
              <w:rPr>
                <w:color w:val="000000"/>
                <w:sz w:val="18"/>
                <w:szCs w:val="18"/>
              </w:rPr>
              <w:t>9,00</w:t>
            </w:r>
          </w:p>
        </w:tc>
      </w:tr>
      <w:tr w:rsidR="00CB6E4E" w:rsidTr="00CB6E4E">
        <w:trPr>
          <w:trHeight w:val="300"/>
        </w:trPr>
        <w:tc>
          <w:tcPr>
            <w:tcW w:w="3119" w:type="dxa"/>
            <w:noWrap/>
            <w:tcMar>
              <w:top w:w="0" w:type="dxa"/>
              <w:left w:w="70" w:type="dxa"/>
              <w:bottom w:w="0" w:type="dxa"/>
              <w:right w:w="70" w:type="dxa"/>
            </w:tcMar>
            <w:vAlign w:val="center"/>
            <w:hideMark/>
          </w:tcPr>
          <w:p w:rsidR="00CB6E4E" w:rsidRDefault="00CB6E4E">
            <w:pPr>
              <w:keepNext/>
              <w:spacing w:after="200" w:line="276" w:lineRule="auto"/>
              <w:rPr>
                <w:rFonts w:ascii="Calibri" w:eastAsiaTheme="minorHAnsi" w:hAnsi="Calibri"/>
                <w:color w:val="000000"/>
                <w:sz w:val="18"/>
                <w:szCs w:val="18"/>
                <w:lang w:eastAsia="en-US"/>
              </w:rPr>
            </w:pPr>
            <w:r>
              <w:rPr>
                <w:color w:val="000000"/>
                <w:sz w:val="18"/>
                <w:szCs w:val="18"/>
              </w:rPr>
              <w:t>Centrum pro regionální rozvoj ČR</w:t>
            </w:r>
          </w:p>
        </w:tc>
        <w:tc>
          <w:tcPr>
            <w:tcW w:w="1625" w:type="dxa"/>
            <w:noWrap/>
            <w:tcMar>
              <w:top w:w="0" w:type="dxa"/>
              <w:left w:w="70" w:type="dxa"/>
              <w:bottom w:w="0" w:type="dxa"/>
              <w:right w:w="70" w:type="dxa"/>
            </w:tcMar>
            <w:hideMark/>
          </w:tcPr>
          <w:p w:rsidR="00CB6E4E" w:rsidRDefault="00CB6E4E">
            <w:pPr>
              <w:spacing w:after="200" w:line="276" w:lineRule="auto"/>
              <w:jc w:val="center"/>
              <w:rPr>
                <w:rFonts w:ascii="Calibri" w:eastAsiaTheme="minorHAnsi" w:hAnsi="Calibri"/>
                <w:sz w:val="18"/>
                <w:szCs w:val="18"/>
                <w:lang w:eastAsia="en-US"/>
              </w:rPr>
            </w:pPr>
            <w:r>
              <w:rPr>
                <w:sz w:val="18"/>
                <w:szCs w:val="18"/>
              </w:rPr>
              <w:t>55,00</w:t>
            </w:r>
          </w:p>
        </w:tc>
        <w:tc>
          <w:tcPr>
            <w:tcW w:w="1842" w:type="dxa"/>
            <w:noWrap/>
            <w:tcMar>
              <w:top w:w="0" w:type="dxa"/>
              <w:left w:w="70" w:type="dxa"/>
              <w:bottom w:w="0" w:type="dxa"/>
              <w:right w:w="70" w:type="dxa"/>
            </w:tcMar>
            <w:vAlign w:val="center"/>
            <w:hideMark/>
          </w:tcPr>
          <w:p w:rsidR="00CB6E4E" w:rsidRDefault="00CB6E4E">
            <w:pPr>
              <w:keepNext/>
              <w:spacing w:after="200" w:line="276" w:lineRule="auto"/>
              <w:jc w:val="center"/>
              <w:rPr>
                <w:rFonts w:ascii="Calibri" w:eastAsiaTheme="minorHAnsi" w:hAnsi="Calibri"/>
                <w:color w:val="000000"/>
                <w:sz w:val="18"/>
                <w:szCs w:val="18"/>
                <w:lang w:eastAsia="en-US"/>
              </w:rPr>
            </w:pPr>
            <w:r>
              <w:rPr>
                <w:color w:val="000000"/>
                <w:sz w:val="18"/>
                <w:szCs w:val="18"/>
              </w:rPr>
              <w:t>51,00</w:t>
            </w:r>
          </w:p>
        </w:tc>
        <w:tc>
          <w:tcPr>
            <w:tcW w:w="1069" w:type="dxa"/>
            <w:noWrap/>
            <w:tcMar>
              <w:top w:w="0" w:type="dxa"/>
              <w:left w:w="70" w:type="dxa"/>
              <w:bottom w:w="0" w:type="dxa"/>
              <w:right w:w="70" w:type="dxa"/>
            </w:tcMar>
            <w:vAlign w:val="center"/>
            <w:hideMark/>
          </w:tcPr>
          <w:p w:rsidR="00CB6E4E" w:rsidRDefault="00CB6E4E">
            <w:pPr>
              <w:keepNext/>
              <w:spacing w:after="200" w:line="276" w:lineRule="auto"/>
              <w:jc w:val="center"/>
              <w:rPr>
                <w:rFonts w:ascii="Calibri" w:eastAsiaTheme="minorHAnsi" w:hAnsi="Calibri"/>
                <w:color w:val="000000"/>
                <w:sz w:val="18"/>
                <w:szCs w:val="18"/>
                <w:lang w:eastAsia="en-US"/>
              </w:rPr>
            </w:pPr>
            <w:r>
              <w:rPr>
                <w:color w:val="000000"/>
                <w:sz w:val="18"/>
                <w:szCs w:val="18"/>
              </w:rPr>
              <w:t>55,00</w:t>
            </w:r>
          </w:p>
        </w:tc>
        <w:tc>
          <w:tcPr>
            <w:tcW w:w="992" w:type="dxa"/>
            <w:hideMark/>
          </w:tcPr>
          <w:p w:rsidR="00CB6E4E" w:rsidRDefault="00CB6E4E">
            <w:pPr>
              <w:keepNext/>
              <w:spacing w:after="200" w:line="276" w:lineRule="auto"/>
              <w:jc w:val="center"/>
              <w:rPr>
                <w:rFonts w:ascii="Calibri" w:eastAsiaTheme="minorHAnsi" w:hAnsi="Calibri"/>
                <w:color w:val="000000"/>
                <w:sz w:val="18"/>
                <w:szCs w:val="18"/>
                <w:lang w:eastAsia="en-US"/>
              </w:rPr>
            </w:pPr>
            <w:r>
              <w:rPr>
                <w:color w:val="000000"/>
                <w:sz w:val="18"/>
                <w:szCs w:val="18"/>
              </w:rPr>
              <w:t>18,00</w:t>
            </w:r>
          </w:p>
        </w:tc>
      </w:tr>
      <w:tr w:rsidR="00CB6E4E" w:rsidTr="00CB6E4E">
        <w:trPr>
          <w:trHeight w:val="315"/>
        </w:trPr>
        <w:tc>
          <w:tcPr>
            <w:tcW w:w="3119" w:type="dxa"/>
            <w:shd w:val="clear" w:color="auto" w:fill="B8CCE4"/>
            <w:noWrap/>
            <w:tcMar>
              <w:top w:w="0" w:type="dxa"/>
              <w:left w:w="70" w:type="dxa"/>
              <w:bottom w:w="0" w:type="dxa"/>
              <w:right w:w="70" w:type="dxa"/>
            </w:tcMar>
            <w:vAlign w:val="center"/>
            <w:hideMark/>
          </w:tcPr>
          <w:p w:rsidR="00CB6E4E" w:rsidRDefault="00CB6E4E">
            <w:pPr>
              <w:keepNext/>
              <w:spacing w:after="200" w:line="276" w:lineRule="auto"/>
              <w:rPr>
                <w:rFonts w:ascii="Calibri" w:eastAsiaTheme="minorHAnsi" w:hAnsi="Calibri"/>
                <w:b/>
                <w:bCs/>
                <w:color w:val="000000"/>
                <w:sz w:val="18"/>
                <w:szCs w:val="18"/>
                <w:lang w:eastAsia="en-US"/>
              </w:rPr>
            </w:pPr>
            <w:r>
              <w:rPr>
                <w:b/>
                <w:bCs/>
                <w:color w:val="000000"/>
                <w:sz w:val="18"/>
                <w:szCs w:val="18"/>
              </w:rPr>
              <w:t>Celkem</w:t>
            </w:r>
          </w:p>
        </w:tc>
        <w:tc>
          <w:tcPr>
            <w:tcW w:w="1625" w:type="dxa"/>
            <w:shd w:val="clear" w:color="auto" w:fill="B8CCE4"/>
            <w:noWrap/>
            <w:tcMar>
              <w:top w:w="0" w:type="dxa"/>
              <w:left w:w="70" w:type="dxa"/>
              <w:bottom w:w="0" w:type="dxa"/>
              <w:right w:w="70" w:type="dxa"/>
            </w:tcMar>
            <w:hideMark/>
          </w:tcPr>
          <w:p w:rsidR="00CB6E4E" w:rsidRDefault="00CB6E4E">
            <w:pPr>
              <w:spacing w:after="200" w:line="276" w:lineRule="auto"/>
              <w:jc w:val="center"/>
              <w:rPr>
                <w:rFonts w:ascii="Calibri" w:eastAsiaTheme="minorHAnsi" w:hAnsi="Calibri"/>
                <w:b/>
                <w:bCs/>
                <w:sz w:val="18"/>
                <w:szCs w:val="18"/>
                <w:lang w:eastAsia="en-US"/>
              </w:rPr>
            </w:pPr>
            <w:r>
              <w:rPr>
                <w:b/>
                <w:bCs/>
                <w:sz w:val="18"/>
                <w:szCs w:val="18"/>
              </w:rPr>
              <w:t>189,885</w:t>
            </w:r>
          </w:p>
        </w:tc>
        <w:tc>
          <w:tcPr>
            <w:tcW w:w="1842" w:type="dxa"/>
            <w:shd w:val="clear" w:color="auto" w:fill="B8CCE4"/>
            <w:noWrap/>
            <w:tcMar>
              <w:top w:w="0" w:type="dxa"/>
              <w:left w:w="70" w:type="dxa"/>
              <w:bottom w:w="0" w:type="dxa"/>
              <w:right w:w="70" w:type="dxa"/>
            </w:tcMar>
            <w:vAlign w:val="center"/>
            <w:hideMark/>
          </w:tcPr>
          <w:p w:rsidR="00CB6E4E" w:rsidRDefault="00CB6E4E">
            <w:pPr>
              <w:keepNext/>
              <w:spacing w:after="200" w:line="276" w:lineRule="auto"/>
              <w:jc w:val="center"/>
              <w:rPr>
                <w:rFonts w:ascii="Calibri" w:eastAsiaTheme="minorHAnsi" w:hAnsi="Calibri"/>
                <w:b/>
                <w:bCs/>
                <w:color w:val="000000"/>
                <w:sz w:val="18"/>
                <w:szCs w:val="18"/>
                <w:lang w:eastAsia="en-US"/>
              </w:rPr>
            </w:pPr>
            <w:r>
              <w:rPr>
                <w:b/>
                <w:bCs/>
                <w:color w:val="000000"/>
                <w:sz w:val="18"/>
                <w:szCs w:val="18"/>
              </w:rPr>
              <w:t>185,035</w:t>
            </w:r>
          </w:p>
        </w:tc>
        <w:tc>
          <w:tcPr>
            <w:tcW w:w="1069" w:type="dxa"/>
            <w:shd w:val="clear" w:color="auto" w:fill="B8CCE4"/>
            <w:noWrap/>
            <w:tcMar>
              <w:top w:w="0" w:type="dxa"/>
              <w:left w:w="70" w:type="dxa"/>
              <w:bottom w:w="0" w:type="dxa"/>
              <w:right w:w="70" w:type="dxa"/>
            </w:tcMar>
            <w:vAlign w:val="center"/>
            <w:hideMark/>
          </w:tcPr>
          <w:p w:rsidR="00CB6E4E" w:rsidRDefault="00CB6E4E">
            <w:pPr>
              <w:keepNext/>
              <w:spacing w:after="200" w:line="276" w:lineRule="auto"/>
              <w:jc w:val="center"/>
              <w:rPr>
                <w:rFonts w:ascii="Calibri" w:eastAsiaTheme="minorHAnsi" w:hAnsi="Calibri"/>
                <w:b/>
                <w:bCs/>
                <w:color w:val="000000"/>
                <w:sz w:val="18"/>
                <w:szCs w:val="18"/>
                <w:highlight w:val="yellow"/>
                <w:lang w:eastAsia="en-US"/>
              </w:rPr>
            </w:pPr>
            <w:r>
              <w:rPr>
                <w:b/>
                <w:bCs/>
                <w:color w:val="000000"/>
                <w:sz w:val="18"/>
                <w:szCs w:val="18"/>
              </w:rPr>
              <w:t>193,275</w:t>
            </w:r>
          </w:p>
        </w:tc>
        <w:tc>
          <w:tcPr>
            <w:tcW w:w="992" w:type="dxa"/>
            <w:shd w:val="clear" w:color="auto" w:fill="B8CCE4"/>
            <w:hideMark/>
          </w:tcPr>
          <w:p w:rsidR="00CB6E4E" w:rsidRDefault="00CB6E4E">
            <w:pPr>
              <w:keepNext/>
              <w:spacing w:after="200" w:line="276" w:lineRule="auto"/>
              <w:jc w:val="center"/>
              <w:rPr>
                <w:rFonts w:ascii="Calibri" w:eastAsiaTheme="minorHAnsi" w:hAnsi="Calibri"/>
                <w:b/>
                <w:bCs/>
                <w:color w:val="000000"/>
                <w:sz w:val="18"/>
                <w:szCs w:val="18"/>
                <w:lang w:eastAsia="en-US"/>
              </w:rPr>
            </w:pPr>
            <w:r>
              <w:rPr>
                <w:b/>
                <w:bCs/>
                <w:color w:val="000000"/>
                <w:sz w:val="18"/>
                <w:szCs w:val="18"/>
              </w:rPr>
              <w:t>71,00</w:t>
            </w:r>
          </w:p>
        </w:tc>
      </w:tr>
    </w:tbl>
    <w:p w:rsidR="00B347B0" w:rsidRDefault="00B347B0" w:rsidP="00CB6E4E">
      <w:pPr>
        <w:rPr>
          <w:i/>
          <w:sz w:val="18"/>
          <w:szCs w:val="18"/>
        </w:rPr>
      </w:pPr>
      <w:r w:rsidRPr="00813D31">
        <w:rPr>
          <w:i/>
          <w:sz w:val="18"/>
          <w:szCs w:val="18"/>
        </w:rPr>
        <w:t>Zdroj:</w:t>
      </w:r>
      <w:r>
        <w:rPr>
          <w:i/>
          <w:sz w:val="18"/>
          <w:szCs w:val="18"/>
        </w:rPr>
        <w:t xml:space="preserve"> </w:t>
      </w:r>
      <w:r w:rsidRPr="00813D31">
        <w:rPr>
          <w:i/>
          <w:sz w:val="18"/>
          <w:szCs w:val="18"/>
        </w:rPr>
        <w:t xml:space="preserve">ŘO  a ZS  </w:t>
      </w:r>
      <w:r>
        <w:rPr>
          <w:i/>
          <w:sz w:val="18"/>
          <w:szCs w:val="18"/>
        </w:rPr>
        <w:t>k 30. 9. 2015</w:t>
      </w:r>
    </w:p>
    <w:p w:rsidR="00CB6E4E" w:rsidRDefault="00CB6E4E" w:rsidP="00CB6E4E">
      <w:pPr>
        <w:rPr>
          <w:rFonts w:ascii="Calibri" w:eastAsiaTheme="minorHAnsi" w:hAnsi="Calibri"/>
          <w:sz w:val="22"/>
          <w:szCs w:val="22"/>
          <w:lang w:eastAsia="en-US"/>
        </w:rPr>
      </w:pPr>
      <w:r>
        <w:t xml:space="preserve">* počet plánovaných pracovních úvazků ŘO IROP je 68, pro ukončování IOP je na období leden – červen plánováno 12 FTE. </w:t>
      </w:r>
    </w:p>
    <w:p w:rsidR="001D018D" w:rsidRPr="004F0B9A" w:rsidRDefault="001D018D" w:rsidP="004F0B9A">
      <w:pPr>
        <w:keepNext/>
        <w:keepLines/>
        <w:rPr>
          <w:i/>
          <w:sz w:val="18"/>
          <w:szCs w:val="18"/>
        </w:rPr>
      </w:pPr>
    </w:p>
    <w:p w:rsidR="00B465B0" w:rsidRDefault="00B465B0" w:rsidP="001D018D">
      <w:pPr>
        <w:jc w:val="both"/>
        <w:rPr>
          <w:sz w:val="22"/>
          <w:szCs w:val="22"/>
        </w:rPr>
      </w:pPr>
    </w:p>
    <w:p w:rsidR="00B465B0" w:rsidRDefault="00B465B0" w:rsidP="00B465B0">
      <w:pPr>
        <w:pStyle w:val="Tabulkanzev"/>
        <w:keepNext/>
        <w:keepLines/>
        <w:rPr>
          <w:rStyle w:val="Siln"/>
        </w:rPr>
      </w:pPr>
      <w:r w:rsidRPr="00B465B0">
        <w:rPr>
          <w:sz w:val="22"/>
          <w:szCs w:val="22"/>
        </w:rPr>
        <w:tab/>
      </w:r>
      <w:bookmarkStart w:id="165" w:name="_Toc433873580"/>
      <w:r w:rsidRPr="00B465B0">
        <w:rPr>
          <w:rStyle w:val="Siln"/>
        </w:rPr>
        <w:t>Návrh administrativních kapacit ZS IOP pro období prosinec 2015 -</w:t>
      </w:r>
      <w:r w:rsidR="00380EA6">
        <w:rPr>
          <w:rStyle w:val="Siln"/>
        </w:rPr>
        <w:t xml:space="preserve"> </w:t>
      </w:r>
      <w:r w:rsidRPr="00B465B0">
        <w:rPr>
          <w:rStyle w:val="Siln"/>
        </w:rPr>
        <w:t>červen 2016</w:t>
      </w:r>
      <w:bookmarkEnd w:id="165"/>
    </w:p>
    <w:tbl>
      <w:tblPr>
        <w:tblW w:w="9360" w:type="dxa"/>
        <w:tblInd w:w="55" w:type="dxa"/>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CellMar>
          <w:left w:w="70" w:type="dxa"/>
          <w:right w:w="70" w:type="dxa"/>
        </w:tblCellMar>
        <w:tblLook w:val="04A0" w:firstRow="1" w:lastRow="0" w:firstColumn="1" w:lastColumn="0" w:noHBand="0" w:noVBand="1"/>
      </w:tblPr>
      <w:tblGrid>
        <w:gridCol w:w="2992"/>
        <w:gridCol w:w="2126"/>
        <w:gridCol w:w="1562"/>
        <w:gridCol w:w="1340"/>
        <w:gridCol w:w="1340"/>
      </w:tblGrid>
      <w:tr w:rsidR="00341280" w:rsidRPr="006225B1" w:rsidTr="00341280">
        <w:trPr>
          <w:trHeight w:val="568"/>
        </w:trPr>
        <w:tc>
          <w:tcPr>
            <w:tcW w:w="2992" w:type="dxa"/>
            <w:vAlign w:val="center"/>
            <w:hideMark/>
          </w:tcPr>
          <w:p w:rsidR="00341280" w:rsidRPr="006225B1" w:rsidRDefault="00341280" w:rsidP="00341280">
            <w:pPr>
              <w:jc w:val="both"/>
              <w:rPr>
                <w:b/>
                <w:bCs/>
                <w:color w:val="000000"/>
              </w:rPr>
            </w:pPr>
            <w:r w:rsidRPr="006225B1">
              <w:t>Níže uvedený přehled odpovídá potřebě zajistit funkční místa zaměstnanců zapojených do oblasti čerpání prostředků EU v IOP, které budou rozhodné pro přípravu státního rozpočtu na rok 2016 dle jednotlivých resortů.</w:t>
            </w:r>
          </w:p>
        </w:tc>
        <w:tc>
          <w:tcPr>
            <w:tcW w:w="2126" w:type="dxa"/>
            <w:shd w:val="clear" w:color="auto" w:fill="B8CCE4" w:themeFill="accent1" w:themeFillTint="66"/>
            <w:vAlign w:val="center"/>
            <w:hideMark/>
          </w:tcPr>
          <w:p w:rsidR="00341280" w:rsidRPr="006225B1" w:rsidRDefault="00341280" w:rsidP="00341280">
            <w:pPr>
              <w:jc w:val="center"/>
              <w:rPr>
                <w:b/>
                <w:bCs/>
                <w:color w:val="000000"/>
              </w:rPr>
            </w:pPr>
            <w:r w:rsidRPr="006225B1">
              <w:rPr>
                <w:b/>
                <w:bCs/>
                <w:color w:val="000000"/>
              </w:rPr>
              <w:t>Celkem počty (FTE)</w:t>
            </w:r>
          </w:p>
        </w:tc>
        <w:tc>
          <w:tcPr>
            <w:tcW w:w="1562" w:type="dxa"/>
            <w:shd w:val="clear" w:color="auto" w:fill="B8CCE4" w:themeFill="accent1" w:themeFillTint="66"/>
            <w:vAlign w:val="center"/>
            <w:hideMark/>
          </w:tcPr>
          <w:p w:rsidR="00341280" w:rsidRPr="006225B1" w:rsidRDefault="00341280" w:rsidP="00341280">
            <w:pPr>
              <w:jc w:val="center"/>
              <w:rPr>
                <w:b/>
                <w:bCs/>
                <w:color w:val="000000"/>
              </w:rPr>
            </w:pPr>
            <w:r w:rsidRPr="006225B1">
              <w:rPr>
                <w:b/>
                <w:bCs/>
                <w:color w:val="000000"/>
              </w:rPr>
              <w:t>MPSV</w:t>
            </w:r>
          </w:p>
        </w:tc>
        <w:tc>
          <w:tcPr>
            <w:tcW w:w="1340" w:type="dxa"/>
            <w:shd w:val="clear" w:color="auto" w:fill="B8CCE4" w:themeFill="accent1" w:themeFillTint="66"/>
            <w:vAlign w:val="center"/>
            <w:hideMark/>
          </w:tcPr>
          <w:p w:rsidR="00341280" w:rsidRPr="006225B1" w:rsidRDefault="00341280" w:rsidP="00341280">
            <w:pPr>
              <w:jc w:val="center"/>
              <w:rPr>
                <w:b/>
                <w:bCs/>
                <w:color w:val="000000"/>
              </w:rPr>
            </w:pPr>
            <w:proofErr w:type="spellStart"/>
            <w:r w:rsidRPr="006225B1">
              <w:rPr>
                <w:b/>
                <w:bCs/>
                <w:color w:val="000000"/>
              </w:rPr>
              <w:t>MZd</w:t>
            </w:r>
            <w:proofErr w:type="spellEnd"/>
          </w:p>
        </w:tc>
        <w:tc>
          <w:tcPr>
            <w:tcW w:w="1340" w:type="dxa"/>
            <w:shd w:val="clear" w:color="auto" w:fill="B8CCE4" w:themeFill="accent1" w:themeFillTint="66"/>
            <w:vAlign w:val="center"/>
            <w:hideMark/>
          </w:tcPr>
          <w:p w:rsidR="00341280" w:rsidRPr="006225B1" w:rsidRDefault="00341280" w:rsidP="00341280">
            <w:pPr>
              <w:jc w:val="center"/>
              <w:rPr>
                <w:b/>
                <w:bCs/>
                <w:color w:val="000000"/>
              </w:rPr>
            </w:pPr>
            <w:r w:rsidRPr="006225B1">
              <w:rPr>
                <w:b/>
                <w:bCs/>
                <w:color w:val="000000"/>
              </w:rPr>
              <w:t>MV</w:t>
            </w:r>
          </w:p>
        </w:tc>
      </w:tr>
      <w:tr w:rsidR="00341280" w:rsidRPr="006225B1" w:rsidTr="00341280">
        <w:trPr>
          <w:trHeight w:val="330"/>
        </w:trPr>
        <w:tc>
          <w:tcPr>
            <w:tcW w:w="2992" w:type="dxa"/>
            <w:shd w:val="clear" w:color="auto" w:fill="auto"/>
            <w:noWrap/>
            <w:vAlign w:val="center"/>
            <w:hideMark/>
          </w:tcPr>
          <w:p w:rsidR="00341280" w:rsidRPr="006225B1" w:rsidRDefault="00341280" w:rsidP="00341280">
            <w:pPr>
              <w:jc w:val="both"/>
              <w:rPr>
                <w:b/>
                <w:bCs/>
                <w:color w:val="000000"/>
              </w:rPr>
            </w:pPr>
            <w:r w:rsidRPr="006225B1">
              <w:rPr>
                <w:b/>
                <w:bCs/>
                <w:color w:val="000000"/>
              </w:rPr>
              <w:t>Celkové počty (FTE)</w:t>
            </w:r>
          </w:p>
        </w:tc>
        <w:tc>
          <w:tcPr>
            <w:tcW w:w="2126" w:type="dxa"/>
            <w:shd w:val="clear" w:color="auto" w:fill="B8CCE4" w:themeFill="accent1" w:themeFillTint="66"/>
            <w:noWrap/>
            <w:vAlign w:val="center"/>
            <w:hideMark/>
          </w:tcPr>
          <w:p w:rsidR="00341280" w:rsidRPr="006225B1" w:rsidRDefault="00341280" w:rsidP="00341280">
            <w:pPr>
              <w:jc w:val="center"/>
              <w:rPr>
                <w:b/>
                <w:bCs/>
                <w:color w:val="000000"/>
              </w:rPr>
            </w:pPr>
            <w:r w:rsidRPr="006225B1">
              <w:rPr>
                <w:b/>
                <w:bCs/>
                <w:color w:val="000000"/>
              </w:rPr>
              <w:t xml:space="preserve"> (12/2015-04/2016)</w:t>
            </w:r>
          </w:p>
          <w:p w:rsidR="00341280" w:rsidRPr="006225B1" w:rsidRDefault="00341280" w:rsidP="00341280">
            <w:pPr>
              <w:jc w:val="center"/>
              <w:rPr>
                <w:b/>
                <w:bCs/>
                <w:color w:val="000000"/>
              </w:rPr>
            </w:pPr>
            <w:r w:rsidRPr="006225B1">
              <w:rPr>
                <w:b/>
                <w:bCs/>
                <w:color w:val="000000"/>
              </w:rPr>
              <w:t xml:space="preserve"> (05/2016-07/2016)</w:t>
            </w:r>
          </w:p>
        </w:tc>
        <w:tc>
          <w:tcPr>
            <w:tcW w:w="1562" w:type="dxa"/>
            <w:shd w:val="clear" w:color="000000" w:fill="FFFFFF"/>
            <w:noWrap/>
            <w:vAlign w:val="center"/>
          </w:tcPr>
          <w:p w:rsidR="00341280" w:rsidRPr="006225B1" w:rsidRDefault="00341280" w:rsidP="00341280">
            <w:pPr>
              <w:jc w:val="center"/>
              <w:rPr>
                <w:b/>
                <w:bCs/>
                <w:color w:val="000000"/>
              </w:rPr>
            </w:pPr>
            <w:r w:rsidRPr="006225B1">
              <w:rPr>
                <w:b/>
                <w:bCs/>
                <w:color w:val="000000"/>
              </w:rPr>
              <w:t>9,00</w:t>
            </w:r>
          </w:p>
          <w:p w:rsidR="00341280" w:rsidRPr="006225B1" w:rsidRDefault="00341280" w:rsidP="00341280">
            <w:pPr>
              <w:jc w:val="center"/>
              <w:rPr>
                <w:b/>
                <w:bCs/>
                <w:color w:val="000000"/>
              </w:rPr>
            </w:pPr>
            <w:r w:rsidRPr="006225B1">
              <w:rPr>
                <w:b/>
                <w:bCs/>
                <w:color w:val="000000"/>
              </w:rPr>
              <w:t>9,00</w:t>
            </w:r>
          </w:p>
        </w:tc>
        <w:tc>
          <w:tcPr>
            <w:tcW w:w="1340" w:type="dxa"/>
            <w:shd w:val="clear" w:color="000000" w:fill="FFFFFF"/>
            <w:noWrap/>
            <w:vAlign w:val="center"/>
          </w:tcPr>
          <w:p w:rsidR="00341280" w:rsidRPr="006225B1" w:rsidRDefault="00341280" w:rsidP="00341280">
            <w:pPr>
              <w:jc w:val="center"/>
              <w:rPr>
                <w:b/>
                <w:bCs/>
                <w:color w:val="000000"/>
              </w:rPr>
            </w:pPr>
            <w:r w:rsidRPr="006225B1">
              <w:rPr>
                <w:b/>
                <w:bCs/>
                <w:color w:val="000000"/>
              </w:rPr>
              <w:t>14,00</w:t>
            </w:r>
          </w:p>
          <w:p w:rsidR="00341280" w:rsidRPr="006225B1" w:rsidRDefault="00341280" w:rsidP="00341280">
            <w:pPr>
              <w:jc w:val="center"/>
              <w:rPr>
                <w:b/>
                <w:bCs/>
                <w:color w:val="000000"/>
              </w:rPr>
            </w:pPr>
            <w:r w:rsidRPr="006225B1">
              <w:rPr>
                <w:b/>
                <w:bCs/>
                <w:color w:val="000000"/>
              </w:rPr>
              <w:t>14,00</w:t>
            </w:r>
          </w:p>
        </w:tc>
        <w:tc>
          <w:tcPr>
            <w:tcW w:w="1340" w:type="dxa"/>
            <w:shd w:val="clear" w:color="000000" w:fill="FFFFFF"/>
            <w:noWrap/>
            <w:vAlign w:val="center"/>
          </w:tcPr>
          <w:p w:rsidR="00341280" w:rsidRPr="006225B1" w:rsidRDefault="00341280" w:rsidP="00341280">
            <w:pPr>
              <w:jc w:val="center"/>
              <w:rPr>
                <w:b/>
                <w:bCs/>
                <w:color w:val="000000"/>
              </w:rPr>
            </w:pPr>
            <w:r w:rsidRPr="006225B1">
              <w:rPr>
                <w:b/>
                <w:bCs/>
                <w:color w:val="000000"/>
              </w:rPr>
              <w:t>19,00</w:t>
            </w:r>
          </w:p>
          <w:p w:rsidR="00341280" w:rsidRPr="006225B1" w:rsidRDefault="00341280" w:rsidP="00341280">
            <w:pPr>
              <w:jc w:val="center"/>
              <w:rPr>
                <w:b/>
                <w:bCs/>
                <w:color w:val="000000"/>
              </w:rPr>
            </w:pPr>
            <w:r w:rsidRPr="006225B1">
              <w:rPr>
                <w:b/>
                <w:bCs/>
                <w:color w:val="000000"/>
              </w:rPr>
              <w:t>10,00</w:t>
            </w:r>
          </w:p>
        </w:tc>
      </w:tr>
    </w:tbl>
    <w:p w:rsidR="00B465B0" w:rsidRDefault="00B465B0" w:rsidP="00B465B0">
      <w:pPr>
        <w:keepNext/>
        <w:keepLines/>
        <w:rPr>
          <w:i/>
          <w:sz w:val="18"/>
          <w:szCs w:val="18"/>
        </w:rPr>
      </w:pPr>
      <w:r w:rsidRPr="00813D31">
        <w:rPr>
          <w:i/>
          <w:sz w:val="18"/>
          <w:szCs w:val="18"/>
        </w:rPr>
        <w:t>Zdroj:</w:t>
      </w:r>
      <w:r>
        <w:rPr>
          <w:i/>
          <w:sz w:val="18"/>
          <w:szCs w:val="18"/>
        </w:rPr>
        <w:t xml:space="preserve"> </w:t>
      </w:r>
      <w:r w:rsidRPr="00813D31">
        <w:rPr>
          <w:i/>
          <w:sz w:val="18"/>
          <w:szCs w:val="18"/>
        </w:rPr>
        <w:t xml:space="preserve">ŘO  a ZS  </w:t>
      </w:r>
      <w:r w:rsidR="00914BC7">
        <w:rPr>
          <w:i/>
          <w:sz w:val="18"/>
          <w:szCs w:val="18"/>
        </w:rPr>
        <w:t>k 30. 9. 2015</w:t>
      </w:r>
    </w:p>
    <w:p w:rsidR="00B465B0" w:rsidRDefault="00B465B0" w:rsidP="001D018D">
      <w:pPr>
        <w:jc w:val="both"/>
        <w:rPr>
          <w:sz w:val="22"/>
          <w:szCs w:val="22"/>
        </w:rPr>
      </w:pPr>
    </w:p>
    <w:p w:rsidR="001D018D" w:rsidRPr="00A0258C" w:rsidRDefault="001D018D" w:rsidP="001D018D">
      <w:pPr>
        <w:keepNext/>
        <w:jc w:val="both"/>
        <w:rPr>
          <w:sz w:val="22"/>
          <w:szCs w:val="22"/>
        </w:rPr>
      </w:pPr>
      <w:r w:rsidRPr="00A0258C">
        <w:rPr>
          <w:sz w:val="22"/>
          <w:szCs w:val="22"/>
        </w:rPr>
        <w:t>Komentáře k administrativní kapacitě jednotlivých subjektů IOP jsou uvedeny v následující tabulce.</w:t>
      </w:r>
    </w:p>
    <w:p w:rsidR="001D018D" w:rsidRDefault="001D018D" w:rsidP="001D018D">
      <w:pPr>
        <w:keepNext/>
        <w:keepLines/>
        <w:jc w:val="both"/>
        <w:rPr>
          <w:sz w:val="22"/>
          <w:szCs w:val="22"/>
        </w:rPr>
      </w:pPr>
    </w:p>
    <w:tbl>
      <w:tblPr>
        <w:tblW w:w="9061" w:type="dxa"/>
        <w:jc w:val="center"/>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Look w:val="01E0" w:firstRow="1" w:lastRow="1" w:firstColumn="1" w:lastColumn="1" w:noHBand="0" w:noVBand="0"/>
      </w:tblPr>
      <w:tblGrid>
        <w:gridCol w:w="2103"/>
        <w:gridCol w:w="6958"/>
      </w:tblGrid>
      <w:tr w:rsidR="00C02488" w:rsidRPr="007E02F7" w:rsidTr="00B84178">
        <w:trPr>
          <w:trHeight w:val="2679"/>
          <w:jc w:val="center"/>
        </w:trPr>
        <w:tc>
          <w:tcPr>
            <w:tcW w:w="2103" w:type="dxa"/>
            <w:shd w:val="clear" w:color="auto" w:fill="B8CCE4" w:themeFill="accent1" w:themeFillTint="66"/>
            <w:vAlign w:val="center"/>
            <w:hideMark/>
          </w:tcPr>
          <w:p w:rsidR="00C02488" w:rsidRPr="007E02F7" w:rsidRDefault="00C02488" w:rsidP="00B84178">
            <w:pPr>
              <w:spacing w:before="60" w:after="60"/>
              <w:jc w:val="center"/>
              <w:rPr>
                <w:b/>
              </w:rPr>
            </w:pPr>
            <w:r w:rsidRPr="007E02F7">
              <w:rPr>
                <w:b/>
              </w:rPr>
              <w:t>Řídící orgán</w:t>
            </w:r>
          </w:p>
        </w:tc>
        <w:tc>
          <w:tcPr>
            <w:tcW w:w="6958" w:type="dxa"/>
            <w:vAlign w:val="center"/>
          </w:tcPr>
          <w:p w:rsidR="00C02488" w:rsidRPr="007E02F7" w:rsidRDefault="00C02488" w:rsidP="00B84178">
            <w:pPr>
              <w:autoSpaceDE w:val="0"/>
              <w:autoSpaceDN w:val="0"/>
              <w:adjustRightInd w:val="0"/>
              <w:spacing w:before="60" w:after="60"/>
              <w:jc w:val="both"/>
            </w:pPr>
            <w:r w:rsidRPr="007E02F7">
              <w:t xml:space="preserve">S účinností od 1. července 2015 byla služebním předpisem státní tajemnice </w:t>
            </w:r>
            <w:r>
              <w:br/>
            </w:r>
            <w:r w:rsidRPr="007E02F7">
              <w:t xml:space="preserve">č. 3/2015 vydána systemizace služebních a pracovních míst na Ministerstvu pro místní rozvoj, na základě které </w:t>
            </w:r>
            <w:r w:rsidR="00480F2C">
              <w:t>se</w:t>
            </w:r>
            <w:r w:rsidRPr="007E02F7">
              <w:t xml:space="preserve"> na ŘO IOP </w:t>
            </w:r>
            <w:r w:rsidR="00480F2C">
              <w:t>z</w:t>
            </w:r>
            <w:r w:rsidRPr="007E02F7">
              <w:t>výš</w:t>
            </w:r>
            <w:r w:rsidR="00480F2C">
              <w:t>il počet pracovníků</w:t>
            </w:r>
            <w:r w:rsidRPr="007E02F7">
              <w:t xml:space="preserve"> </w:t>
            </w:r>
            <w:r w:rsidR="00480F2C">
              <w:t>o</w:t>
            </w:r>
            <w:r w:rsidR="00480F2C" w:rsidRPr="007E02F7">
              <w:t xml:space="preserve">dboru řízení operačních programů </w:t>
            </w:r>
            <w:r w:rsidRPr="007E02F7">
              <w:t xml:space="preserve">o 2 pracovní místa především z důvodu paralelního ukončování IOP a přípravy a realizace IROP.                </w:t>
            </w:r>
          </w:p>
          <w:p w:rsidR="00C02488" w:rsidRPr="007E02F7" w:rsidRDefault="00C02488" w:rsidP="00B84178">
            <w:pPr>
              <w:jc w:val="both"/>
            </w:pPr>
            <w:r w:rsidRPr="007E02F7">
              <w:t xml:space="preserve">Do přepočteného stavu pracovníků ŘO IOP k 30. 9. 2015 nejsou zahrnuti pracovníci pracující na DPČ/DPP (přepočtený stav k 30. 9. 2015 – 6,5 pracovníků na DPČ a 1 pracovník na DPP).  </w:t>
            </w:r>
          </w:p>
          <w:p w:rsidR="00C02488" w:rsidRPr="007E02F7" w:rsidRDefault="00C02488" w:rsidP="00B84178">
            <w:pPr>
              <w:spacing w:before="60" w:after="60"/>
              <w:jc w:val="both"/>
              <w:rPr>
                <w:highlight w:val="yellow"/>
              </w:rPr>
            </w:pPr>
            <w:r w:rsidRPr="007E02F7">
              <w:t>V současné době nejsou obsazeny všechny pracovní pozice, aktuálně probíhají 2 výběrová řízení.</w:t>
            </w:r>
            <w:r w:rsidRPr="007E02F7">
              <w:rPr>
                <w:highlight w:val="yellow"/>
              </w:rPr>
              <w:t xml:space="preserve"> </w:t>
            </w:r>
          </w:p>
        </w:tc>
      </w:tr>
      <w:tr w:rsidR="00C02488" w:rsidRPr="007E02F7" w:rsidTr="00B84178">
        <w:trPr>
          <w:jc w:val="center"/>
        </w:trPr>
        <w:tc>
          <w:tcPr>
            <w:tcW w:w="2103" w:type="dxa"/>
            <w:shd w:val="clear" w:color="auto" w:fill="B8CCE4" w:themeFill="accent1" w:themeFillTint="66"/>
            <w:vAlign w:val="center"/>
            <w:hideMark/>
          </w:tcPr>
          <w:p w:rsidR="00C02488" w:rsidRPr="007E02F7" w:rsidRDefault="00C02488" w:rsidP="00B84178">
            <w:pPr>
              <w:spacing w:before="60" w:after="60"/>
              <w:jc w:val="center"/>
              <w:rPr>
                <w:b/>
                <w:i/>
              </w:rPr>
            </w:pPr>
            <w:r w:rsidRPr="007E02F7">
              <w:rPr>
                <w:b/>
              </w:rPr>
              <w:t>Centrum pro regionální rozvoj ČR</w:t>
            </w:r>
          </w:p>
        </w:tc>
        <w:tc>
          <w:tcPr>
            <w:tcW w:w="6958" w:type="dxa"/>
            <w:vAlign w:val="center"/>
          </w:tcPr>
          <w:p w:rsidR="00C02488" w:rsidRPr="007E02F7" w:rsidRDefault="00C02488" w:rsidP="00480F2C">
            <w:pPr>
              <w:spacing w:before="60" w:after="60"/>
              <w:jc w:val="both"/>
            </w:pPr>
            <w:r w:rsidRPr="007E02F7">
              <w:t>Plánovaná kapacita administrativní kapacity IOP se nezměnila, pouze aktuálně nejsou obsazeny všechny pozice IOP.</w:t>
            </w:r>
          </w:p>
        </w:tc>
      </w:tr>
      <w:tr w:rsidR="00C02488" w:rsidRPr="007E02F7" w:rsidTr="00B84178">
        <w:trPr>
          <w:trHeight w:val="850"/>
          <w:jc w:val="center"/>
        </w:trPr>
        <w:tc>
          <w:tcPr>
            <w:tcW w:w="2103" w:type="dxa"/>
            <w:shd w:val="clear" w:color="auto" w:fill="B8CCE4" w:themeFill="accent1" w:themeFillTint="66"/>
            <w:vAlign w:val="center"/>
            <w:hideMark/>
          </w:tcPr>
          <w:p w:rsidR="00C02488" w:rsidRPr="007E02F7" w:rsidRDefault="00C02488" w:rsidP="00B84178">
            <w:pPr>
              <w:spacing w:before="60" w:after="60"/>
              <w:jc w:val="center"/>
              <w:rPr>
                <w:b/>
                <w:i/>
              </w:rPr>
            </w:pPr>
            <w:r w:rsidRPr="007E02F7">
              <w:rPr>
                <w:b/>
              </w:rPr>
              <w:t xml:space="preserve">Ministerstvo vnitra ČR </w:t>
            </w:r>
          </w:p>
        </w:tc>
        <w:tc>
          <w:tcPr>
            <w:tcW w:w="6958" w:type="dxa"/>
            <w:vAlign w:val="center"/>
          </w:tcPr>
          <w:p w:rsidR="00C02488" w:rsidRPr="007E02F7" w:rsidRDefault="00CB6E4E" w:rsidP="00480F2C">
            <w:pPr>
              <w:spacing w:before="60" w:after="60"/>
              <w:jc w:val="both"/>
            </w:pPr>
            <w:r>
              <w:t>S blížícím se koncem existence ZS na MV ČR je tendence k podávání výpovědí zaměstnanců. Vzhledem ke zbývající době jsou již neobsazená místa částečně nahrazována pracovníky na DPČ. Ve sledovaném období ukončili pracovní poměr tři zaměstnanci. Nastoupila jedna pracovnice do oddělení kontrol.</w:t>
            </w:r>
          </w:p>
        </w:tc>
      </w:tr>
      <w:tr w:rsidR="00C02488" w:rsidRPr="007E02F7" w:rsidTr="00B84178">
        <w:trPr>
          <w:trHeight w:val="949"/>
          <w:jc w:val="center"/>
        </w:trPr>
        <w:tc>
          <w:tcPr>
            <w:tcW w:w="2103" w:type="dxa"/>
            <w:shd w:val="clear" w:color="auto" w:fill="B8CCE4" w:themeFill="accent1" w:themeFillTint="66"/>
            <w:vAlign w:val="center"/>
          </w:tcPr>
          <w:p w:rsidR="00C02488" w:rsidRPr="007E02F7" w:rsidRDefault="00C02488" w:rsidP="00B84178">
            <w:pPr>
              <w:spacing w:before="60" w:after="60"/>
              <w:jc w:val="center"/>
              <w:rPr>
                <w:b/>
              </w:rPr>
            </w:pPr>
            <w:r w:rsidRPr="007E02F7">
              <w:rPr>
                <w:b/>
              </w:rPr>
              <w:lastRenderedPageBreak/>
              <w:t>Ministerstvo práce a sociálních věcí ČR</w:t>
            </w:r>
          </w:p>
          <w:p w:rsidR="00C02488" w:rsidRPr="007E02F7" w:rsidRDefault="00C02488" w:rsidP="00B84178">
            <w:pPr>
              <w:spacing w:before="60" w:after="60"/>
              <w:jc w:val="center"/>
              <w:rPr>
                <w:b/>
                <w:i/>
              </w:rPr>
            </w:pPr>
          </w:p>
        </w:tc>
        <w:tc>
          <w:tcPr>
            <w:tcW w:w="6958" w:type="dxa"/>
            <w:vAlign w:val="center"/>
          </w:tcPr>
          <w:p w:rsidR="00C02488" w:rsidRPr="007E02F7" w:rsidRDefault="00C02488" w:rsidP="00B84178">
            <w:pPr>
              <w:spacing w:before="60" w:after="60"/>
              <w:jc w:val="both"/>
            </w:pPr>
            <w:r w:rsidRPr="007E02F7">
              <w:t>Výraznější pokles přepočteného počtu úvazků oproti předchozímu období je dán skutečností, že od června, resp. července 2015</w:t>
            </w:r>
            <w:r>
              <w:t>,</w:t>
            </w:r>
            <w:r w:rsidRPr="007E02F7">
              <w:t xml:space="preserve"> </w:t>
            </w:r>
            <w:r w:rsidR="00480F2C">
              <w:t xml:space="preserve">se </w:t>
            </w:r>
            <w:r w:rsidRPr="007E02F7">
              <w:t>několika pracovníků</w:t>
            </w:r>
            <w:r w:rsidR="00480F2C">
              <w:t>m</w:t>
            </w:r>
            <w:r w:rsidRPr="007E02F7">
              <w:t xml:space="preserve"> na pozici projektový manažer sníž</w:t>
            </w:r>
            <w:r w:rsidR="00480F2C">
              <w:t>ilo</w:t>
            </w:r>
            <w:r w:rsidRPr="007E02F7">
              <w:t xml:space="preserve"> jejich zapojení do projektu. </w:t>
            </w:r>
          </w:p>
          <w:p w:rsidR="00C02488" w:rsidRPr="007E02F7" w:rsidRDefault="00480F2C" w:rsidP="00B84178">
            <w:pPr>
              <w:spacing w:before="60" w:after="60"/>
              <w:jc w:val="both"/>
            </w:pPr>
            <w:r>
              <w:t>S</w:t>
            </w:r>
            <w:r w:rsidR="00C02488" w:rsidRPr="007E02F7">
              <w:t>nižování úvazků souvis</w:t>
            </w:r>
            <w:r>
              <w:t>í</w:t>
            </w:r>
            <w:r w:rsidR="00C02488" w:rsidRPr="007E02F7">
              <w:t xml:space="preserve"> s ukončováním programového období a jejich převodem na jinou agendu.</w:t>
            </w:r>
          </w:p>
          <w:p w:rsidR="00C02488" w:rsidRPr="007E02F7" w:rsidRDefault="00C02488" w:rsidP="00B84178">
            <w:pPr>
              <w:spacing w:before="60" w:after="60"/>
              <w:jc w:val="both"/>
            </w:pPr>
            <w:r w:rsidRPr="007E02F7">
              <w:t>K 30. 4. 2015 odešel na rodičovskou dovolenou vedoucí oddělení ERDF, tuto pozici od 1. 5. 2015 převzala projektová manažerka OI 3.1, po přerozdělení agendy v rámci odd. ERDF vykonává obě pozice současně.</w:t>
            </w:r>
          </w:p>
          <w:p w:rsidR="00C02488" w:rsidRPr="007E02F7" w:rsidRDefault="00C02488" w:rsidP="00480F2C">
            <w:pPr>
              <w:spacing w:before="60" w:after="60"/>
              <w:jc w:val="both"/>
            </w:pPr>
            <w:r w:rsidRPr="007E02F7">
              <w:t>Vlivem organizačních změn, které na MPSV proběhly k 1. 6. 2015, byly některé pozice vedoucích pracovníků z projektu vyloučeny.</w:t>
            </w:r>
          </w:p>
        </w:tc>
      </w:tr>
      <w:tr w:rsidR="00C02488" w:rsidRPr="007E02F7" w:rsidTr="00B84178">
        <w:trPr>
          <w:trHeight w:val="405"/>
          <w:jc w:val="center"/>
        </w:trPr>
        <w:tc>
          <w:tcPr>
            <w:tcW w:w="2103" w:type="dxa"/>
            <w:shd w:val="clear" w:color="auto" w:fill="B8CCE4" w:themeFill="accent1" w:themeFillTint="66"/>
            <w:vAlign w:val="center"/>
            <w:hideMark/>
          </w:tcPr>
          <w:p w:rsidR="00C02488" w:rsidRPr="007E02F7" w:rsidRDefault="00C02488" w:rsidP="00B84178">
            <w:pPr>
              <w:spacing w:before="60" w:after="60"/>
              <w:jc w:val="center"/>
              <w:rPr>
                <w:b/>
                <w:i/>
              </w:rPr>
            </w:pPr>
            <w:r w:rsidRPr="007E02F7">
              <w:rPr>
                <w:b/>
              </w:rPr>
              <w:t>Ministerstvo zdravotnictví ČR</w:t>
            </w:r>
          </w:p>
        </w:tc>
        <w:tc>
          <w:tcPr>
            <w:tcW w:w="6958" w:type="dxa"/>
            <w:vAlign w:val="center"/>
          </w:tcPr>
          <w:p w:rsidR="00C02488" w:rsidRPr="007E02F7" w:rsidRDefault="00C02488" w:rsidP="00480F2C">
            <w:pPr>
              <w:spacing w:before="60" w:after="60"/>
              <w:jc w:val="both"/>
              <w:rPr>
                <w:highlight w:val="yellow"/>
              </w:rPr>
            </w:pPr>
            <w:r w:rsidRPr="007E02F7">
              <w:t xml:space="preserve">Ve sledovaném období zůstal počet pracovníků stejný. </w:t>
            </w:r>
          </w:p>
        </w:tc>
      </w:tr>
    </w:tbl>
    <w:p w:rsidR="001D018D" w:rsidRDefault="001D018D" w:rsidP="001D018D">
      <w:pPr>
        <w:keepLines/>
        <w:jc w:val="both"/>
        <w:rPr>
          <w:sz w:val="22"/>
          <w:szCs w:val="22"/>
        </w:rPr>
      </w:pPr>
    </w:p>
    <w:p w:rsidR="00C02488" w:rsidRDefault="00C02488" w:rsidP="001D018D">
      <w:pPr>
        <w:keepLines/>
        <w:jc w:val="both"/>
        <w:rPr>
          <w:sz w:val="22"/>
          <w:szCs w:val="22"/>
        </w:rPr>
      </w:pPr>
    </w:p>
    <w:p w:rsidR="001D018D" w:rsidRPr="00514131" w:rsidRDefault="001D018D" w:rsidP="001D018D">
      <w:pPr>
        <w:pStyle w:val="Tabulkanzev"/>
        <w:keepNext/>
        <w:keepLines/>
        <w:rPr>
          <w:rStyle w:val="Siln"/>
        </w:rPr>
      </w:pPr>
      <w:bookmarkStart w:id="166" w:name="_Toc433873581"/>
      <w:r w:rsidRPr="00514131">
        <w:rPr>
          <w:rStyle w:val="Siln"/>
        </w:rPr>
        <w:t>Sledování stavu fluktuace podle jednotlivých typových pozic a subjektů implementace</w:t>
      </w:r>
      <w:bookmarkEnd w:id="166"/>
    </w:p>
    <w:tbl>
      <w:tblPr>
        <w:tblW w:w="9096" w:type="dxa"/>
        <w:tblInd w:w="55" w:type="dxa"/>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Layout w:type="fixed"/>
        <w:tblCellMar>
          <w:left w:w="70" w:type="dxa"/>
          <w:right w:w="70" w:type="dxa"/>
        </w:tblCellMar>
        <w:tblLook w:val="04A0" w:firstRow="1" w:lastRow="0" w:firstColumn="1" w:lastColumn="0" w:noHBand="0" w:noVBand="1"/>
      </w:tblPr>
      <w:tblGrid>
        <w:gridCol w:w="1393"/>
        <w:gridCol w:w="677"/>
        <w:gridCol w:w="780"/>
        <w:gridCol w:w="709"/>
        <w:gridCol w:w="709"/>
        <w:gridCol w:w="709"/>
        <w:gridCol w:w="850"/>
        <w:gridCol w:w="709"/>
        <w:gridCol w:w="686"/>
        <w:gridCol w:w="864"/>
        <w:gridCol w:w="1010"/>
      </w:tblGrid>
      <w:tr w:rsidR="00341280" w:rsidRPr="004D130C" w:rsidTr="00341280">
        <w:trPr>
          <w:trHeight w:val="1760"/>
          <w:tblHeader/>
        </w:trPr>
        <w:tc>
          <w:tcPr>
            <w:tcW w:w="1393" w:type="dxa"/>
            <w:vMerge w:val="restart"/>
            <w:shd w:val="clear" w:color="auto" w:fill="B8CCE4" w:themeFill="accent1" w:themeFillTint="66"/>
            <w:vAlign w:val="center"/>
            <w:hideMark/>
          </w:tcPr>
          <w:p w:rsidR="00341280" w:rsidRPr="004D130C" w:rsidRDefault="00341280" w:rsidP="00341280">
            <w:pPr>
              <w:keepNext/>
              <w:jc w:val="center"/>
              <w:rPr>
                <w:b/>
                <w:bCs/>
                <w:color w:val="000000"/>
                <w:sz w:val="16"/>
                <w:szCs w:val="16"/>
              </w:rPr>
            </w:pPr>
            <w:r w:rsidRPr="004D130C">
              <w:rPr>
                <w:b/>
                <w:bCs/>
                <w:color w:val="000000"/>
                <w:sz w:val="16"/>
                <w:szCs w:val="16"/>
              </w:rPr>
              <w:t>Fluktuace zaměstnanců implementační struktury OP dle typových pozic</w:t>
            </w:r>
          </w:p>
        </w:tc>
        <w:tc>
          <w:tcPr>
            <w:tcW w:w="1457" w:type="dxa"/>
            <w:gridSpan w:val="2"/>
            <w:shd w:val="clear" w:color="auto" w:fill="B8CCE4" w:themeFill="accent1" w:themeFillTint="66"/>
            <w:vAlign w:val="center"/>
            <w:hideMark/>
          </w:tcPr>
          <w:p w:rsidR="00341280" w:rsidRPr="004D130C" w:rsidRDefault="00341280" w:rsidP="00341280">
            <w:pPr>
              <w:keepNext/>
              <w:jc w:val="center"/>
              <w:rPr>
                <w:b/>
                <w:bCs/>
                <w:color w:val="000000"/>
                <w:sz w:val="16"/>
                <w:szCs w:val="16"/>
              </w:rPr>
            </w:pPr>
            <w:r w:rsidRPr="004D130C">
              <w:rPr>
                <w:b/>
                <w:bCs/>
                <w:color w:val="000000"/>
                <w:sz w:val="16"/>
                <w:szCs w:val="16"/>
              </w:rPr>
              <w:t xml:space="preserve">Počet zaměstnanců na dané pozici dle poměru jejich zapojení do implementace </w:t>
            </w:r>
            <w:r w:rsidRPr="004D130C">
              <w:rPr>
                <w:b/>
                <w:bCs/>
                <w:color w:val="000000"/>
                <w:sz w:val="16"/>
                <w:szCs w:val="16"/>
              </w:rPr>
              <w:br/>
              <w:t>k 16. 4. 2015</w:t>
            </w:r>
          </w:p>
        </w:tc>
        <w:tc>
          <w:tcPr>
            <w:tcW w:w="1418" w:type="dxa"/>
            <w:gridSpan w:val="2"/>
            <w:shd w:val="clear" w:color="auto" w:fill="B8CCE4" w:themeFill="accent1" w:themeFillTint="66"/>
            <w:vAlign w:val="center"/>
            <w:hideMark/>
          </w:tcPr>
          <w:p w:rsidR="00341280" w:rsidRPr="004D130C" w:rsidRDefault="00341280" w:rsidP="00341280">
            <w:pPr>
              <w:keepNext/>
              <w:jc w:val="center"/>
              <w:rPr>
                <w:b/>
                <w:bCs/>
                <w:color w:val="000000"/>
                <w:sz w:val="16"/>
                <w:szCs w:val="16"/>
              </w:rPr>
            </w:pPr>
            <w:r w:rsidRPr="004D130C">
              <w:rPr>
                <w:b/>
                <w:bCs/>
                <w:color w:val="000000"/>
                <w:sz w:val="16"/>
                <w:szCs w:val="16"/>
              </w:rPr>
              <w:t xml:space="preserve">Počet zaměstnanců na dané pozici dle poměru jejich zapojení do implementace </w:t>
            </w:r>
            <w:r w:rsidRPr="004D130C">
              <w:rPr>
                <w:b/>
                <w:bCs/>
                <w:color w:val="000000"/>
                <w:sz w:val="16"/>
                <w:szCs w:val="16"/>
              </w:rPr>
              <w:br/>
              <w:t>k 30. 9. 2015</w:t>
            </w:r>
          </w:p>
        </w:tc>
        <w:tc>
          <w:tcPr>
            <w:tcW w:w="1559" w:type="dxa"/>
            <w:gridSpan w:val="2"/>
            <w:shd w:val="clear" w:color="auto" w:fill="B8CCE4" w:themeFill="accent1" w:themeFillTint="66"/>
            <w:vAlign w:val="center"/>
            <w:hideMark/>
          </w:tcPr>
          <w:p w:rsidR="00341280" w:rsidRPr="004D130C" w:rsidRDefault="00341280" w:rsidP="00341280">
            <w:pPr>
              <w:keepNext/>
              <w:jc w:val="center"/>
              <w:rPr>
                <w:b/>
                <w:bCs/>
                <w:color w:val="000000"/>
                <w:sz w:val="16"/>
                <w:szCs w:val="16"/>
              </w:rPr>
            </w:pPr>
            <w:r w:rsidRPr="004D130C">
              <w:rPr>
                <w:b/>
                <w:bCs/>
                <w:color w:val="000000"/>
                <w:sz w:val="16"/>
                <w:szCs w:val="16"/>
              </w:rPr>
              <w:t xml:space="preserve">Počet ukončených/změněných pracovních úvazků na dané typové pozici dle poměru* zapojení do implementace OP </w:t>
            </w:r>
          </w:p>
        </w:tc>
        <w:tc>
          <w:tcPr>
            <w:tcW w:w="1395" w:type="dxa"/>
            <w:gridSpan w:val="2"/>
            <w:shd w:val="clear" w:color="auto" w:fill="B8CCE4" w:themeFill="accent1" w:themeFillTint="66"/>
            <w:vAlign w:val="center"/>
            <w:hideMark/>
          </w:tcPr>
          <w:p w:rsidR="00341280" w:rsidRPr="004D130C" w:rsidRDefault="00341280" w:rsidP="00341280">
            <w:pPr>
              <w:keepNext/>
              <w:jc w:val="center"/>
              <w:rPr>
                <w:b/>
                <w:bCs/>
                <w:color w:val="000000"/>
                <w:sz w:val="16"/>
                <w:szCs w:val="16"/>
              </w:rPr>
            </w:pPr>
            <w:r w:rsidRPr="004D130C">
              <w:rPr>
                <w:b/>
                <w:bCs/>
                <w:color w:val="000000"/>
                <w:sz w:val="16"/>
                <w:szCs w:val="16"/>
              </w:rPr>
              <w:t>Počet ukončených/změněných pracovních úvazků na dané typové pozici dle poměru* zapojení do implementace OP (pouze RD, důchod, úmrtí apod.)</w:t>
            </w:r>
          </w:p>
        </w:tc>
        <w:tc>
          <w:tcPr>
            <w:tcW w:w="1874" w:type="dxa"/>
            <w:gridSpan w:val="2"/>
            <w:shd w:val="clear" w:color="auto" w:fill="B8CCE4" w:themeFill="accent1" w:themeFillTint="66"/>
            <w:vAlign w:val="center"/>
            <w:hideMark/>
          </w:tcPr>
          <w:p w:rsidR="00341280" w:rsidRPr="004D130C" w:rsidRDefault="00341280" w:rsidP="00341280">
            <w:pPr>
              <w:keepNext/>
              <w:jc w:val="center"/>
              <w:rPr>
                <w:b/>
                <w:bCs/>
                <w:color w:val="000000"/>
                <w:sz w:val="16"/>
                <w:szCs w:val="16"/>
              </w:rPr>
            </w:pPr>
            <w:r w:rsidRPr="004D130C">
              <w:rPr>
                <w:b/>
                <w:bCs/>
                <w:color w:val="000000"/>
                <w:sz w:val="16"/>
                <w:szCs w:val="16"/>
              </w:rPr>
              <w:t>Počet zahájených pracovních úvazků na dané typové pozici dle poměru* zapojení do implementace OP</w:t>
            </w:r>
          </w:p>
        </w:tc>
      </w:tr>
      <w:tr w:rsidR="00341280" w:rsidRPr="004D130C" w:rsidTr="00341280">
        <w:trPr>
          <w:trHeight w:val="557"/>
          <w:tblHeader/>
        </w:trPr>
        <w:tc>
          <w:tcPr>
            <w:tcW w:w="1393" w:type="dxa"/>
            <w:vMerge/>
            <w:shd w:val="clear" w:color="auto" w:fill="B8CCE4" w:themeFill="accent1" w:themeFillTint="66"/>
            <w:vAlign w:val="center"/>
            <w:hideMark/>
          </w:tcPr>
          <w:p w:rsidR="00341280" w:rsidRPr="004D130C" w:rsidRDefault="00341280" w:rsidP="00341280">
            <w:pPr>
              <w:rPr>
                <w:b/>
                <w:bCs/>
                <w:color w:val="000000"/>
                <w:sz w:val="16"/>
                <w:szCs w:val="16"/>
              </w:rPr>
            </w:pPr>
          </w:p>
        </w:tc>
        <w:tc>
          <w:tcPr>
            <w:tcW w:w="677" w:type="dxa"/>
            <w:shd w:val="clear" w:color="auto" w:fill="B8CCE4" w:themeFill="accent1" w:themeFillTint="66"/>
            <w:vAlign w:val="center"/>
            <w:hideMark/>
          </w:tcPr>
          <w:p w:rsidR="00341280" w:rsidRPr="004D130C" w:rsidRDefault="00341280" w:rsidP="00341280">
            <w:pPr>
              <w:jc w:val="center"/>
              <w:rPr>
                <w:b/>
                <w:bCs/>
                <w:color w:val="000000"/>
                <w:sz w:val="16"/>
                <w:szCs w:val="16"/>
              </w:rPr>
            </w:pPr>
            <w:r w:rsidRPr="004D130C">
              <w:rPr>
                <w:b/>
                <w:bCs/>
                <w:color w:val="000000"/>
                <w:sz w:val="16"/>
                <w:szCs w:val="16"/>
              </w:rPr>
              <w:t xml:space="preserve">ŘO </w:t>
            </w:r>
          </w:p>
        </w:tc>
        <w:tc>
          <w:tcPr>
            <w:tcW w:w="780" w:type="dxa"/>
            <w:shd w:val="clear" w:color="auto" w:fill="B8CCE4" w:themeFill="accent1" w:themeFillTint="66"/>
            <w:hideMark/>
          </w:tcPr>
          <w:p w:rsidR="00341280" w:rsidRPr="004D130C" w:rsidRDefault="00341280" w:rsidP="00341280">
            <w:pPr>
              <w:jc w:val="center"/>
              <w:rPr>
                <w:sz w:val="16"/>
                <w:szCs w:val="16"/>
              </w:rPr>
            </w:pPr>
          </w:p>
          <w:p w:rsidR="00341280" w:rsidRPr="004D130C" w:rsidRDefault="00341280" w:rsidP="00341280">
            <w:pPr>
              <w:jc w:val="center"/>
              <w:rPr>
                <w:b/>
                <w:bCs/>
                <w:color w:val="000000"/>
                <w:sz w:val="16"/>
                <w:szCs w:val="16"/>
              </w:rPr>
            </w:pPr>
            <w:r w:rsidRPr="004D130C">
              <w:rPr>
                <w:b/>
                <w:bCs/>
                <w:color w:val="000000"/>
                <w:sz w:val="16"/>
                <w:szCs w:val="16"/>
              </w:rPr>
              <w:t>ZS</w:t>
            </w:r>
          </w:p>
          <w:p w:rsidR="00341280" w:rsidRPr="004D130C" w:rsidRDefault="00341280" w:rsidP="00341280">
            <w:pPr>
              <w:jc w:val="center"/>
              <w:rPr>
                <w:b/>
                <w:bCs/>
                <w:color w:val="000000"/>
                <w:sz w:val="16"/>
                <w:szCs w:val="16"/>
              </w:rPr>
            </w:pPr>
          </w:p>
        </w:tc>
        <w:tc>
          <w:tcPr>
            <w:tcW w:w="709" w:type="dxa"/>
            <w:shd w:val="clear" w:color="auto" w:fill="B8CCE4" w:themeFill="accent1" w:themeFillTint="66"/>
            <w:vAlign w:val="center"/>
            <w:hideMark/>
          </w:tcPr>
          <w:p w:rsidR="00341280" w:rsidRPr="004D130C" w:rsidRDefault="00341280" w:rsidP="00341280">
            <w:pPr>
              <w:jc w:val="center"/>
              <w:rPr>
                <w:b/>
                <w:bCs/>
                <w:color w:val="000000"/>
                <w:sz w:val="16"/>
                <w:szCs w:val="16"/>
              </w:rPr>
            </w:pPr>
            <w:r w:rsidRPr="004D130C">
              <w:rPr>
                <w:b/>
                <w:bCs/>
                <w:color w:val="000000"/>
                <w:sz w:val="16"/>
                <w:szCs w:val="16"/>
              </w:rPr>
              <w:t xml:space="preserve">ŘO </w:t>
            </w:r>
          </w:p>
        </w:tc>
        <w:tc>
          <w:tcPr>
            <w:tcW w:w="709" w:type="dxa"/>
            <w:shd w:val="clear" w:color="auto" w:fill="B8CCE4" w:themeFill="accent1" w:themeFillTint="66"/>
            <w:vAlign w:val="center"/>
            <w:hideMark/>
          </w:tcPr>
          <w:p w:rsidR="00341280" w:rsidRPr="004D130C" w:rsidRDefault="00341280" w:rsidP="00341280">
            <w:pPr>
              <w:jc w:val="center"/>
              <w:rPr>
                <w:b/>
                <w:bCs/>
                <w:color w:val="000000"/>
                <w:sz w:val="16"/>
                <w:szCs w:val="16"/>
              </w:rPr>
            </w:pPr>
            <w:r w:rsidRPr="004D130C">
              <w:rPr>
                <w:b/>
                <w:bCs/>
                <w:color w:val="000000"/>
                <w:sz w:val="16"/>
                <w:szCs w:val="16"/>
              </w:rPr>
              <w:t>ZS</w:t>
            </w:r>
          </w:p>
        </w:tc>
        <w:tc>
          <w:tcPr>
            <w:tcW w:w="709" w:type="dxa"/>
            <w:shd w:val="clear" w:color="auto" w:fill="B8CCE4" w:themeFill="accent1" w:themeFillTint="66"/>
            <w:vAlign w:val="center"/>
            <w:hideMark/>
          </w:tcPr>
          <w:p w:rsidR="00341280" w:rsidRPr="004D130C" w:rsidRDefault="00341280" w:rsidP="00341280">
            <w:pPr>
              <w:jc w:val="center"/>
              <w:rPr>
                <w:b/>
                <w:bCs/>
                <w:color w:val="000000"/>
                <w:sz w:val="16"/>
                <w:szCs w:val="16"/>
              </w:rPr>
            </w:pPr>
            <w:r w:rsidRPr="004D130C">
              <w:rPr>
                <w:b/>
                <w:bCs/>
                <w:color w:val="000000"/>
                <w:sz w:val="16"/>
                <w:szCs w:val="16"/>
              </w:rPr>
              <w:t xml:space="preserve">ŘO </w:t>
            </w:r>
          </w:p>
        </w:tc>
        <w:tc>
          <w:tcPr>
            <w:tcW w:w="850" w:type="dxa"/>
            <w:shd w:val="clear" w:color="auto" w:fill="B8CCE4" w:themeFill="accent1" w:themeFillTint="66"/>
            <w:vAlign w:val="center"/>
            <w:hideMark/>
          </w:tcPr>
          <w:p w:rsidR="00341280" w:rsidRPr="004D130C" w:rsidRDefault="00341280" w:rsidP="00341280">
            <w:pPr>
              <w:jc w:val="center"/>
              <w:rPr>
                <w:b/>
                <w:bCs/>
                <w:color w:val="000000"/>
                <w:sz w:val="16"/>
                <w:szCs w:val="16"/>
              </w:rPr>
            </w:pPr>
            <w:r w:rsidRPr="004D130C">
              <w:rPr>
                <w:b/>
                <w:bCs/>
                <w:color w:val="000000"/>
                <w:sz w:val="16"/>
                <w:szCs w:val="16"/>
              </w:rPr>
              <w:t>ZS</w:t>
            </w:r>
          </w:p>
        </w:tc>
        <w:tc>
          <w:tcPr>
            <w:tcW w:w="709" w:type="dxa"/>
            <w:shd w:val="clear" w:color="auto" w:fill="B8CCE4" w:themeFill="accent1" w:themeFillTint="66"/>
            <w:vAlign w:val="center"/>
            <w:hideMark/>
          </w:tcPr>
          <w:p w:rsidR="00341280" w:rsidRPr="004D130C" w:rsidRDefault="00341280" w:rsidP="00341280">
            <w:pPr>
              <w:jc w:val="center"/>
              <w:rPr>
                <w:b/>
                <w:bCs/>
                <w:color w:val="000000"/>
                <w:sz w:val="16"/>
                <w:szCs w:val="16"/>
              </w:rPr>
            </w:pPr>
            <w:r w:rsidRPr="004D130C">
              <w:rPr>
                <w:b/>
                <w:bCs/>
                <w:color w:val="000000"/>
                <w:sz w:val="16"/>
                <w:szCs w:val="16"/>
              </w:rPr>
              <w:t xml:space="preserve">ŘO </w:t>
            </w:r>
          </w:p>
        </w:tc>
        <w:tc>
          <w:tcPr>
            <w:tcW w:w="686" w:type="dxa"/>
            <w:shd w:val="clear" w:color="auto" w:fill="B8CCE4" w:themeFill="accent1" w:themeFillTint="66"/>
            <w:vAlign w:val="center"/>
            <w:hideMark/>
          </w:tcPr>
          <w:p w:rsidR="00341280" w:rsidRPr="004D130C" w:rsidRDefault="00341280" w:rsidP="00341280">
            <w:pPr>
              <w:jc w:val="center"/>
              <w:rPr>
                <w:b/>
                <w:bCs/>
                <w:color w:val="000000"/>
                <w:sz w:val="16"/>
                <w:szCs w:val="16"/>
              </w:rPr>
            </w:pPr>
            <w:r w:rsidRPr="004D130C">
              <w:rPr>
                <w:b/>
                <w:bCs/>
                <w:color w:val="000000"/>
                <w:sz w:val="16"/>
                <w:szCs w:val="16"/>
              </w:rPr>
              <w:t>ZS</w:t>
            </w:r>
          </w:p>
        </w:tc>
        <w:tc>
          <w:tcPr>
            <w:tcW w:w="864" w:type="dxa"/>
            <w:shd w:val="clear" w:color="auto" w:fill="B8CCE4" w:themeFill="accent1" w:themeFillTint="66"/>
            <w:vAlign w:val="center"/>
            <w:hideMark/>
          </w:tcPr>
          <w:p w:rsidR="00341280" w:rsidRPr="004D130C" w:rsidRDefault="00341280" w:rsidP="00341280">
            <w:pPr>
              <w:jc w:val="center"/>
              <w:rPr>
                <w:b/>
                <w:bCs/>
                <w:color w:val="000000"/>
                <w:sz w:val="16"/>
                <w:szCs w:val="16"/>
              </w:rPr>
            </w:pPr>
            <w:r w:rsidRPr="004D130C">
              <w:rPr>
                <w:b/>
                <w:bCs/>
                <w:color w:val="000000"/>
                <w:sz w:val="16"/>
                <w:szCs w:val="16"/>
              </w:rPr>
              <w:t xml:space="preserve">ŘO </w:t>
            </w:r>
          </w:p>
        </w:tc>
        <w:tc>
          <w:tcPr>
            <w:tcW w:w="1010" w:type="dxa"/>
            <w:shd w:val="clear" w:color="auto" w:fill="B8CCE4" w:themeFill="accent1" w:themeFillTint="66"/>
            <w:vAlign w:val="center"/>
            <w:hideMark/>
          </w:tcPr>
          <w:p w:rsidR="00341280" w:rsidRPr="004D130C" w:rsidRDefault="00341280" w:rsidP="00341280">
            <w:pPr>
              <w:jc w:val="center"/>
              <w:rPr>
                <w:b/>
                <w:bCs/>
                <w:color w:val="000000"/>
                <w:sz w:val="16"/>
                <w:szCs w:val="16"/>
              </w:rPr>
            </w:pPr>
            <w:r w:rsidRPr="004D130C">
              <w:rPr>
                <w:b/>
                <w:bCs/>
                <w:color w:val="000000"/>
                <w:sz w:val="16"/>
                <w:szCs w:val="16"/>
              </w:rPr>
              <w:t>ZS</w:t>
            </w:r>
          </w:p>
        </w:tc>
      </w:tr>
      <w:tr w:rsidR="00341280" w:rsidRPr="004D130C" w:rsidTr="00341280">
        <w:trPr>
          <w:trHeight w:val="565"/>
        </w:trPr>
        <w:tc>
          <w:tcPr>
            <w:tcW w:w="1393" w:type="dxa"/>
            <w:shd w:val="clear" w:color="auto" w:fill="DBE5F1"/>
            <w:vAlign w:val="center"/>
            <w:hideMark/>
          </w:tcPr>
          <w:p w:rsidR="00341280" w:rsidRPr="004D130C" w:rsidRDefault="00341280" w:rsidP="00341280">
            <w:pPr>
              <w:rPr>
                <w:color w:val="000000"/>
                <w:sz w:val="16"/>
                <w:szCs w:val="16"/>
              </w:rPr>
            </w:pPr>
            <w:r w:rsidRPr="004D130C">
              <w:rPr>
                <w:color w:val="000000"/>
                <w:sz w:val="16"/>
                <w:szCs w:val="16"/>
              </w:rPr>
              <w:t>Administrátor monitorovacího systému</w:t>
            </w:r>
          </w:p>
        </w:tc>
        <w:tc>
          <w:tcPr>
            <w:tcW w:w="677" w:type="dxa"/>
            <w:shd w:val="clear" w:color="auto" w:fill="auto"/>
            <w:noWrap/>
            <w:vAlign w:val="center"/>
          </w:tcPr>
          <w:p w:rsidR="00341280" w:rsidRPr="004D130C" w:rsidRDefault="00341280" w:rsidP="00341280">
            <w:pPr>
              <w:jc w:val="center"/>
              <w:rPr>
                <w:sz w:val="16"/>
                <w:szCs w:val="16"/>
              </w:rPr>
            </w:pPr>
            <w:r w:rsidRPr="004D130C">
              <w:rPr>
                <w:sz w:val="16"/>
                <w:szCs w:val="16"/>
              </w:rPr>
              <w:t>5,00</w:t>
            </w:r>
          </w:p>
        </w:tc>
        <w:tc>
          <w:tcPr>
            <w:tcW w:w="780" w:type="dxa"/>
            <w:shd w:val="clear" w:color="auto" w:fill="auto"/>
            <w:noWrap/>
            <w:vAlign w:val="center"/>
          </w:tcPr>
          <w:p w:rsidR="00341280" w:rsidRPr="004D130C" w:rsidRDefault="00341280" w:rsidP="00341280">
            <w:pPr>
              <w:jc w:val="center"/>
              <w:rPr>
                <w:color w:val="000000"/>
                <w:sz w:val="16"/>
                <w:szCs w:val="16"/>
              </w:rPr>
            </w:pPr>
          </w:p>
        </w:tc>
        <w:tc>
          <w:tcPr>
            <w:tcW w:w="709" w:type="dxa"/>
            <w:shd w:val="clear" w:color="auto" w:fill="auto"/>
            <w:noWrap/>
            <w:vAlign w:val="center"/>
          </w:tcPr>
          <w:p w:rsidR="00341280" w:rsidRPr="004D130C" w:rsidRDefault="00341280" w:rsidP="00341280">
            <w:pPr>
              <w:jc w:val="center"/>
              <w:rPr>
                <w:sz w:val="16"/>
                <w:szCs w:val="16"/>
              </w:rPr>
            </w:pPr>
            <w:r w:rsidRPr="004D130C">
              <w:rPr>
                <w:sz w:val="16"/>
                <w:szCs w:val="16"/>
              </w:rPr>
              <w:t>6,00</w:t>
            </w:r>
          </w:p>
        </w:tc>
        <w:tc>
          <w:tcPr>
            <w:tcW w:w="709" w:type="dxa"/>
            <w:shd w:val="clear" w:color="auto" w:fill="auto"/>
            <w:noWrap/>
            <w:vAlign w:val="center"/>
          </w:tcPr>
          <w:p w:rsidR="00341280" w:rsidRPr="004D130C" w:rsidRDefault="00341280" w:rsidP="00341280">
            <w:pPr>
              <w:jc w:val="center"/>
              <w:rPr>
                <w:color w:val="000000"/>
                <w:sz w:val="16"/>
                <w:szCs w:val="16"/>
              </w:rPr>
            </w:pPr>
          </w:p>
        </w:tc>
        <w:tc>
          <w:tcPr>
            <w:tcW w:w="709" w:type="dxa"/>
            <w:shd w:val="clear" w:color="auto" w:fill="auto"/>
            <w:noWrap/>
            <w:vAlign w:val="center"/>
          </w:tcPr>
          <w:p w:rsidR="00341280" w:rsidRPr="004D130C" w:rsidRDefault="00341280" w:rsidP="00341280">
            <w:pPr>
              <w:jc w:val="center"/>
              <w:rPr>
                <w:color w:val="000000"/>
                <w:sz w:val="16"/>
                <w:szCs w:val="16"/>
                <w:highlight w:val="yellow"/>
              </w:rPr>
            </w:pPr>
          </w:p>
        </w:tc>
        <w:tc>
          <w:tcPr>
            <w:tcW w:w="850" w:type="dxa"/>
            <w:shd w:val="clear" w:color="auto" w:fill="auto"/>
            <w:noWrap/>
            <w:vAlign w:val="center"/>
          </w:tcPr>
          <w:p w:rsidR="00341280" w:rsidRPr="004D130C" w:rsidRDefault="00341280" w:rsidP="00341280">
            <w:pPr>
              <w:jc w:val="center"/>
              <w:rPr>
                <w:color w:val="000000"/>
                <w:sz w:val="16"/>
                <w:szCs w:val="16"/>
              </w:rPr>
            </w:pPr>
          </w:p>
        </w:tc>
        <w:tc>
          <w:tcPr>
            <w:tcW w:w="709" w:type="dxa"/>
            <w:shd w:val="clear" w:color="auto" w:fill="auto"/>
            <w:noWrap/>
            <w:vAlign w:val="center"/>
          </w:tcPr>
          <w:p w:rsidR="00341280" w:rsidRPr="004D130C" w:rsidRDefault="00341280" w:rsidP="00341280">
            <w:pPr>
              <w:jc w:val="center"/>
              <w:rPr>
                <w:color w:val="000000"/>
                <w:sz w:val="16"/>
                <w:szCs w:val="16"/>
              </w:rPr>
            </w:pPr>
          </w:p>
        </w:tc>
        <w:tc>
          <w:tcPr>
            <w:tcW w:w="686" w:type="dxa"/>
            <w:shd w:val="clear" w:color="auto" w:fill="auto"/>
            <w:noWrap/>
            <w:vAlign w:val="center"/>
          </w:tcPr>
          <w:p w:rsidR="00341280" w:rsidRPr="004D130C" w:rsidRDefault="00341280" w:rsidP="00341280">
            <w:pPr>
              <w:jc w:val="center"/>
              <w:rPr>
                <w:color w:val="000000"/>
                <w:sz w:val="16"/>
                <w:szCs w:val="16"/>
              </w:rPr>
            </w:pPr>
          </w:p>
        </w:tc>
        <w:tc>
          <w:tcPr>
            <w:tcW w:w="864" w:type="dxa"/>
            <w:shd w:val="clear" w:color="auto" w:fill="auto"/>
            <w:noWrap/>
            <w:vAlign w:val="center"/>
          </w:tcPr>
          <w:p w:rsidR="00341280" w:rsidRPr="004D130C" w:rsidRDefault="00341280" w:rsidP="00341280">
            <w:pPr>
              <w:jc w:val="center"/>
              <w:rPr>
                <w:color w:val="000000"/>
                <w:sz w:val="16"/>
                <w:szCs w:val="16"/>
              </w:rPr>
            </w:pPr>
            <w:r w:rsidRPr="004D130C">
              <w:rPr>
                <w:color w:val="000000"/>
                <w:sz w:val="16"/>
                <w:szCs w:val="16"/>
              </w:rPr>
              <w:t>1,00</w:t>
            </w:r>
          </w:p>
        </w:tc>
        <w:tc>
          <w:tcPr>
            <w:tcW w:w="1010" w:type="dxa"/>
            <w:shd w:val="clear" w:color="auto" w:fill="auto"/>
            <w:noWrap/>
            <w:vAlign w:val="center"/>
          </w:tcPr>
          <w:p w:rsidR="00341280" w:rsidRPr="004D130C" w:rsidRDefault="00341280" w:rsidP="00341280">
            <w:pPr>
              <w:jc w:val="center"/>
              <w:rPr>
                <w:color w:val="000000"/>
                <w:sz w:val="16"/>
                <w:szCs w:val="16"/>
              </w:rPr>
            </w:pPr>
          </w:p>
        </w:tc>
      </w:tr>
      <w:tr w:rsidR="00341280" w:rsidRPr="004D130C" w:rsidTr="00341280">
        <w:trPr>
          <w:trHeight w:val="415"/>
        </w:trPr>
        <w:tc>
          <w:tcPr>
            <w:tcW w:w="1393" w:type="dxa"/>
            <w:shd w:val="clear" w:color="auto" w:fill="DBE5F1"/>
            <w:vAlign w:val="center"/>
            <w:hideMark/>
          </w:tcPr>
          <w:p w:rsidR="00341280" w:rsidRPr="004D130C" w:rsidRDefault="00341280" w:rsidP="00341280">
            <w:pPr>
              <w:rPr>
                <w:color w:val="000000"/>
                <w:sz w:val="16"/>
                <w:szCs w:val="16"/>
              </w:rPr>
            </w:pPr>
            <w:r w:rsidRPr="004D130C">
              <w:rPr>
                <w:color w:val="000000"/>
                <w:sz w:val="16"/>
                <w:szCs w:val="16"/>
              </w:rPr>
              <w:t>Administrativní pracovník</w:t>
            </w:r>
          </w:p>
        </w:tc>
        <w:tc>
          <w:tcPr>
            <w:tcW w:w="677" w:type="dxa"/>
            <w:shd w:val="clear" w:color="auto" w:fill="auto"/>
            <w:noWrap/>
            <w:vAlign w:val="center"/>
          </w:tcPr>
          <w:p w:rsidR="00341280" w:rsidRPr="004D130C" w:rsidRDefault="00341280" w:rsidP="00341280">
            <w:pPr>
              <w:jc w:val="center"/>
              <w:rPr>
                <w:sz w:val="16"/>
                <w:szCs w:val="16"/>
              </w:rPr>
            </w:pPr>
            <w:r w:rsidRPr="004D130C">
              <w:rPr>
                <w:sz w:val="16"/>
                <w:szCs w:val="16"/>
              </w:rPr>
              <w:t>4,70</w:t>
            </w:r>
          </w:p>
        </w:tc>
        <w:tc>
          <w:tcPr>
            <w:tcW w:w="780" w:type="dxa"/>
            <w:shd w:val="clear" w:color="auto" w:fill="auto"/>
            <w:noWrap/>
            <w:vAlign w:val="center"/>
          </w:tcPr>
          <w:p w:rsidR="00341280" w:rsidRPr="004D130C" w:rsidRDefault="00341280" w:rsidP="00341280">
            <w:pPr>
              <w:jc w:val="center"/>
              <w:rPr>
                <w:color w:val="000000"/>
                <w:sz w:val="16"/>
                <w:szCs w:val="16"/>
              </w:rPr>
            </w:pPr>
            <w:r w:rsidRPr="004D130C">
              <w:rPr>
                <w:color w:val="000000"/>
                <w:sz w:val="16"/>
                <w:szCs w:val="16"/>
              </w:rPr>
              <w:t>3,31</w:t>
            </w:r>
          </w:p>
        </w:tc>
        <w:tc>
          <w:tcPr>
            <w:tcW w:w="709" w:type="dxa"/>
            <w:shd w:val="clear" w:color="auto" w:fill="auto"/>
            <w:noWrap/>
            <w:vAlign w:val="center"/>
          </w:tcPr>
          <w:p w:rsidR="00341280" w:rsidRPr="004D130C" w:rsidRDefault="00341280" w:rsidP="00341280">
            <w:pPr>
              <w:jc w:val="center"/>
              <w:rPr>
                <w:sz w:val="16"/>
                <w:szCs w:val="16"/>
              </w:rPr>
            </w:pPr>
            <w:r w:rsidRPr="004D130C">
              <w:rPr>
                <w:sz w:val="16"/>
                <w:szCs w:val="16"/>
              </w:rPr>
              <w:t>1,00</w:t>
            </w:r>
          </w:p>
        </w:tc>
        <w:tc>
          <w:tcPr>
            <w:tcW w:w="709" w:type="dxa"/>
            <w:shd w:val="clear" w:color="auto" w:fill="auto"/>
            <w:noWrap/>
            <w:vAlign w:val="center"/>
          </w:tcPr>
          <w:p w:rsidR="00341280" w:rsidRPr="004D130C" w:rsidRDefault="00341280" w:rsidP="00341280">
            <w:pPr>
              <w:jc w:val="center"/>
              <w:rPr>
                <w:color w:val="000000"/>
                <w:sz w:val="16"/>
                <w:szCs w:val="16"/>
              </w:rPr>
            </w:pPr>
            <w:r w:rsidRPr="004D130C">
              <w:rPr>
                <w:color w:val="000000"/>
                <w:sz w:val="16"/>
                <w:szCs w:val="16"/>
              </w:rPr>
              <w:t>6,00</w:t>
            </w:r>
          </w:p>
        </w:tc>
        <w:tc>
          <w:tcPr>
            <w:tcW w:w="709" w:type="dxa"/>
            <w:shd w:val="clear" w:color="auto" w:fill="auto"/>
            <w:noWrap/>
            <w:vAlign w:val="center"/>
          </w:tcPr>
          <w:p w:rsidR="00341280" w:rsidRPr="004D130C" w:rsidRDefault="00341280" w:rsidP="00341280">
            <w:pPr>
              <w:jc w:val="center"/>
              <w:rPr>
                <w:color w:val="000000"/>
                <w:sz w:val="16"/>
                <w:szCs w:val="16"/>
                <w:highlight w:val="yellow"/>
              </w:rPr>
            </w:pPr>
          </w:p>
        </w:tc>
        <w:tc>
          <w:tcPr>
            <w:tcW w:w="850" w:type="dxa"/>
            <w:shd w:val="clear" w:color="auto" w:fill="auto"/>
            <w:noWrap/>
            <w:vAlign w:val="center"/>
          </w:tcPr>
          <w:p w:rsidR="00341280" w:rsidRPr="004D130C" w:rsidRDefault="00341280" w:rsidP="00341280">
            <w:pPr>
              <w:jc w:val="center"/>
              <w:rPr>
                <w:color w:val="000000"/>
                <w:sz w:val="16"/>
                <w:szCs w:val="16"/>
              </w:rPr>
            </w:pPr>
          </w:p>
        </w:tc>
        <w:tc>
          <w:tcPr>
            <w:tcW w:w="709" w:type="dxa"/>
            <w:shd w:val="clear" w:color="auto" w:fill="auto"/>
            <w:noWrap/>
            <w:vAlign w:val="center"/>
          </w:tcPr>
          <w:p w:rsidR="00341280" w:rsidRPr="004D130C" w:rsidRDefault="00341280" w:rsidP="00341280">
            <w:pPr>
              <w:jc w:val="center"/>
              <w:rPr>
                <w:color w:val="000000"/>
                <w:sz w:val="16"/>
                <w:szCs w:val="16"/>
              </w:rPr>
            </w:pPr>
          </w:p>
        </w:tc>
        <w:tc>
          <w:tcPr>
            <w:tcW w:w="686" w:type="dxa"/>
            <w:shd w:val="clear" w:color="auto" w:fill="auto"/>
            <w:noWrap/>
            <w:vAlign w:val="center"/>
          </w:tcPr>
          <w:p w:rsidR="00341280" w:rsidRPr="004D130C" w:rsidRDefault="00341280" w:rsidP="00341280">
            <w:pPr>
              <w:jc w:val="center"/>
              <w:rPr>
                <w:color w:val="000000"/>
                <w:sz w:val="16"/>
                <w:szCs w:val="16"/>
              </w:rPr>
            </w:pPr>
          </w:p>
        </w:tc>
        <w:tc>
          <w:tcPr>
            <w:tcW w:w="864" w:type="dxa"/>
            <w:shd w:val="clear" w:color="auto" w:fill="auto"/>
            <w:noWrap/>
            <w:vAlign w:val="center"/>
          </w:tcPr>
          <w:p w:rsidR="00341280" w:rsidRPr="004D130C" w:rsidRDefault="00341280" w:rsidP="00341280">
            <w:pPr>
              <w:jc w:val="center"/>
              <w:rPr>
                <w:color w:val="000000"/>
                <w:sz w:val="16"/>
                <w:szCs w:val="16"/>
              </w:rPr>
            </w:pPr>
          </w:p>
        </w:tc>
        <w:tc>
          <w:tcPr>
            <w:tcW w:w="1010" w:type="dxa"/>
            <w:shd w:val="clear" w:color="auto" w:fill="auto"/>
            <w:noWrap/>
            <w:vAlign w:val="center"/>
          </w:tcPr>
          <w:p w:rsidR="00341280" w:rsidRPr="004D130C" w:rsidRDefault="00341280" w:rsidP="00341280">
            <w:pPr>
              <w:jc w:val="center"/>
              <w:rPr>
                <w:color w:val="000000"/>
                <w:sz w:val="16"/>
                <w:szCs w:val="16"/>
              </w:rPr>
            </w:pPr>
            <w:r w:rsidRPr="004D130C">
              <w:rPr>
                <w:color w:val="000000"/>
                <w:sz w:val="16"/>
                <w:szCs w:val="16"/>
              </w:rPr>
              <w:t>1,44</w:t>
            </w:r>
          </w:p>
        </w:tc>
      </w:tr>
      <w:tr w:rsidR="00341280" w:rsidRPr="004D130C" w:rsidTr="00341280">
        <w:trPr>
          <w:trHeight w:val="303"/>
        </w:trPr>
        <w:tc>
          <w:tcPr>
            <w:tcW w:w="1393" w:type="dxa"/>
            <w:shd w:val="clear" w:color="auto" w:fill="DBE5F1"/>
            <w:vAlign w:val="center"/>
            <w:hideMark/>
          </w:tcPr>
          <w:p w:rsidR="00341280" w:rsidRPr="004D130C" w:rsidRDefault="00341280" w:rsidP="00341280">
            <w:pPr>
              <w:rPr>
                <w:color w:val="000000"/>
                <w:sz w:val="16"/>
                <w:szCs w:val="16"/>
              </w:rPr>
            </w:pPr>
            <w:r w:rsidRPr="004D130C">
              <w:rPr>
                <w:color w:val="000000"/>
                <w:sz w:val="16"/>
                <w:szCs w:val="16"/>
              </w:rPr>
              <w:t>Analytik OP</w:t>
            </w:r>
          </w:p>
        </w:tc>
        <w:tc>
          <w:tcPr>
            <w:tcW w:w="677" w:type="dxa"/>
            <w:shd w:val="clear" w:color="auto" w:fill="auto"/>
            <w:noWrap/>
            <w:vAlign w:val="center"/>
          </w:tcPr>
          <w:p w:rsidR="00341280" w:rsidRPr="004D130C" w:rsidRDefault="00341280" w:rsidP="00341280">
            <w:pPr>
              <w:jc w:val="center"/>
              <w:rPr>
                <w:sz w:val="16"/>
                <w:szCs w:val="16"/>
              </w:rPr>
            </w:pPr>
          </w:p>
        </w:tc>
        <w:tc>
          <w:tcPr>
            <w:tcW w:w="780" w:type="dxa"/>
            <w:shd w:val="clear" w:color="auto" w:fill="auto"/>
            <w:noWrap/>
            <w:vAlign w:val="center"/>
          </w:tcPr>
          <w:p w:rsidR="00341280" w:rsidRPr="004D130C" w:rsidRDefault="00341280" w:rsidP="00341280">
            <w:pPr>
              <w:jc w:val="center"/>
              <w:rPr>
                <w:color w:val="000000"/>
                <w:sz w:val="16"/>
                <w:szCs w:val="16"/>
              </w:rPr>
            </w:pPr>
            <w:r w:rsidRPr="004D130C">
              <w:rPr>
                <w:color w:val="000000"/>
                <w:sz w:val="16"/>
                <w:szCs w:val="16"/>
              </w:rPr>
              <w:t>1,00</w:t>
            </w:r>
          </w:p>
        </w:tc>
        <w:tc>
          <w:tcPr>
            <w:tcW w:w="709" w:type="dxa"/>
            <w:shd w:val="clear" w:color="auto" w:fill="auto"/>
            <w:noWrap/>
            <w:vAlign w:val="center"/>
          </w:tcPr>
          <w:p w:rsidR="00341280" w:rsidRPr="004D130C" w:rsidRDefault="00341280" w:rsidP="00341280">
            <w:pPr>
              <w:jc w:val="center"/>
              <w:rPr>
                <w:sz w:val="16"/>
                <w:szCs w:val="16"/>
              </w:rPr>
            </w:pPr>
          </w:p>
        </w:tc>
        <w:tc>
          <w:tcPr>
            <w:tcW w:w="709" w:type="dxa"/>
            <w:shd w:val="clear" w:color="auto" w:fill="auto"/>
            <w:noWrap/>
            <w:vAlign w:val="center"/>
          </w:tcPr>
          <w:p w:rsidR="00341280" w:rsidRPr="004D130C" w:rsidRDefault="00341280" w:rsidP="00341280">
            <w:pPr>
              <w:jc w:val="center"/>
              <w:rPr>
                <w:color w:val="000000"/>
                <w:sz w:val="16"/>
                <w:szCs w:val="16"/>
              </w:rPr>
            </w:pPr>
            <w:r w:rsidRPr="004D130C">
              <w:rPr>
                <w:color w:val="000000"/>
                <w:sz w:val="16"/>
                <w:szCs w:val="16"/>
              </w:rPr>
              <w:t>1,00</w:t>
            </w:r>
          </w:p>
        </w:tc>
        <w:tc>
          <w:tcPr>
            <w:tcW w:w="709" w:type="dxa"/>
            <w:shd w:val="clear" w:color="auto" w:fill="auto"/>
            <w:noWrap/>
            <w:vAlign w:val="center"/>
          </w:tcPr>
          <w:p w:rsidR="00341280" w:rsidRPr="004D130C" w:rsidRDefault="00341280" w:rsidP="00341280">
            <w:pPr>
              <w:jc w:val="center"/>
              <w:rPr>
                <w:color w:val="000000"/>
                <w:sz w:val="16"/>
                <w:szCs w:val="16"/>
                <w:highlight w:val="yellow"/>
              </w:rPr>
            </w:pPr>
          </w:p>
        </w:tc>
        <w:tc>
          <w:tcPr>
            <w:tcW w:w="850" w:type="dxa"/>
            <w:shd w:val="clear" w:color="auto" w:fill="auto"/>
            <w:noWrap/>
            <w:vAlign w:val="center"/>
          </w:tcPr>
          <w:p w:rsidR="00341280" w:rsidRPr="004D130C" w:rsidRDefault="00341280" w:rsidP="00341280">
            <w:pPr>
              <w:jc w:val="center"/>
              <w:rPr>
                <w:color w:val="000000"/>
                <w:sz w:val="16"/>
                <w:szCs w:val="16"/>
              </w:rPr>
            </w:pPr>
          </w:p>
        </w:tc>
        <w:tc>
          <w:tcPr>
            <w:tcW w:w="709" w:type="dxa"/>
            <w:shd w:val="clear" w:color="auto" w:fill="auto"/>
            <w:noWrap/>
            <w:vAlign w:val="center"/>
          </w:tcPr>
          <w:p w:rsidR="00341280" w:rsidRPr="004D130C" w:rsidRDefault="00341280" w:rsidP="00341280">
            <w:pPr>
              <w:jc w:val="center"/>
              <w:rPr>
                <w:color w:val="000000"/>
                <w:sz w:val="16"/>
                <w:szCs w:val="16"/>
              </w:rPr>
            </w:pPr>
          </w:p>
        </w:tc>
        <w:tc>
          <w:tcPr>
            <w:tcW w:w="686" w:type="dxa"/>
            <w:shd w:val="clear" w:color="auto" w:fill="auto"/>
            <w:noWrap/>
            <w:vAlign w:val="center"/>
          </w:tcPr>
          <w:p w:rsidR="00341280" w:rsidRPr="004D130C" w:rsidRDefault="00341280" w:rsidP="00341280">
            <w:pPr>
              <w:jc w:val="center"/>
              <w:rPr>
                <w:color w:val="000000"/>
                <w:sz w:val="16"/>
                <w:szCs w:val="16"/>
              </w:rPr>
            </w:pPr>
          </w:p>
        </w:tc>
        <w:tc>
          <w:tcPr>
            <w:tcW w:w="864" w:type="dxa"/>
            <w:shd w:val="clear" w:color="auto" w:fill="auto"/>
            <w:noWrap/>
            <w:vAlign w:val="center"/>
          </w:tcPr>
          <w:p w:rsidR="00341280" w:rsidRPr="004D130C" w:rsidRDefault="00341280" w:rsidP="00341280">
            <w:pPr>
              <w:jc w:val="center"/>
              <w:rPr>
                <w:color w:val="000000"/>
                <w:sz w:val="16"/>
                <w:szCs w:val="16"/>
              </w:rPr>
            </w:pPr>
          </w:p>
        </w:tc>
        <w:tc>
          <w:tcPr>
            <w:tcW w:w="1010" w:type="dxa"/>
            <w:shd w:val="clear" w:color="auto" w:fill="auto"/>
            <w:noWrap/>
            <w:vAlign w:val="center"/>
          </w:tcPr>
          <w:p w:rsidR="00341280" w:rsidRPr="004D130C" w:rsidRDefault="00341280" w:rsidP="00341280">
            <w:pPr>
              <w:jc w:val="center"/>
              <w:rPr>
                <w:color w:val="000000"/>
                <w:sz w:val="16"/>
                <w:szCs w:val="16"/>
              </w:rPr>
            </w:pPr>
          </w:p>
        </w:tc>
      </w:tr>
      <w:tr w:rsidR="00341280" w:rsidRPr="004D130C" w:rsidTr="00341280">
        <w:trPr>
          <w:trHeight w:val="303"/>
        </w:trPr>
        <w:tc>
          <w:tcPr>
            <w:tcW w:w="1393" w:type="dxa"/>
            <w:shd w:val="clear" w:color="auto" w:fill="DBE5F1"/>
            <w:vAlign w:val="center"/>
            <w:hideMark/>
          </w:tcPr>
          <w:p w:rsidR="00341280" w:rsidRPr="004D130C" w:rsidRDefault="00341280" w:rsidP="00341280">
            <w:pPr>
              <w:rPr>
                <w:color w:val="000000"/>
                <w:sz w:val="16"/>
                <w:szCs w:val="16"/>
              </w:rPr>
            </w:pPr>
            <w:r w:rsidRPr="004D130C">
              <w:rPr>
                <w:color w:val="000000"/>
                <w:sz w:val="16"/>
                <w:szCs w:val="16"/>
              </w:rPr>
              <w:t>Finanční manažer</w:t>
            </w:r>
          </w:p>
        </w:tc>
        <w:tc>
          <w:tcPr>
            <w:tcW w:w="677" w:type="dxa"/>
            <w:shd w:val="clear" w:color="auto" w:fill="auto"/>
            <w:noWrap/>
            <w:vAlign w:val="center"/>
          </w:tcPr>
          <w:p w:rsidR="00341280" w:rsidRPr="004D130C" w:rsidRDefault="00341280" w:rsidP="00341280">
            <w:pPr>
              <w:jc w:val="center"/>
              <w:rPr>
                <w:sz w:val="16"/>
                <w:szCs w:val="16"/>
              </w:rPr>
            </w:pPr>
            <w:r w:rsidRPr="004D130C">
              <w:rPr>
                <w:sz w:val="16"/>
                <w:szCs w:val="16"/>
              </w:rPr>
              <w:t>14,00</w:t>
            </w:r>
          </w:p>
        </w:tc>
        <w:tc>
          <w:tcPr>
            <w:tcW w:w="780" w:type="dxa"/>
            <w:shd w:val="clear" w:color="auto" w:fill="auto"/>
            <w:noWrap/>
            <w:vAlign w:val="center"/>
          </w:tcPr>
          <w:p w:rsidR="00341280" w:rsidRPr="004D130C" w:rsidRDefault="00341280" w:rsidP="00341280">
            <w:pPr>
              <w:jc w:val="center"/>
              <w:rPr>
                <w:color w:val="000000"/>
                <w:sz w:val="16"/>
                <w:szCs w:val="16"/>
              </w:rPr>
            </w:pPr>
            <w:r w:rsidRPr="004D130C">
              <w:rPr>
                <w:color w:val="000000"/>
                <w:sz w:val="16"/>
                <w:szCs w:val="16"/>
              </w:rPr>
              <w:t>28,04</w:t>
            </w:r>
          </w:p>
        </w:tc>
        <w:tc>
          <w:tcPr>
            <w:tcW w:w="709" w:type="dxa"/>
            <w:shd w:val="clear" w:color="auto" w:fill="auto"/>
            <w:noWrap/>
            <w:vAlign w:val="center"/>
          </w:tcPr>
          <w:p w:rsidR="00341280" w:rsidRPr="004D130C" w:rsidRDefault="00341280" w:rsidP="00341280">
            <w:pPr>
              <w:jc w:val="center"/>
              <w:rPr>
                <w:sz w:val="16"/>
                <w:szCs w:val="16"/>
              </w:rPr>
            </w:pPr>
            <w:r w:rsidRPr="004D130C">
              <w:rPr>
                <w:sz w:val="16"/>
                <w:szCs w:val="16"/>
              </w:rPr>
              <w:t>16,70</w:t>
            </w:r>
          </w:p>
        </w:tc>
        <w:tc>
          <w:tcPr>
            <w:tcW w:w="709" w:type="dxa"/>
            <w:shd w:val="clear" w:color="auto" w:fill="auto"/>
            <w:noWrap/>
            <w:vAlign w:val="center"/>
          </w:tcPr>
          <w:p w:rsidR="00341280" w:rsidRPr="004D130C" w:rsidRDefault="00341280" w:rsidP="00341280">
            <w:pPr>
              <w:jc w:val="center"/>
              <w:rPr>
                <w:color w:val="000000"/>
                <w:sz w:val="16"/>
                <w:szCs w:val="16"/>
              </w:rPr>
            </w:pPr>
            <w:r w:rsidRPr="004D130C">
              <w:rPr>
                <w:color w:val="000000"/>
                <w:sz w:val="16"/>
                <w:szCs w:val="16"/>
              </w:rPr>
              <w:t>22,58</w:t>
            </w:r>
          </w:p>
        </w:tc>
        <w:tc>
          <w:tcPr>
            <w:tcW w:w="709" w:type="dxa"/>
            <w:shd w:val="clear" w:color="auto" w:fill="auto"/>
            <w:noWrap/>
            <w:vAlign w:val="center"/>
          </w:tcPr>
          <w:p w:rsidR="00341280" w:rsidRPr="004D130C" w:rsidRDefault="00341280" w:rsidP="00341280">
            <w:pPr>
              <w:jc w:val="center"/>
              <w:rPr>
                <w:color w:val="000000"/>
                <w:sz w:val="16"/>
                <w:szCs w:val="16"/>
              </w:rPr>
            </w:pPr>
          </w:p>
        </w:tc>
        <w:tc>
          <w:tcPr>
            <w:tcW w:w="850" w:type="dxa"/>
            <w:shd w:val="clear" w:color="auto" w:fill="auto"/>
            <w:noWrap/>
            <w:vAlign w:val="center"/>
          </w:tcPr>
          <w:p w:rsidR="00341280" w:rsidRPr="004D130C" w:rsidRDefault="00341280" w:rsidP="00341280">
            <w:pPr>
              <w:jc w:val="center"/>
              <w:rPr>
                <w:color w:val="000000"/>
                <w:sz w:val="16"/>
                <w:szCs w:val="16"/>
              </w:rPr>
            </w:pPr>
            <w:r w:rsidRPr="004D130C">
              <w:rPr>
                <w:color w:val="000000"/>
                <w:sz w:val="16"/>
                <w:szCs w:val="16"/>
              </w:rPr>
              <w:t>1,10</w:t>
            </w:r>
          </w:p>
        </w:tc>
        <w:tc>
          <w:tcPr>
            <w:tcW w:w="709" w:type="dxa"/>
            <w:shd w:val="clear" w:color="auto" w:fill="auto"/>
            <w:noWrap/>
            <w:vAlign w:val="center"/>
          </w:tcPr>
          <w:p w:rsidR="00341280" w:rsidRPr="004D130C" w:rsidRDefault="00341280" w:rsidP="00341280">
            <w:pPr>
              <w:jc w:val="center"/>
              <w:rPr>
                <w:color w:val="000000"/>
                <w:sz w:val="16"/>
                <w:szCs w:val="16"/>
              </w:rPr>
            </w:pPr>
          </w:p>
        </w:tc>
        <w:tc>
          <w:tcPr>
            <w:tcW w:w="686" w:type="dxa"/>
            <w:shd w:val="clear" w:color="auto" w:fill="auto"/>
            <w:noWrap/>
            <w:vAlign w:val="center"/>
          </w:tcPr>
          <w:p w:rsidR="00341280" w:rsidRPr="004D130C" w:rsidRDefault="00341280" w:rsidP="00341280">
            <w:pPr>
              <w:jc w:val="center"/>
              <w:rPr>
                <w:color w:val="000000"/>
                <w:sz w:val="16"/>
                <w:szCs w:val="16"/>
              </w:rPr>
            </w:pPr>
          </w:p>
        </w:tc>
        <w:tc>
          <w:tcPr>
            <w:tcW w:w="864" w:type="dxa"/>
            <w:shd w:val="clear" w:color="auto" w:fill="auto"/>
            <w:noWrap/>
            <w:vAlign w:val="center"/>
          </w:tcPr>
          <w:p w:rsidR="00341280" w:rsidRPr="004D130C" w:rsidRDefault="00341280" w:rsidP="00341280">
            <w:pPr>
              <w:jc w:val="center"/>
              <w:rPr>
                <w:color w:val="000000"/>
                <w:sz w:val="16"/>
                <w:szCs w:val="16"/>
              </w:rPr>
            </w:pPr>
            <w:r w:rsidRPr="004D130C">
              <w:rPr>
                <w:color w:val="000000"/>
                <w:sz w:val="16"/>
                <w:szCs w:val="16"/>
              </w:rPr>
              <w:t>0,70</w:t>
            </w:r>
          </w:p>
        </w:tc>
        <w:tc>
          <w:tcPr>
            <w:tcW w:w="1010" w:type="dxa"/>
            <w:shd w:val="clear" w:color="auto" w:fill="auto"/>
            <w:noWrap/>
            <w:vAlign w:val="center"/>
          </w:tcPr>
          <w:p w:rsidR="00341280" w:rsidRPr="004D130C" w:rsidRDefault="00341280" w:rsidP="00341280">
            <w:pPr>
              <w:jc w:val="center"/>
              <w:rPr>
                <w:color w:val="000000"/>
                <w:sz w:val="16"/>
                <w:szCs w:val="16"/>
              </w:rPr>
            </w:pPr>
          </w:p>
        </w:tc>
      </w:tr>
      <w:tr w:rsidR="00341280" w:rsidRPr="004D130C" w:rsidTr="00341280">
        <w:trPr>
          <w:trHeight w:val="422"/>
        </w:trPr>
        <w:tc>
          <w:tcPr>
            <w:tcW w:w="1393" w:type="dxa"/>
            <w:shd w:val="clear" w:color="auto" w:fill="DBE5F1"/>
            <w:vAlign w:val="center"/>
            <w:hideMark/>
          </w:tcPr>
          <w:p w:rsidR="00341280" w:rsidRPr="004D130C" w:rsidRDefault="00341280" w:rsidP="00341280">
            <w:pPr>
              <w:rPr>
                <w:color w:val="000000"/>
                <w:sz w:val="16"/>
                <w:szCs w:val="16"/>
              </w:rPr>
            </w:pPr>
            <w:r w:rsidRPr="004D130C">
              <w:rPr>
                <w:color w:val="000000"/>
                <w:sz w:val="16"/>
                <w:szCs w:val="16"/>
              </w:rPr>
              <w:t>Komunikační úředník</w:t>
            </w:r>
          </w:p>
        </w:tc>
        <w:tc>
          <w:tcPr>
            <w:tcW w:w="677" w:type="dxa"/>
            <w:shd w:val="clear" w:color="auto" w:fill="auto"/>
            <w:noWrap/>
            <w:vAlign w:val="center"/>
          </w:tcPr>
          <w:p w:rsidR="00341280" w:rsidRPr="004D130C" w:rsidRDefault="00341280" w:rsidP="00341280">
            <w:pPr>
              <w:jc w:val="center"/>
              <w:rPr>
                <w:sz w:val="16"/>
                <w:szCs w:val="16"/>
              </w:rPr>
            </w:pPr>
            <w:r w:rsidRPr="004D130C">
              <w:rPr>
                <w:sz w:val="16"/>
                <w:szCs w:val="16"/>
              </w:rPr>
              <w:t>2,725</w:t>
            </w:r>
          </w:p>
        </w:tc>
        <w:tc>
          <w:tcPr>
            <w:tcW w:w="780" w:type="dxa"/>
            <w:shd w:val="clear" w:color="auto" w:fill="auto"/>
            <w:noWrap/>
            <w:vAlign w:val="center"/>
          </w:tcPr>
          <w:p w:rsidR="00341280" w:rsidRPr="004D130C" w:rsidRDefault="00341280" w:rsidP="00341280">
            <w:pPr>
              <w:jc w:val="center"/>
              <w:rPr>
                <w:color w:val="000000"/>
                <w:sz w:val="16"/>
                <w:szCs w:val="16"/>
              </w:rPr>
            </w:pPr>
            <w:r w:rsidRPr="004D130C">
              <w:rPr>
                <w:color w:val="000000"/>
                <w:sz w:val="16"/>
                <w:szCs w:val="16"/>
              </w:rPr>
              <w:t>1,92</w:t>
            </w:r>
          </w:p>
        </w:tc>
        <w:tc>
          <w:tcPr>
            <w:tcW w:w="709" w:type="dxa"/>
            <w:shd w:val="clear" w:color="auto" w:fill="auto"/>
            <w:noWrap/>
            <w:vAlign w:val="center"/>
          </w:tcPr>
          <w:p w:rsidR="00341280" w:rsidRPr="004D130C" w:rsidRDefault="00341280" w:rsidP="00341280">
            <w:pPr>
              <w:jc w:val="center"/>
              <w:rPr>
                <w:sz w:val="16"/>
                <w:szCs w:val="16"/>
              </w:rPr>
            </w:pPr>
            <w:r w:rsidRPr="004D130C">
              <w:rPr>
                <w:sz w:val="16"/>
                <w:szCs w:val="16"/>
              </w:rPr>
              <w:t>3,725</w:t>
            </w:r>
          </w:p>
        </w:tc>
        <w:tc>
          <w:tcPr>
            <w:tcW w:w="709" w:type="dxa"/>
            <w:shd w:val="clear" w:color="auto" w:fill="auto"/>
            <w:noWrap/>
            <w:vAlign w:val="center"/>
          </w:tcPr>
          <w:p w:rsidR="00341280" w:rsidRPr="004D130C" w:rsidRDefault="00341280" w:rsidP="00341280">
            <w:pPr>
              <w:jc w:val="center"/>
              <w:rPr>
                <w:color w:val="000000"/>
                <w:sz w:val="16"/>
                <w:szCs w:val="16"/>
              </w:rPr>
            </w:pPr>
            <w:r w:rsidRPr="004D130C">
              <w:rPr>
                <w:color w:val="000000"/>
                <w:sz w:val="16"/>
                <w:szCs w:val="16"/>
              </w:rPr>
              <w:t>1,92</w:t>
            </w:r>
          </w:p>
        </w:tc>
        <w:tc>
          <w:tcPr>
            <w:tcW w:w="709" w:type="dxa"/>
            <w:shd w:val="clear" w:color="auto" w:fill="auto"/>
            <w:noWrap/>
            <w:vAlign w:val="center"/>
          </w:tcPr>
          <w:p w:rsidR="00341280" w:rsidRPr="004D130C" w:rsidRDefault="00341280" w:rsidP="00341280">
            <w:pPr>
              <w:jc w:val="center"/>
              <w:rPr>
                <w:color w:val="000000"/>
                <w:sz w:val="16"/>
                <w:szCs w:val="16"/>
              </w:rPr>
            </w:pPr>
          </w:p>
        </w:tc>
        <w:tc>
          <w:tcPr>
            <w:tcW w:w="850" w:type="dxa"/>
            <w:shd w:val="clear" w:color="auto" w:fill="auto"/>
            <w:noWrap/>
            <w:vAlign w:val="center"/>
          </w:tcPr>
          <w:p w:rsidR="00341280" w:rsidRPr="004D130C" w:rsidRDefault="00341280" w:rsidP="00341280">
            <w:pPr>
              <w:jc w:val="center"/>
              <w:rPr>
                <w:color w:val="000000"/>
                <w:sz w:val="16"/>
                <w:szCs w:val="16"/>
              </w:rPr>
            </w:pPr>
          </w:p>
        </w:tc>
        <w:tc>
          <w:tcPr>
            <w:tcW w:w="709" w:type="dxa"/>
            <w:shd w:val="clear" w:color="auto" w:fill="auto"/>
            <w:noWrap/>
            <w:vAlign w:val="center"/>
          </w:tcPr>
          <w:p w:rsidR="00341280" w:rsidRPr="004D130C" w:rsidRDefault="00341280" w:rsidP="00341280">
            <w:pPr>
              <w:jc w:val="center"/>
              <w:rPr>
                <w:color w:val="000000"/>
                <w:sz w:val="16"/>
                <w:szCs w:val="16"/>
              </w:rPr>
            </w:pPr>
          </w:p>
        </w:tc>
        <w:tc>
          <w:tcPr>
            <w:tcW w:w="686" w:type="dxa"/>
            <w:shd w:val="clear" w:color="auto" w:fill="auto"/>
            <w:noWrap/>
            <w:vAlign w:val="center"/>
          </w:tcPr>
          <w:p w:rsidR="00341280" w:rsidRPr="004D130C" w:rsidRDefault="00341280" w:rsidP="00341280">
            <w:pPr>
              <w:jc w:val="center"/>
              <w:rPr>
                <w:color w:val="000000"/>
                <w:sz w:val="16"/>
                <w:szCs w:val="16"/>
              </w:rPr>
            </w:pPr>
          </w:p>
        </w:tc>
        <w:tc>
          <w:tcPr>
            <w:tcW w:w="864" w:type="dxa"/>
            <w:shd w:val="clear" w:color="auto" w:fill="auto"/>
            <w:noWrap/>
            <w:vAlign w:val="center"/>
          </w:tcPr>
          <w:p w:rsidR="00341280" w:rsidRPr="004D130C" w:rsidRDefault="00341280" w:rsidP="00341280">
            <w:pPr>
              <w:jc w:val="center"/>
              <w:rPr>
                <w:color w:val="000000"/>
                <w:sz w:val="16"/>
                <w:szCs w:val="16"/>
              </w:rPr>
            </w:pPr>
          </w:p>
        </w:tc>
        <w:tc>
          <w:tcPr>
            <w:tcW w:w="1010" w:type="dxa"/>
            <w:shd w:val="clear" w:color="auto" w:fill="auto"/>
            <w:noWrap/>
            <w:vAlign w:val="center"/>
          </w:tcPr>
          <w:p w:rsidR="00341280" w:rsidRPr="004D130C" w:rsidRDefault="00341280" w:rsidP="00341280">
            <w:pPr>
              <w:jc w:val="center"/>
              <w:rPr>
                <w:color w:val="000000"/>
                <w:sz w:val="16"/>
                <w:szCs w:val="16"/>
              </w:rPr>
            </w:pPr>
          </w:p>
        </w:tc>
      </w:tr>
      <w:tr w:rsidR="00341280" w:rsidRPr="004D130C" w:rsidTr="00341280">
        <w:trPr>
          <w:trHeight w:val="303"/>
        </w:trPr>
        <w:tc>
          <w:tcPr>
            <w:tcW w:w="1393" w:type="dxa"/>
            <w:shd w:val="clear" w:color="auto" w:fill="DBE5F1"/>
            <w:vAlign w:val="center"/>
            <w:hideMark/>
          </w:tcPr>
          <w:p w:rsidR="00341280" w:rsidRPr="004D130C" w:rsidRDefault="00341280" w:rsidP="00341280">
            <w:pPr>
              <w:rPr>
                <w:color w:val="000000"/>
                <w:sz w:val="16"/>
                <w:szCs w:val="16"/>
              </w:rPr>
            </w:pPr>
            <w:r w:rsidRPr="004D130C">
              <w:rPr>
                <w:color w:val="000000"/>
                <w:sz w:val="16"/>
                <w:szCs w:val="16"/>
              </w:rPr>
              <w:t>Kontrolor</w:t>
            </w:r>
          </w:p>
        </w:tc>
        <w:tc>
          <w:tcPr>
            <w:tcW w:w="677" w:type="dxa"/>
            <w:shd w:val="clear" w:color="auto" w:fill="auto"/>
            <w:noWrap/>
            <w:vAlign w:val="center"/>
          </w:tcPr>
          <w:p w:rsidR="00341280" w:rsidRPr="004D130C" w:rsidRDefault="00341280" w:rsidP="00341280">
            <w:pPr>
              <w:jc w:val="center"/>
              <w:rPr>
                <w:sz w:val="16"/>
                <w:szCs w:val="16"/>
              </w:rPr>
            </w:pPr>
            <w:r w:rsidRPr="004D130C">
              <w:rPr>
                <w:sz w:val="16"/>
                <w:szCs w:val="16"/>
              </w:rPr>
              <w:t>11,50</w:t>
            </w:r>
          </w:p>
        </w:tc>
        <w:tc>
          <w:tcPr>
            <w:tcW w:w="780" w:type="dxa"/>
            <w:shd w:val="clear" w:color="auto" w:fill="auto"/>
            <w:noWrap/>
            <w:vAlign w:val="center"/>
          </w:tcPr>
          <w:p w:rsidR="00341280" w:rsidRPr="004D130C" w:rsidRDefault="00341280" w:rsidP="00341280">
            <w:pPr>
              <w:jc w:val="center"/>
              <w:rPr>
                <w:color w:val="000000"/>
                <w:sz w:val="16"/>
                <w:szCs w:val="16"/>
              </w:rPr>
            </w:pPr>
            <w:r w:rsidRPr="004D130C">
              <w:rPr>
                <w:color w:val="000000"/>
                <w:sz w:val="16"/>
                <w:szCs w:val="16"/>
              </w:rPr>
              <w:t>6,26</w:t>
            </w:r>
          </w:p>
        </w:tc>
        <w:tc>
          <w:tcPr>
            <w:tcW w:w="709" w:type="dxa"/>
            <w:shd w:val="clear" w:color="auto" w:fill="auto"/>
            <w:noWrap/>
            <w:vAlign w:val="center"/>
          </w:tcPr>
          <w:p w:rsidR="00341280" w:rsidRPr="004D130C" w:rsidRDefault="00341280" w:rsidP="00341280">
            <w:pPr>
              <w:jc w:val="center"/>
              <w:rPr>
                <w:sz w:val="16"/>
                <w:szCs w:val="16"/>
              </w:rPr>
            </w:pPr>
            <w:r w:rsidRPr="004D130C">
              <w:rPr>
                <w:sz w:val="16"/>
                <w:szCs w:val="16"/>
              </w:rPr>
              <w:t>10,50</w:t>
            </w:r>
          </w:p>
        </w:tc>
        <w:tc>
          <w:tcPr>
            <w:tcW w:w="709" w:type="dxa"/>
            <w:shd w:val="clear" w:color="auto" w:fill="auto"/>
            <w:noWrap/>
            <w:vAlign w:val="center"/>
          </w:tcPr>
          <w:p w:rsidR="00341280" w:rsidRPr="004D130C" w:rsidRDefault="00341280" w:rsidP="00341280">
            <w:pPr>
              <w:jc w:val="center"/>
              <w:rPr>
                <w:color w:val="000000"/>
                <w:sz w:val="16"/>
                <w:szCs w:val="16"/>
              </w:rPr>
            </w:pPr>
            <w:r w:rsidRPr="004D130C">
              <w:rPr>
                <w:color w:val="000000"/>
                <w:sz w:val="16"/>
                <w:szCs w:val="16"/>
              </w:rPr>
              <w:t>7,81</w:t>
            </w:r>
          </w:p>
        </w:tc>
        <w:tc>
          <w:tcPr>
            <w:tcW w:w="709" w:type="dxa"/>
            <w:shd w:val="clear" w:color="auto" w:fill="auto"/>
            <w:noWrap/>
            <w:vAlign w:val="center"/>
          </w:tcPr>
          <w:p w:rsidR="00341280" w:rsidRPr="004D130C" w:rsidRDefault="00341280" w:rsidP="00341280">
            <w:pPr>
              <w:jc w:val="center"/>
              <w:rPr>
                <w:color w:val="000000"/>
                <w:sz w:val="16"/>
                <w:szCs w:val="16"/>
              </w:rPr>
            </w:pPr>
          </w:p>
        </w:tc>
        <w:tc>
          <w:tcPr>
            <w:tcW w:w="850" w:type="dxa"/>
            <w:shd w:val="clear" w:color="auto" w:fill="auto"/>
            <w:noWrap/>
            <w:vAlign w:val="center"/>
          </w:tcPr>
          <w:p w:rsidR="00341280" w:rsidRPr="004D130C" w:rsidRDefault="00341280" w:rsidP="00341280">
            <w:pPr>
              <w:jc w:val="center"/>
              <w:rPr>
                <w:color w:val="000000"/>
                <w:sz w:val="16"/>
                <w:szCs w:val="16"/>
              </w:rPr>
            </w:pPr>
            <w:r w:rsidRPr="004D130C">
              <w:rPr>
                <w:color w:val="000000"/>
                <w:sz w:val="16"/>
                <w:szCs w:val="16"/>
              </w:rPr>
              <w:t>0,25</w:t>
            </w:r>
          </w:p>
        </w:tc>
        <w:tc>
          <w:tcPr>
            <w:tcW w:w="709" w:type="dxa"/>
            <w:shd w:val="clear" w:color="auto" w:fill="auto"/>
            <w:noWrap/>
            <w:vAlign w:val="center"/>
          </w:tcPr>
          <w:p w:rsidR="00341280" w:rsidRPr="004D130C" w:rsidRDefault="00341280" w:rsidP="00341280">
            <w:pPr>
              <w:jc w:val="center"/>
              <w:rPr>
                <w:color w:val="000000"/>
                <w:sz w:val="16"/>
                <w:szCs w:val="16"/>
              </w:rPr>
            </w:pPr>
            <w:r w:rsidRPr="004D130C">
              <w:rPr>
                <w:color w:val="000000"/>
                <w:sz w:val="16"/>
                <w:szCs w:val="16"/>
              </w:rPr>
              <w:t>1,00</w:t>
            </w:r>
          </w:p>
        </w:tc>
        <w:tc>
          <w:tcPr>
            <w:tcW w:w="686" w:type="dxa"/>
            <w:shd w:val="clear" w:color="auto" w:fill="auto"/>
            <w:noWrap/>
            <w:vAlign w:val="center"/>
          </w:tcPr>
          <w:p w:rsidR="00341280" w:rsidRPr="004D130C" w:rsidRDefault="00341280" w:rsidP="00341280">
            <w:pPr>
              <w:jc w:val="center"/>
              <w:rPr>
                <w:color w:val="000000"/>
                <w:sz w:val="16"/>
                <w:szCs w:val="16"/>
              </w:rPr>
            </w:pPr>
          </w:p>
        </w:tc>
        <w:tc>
          <w:tcPr>
            <w:tcW w:w="864" w:type="dxa"/>
            <w:shd w:val="clear" w:color="auto" w:fill="auto"/>
            <w:noWrap/>
            <w:vAlign w:val="center"/>
          </w:tcPr>
          <w:p w:rsidR="00341280" w:rsidRPr="004D130C" w:rsidRDefault="00341280" w:rsidP="00341280">
            <w:pPr>
              <w:jc w:val="center"/>
              <w:rPr>
                <w:color w:val="000000"/>
                <w:sz w:val="16"/>
                <w:szCs w:val="16"/>
              </w:rPr>
            </w:pPr>
          </w:p>
        </w:tc>
        <w:tc>
          <w:tcPr>
            <w:tcW w:w="1010" w:type="dxa"/>
            <w:shd w:val="clear" w:color="auto" w:fill="auto"/>
            <w:noWrap/>
            <w:vAlign w:val="center"/>
          </w:tcPr>
          <w:p w:rsidR="00341280" w:rsidRPr="004D130C" w:rsidRDefault="00341280" w:rsidP="00341280">
            <w:pPr>
              <w:jc w:val="center"/>
              <w:rPr>
                <w:color w:val="000000"/>
                <w:sz w:val="16"/>
                <w:szCs w:val="16"/>
              </w:rPr>
            </w:pPr>
            <w:r w:rsidRPr="004D130C">
              <w:rPr>
                <w:color w:val="000000"/>
                <w:sz w:val="16"/>
                <w:szCs w:val="16"/>
              </w:rPr>
              <w:t>1,73</w:t>
            </w:r>
          </w:p>
        </w:tc>
      </w:tr>
      <w:tr w:rsidR="00341280" w:rsidRPr="004D130C" w:rsidTr="00341280">
        <w:trPr>
          <w:trHeight w:val="375"/>
        </w:trPr>
        <w:tc>
          <w:tcPr>
            <w:tcW w:w="1393" w:type="dxa"/>
            <w:shd w:val="clear" w:color="auto" w:fill="DBE5F1"/>
            <w:vAlign w:val="center"/>
            <w:hideMark/>
          </w:tcPr>
          <w:p w:rsidR="00341280" w:rsidRPr="004D130C" w:rsidRDefault="00341280" w:rsidP="00341280">
            <w:pPr>
              <w:rPr>
                <w:color w:val="000000"/>
                <w:sz w:val="16"/>
                <w:szCs w:val="16"/>
              </w:rPr>
            </w:pPr>
            <w:r w:rsidRPr="004D130C">
              <w:rPr>
                <w:color w:val="000000"/>
                <w:sz w:val="16"/>
                <w:szCs w:val="16"/>
              </w:rPr>
              <w:t>Koordinátor evaluace</w:t>
            </w:r>
          </w:p>
        </w:tc>
        <w:tc>
          <w:tcPr>
            <w:tcW w:w="677" w:type="dxa"/>
            <w:shd w:val="clear" w:color="auto" w:fill="auto"/>
            <w:noWrap/>
            <w:vAlign w:val="center"/>
          </w:tcPr>
          <w:p w:rsidR="00341280" w:rsidRPr="004D130C" w:rsidRDefault="00341280" w:rsidP="00341280">
            <w:pPr>
              <w:jc w:val="center"/>
              <w:rPr>
                <w:sz w:val="16"/>
                <w:szCs w:val="16"/>
              </w:rPr>
            </w:pPr>
            <w:r w:rsidRPr="004D130C">
              <w:rPr>
                <w:sz w:val="16"/>
                <w:szCs w:val="16"/>
              </w:rPr>
              <w:t>1,00</w:t>
            </w:r>
          </w:p>
        </w:tc>
        <w:tc>
          <w:tcPr>
            <w:tcW w:w="780" w:type="dxa"/>
            <w:shd w:val="clear" w:color="auto" w:fill="auto"/>
            <w:noWrap/>
            <w:vAlign w:val="center"/>
          </w:tcPr>
          <w:p w:rsidR="00341280" w:rsidRPr="004D130C" w:rsidRDefault="00341280" w:rsidP="00341280">
            <w:pPr>
              <w:jc w:val="center"/>
              <w:rPr>
                <w:color w:val="000000"/>
                <w:sz w:val="16"/>
                <w:szCs w:val="16"/>
              </w:rPr>
            </w:pPr>
          </w:p>
        </w:tc>
        <w:tc>
          <w:tcPr>
            <w:tcW w:w="709" w:type="dxa"/>
            <w:shd w:val="clear" w:color="auto" w:fill="auto"/>
            <w:noWrap/>
            <w:vAlign w:val="center"/>
          </w:tcPr>
          <w:p w:rsidR="00341280" w:rsidRPr="004D130C" w:rsidRDefault="00341280" w:rsidP="00341280">
            <w:pPr>
              <w:jc w:val="center"/>
              <w:rPr>
                <w:sz w:val="16"/>
                <w:szCs w:val="16"/>
              </w:rPr>
            </w:pPr>
          </w:p>
        </w:tc>
        <w:tc>
          <w:tcPr>
            <w:tcW w:w="709" w:type="dxa"/>
            <w:shd w:val="clear" w:color="auto" w:fill="auto"/>
            <w:noWrap/>
            <w:vAlign w:val="center"/>
          </w:tcPr>
          <w:p w:rsidR="00341280" w:rsidRPr="004D130C" w:rsidRDefault="00341280" w:rsidP="00341280">
            <w:pPr>
              <w:jc w:val="center"/>
              <w:rPr>
                <w:color w:val="000000"/>
                <w:sz w:val="16"/>
                <w:szCs w:val="16"/>
              </w:rPr>
            </w:pPr>
          </w:p>
        </w:tc>
        <w:tc>
          <w:tcPr>
            <w:tcW w:w="709" w:type="dxa"/>
            <w:shd w:val="clear" w:color="auto" w:fill="auto"/>
            <w:noWrap/>
            <w:vAlign w:val="center"/>
          </w:tcPr>
          <w:p w:rsidR="00341280" w:rsidRPr="004D130C" w:rsidRDefault="00341280" w:rsidP="00341280">
            <w:pPr>
              <w:jc w:val="center"/>
              <w:rPr>
                <w:color w:val="000000"/>
                <w:sz w:val="16"/>
                <w:szCs w:val="16"/>
              </w:rPr>
            </w:pPr>
            <w:r w:rsidRPr="004D130C">
              <w:rPr>
                <w:color w:val="000000"/>
                <w:sz w:val="16"/>
                <w:szCs w:val="16"/>
              </w:rPr>
              <w:t>1,00</w:t>
            </w:r>
          </w:p>
        </w:tc>
        <w:tc>
          <w:tcPr>
            <w:tcW w:w="850" w:type="dxa"/>
            <w:shd w:val="clear" w:color="auto" w:fill="auto"/>
            <w:noWrap/>
            <w:vAlign w:val="center"/>
          </w:tcPr>
          <w:p w:rsidR="00341280" w:rsidRPr="004D130C" w:rsidRDefault="00341280" w:rsidP="00341280">
            <w:pPr>
              <w:jc w:val="center"/>
              <w:rPr>
                <w:color w:val="000000"/>
                <w:sz w:val="16"/>
                <w:szCs w:val="16"/>
              </w:rPr>
            </w:pPr>
          </w:p>
        </w:tc>
        <w:tc>
          <w:tcPr>
            <w:tcW w:w="709" w:type="dxa"/>
            <w:shd w:val="clear" w:color="auto" w:fill="auto"/>
            <w:noWrap/>
            <w:vAlign w:val="center"/>
          </w:tcPr>
          <w:p w:rsidR="00341280" w:rsidRPr="004D130C" w:rsidRDefault="00341280" w:rsidP="00341280">
            <w:pPr>
              <w:jc w:val="center"/>
              <w:rPr>
                <w:color w:val="000000"/>
                <w:sz w:val="16"/>
                <w:szCs w:val="16"/>
              </w:rPr>
            </w:pPr>
          </w:p>
        </w:tc>
        <w:tc>
          <w:tcPr>
            <w:tcW w:w="686" w:type="dxa"/>
            <w:shd w:val="clear" w:color="auto" w:fill="auto"/>
            <w:noWrap/>
            <w:vAlign w:val="center"/>
          </w:tcPr>
          <w:p w:rsidR="00341280" w:rsidRPr="004D130C" w:rsidRDefault="00341280" w:rsidP="00341280">
            <w:pPr>
              <w:jc w:val="center"/>
              <w:rPr>
                <w:color w:val="000000"/>
                <w:sz w:val="16"/>
                <w:szCs w:val="16"/>
              </w:rPr>
            </w:pPr>
          </w:p>
        </w:tc>
        <w:tc>
          <w:tcPr>
            <w:tcW w:w="864" w:type="dxa"/>
            <w:shd w:val="clear" w:color="auto" w:fill="auto"/>
            <w:noWrap/>
            <w:vAlign w:val="center"/>
          </w:tcPr>
          <w:p w:rsidR="00341280" w:rsidRPr="004D130C" w:rsidRDefault="00341280" w:rsidP="00341280">
            <w:pPr>
              <w:jc w:val="center"/>
              <w:rPr>
                <w:color w:val="000000"/>
                <w:sz w:val="16"/>
                <w:szCs w:val="16"/>
              </w:rPr>
            </w:pPr>
          </w:p>
        </w:tc>
        <w:tc>
          <w:tcPr>
            <w:tcW w:w="1010" w:type="dxa"/>
            <w:shd w:val="clear" w:color="auto" w:fill="auto"/>
            <w:noWrap/>
            <w:vAlign w:val="center"/>
          </w:tcPr>
          <w:p w:rsidR="00341280" w:rsidRPr="004D130C" w:rsidRDefault="00341280" w:rsidP="00341280">
            <w:pPr>
              <w:jc w:val="center"/>
              <w:rPr>
                <w:color w:val="000000"/>
                <w:sz w:val="16"/>
                <w:szCs w:val="16"/>
              </w:rPr>
            </w:pPr>
          </w:p>
        </w:tc>
      </w:tr>
      <w:tr w:rsidR="00341280" w:rsidRPr="004D130C" w:rsidTr="00341280">
        <w:trPr>
          <w:trHeight w:val="429"/>
        </w:trPr>
        <w:tc>
          <w:tcPr>
            <w:tcW w:w="1393" w:type="dxa"/>
            <w:shd w:val="clear" w:color="auto" w:fill="DBE5F1"/>
            <w:vAlign w:val="center"/>
            <w:hideMark/>
          </w:tcPr>
          <w:p w:rsidR="00341280" w:rsidRPr="004D130C" w:rsidRDefault="00341280" w:rsidP="00341280">
            <w:pPr>
              <w:rPr>
                <w:color w:val="000000"/>
                <w:sz w:val="16"/>
                <w:szCs w:val="16"/>
              </w:rPr>
            </w:pPr>
            <w:r w:rsidRPr="004D130C">
              <w:rPr>
                <w:color w:val="000000"/>
                <w:sz w:val="16"/>
                <w:szCs w:val="16"/>
              </w:rPr>
              <w:t>Koordinátor kontrol a nesrovnalostí</w:t>
            </w:r>
          </w:p>
        </w:tc>
        <w:tc>
          <w:tcPr>
            <w:tcW w:w="677" w:type="dxa"/>
            <w:shd w:val="clear" w:color="auto" w:fill="auto"/>
            <w:noWrap/>
            <w:vAlign w:val="center"/>
          </w:tcPr>
          <w:p w:rsidR="00341280" w:rsidRPr="004D130C" w:rsidRDefault="00341280" w:rsidP="00341280">
            <w:pPr>
              <w:jc w:val="center"/>
              <w:rPr>
                <w:sz w:val="16"/>
                <w:szCs w:val="16"/>
              </w:rPr>
            </w:pPr>
          </w:p>
        </w:tc>
        <w:tc>
          <w:tcPr>
            <w:tcW w:w="780" w:type="dxa"/>
            <w:shd w:val="clear" w:color="auto" w:fill="auto"/>
            <w:noWrap/>
            <w:vAlign w:val="center"/>
          </w:tcPr>
          <w:p w:rsidR="00341280" w:rsidRPr="004D130C" w:rsidRDefault="00341280" w:rsidP="00341280">
            <w:pPr>
              <w:jc w:val="center"/>
              <w:rPr>
                <w:color w:val="000000"/>
                <w:sz w:val="16"/>
                <w:szCs w:val="16"/>
              </w:rPr>
            </w:pPr>
            <w:r w:rsidRPr="004D130C">
              <w:rPr>
                <w:color w:val="000000"/>
                <w:sz w:val="16"/>
                <w:szCs w:val="16"/>
              </w:rPr>
              <w:t>0,50</w:t>
            </w:r>
          </w:p>
        </w:tc>
        <w:tc>
          <w:tcPr>
            <w:tcW w:w="709" w:type="dxa"/>
            <w:shd w:val="clear" w:color="auto" w:fill="auto"/>
            <w:noWrap/>
            <w:vAlign w:val="center"/>
          </w:tcPr>
          <w:p w:rsidR="00341280" w:rsidRPr="004D130C" w:rsidRDefault="00341280" w:rsidP="00341280">
            <w:pPr>
              <w:jc w:val="center"/>
              <w:rPr>
                <w:sz w:val="16"/>
                <w:szCs w:val="16"/>
              </w:rPr>
            </w:pPr>
          </w:p>
        </w:tc>
        <w:tc>
          <w:tcPr>
            <w:tcW w:w="709" w:type="dxa"/>
            <w:shd w:val="clear" w:color="auto" w:fill="auto"/>
            <w:noWrap/>
            <w:vAlign w:val="center"/>
          </w:tcPr>
          <w:p w:rsidR="00341280" w:rsidRPr="004D130C" w:rsidRDefault="00341280" w:rsidP="00341280">
            <w:pPr>
              <w:jc w:val="center"/>
              <w:rPr>
                <w:color w:val="000000"/>
                <w:sz w:val="16"/>
                <w:szCs w:val="16"/>
              </w:rPr>
            </w:pPr>
            <w:r w:rsidRPr="004D130C">
              <w:rPr>
                <w:color w:val="000000"/>
                <w:sz w:val="16"/>
                <w:szCs w:val="16"/>
              </w:rPr>
              <w:t>0,50</w:t>
            </w:r>
          </w:p>
        </w:tc>
        <w:tc>
          <w:tcPr>
            <w:tcW w:w="709" w:type="dxa"/>
            <w:shd w:val="clear" w:color="auto" w:fill="auto"/>
            <w:noWrap/>
            <w:vAlign w:val="center"/>
          </w:tcPr>
          <w:p w:rsidR="00341280" w:rsidRPr="004D130C" w:rsidRDefault="00341280" w:rsidP="00341280">
            <w:pPr>
              <w:jc w:val="center"/>
              <w:rPr>
                <w:color w:val="000000"/>
                <w:sz w:val="16"/>
                <w:szCs w:val="16"/>
              </w:rPr>
            </w:pPr>
          </w:p>
        </w:tc>
        <w:tc>
          <w:tcPr>
            <w:tcW w:w="850" w:type="dxa"/>
            <w:shd w:val="clear" w:color="auto" w:fill="auto"/>
            <w:noWrap/>
            <w:vAlign w:val="center"/>
          </w:tcPr>
          <w:p w:rsidR="00341280" w:rsidRPr="004D130C" w:rsidRDefault="00341280" w:rsidP="00341280">
            <w:pPr>
              <w:jc w:val="center"/>
              <w:rPr>
                <w:color w:val="000000"/>
                <w:sz w:val="16"/>
                <w:szCs w:val="16"/>
              </w:rPr>
            </w:pPr>
          </w:p>
        </w:tc>
        <w:tc>
          <w:tcPr>
            <w:tcW w:w="709" w:type="dxa"/>
            <w:shd w:val="clear" w:color="auto" w:fill="auto"/>
            <w:noWrap/>
            <w:vAlign w:val="center"/>
          </w:tcPr>
          <w:p w:rsidR="00341280" w:rsidRPr="004D130C" w:rsidRDefault="00341280" w:rsidP="00341280">
            <w:pPr>
              <w:jc w:val="center"/>
              <w:rPr>
                <w:color w:val="000000"/>
                <w:sz w:val="16"/>
                <w:szCs w:val="16"/>
              </w:rPr>
            </w:pPr>
          </w:p>
        </w:tc>
        <w:tc>
          <w:tcPr>
            <w:tcW w:w="686" w:type="dxa"/>
            <w:shd w:val="clear" w:color="auto" w:fill="auto"/>
            <w:noWrap/>
            <w:vAlign w:val="center"/>
          </w:tcPr>
          <w:p w:rsidR="00341280" w:rsidRPr="004D130C" w:rsidRDefault="00341280" w:rsidP="00341280">
            <w:pPr>
              <w:jc w:val="center"/>
              <w:rPr>
                <w:color w:val="000000"/>
                <w:sz w:val="16"/>
                <w:szCs w:val="16"/>
              </w:rPr>
            </w:pPr>
          </w:p>
        </w:tc>
        <w:tc>
          <w:tcPr>
            <w:tcW w:w="864" w:type="dxa"/>
            <w:shd w:val="clear" w:color="auto" w:fill="auto"/>
            <w:noWrap/>
            <w:vAlign w:val="center"/>
          </w:tcPr>
          <w:p w:rsidR="00341280" w:rsidRPr="004D130C" w:rsidRDefault="00341280" w:rsidP="00341280">
            <w:pPr>
              <w:jc w:val="center"/>
              <w:rPr>
                <w:color w:val="000000"/>
                <w:sz w:val="16"/>
                <w:szCs w:val="16"/>
              </w:rPr>
            </w:pPr>
          </w:p>
        </w:tc>
        <w:tc>
          <w:tcPr>
            <w:tcW w:w="1010" w:type="dxa"/>
            <w:shd w:val="clear" w:color="auto" w:fill="auto"/>
            <w:noWrap/>
            <w:vAlign w:val="center"/>
          </w:tcPr>
          <w:p w:rsidR="00341280" w:rsidRPr="004D130C" w:rsidRDefault="00341280" w:rsidP="00341280">
            <w:pPr>
              <w:jc w:val="center"/>
              <w:rPr>
                <w:color w:val="000000"/>
                <w:sz w:val="16"/>
                <w:szCs w:val="16"/>
              </w:rPr>
            </w:pPr>
          </w:p>
        </w:tc>
      </w:tr>
      <w:tr w:rsidR="00341280" w:rsidRPr="004D130C" w:rsidTr="00341280">
        <w:trPr>
          <w:trHeight w:val="437"/>
        </w:trPr>
        <w:tc>
          <w:tcPr>
            <w:tcW w:w="1393" w:type="dxa"/>
            <w:shd w:val="clear" w:color="auto" w:fill="DBE5F1"/>
            <w:vAlign w:val="center"/>
            <w:hideMark/>
          </w:tcPr>
          <w:p w:rsidR="00341280" w:rsidRPr="004D130C" w:rsidRDefault="00341280" w:rsidP="00341280">
            <w:pPr>
              <w:rPr>
                <w:color w:val="000000"/>
                <w:sz w:val="16"/>
                <w:szCs w:val="16"/>
              </w:rPr>
            </w:pPr>
            <w:r w:rsidRPr="004D130C">
              <w:rPr>
                <w:color w:val="000000"/>
                <w:sz w:val="16"/>
                <w:szCs w:val="16"/>
              </w:rPr>
              <w:t>Koordinátor technické pomoci</w:t>
            </w:r>
          </w:p>
        </w:tc>
        <w:tc>
          <w:tcPr>
            <w:tcW w:w="677" w:type="dxa"/>
            <w:shd w:val="clear" w:color="auto" w:fill="auto"/>
            <w:noWrap/>
            <w:vAlign w:val="center"/>
          </w:tcPr>
          <w:p w:rsidR="00341280" w:rsidRPr="004D130C" w:rsidRDefault="00341280" w:rsidP="00341280">
            <w:pPr>
              <w:jc w:val="center"/>
              <w:rPr>
                <w:sz w:val="16"/>
                <w:szCs w:val="16"/>
              </w:rPr>
            </w:pPr>
            <w:r w:rsidRPr="004D130C">
              <w:rPr>
                <w:sz w:val="16"/>
                <w:szCs w:val="16"/>
              </w:rPr>
              <w:t>2,00</w:t>
            </w:r>
          </w:p>
        </w:tc>
        <w:tc>
          <w:tcPr>
            <w:tcW w:w="780" w:type="dxa"/>
            <w:shd w:val="clear" w:color="auto" w:fill="auto"/>
            <w:noWrap/>
            <w:vAlign w:val="center"/>
          </w:tcPr>
          <w:p w:rsidR="00341280" w:rsidRPr="004D130C" w:rsidRDefault="00341280" w:rsidP="00341280">
            <w:pPr>
              <w:jc w:val="center"/>
              <w:rPr>
                <w:color w:val="000000"/>
                <w:sz w:val="16"/>
                <w:szCs w:val="16"/>
              </w:rPr>
            </w:pPr>
            <w:r w:rsidRPr="004D130C">
              <w:rPr>
                <w:color w:val="000000"/>
                <w:sz w:val="16"/>
                <w:szCs w:val="16"/>
              </w:rPr>
              <w:t>2,26</w:t>
            </w:r>
          </w:p>
        </w:tc>
        <w:tc>
          <w:tcPr>
            <w:tcW w:w="709" w:type="dxa"/>
            <w:shd w:val="clear" w:color="auto" w:fill="auto"/>
            <w:noWrap/>
            <w:vAlign w:val="center"/>
          </w:tcPr>
          <w:p w:rsidR="00341280" w:rsidRPr="004D130C" w:rsidRDefault="00341280" w:rsidP="00341280">
            <w:pPr>
              <w:jc w:val="center"/>
              <w:rPr>
                <w:sz w:val="16"/>
                <w:szCs w:val="16"/>
              </w:rPr>
            </w:pPr>
            <w:r w:rsidRPr="004D130C">
              <w:rPr>
                <w:sz w:val="16"/>
                <w:szCs w:val="16"/>
              </w:rPr>
              <w:t>2,00</w:t>
            </w:r>
          </w:p>
        </w:tc>
        <w:tc>
          <w:tcPr>
            <w:tcW w:w="709" w:type="dxa"/>
            <w:shd w:val="clear" w:color="auto" w:fill="auto"/>
            <w:noWrap/>
            <w:vAlign w:val="center"/>
          </w:tcPr>
          <w:p w:rsidR="00341280" w:rsidRPr="004D130C" w:rsidRDefault="00341280" w:rsidP="00341280">
            <w:pPr>
              <w:jc w:val="center"/>
              <w:rPr>
                <w:color w:val="000000"/>
                <w:sz w:val="16"/>
                <w:szCs w:val="16"/>
              </w:rPr>
            </w:pPr>
            <w:r w:rsidRPr="004D130C">
              <w:rPr>
                <w:color w:val="000000"/>
                <w:sz w:val="16"/>
                <w:szCs w:val="16"/>
              </w:rPr>
              <w:t>1,63</w:t>
            </w:r>
          </w:p>
        </w:tc>
        <w:tc>
          <w:tcPr>
            <w:tcW w:w="709" w:type="dxa"/>
            <w:shd w:val="clear" w:color="auto" w:fill="auto"/>
            <w:noWrap/>
            <w:vAlign w:val="center"/>
          </w:tcPr>
          <w:p w:rsidR="00341280" w:rsidRPr="004D130C" w:rsidRDefault="00341280" w:rsidP="00341280">
            <w:pPr>
              <w:jc w:val="center"/>
              <w:rPr>
                <w:color w:val="000000"/>
                <w:sz w:val="16"/>
                <w:szCs w:val="16"/>
              </w:rPr>
            </w:pPr>
          </w:p>
        </w:tc>
        <w:tc>
          <w:tcPr>
            <w:tcW w:w="850" w:type="dxa"/>
            <w:shd w:val="clear" w:color="auto" w:fill="auto"/>
            <w:noWrap/>
            <w:vAlign w:val="center"/>
          </w:tcPr>
          <w:p w:rsidR="00341280" w:rsidRPr="004D130C" w:rsidRDefault="00341280" w:rsidP="00341280">
            <w:pPr>
              <w:jc w:val="center"/>
              <w:rPr>
                <w:color w:val="000000"/>
                <w:sz w:val="16"/>
                <w:szCs w:val="16"/>
              </w:rPr>
            </w:pPr>
            <w:r w:rsidRPr="004D130C">
              <w:rPr>
                <w:color w:val="000000"/>
                <w:sz w:val="16"/>
                <w:szCs w:val="16"/>
              </w:rPr>
              <w:t>0,63</w:t>
            </w:r>
          </w:p>
        </w:tc>
        <w:tc>
          <w:tcPr>
            <w:tcW w:w="709" w:type="dxa"/>
            <w:shd w:val="clear" w:color="auto" w:fill="auto"/>
            <w:noWrap/>
            <w:vAlign w:val="center"/>
          </w:tcPr>
          <w:p w:rsidR="00341280" w:rsidRPr="004D130C" w:rsidRDefault="00341280" w:rsidP="00341280">
            <w:pPr>
              <w:jc w:val="center"/>
              <w:rPr>
                <w:color w:val="000000"/>
                <w:sz w:val="16"/>
                <w:szCs w:val="16"/>
              </w:rPr>
            </w:pPr>
          </w:p>
        </w:tc>
        <w:tc>
          <w:tcPr>
            <w:tcW w:w="686" w:type="dxa"/>
            <w:shd w:val="clear" w:color="auto" w:fill="auto"/>
            <w:noWrap/>
            <w:vAlign w:val="center"/>
          </w:tcPr>
          <w:p w:rsidR="00341280" w:rsidRPr="004D130C" w:rsidRDefault="00341280" w:rsidP="00341280">
            <w:pPr>
              <w:jc w:val="center"/>
              <w:rPr>
                <w:color w:val="000000"/>
                <w:sz w:val="16"/>
                <w:szCs w:val="16"/>
              </w:rPr>
            </w:pPr>
          </w:p>
        </w:tc>
        <w:tc>
          <w:tcPr>
            <w:tcW w:w="864" w:type="dxa"/>
            <w:shd w:val="clear" w:color="auto" w:fill="auto"/>
            <w:noWrap/>
            <w:vAlign w:val="center"/>
          </w:tcPr>
          <w:p w:rsidR="00341280" w:rsidRPr="004D130C" w:rsidRDefault="00341280" w:rsidP="00341280">
            <w:pPr>
              <w:jc w:val="center"/>
              <w:rPr>
                <w:color w:val="000000"/>
                <w:sz w:val="16"/>
                <w:szCs w:val="16"/>
              </w:rPr>
            </w:pPr>
          </w:p>
        </w:tc>
        <w:tc>
          <w:tcPr>
            <w:tcW w:w="1010" w:type="dxa"/>
            <w:shd w:val="clear" w:color="auto" w:fill="auto"/>
            <w:noWrap/>
            <w:vAlign w:val="center"/>
          </w:tcPr>
          <w:p w:rsidR="00341280" w:rsidRPr="004D130C" w:rsidRDefault="00341280" w:rsidP="00341280">
            <w:pPr>
              <w:jc w:val="center"/>
              <w:rPr>
                <w:color w:val="000000"/>
                <w:sz w:val="16"/>
                <w:szCs w:val="16"/>
              </w:rPr>
            </w:pPr>
          </w:p>
        </w:tc>
      </w:tr>
      <w:tr w:rsidR="00341280" w:rsidRPr="004D130C" w:rsidTr="00341280">
        <w:trPr>
          <w:trHeight w:val="271"/>
        </w:trPr>
        <w:tc>
          <w:tcPr>
            <w:tcW w:w="1393" w:type="dxa"/>
            <w:shd w:val="clear" w:color="auto" w:fill="DBE5F1"/>
            <w:vAlign w:val="center"/>
            <w:hideMark/>
          </w:tcPr>
          <w:p w:rsidR="00341280" w:rsidRPr="004D130C" w:rsidRDefault="00341280" w:rsidP="00341280">
            <w:pPr>
              <w:rPr>
                <w:color w:val="000000"/>
                <w:sz w:val="16"/>
                <w:szCs w:val="16"/>
              </w:rPr>
            </w:pPr>
            <w:r w:rsidRPr="004D130C">
              <w:rPr>
                <w:color w:val="000000"/>
                <w:sz w:val="16"/>
                <w:szCs w:val="16"/>
              </w:rPr>
              <w:t>Koordinátor vzdělávání a LZ</w:t>
            </w:r>
          </w:p>
        </w:tc>
        <w:tc>
          <w:tcPr>
            <w:tcW w:w="677" w:type="dxa"/>
            <w:shd w:val="clear" w:color="auto" w:fill="auto"/>
            <w:noWrap/>
            <w:vAlign w:val="center"/>
          </w:tcPr>
          <w:p w:rsidR="00341280" w:rsidRPr="004D130C" w:rsidRDefault="00341280" w:rsidP="00341280">
            <w:pPr>
              <w:jc w:val="center"/>
              <w:rPr>
                <w:sz w:val="16"/>
                <w:szCs w:val="16"/>
              </w:rPr>
            </w:pPr>
            <w:r w:rsidRPr="004D130C">
              <w:rPr>
                <w:sz w:val="16"/>
                <w:szCs w:val="16"/>
              </w:rPr>
              <w:t>2,00</w:t>
            </w:r>
          </w:p>
        </w:tc>
        <w:tc>
          <w:tcPr>
            <w:tcW w:w="780" w:type="dxa"/>
            <w:shd w:val="clear" w:color="auto" w:fill="auto"/>
            <w:noWrap/>
            <w:vAlign w:val="center"/>
          </w:tcPr>
          <w:p w:rsidR="00341280" w:rsidRPr="004D130C" w:rsidRDefault="00341280" w:rsidP="00341280">
            <w:pPr>
              <w:jc w:val="center"/>
              <w:rPr>
                <w:color w:val="000000"/>
                <w:sz w:val="16"/>
                <w:szCs w:val="16"/>
              </w:rPr>
            </w:pPr>
          </w:p>
        </w:tc>
        <w:tc>
          <w:tcPr>
            <w:tcW w:w="709" w:type="dxa"/>
            <w:shd w:val="clear" w:color="auto" w:fill="auto"/>
            <w:noWrap/>
            <w:vAlign w:val="center"/>
          </w:tcPr>
          <w:p w:rsidR="00341280" w:rsidRPr="004D130C" w:rsidRDefault="00341280" w:rsidP="00341280">
            <w:pPr>
              <w:jc w:val="center"/>
              <w:rPr>
                <w:sz w:val="16"/>
                <w:szCs w:val="16"/>
              </w:rPr>
            </w:pPr>
            <w:r w:rsidRPr="004D130C">
              <w:rPr>
                <w:sz w:val="16"/>
                <w:szCs w:val="16"/>
              </w:rPr>
              <w:t>2,00</w:t>
            </w:r>
          </w:p>
        </w:tc>
        <w:tc>
          <w:tcPr>
            <w:tcW w:w="709" w:type="dxa"/>
            <w:shd w:val="clear" w:color="auto" w:fill="auto"/>
            <w:noWrap/>
            <w:vAlign w:val="center"/>
          </w:tcPr>
          <w:p w:rsidR="00341280" w:rsidRPr="004D130C" w:rsidRDefault="00341280" w:rsidP="00341280">
            <w:pPr>
              <w:jc w:val="center"/>
              <w:rPr>
                <w:color w:val="000000"/>
                <w:sz w:val="16"/>
                <w:szCs w:val="16"/>
              </w:rPr>
            </w:pPr>
          </w:p>
        </w:tc>
        <w:tc>
          <w:tcPr>
            <w:tcW w:w="709" w:type="dxa"/>
            <w:shd w:val="clear" w:color="auto" w:fill="auto"/>
            <w:noWrap/>
            <w:vAlign w:val="center"/>
          </w:tcPr>
          <w:p w:rsidR="00341280" w:rsidRPr="004D130C" w:rsidRDefault="00341280" w:rsidP="00341280">
            <w:pPr>
              <w:jc w:val="center"/>
              <w:rPr>
                <w:color w:val="000000"/>
                <w:sz w:val="16"/>
                <w:szCs w:val="16"/>
              </w:rPr>
            </w:pPr>
          </w:p>
        </w:tc>
        <w:tc>
          <w:tcPr>
            <w:tcW w:w="850" w:type="dxa"/>
            <w:shd w:val="clear" w:color="auto" w:fill="auto"/>
            <w:noWrap/>
            <w:vAlign w:val="center"/>
          </w:tcPr>
          <w:p w:rsidR="00341280" w:rsidRPr="004D130C" w:rsidRDefault="00341280" w:rsidP="00341280">
            <w:pPr>
              <w:jc w:val="center"/>
              <w:rPr>
                <w:color w:val="000000"/>
                <w:sz w:val="16"/>
                <w:szCs w:val="16"/>
              </w:rPr>
            </w:pPr>
          </w:p>
        </w:tc>
        <w:tc>
          <w:tcPr>
            <w:tcW w:w="709" w:type="dxa"/>
            <w:shd w:val="clear" w:color="auto" w:fill="auto"/>
            <w:noWrap/>
            <w:vAlign w:val="center"/>
          </w:tcPr>
          <w:p w:rsidR="00341280" w:rsidRPr="004D130C" w:rsidRDefault="00341280" w:rsidP="00341280">
            <w:pPr>
              <w:jc w:val="center"/>
              <w:rPr>
                <w:color w:val="000000"/>
                <w:sz w:val="16"/>
                <w:szCs w:val="16"/>
              </w:rPr>
            </w:pPr>
            <w:r w:rsidRPr="004D130C">
              <w:rPr>
                <w:color w:val="000000"/>
                <w:sz w:val="16"/>
                <w:szCs w:val="16"/>
              </w:rPr>
              <w:t>1,00</w:t>
            </w:r>
          </w:p>
        </w:tc>
        <w:tc>
          <w:tcPr>
            <w:tcW w:w="686" w:type="dxa"/>
            <w:shd w:val="clear" w:color="auto" w:fill="auto"/>
            <w:noWrap/>
            <w:vAlign w:val="center"/>
          </w:tcPr>
          <w:p w:rsidR="00341280" w:rsidRPr="004D130C" w:rsidRDefault="00341280" w:rsidP="00341280">
            <w:pPr>
              <w:jc w:val="center"/>
              <w:rPr>
                <w:color w:val="000000"/>
                <w:sz w:val="16"/>
                <w:szCs w:val="16"/>
              </w:rPr>
            </w:pPr>
          </w:p>
        </w:tc>
        <w:tc>
          <w:tcPr>
            <w:tcW w:w="864" w:type="dxa"/>
            <w:shd w:val="clear" w:color="auto" w:fill="auto"/>
            <w:noWrap/>
            <w:vAlign w:val="center"/>
          </w:tcPr>
          <w:p w:rsidR="00341280" w:rsidRPr="004D130C" w:rsidRDefault="00341280" w:rsidP="00341280">
            <w:pPr>
              <w:jc w:val="center"/>
              <w:rPr>
                <w:color w:val="000000"/>
                <w:sz w:val="16"/>
                <w:szCs w:val="16"/>
              </w:rPr>
            </w:pPr>
            <w:r w:rsidRPr="004D130C">
              <w:rPr>
                <w:color w:val="000000"/>
                <w:sz w:val="16"/>
                <w:szCs w:val="16"/>
              </w:rPr>
              <w:t>1,00</w:t>
            </w:r>
          </w:p>
        </w:tc>
        <w:tc>
          <w:tcPr>
            <w:tcW w:w="1010" w:type="dxa"/>
            <w:shd w:val="clear" w:color="auto" w:fill="auto"/>
            <w:noWrap/>
            <w:vAlign w:val="center"/>
          </w:tcPr>
          <w:p w:rsidR="00341280" w:rsidRPr="004D130C" w:rsidRDefault="00341280" w:rsidP="00341280">
            <w:pPr>
              <w:jc w:val="center"/>
              <w:rPr>
                <w:color w:val="000000"/>
                <w:sz w:val="16"/>
                <w:szCs w:val="16"/>
              </w:rPr>
            </w:pPr>
          </w:p>
        </w:tc>
      </w:tr>
      <w:tr w:rsidR="00341280" w:rsidRPr="004D130C" w:rsidTr="00341280">
        <w:trPr>
          <w:trHeight w:val="319"/>
        </w:trPr>
        <w:tc>
          <w:tcPr>
            <w:tcW w:w="1393" w:type="dxa"/>
            <w:shd w:val="clear" w:color="auto" w:fill="DBE5F1"/>
            <w:vAlign w:val="center"/>
            <w:hideMark/>
          </w:tcPr>
          <w:p w:rsidR="00341280" w:rsidRPr="004D130C" w:rsidRDefault="00341280" w:rsidP="00341280">
            <w:pPr>
              <w:rPr>
                <w:color w:val="000000"/>
                <w:sz w:val="16"/>
                <w:szCs w:val="16"/>
              </w:rPr>
            </w:pPr>
            <w:r w:rsidRPr="004D130C">
              <w:rPr>
                <w:color w:val="000000"/>
                <w:sz w:val="16"/>
                <w:szCs w:val="16"/>
              </w:rPr>
              <w:t>Metodik řízení OP</w:t>
            </w:r>
          </w:p>
        </w:tc>
        <w:tc>
          <w:tcPr>
            <w:tcW w:w="677" w:type="dxa"/>
            <w:shd w:val="clear" w:color="auto" w:fill="auto"/>
            <w:noWrap/>
            <w:vAlign w:val="center"/>
          </w:tcPr>
          <w:p w:rsidR="00341280" w:rsidRPr="004D130C" w:rsidRDefault="00341280" w:rsidP="00341280">
            <w:pPr>
              <w:jc w:val="center"/>
              <w:rPr>
                <w:sz w:val="16"/>
                <w:szCs w:val="16"/>
              </w:rPr>
            </w:pPr>
            <w:r w:rsidRPr="004D130C">
              <w:rPr>
                <w:sz w:val="16"/>
                <w:szCs w:val="16"/>
              </w:rPr>
              <w:t>9,625</w:t>
            </w:r>
          </w:p>
        </w:tc>
        <w:tc>
          <w:tcPr>
            <w:tcW w:w="780" w:type="dxa"/>
            <w:shd w:val="clear" w:color="auto" w:fill="auto"/>
            <w:noWrap/>
            <w:vAlign w:val="center"/>
          </w:tcPr>
          <w:p w:rsidR="00341280" w:rsidRPr="004D130C" w:rsidRDefault="00341280" w:rsidP="00341280">
            <w:pPr>
              <w:jc w:val="center"/>
              <w:rPr>
                <w:color w:val="000000"/>
                <w:sz w:val="16"/>
                <w:szCs w:val="16"/>
              </w:rPr>
            </w:pPr>
            <w:r w:rsidRPr="004D130C">
              <w:rPr>
                <w:color w:val="000000"/>
                <w:sz w:val="16"/>
                <w:szCs w:val="16"/>
              </w:rPr>
              <w:t>6,76</w:t>
            </w:r>
          </w:p>
        </w:tc>
        <w:tc>
          <w:tcPr>
            <w:tcW w:w="709" w:type="dxa"/>
            <w:shd w:val="clear" w:color="auto" w:fill="auto"/>
            <w:noWrap/>
            <w:vAlign w:val="center"/>
          </w:tcPr>
          <w:p w:rsidR="00341280" w:rsidRPr="004D130C" w:rsidRDefault="00341280" w:rsidP="00341280">
            <w:pPr>
              <w:jc w:val="center"/>
              <w:rPr>
                <w:sz w:val="16"/>
                <w:szCs w:val="16"/>
              </w:rPr>
            </w:pPr>
            <w:r w:rsidRPr="004D130C">
              <w:rPr>
                <w:sz w:val="16"/>
                <w:szCs w:val="16"/>
              </w:rPr>
              <w:t>10,50</w:t>
            </w:r>
          </w:p>
        </w:tc>
        <w:tc>
          <w:tcPr>
            <w:tcW w:w="709" w:type="dxa"/>
            <w:shd w:val="clear" w:color="auto" w:fill="auto"/>
            <w:noWrap/>
            <w:vAlign w:val="center"/>
          </w:tcPr>
          <w:p w:rsidR="00341280" w:rsidRPr="004D130C" w:rsidRDefault="00341280" w:rsidP="00341280">
            <w:pPr>
              <w:jc w:val="center"/>
              <w:rPr>
                <w:color w:val="000000"/>
                <w:sz w:val="16"/>
                <w:szCs w:val="16"/>
              </w:rPr>
            </w:pPr>
            <w:r w:rsidRPr="004D130C">
              <w:rPr>
                <w:color w:val="000000"/>
                <w:sz w:val="16"/>
                <w:szCs w:val="16"/>
              </w:rPr>
              <w:t>4,76</w:t>
            </w:r>
          </w:p>
        </w:tc>
        <w:tc>
          <w:tcPr>
            <w:tcW w:w="709" w:type="dxa"/>
            <w:shd w:val="clear" w:color="auto" w:fill="auto"/>
            <w:noWrap/>
            <w:vAlign w:val="center"/>
          </w:tcPr>
          <w:p w:rsidR="00341280" w:rsidRPr="004D130C" w:rsidRDefault="00341280" w:rsidP="00341280">
            <w:pPr>
              <w:jc w:val="center"/>
              <w:rPr>
                <w:color w:val="000000"/>
                <w:sz w:val="16"/>
                <w:szCs w:val="16"/>
              </w:rPr>
            </w:pPr>
            <w:r w:rsidRPr="004D130C">
              <w:rPr>
                <w:color w:val="000000"/>
                <w:sz w:val="16"/>
                <w:szCs w:val="16"/>
              </w:rPr>
              <w:t>1,00</w:t>
            </w:r>
          </w:p>
        </w:tc>
        <w:tc>
          <w:tcPr>
            <w:tcW w:w="850" w:type="dxa"/>
            <w:shd w:val="clear" w:color="auto" w:fill="auto"/>
            <w:noWrap/>
            <w:vAlign w:val="center"/>
          </w:tcPr>
          <w:p w:rsidR="00341280" w:rsidRPr="004D130C" w:rsidRDefault="00341280" w:rsidP="00341280">
            <w:pPr>
              <w:jc w:val="center"/>
              <w:rPr>
                <w:color w:val="000000"/>
                <w:sz w:val="16"/>
                <w:szCs w:val="16"/>
              </w:rPr>
            </w:pPr>
            <w:r w:rsidRPr="004D130C">
              <w:rPr>
                <w:color w:val="000000"/>
                <w:sz w:val="16"/>
                <w:szCs w:val="16"/>
              </w:rPr>
              <w:t>2,00</w:t>
            </w:r>
          </w:p>
        </w:tc>
        <w:tc>
          <w:tcPr>
            <w:tcW w:w="709" w:type="dxa"/>
            <w:shd w:val="clear" w:color="auto" w:fill="auto"/>
            <w:noWrap/>
            <w:vAlign w:val="center"/>
          </w:tcPr>
          <w:p w:rsidR="00341280" w:rsidRPr="004D130C" w:rsidRDefault="00341280" w:rsidP="00341280">
            <w:pPr>
              <w:jc w:val="center"/>
              <w:rPr>
                <w:color w:val="000000"/>
                <w:sz w:val="16"/>
                <w:szCs w:val="16"/>
              </w:rPr>
            </w:pPr>
          </w:p>
        </w:tc>
        <w:tc>
          <w:tcPr>
            <w:tcW w:w="686" w:type="dxa"/>
            <w:shd w:val="clear" w:color="auto" w:fill="auto"/>
            <w:noWrap/>
            <w:vAlign w:val="center"/>
          </w:tcPr>
          <w:p w:rsidR="00341280" w:rsidRPr="004D130C" w:rsidRDefault="00341280" w:rsidP="00341280">
            <w:pPr>
              <w:jc w:val="center"/>
              <w:rPr>
                <w:color w:val="000000"/>
                <w:sz w:val="16"/>
                <w:szCs w:val="16"/>
              </w:rPr>
            </w:pPr>
          </w:p>
        </w:tc>
        <w:tc>
          <w:tcPr>
            <w:tcW w:w="864" w:type="dxa"/>
            <w:shd w:val="clear" w:color="auto" w:fill="auto"/>
            <w:noWrap/>
            <w:vAlign w:val="center"/>
          </w:tcPr>
          <w:p w:rsidR="00341280" w:rsidRPr="00341280" w:rsidRDefault="00341280" w:rsidP="00341280">
            <w:pPr>
              <w:jc w:val="center"/>
              <w:rPr>
                <w:color w:val="000000"/>
                <w:sz w:val="18"/>
                <w:szCs w:val="18"/>
                <w:vertAlign w:val="superscript"/>
              </w:rPr>
            </w:pPr>
            <w:r w:rsidRPr="004D130C">
              <w:rPr>
                <w:color w:val="000000"/>
                <w:sz w:val="16"/>
                <w:szCs w:val="16"/>
              </w:rPr>
              <w:t>1,75</w:t>
            </w:r>
            <w:r>
              <w:rPr>
                <w:color w:val="000000"/>
                <w:sz w:val="18"/>
                <w:szCs w:val="18"/>
                <w:vertAlign w:val="superscript"/>
              </w:rPr>
              <w:t>**</w:t>
            </w:r>
          </w:p>
        </w:tc>
        <w:tc>
          <w:tcPr>
            <w:tcW w:w="1010" w:type="dxa"/>
            <w:shd w:val="clear" w:color="auto" w:fill="auto"/>
            <w:noWrap/>
            <w:vAlign w:val="center"/>
          </w:tcPr>
          <w:p w:rsidR="00341280" w:rsidRPr="004D130C" w:rsidRDefault="00341280" w:rsidP="00341280">
            <w:pPr>
              <w:jc w:val="center"/>
              <w:rPr>
                <w:color w:val="000000"/>
                <w:sz w:val="16"/>
                <w:szCs w:val="16"/>
              </w:rPr>
            </w:pPr>
          </w:p>
        </w:tc>
      </w:tr>
      <w:tr w:rsidR="00341280" w:rsidRPr="004D130C" w:rsidTr="00341280">
        <w:trPr>
          <w:trHeight w:val="303"/>
        </w:trPr>
        <w:tc>
          <w:tcPr>
            <w:tcW w:w="1393" w:type="dxa"/>
            <w:shd w:val="clear" w:color="auto" w:fill="DBE5F1"/>
            <w:vAlign w:val="center"/>
            <w:hideMark/>
          </w:tcPr>
          <w:p w:rsidR="00341280" w:rsidRPr="004D130C" w:rsidRDefault="00341280" w:rsidP="00341280">
            <w:pPr>
              <w:rPr>
                <w:color w:val="000000"/>
                <w:sz w:val="16"/>
                <w:szCs w:val="16"/>
              </w:rPr>
            </w:pPr>
            <w:r w:rsidRPr="004D130C">
              <w:rPr>
                <w:color w:val="000000"/>
                <w:sz w:val="16"/>
                <w:szCs w:val="16"/>
              </w:rPr>
              <w:t>Právník</w:t>
            </w:r>
          </w:p>
        </w:tc>
        <w:tc>
          <w:tcPr>
            <w:tcW w:w="677" w:type="dxa"/>
            <w:shd w:val="clear" w:color="auto" w:fill="auto"/>
            <w:noWrap/>
            <w:vAlign w:val="center"/>
          </w:tcPr>
          <w:p w:rsidR="00341280" w:rsidRPr="004D130C" w:rsidRDefault="00341280" w:rsidP="00341280">
            <w:pPr>
              <w:jc w:val="center"/>
              <w:rPr>
                <w:sz w:val="16"/>
                <w:szCs w:val="16"/>
              </w:rPr>
            </w:pPr>
          </w:p>
        </w:tc>
        <w:tc>
          <w:tcPr>
            <w:tcW w:w="780" w:type="dxa"/>
            <w:shd w:val="clear" w:color="auto" w:fill="auto"/>
            <w:noWrap/>
            <w:vAlign w:val="center"/>
          </w:tcPr>
          <w:p w:rsidR="00341280" w:rsidRPr="004D130C" w:rsidRDefault="00341280" w:rsidP="00341280">
            <w:pPr>
              <w:jc w:val="center"/>
              <w:rPr>
                <w:color w:val="000000"/>
                <w:sz w:val="16"/>
                <w:szCs w:val="16"/>
              </w:rPr>
            </w:pPr>
            <w:r w:rsidRPr="004D130C">
              <w:rPr>
                <w:color w:val="000000"/>
                <w:sz w:val="16"/>
                <w:szCs w:val="16"/>
              </w:rPr>
              <w:t>1,95</w:t>
            </w:r>
          </w:p>
        </w:tc>
        <w:tc>
          <w:tcPr>
            <w:tcW w:w="709" w:type="dxa"/>
            <w:shd w:val="clear" w:color="auto" w:fill="auto"/>
            <w:noWrap/>
            <w:vAlign w:val="center"/>
          </w:tcPr>
          <w:p w:rsidR="00341280" w:rsidRPr="004D130C" w:rsidRDefault="00341280" w:rsidP="00341280">
            <w:pPr>
              <w:jc w:val="center"/>
              <w:rPr>
                <w:sz w:val="16"/>
                <w:szCs w:val="16"/>
              </w:rPr>
            </w:pPr>
          </w:p>
        </w:tc>
        <w:tc>
          <w:tcPr>
            <w:tcW w:w="709" w:type="dxa"/>
            <w:shd w:val="clear" w:color="auto" w:fill="auto"/>
            <w:noWrap/>
            <w:vAlign w:val="center"/>
          </w:tcPr>
          <w:p w:rsidR="00341280" w:rsidRPr="004D130C" w:rsidRDefault="00341280" w:rsidP="00341280">
            <w:pPr>
              <w:jc w:val="center"/>
              <w:rPr>
                <w:color w:val="000000"/>
                <w:sz w:val="16"/>
                <w:szCs w:val="16"/>
              </w:rPr>
            </w:pPr>
            <w:r w:rsidRPr="004D130C">
              <w:rPr>
                <w:color w:val="000000"/>
                <w:sz w:val="16"/>
                <w:szCs w:val="16"/>
              </w:rPr>
              <w:t>1,63</w:t>
            </w:r>
          </w:p>
        </w:tc>
        <w:tc>
          <w:tcPr>
            <w:tcW w:w="709" w:type="dxa"/>
            <w:shd w:val="clear" w:color="auto" w:fill="auto"/>
            <w:noWrap/>
            <w:vAlign w:val="center"/>
          </w:tcPr>
          <w:p w:rsidR="00341280" w:rsidRPr="004D130C" w:rsidRDefault="00341280" w:rsidP="00341280">
            <w:pPr>
              <w:jc w:val="center"/>
              <w:rPr>
                <w:color w:val="000000"/>
                <w:sz w:val="16"/>
                <w:szCs w:val="16"/>
              </w:rPr>
            </w:pPr>
          </w:p>
        </w:tc>
        <w:tc>
          <w:tcPr>
            <w:tcW w:w="850" w:type="dxa"/>
            <w:shd w:val="clear" w:color="auto" w:fill="auto"/>
            <w:noWrap/>
            <w:vAlign w:val="center"/>
          </w:tcPr>
          <w:p w:rsidR="00341280" w:rsidRPr="004D130C" w:rsidRDefault="00341280" w:rsidP="00341280">
            <w:pPr>
              <w:jc w:val="center"/>
              <w:rPr>
                <w:color w:val="000000"/>
                <w:sz w:val="16"/>
                <w:szCs w:val="16"/>
              </w:rPr>
            </w:pPr>
          </w:p>
        </w:tc>
        <w:tc>
          <w:tcPr>
            <w:tcW w:w="709" w:type="dxa"/>
            <w:shd w:val="clear" w:color="auto" w:fill="auto"/>
            <w:noWrap/>
            <w:vAlign w:val="center"/>
          </w:tcPr>
          <w:p w:rsidR="00341280" w:rsidRPr="004D130C" w:rsidRDefault="00341280" w:rsidP="00341280">
            <w:pPr>
              <w:jc w:val="center"/>
              <w:rPr>
                <w:color w:val="000000"/>
                <w:sz w:val="16"/>
                <w:szCs w:val="16"/>
              </w:rPr>
            </w:pPr>
          </w:p>
        </w:tc>
        <w:tc>
          <w:tcPr>
            <w:tcW w:w="686" w:type="dxa"/>
            <w:shd w:val="clear" w:color="auto" w:fill="auto"/>
            <w:noWrap/>
            <w:vAlign w:val="center"/>
          </w:tcPr>
          <w:p w:rsidR="00341280" w:rsidRPr="004D130C" w:rsidRDefault="00341280" w:rsidP="00341280">
            <w:pPr>
              <w:jc w:val="center"/>
              <w:rPr>
                <w:color w:val="000000"/>
                <w:sz w:val="16"/>
                <w:szCs w:val="16"/>
              </w:rPr>
            </w:pPr>
          </w:p>
        </w:tc>
        <w:tc>
          <w:tcPr>
            <w:tcW w:w="864" w:type="dxa"/>
            <w:shd w:val="clear" w:color="auto" w:fill="auto"/>
            <w:noWrap/>
            <w:vAlign w:val="center"/>
          </w:tcPr>
          <w:p w:rsidR="00341280" w:rsidRPr="004D130C" w:rsidRDefault="00341280" w:rsidP="00341280">
            <w:pPr>
              <w:jc w:val="center"/>
              <w:rPr>
                <w:color w:val="000000"/>
                <w:sz w:val="16"/>
                <w:szCs w:val="16"/>
              </w:rPr>
            </w:pPr>
          </w:p>
        </w:tc>
        <w:tc>
          <w:tcPr>
            <w:tcW w:w="1010" w:type="dxa"/>
            <w:shd w:val="clear" w:color="auto" w:fill="auto"/>
            <w:noWrap/>
            <w:vAlign w:val="center"/>
          </w:tcPr>
          <w:p w:rsidR="00341280" w:rsidRPr="004D130C" w:rsidRDefault="00341280" w:rsidP="00341280">
            <w:pPr>
              <w:jc w:val="center"/>
              <w:rPr>
                <w:color w:val="000000"/>
                <w:sz w:val="16"/>
                <w:szCs w:val="16"/>
              </w:rPr>
            </w:pPr>
          </w:p>
        </w:tc>
      </w:tr>
      <w:tr w:rsidR="00341280" w:rsidRPr="004D130C" w:rsidTr="00341280">
        <w:trPr>
          <w:trHeight w:val="399"/>
        </w:trPr>
        <w:tc>
          <w:tcPr>
            <w:tcW w:w="1393" w:type="dxa"/>
            <w:shd w:val="clear" w:color="auto" w:fill="DBE5F1"/>
            <w:vAlign w:val="center"/>
            <w:hideMark/>
          </w:tcPr>
          <w:p w:rsidR="00341280" w:rsidRPr="004D130C" w:rsidRDefault="00341280" w:rsidP="00341280">
            <w:pPr>
              <w:rPr>
                <w:color w:val="000000"/>
                <w:sz w:val="16"/>
                <w:szCs w:val="16"/>
              </w:rPr>
            </w:pPr>
            <w:r w:rsidRPr="004D130C">
              <w:rPr>
                <w:color w:val="000000"/>
                <w:sz w:val="16"/>
                <w:szCs w:val="16"/>
              </w:rPr>
              <w:t>Projektový manažer</w:t>
            </w:r>
          </w:p>
        </w:tc>
        <w:tc>
          <w:tcPr>
            <w:tcW w:w="677" w:type="dxa"/>
            <w:shd w:val="clear" w:color="auto" w:fill="auto"/>
            <w:noWrap/>
            <w:vAlign w:val="center"/>
          </w:tcPr>
          <w:p w:rsidR="00341280" w:rsidRPr="004D130C" w:rsidRDefault="00341280" w:rsidP="00341280">
            <w:pPr>
              <w:jc w:val="center"/>
              <w:rPr>
                <w:sz w:val="16"/>
                <w:szCs w:val="16"/>
              </w:rPr>
            </w:pPr>
          </w:p>
        </w:tc>
        <w:tc>
          <w:tcPr>
            <w:tcW w:w="780" w:type="dxa"/>
            <w:shd w:val="clear" w:color="auto" w:fill="auto"/>
            <w:noWrap/>
            <w:vAlign w:val="center"/>
          </w:tcPr>
          <w:p w:rsidR="00341280" w:rsidRPr="004D130C" w:rsidRDefault="00341280" w:rsidP="00341280">
            <w:pPr>
              <w:jc w:val="center"/>
              <w:rPr>
                <w:color w:val="000000"/>
                <w:sz w:val="16"/>
                <w:szCs w:val="16"/>
              </w:rPr>
            </w:pPr>
            <w:r w:rsidRPr="004D130C">
              <w:rPr>
                <w:color w:val="000000"/>
                <w:sz w:val="16"/>
                <w:szCs w:val="16"/>
              </w:rPr>
              <w:t>52,02</w:t>
            </w:r>
          </w:p>
        </w:tc>
        <w:tc>
          <w:tcPr>
            <w:tcW w:w="709" w:type="dxa"/>
            <w:shd w:val="clear" w:color="auto" w:fill="auto"/>
            <w:noWrap/>
            <w:vAlign w:val="center"/>
          </w:tcPr>
          <w:p w:rsidR="00341280" w:rsidRPr="004D130C" w:rsidRDefault="00341280" w:rsidP="00341280">
            <w:pPr>
              <w:jc w:val="center"/>
              <w:rPr>
                <w:sz w:val="16"/>
                <w:szCs w:val="16"/>
              </w:rPr>
            </w:pPr>
            <w:r w:rsidRPr="004D130C">
              <w:rPr>
                <w:sz w:val="16"/>
                <w:szCs w:val="16"/>
              </w:rPr>
              <w:t>1,00</w:t>
            </w:r>
          </w:p>
        </w:tc>
        <w:tc>
          <w:tcPr>
            <w:tcW w:w="709" w:type="dxa"/>
            <w:shd w:val="clear" w:color="auto" w:fill="auto"/>
            <w:noWrap/>
            <w:vAlign w:val="center"/>
          </w:tcPr>
          <w:p w:rsidR="00341280" w:rsidRPr="004D130C" w:rsidRDefault="00341280" w:rsidP="00341280">
            <w:pPr>
              <w:jc w:val="center"/>
              <w:rPr>
                <w:color w:val="000000"/>
                <w:sz w:val="16"/>
                <w:szCs w:val="16"/>
              </w:rPr>
            </w:pPr>
            <w:r w:rsidRPr="004D130C">
              <w:rPr>
                <w:color w:val="000000"/>
                <w:sz w:val="16"/>
                <w:szCs w:val="16"/>
              </w:rPr>
              <w:t>46,80</w:t>
            </w:r>
          </w:p>
        </w:tc>
        <w:tc>
          <w:tcPr>
            <w:tcW w:w="709" w:type="dxa"/>
            <w:shd w:val="clear" w:color="auto" w:fill="auto"/>
            <w:noWrap/>
            <w:vAlign w:val="center"/>
          </w:tcPr>
          <w:p w:rsidR="00341280" w:rsidRPr="004D130C" w:rsidRDefault="00341280" w:rsidP="00341280">
            <w:pPr>
              <w:jc w:val="center"/>
              <w:rPr>
                <w:color w:val="000000"/>
                <w:sz w:val="16"/>
                <w:szCs w:val="16"/>
              </w:rPr>
            </w:pPr>
          </w:p>
        </w:tc>
        <w:tc>
          <w:tcPr>
            <w:tcW w:w="850" w:type="dxa"/>
            <w:shd w:val="clear" w:color="auto" w:fill="auto"/>
            <w:noWrap/>
            <w:vAlign w:val="center"/>
          </w:tcPr>
          <w:p w:rsidR="00341280" w:rsidRPr="004D130C" w:rsidRDefault="00341280" w:rsidP="00341280">
            <w:pPr>
              <w:jc w:val="center"/>
              <w:rPr>
                <w:color w:val="000000"/>
                <w:sz w:val="16"/>
                <w:szCs w:val="16"/>
              </w:rPr>
            </w:pPr>
            <w:r w:rsidRPr="004D130C">
              <w:rPr>
                <w:color w:val="000000"/>
                <w:sz w:val="16"/>
                <w:szCs w:val="16"/>
              </w:rPr>
              <w:t>5,00</w:t>
            </w:r>
          </w:p>
        </w:tc>
        <w:tc>
          <w:tcPr>
            <w:tcW w:w="709" w:type="dxa"/>
            <w:shd w:val="clear" w:color="auto" w:fill="auto"/>
            <w:noWrap/>
            <w:vAlign w:val="center"/>
          </w:tcPr>
          <w:p w:rsidR="00341280" w:rsidRPr="004D130C" w:rsidRDefault="00341280" w:rsidP="00341280">
            <w:pPr>
              <w:jc w:val="center"/>
              <w:rPr>
                <w:color w:val="000000"/>
                <w:sz w:val="16"/>
                <w:szCs w:val="16"/>
              </w:rPr>
            </w:pPr>
          </w:p>
        </w:tc>
        <w:tc>
          <w:tcPr>
            <w:tcW w:w="686" w:type="dxa"/>
            <w:shd w:val="clear" w:color="auto" w:fill="auto"/>
            <w:noWrap/>
            <w:vAlign w:val="center"/>
          </w:tcPr>
          <w:p w:rsidR="00341280" w:rsidRPr="004D130C" w:rsidRDefault="00341280" w:rsidP="00341280">
            <w:pPr>
              <w:jc w:val="center"/>
              <w:rPr>
                <w:color w:val="000000"/>
                <w:sz w:val="16"/>
                <w:szCs w:val="16"/>
              </w:rPr>
            </w:pPr>
          </w:p>
        </w:tc>
        <w:tc>
          <w:tcPr>
            <w:tcW w:w="864" w:type="dxa"/>
            <w:shd w:val="clear" w:color="auto" w:fill="auto"/>
            <w:noWrap/>
            <w:vAlign w:val="center"/>
          </w:tcPr>
          <w:p w:rsidR="00341280" w:rsidRPr="004D130C" w:rsidRDefault="00341280" w:rsidP="00341280">
            <w:pPr>
              <w:jc w:val="center"/>
              <w:rPr>
                <w:color w:val="000000"/>
                <w:sz w:val="16"/>
                <w:szCs w:val="16"/>
              </w:rPr>
            </w:pPr>
            <w:r w:rsidRPr="004D130C">
              <w:rPr>
                <w:color w:val="000000"/>
                <w:sz w:val="16"/>
                <w:szCs w:val="16"/>
              </w:rPr>
              <w:t>1,00</w:t>
            </w:r>
          </w:p>
        </w:tc>
        <w:tc>
          <w:tcPr>
            <w:tcW w:w="1010" w:type="dxa"/>
            <w:shd w:val="clear" w:color="auto" w:fill="auto"/>
            <w:noWrap/>
            <w:vAlign w:val="center"/>
          </w:tcPr>
          <w:p w:rsidR="00341280" w:rsidRPr="004D130C" w:rsidRDefault="00341280" w:rsidP="00341280">
            <w:pPr>
              <w:jc w:val="center"/>
              <w:rPr>
                <w:color w:val="000000"/>
                <w:sz w:val="16"/>
                <w:szCs w:val="16"/>
              </w:rPr>
            </w:pPr>
            <w:r w:rsidRPr="004D130C">
              <w:rPr>
                <w:color w:val="000000"/>
                <w:sz w:val="16"/>
                <w:szCs w:val="16"/>
              </w:rPr>
              <w:t>3,00</w:t>
            </w:r>
          </w:p>
        </w:tc>
      </w:tr>
      <w:tr w:rsidR="00341280" w:rsidRPr="004D130C" w:rsidTr="00341280">
        <w:trPr>
          <w:trHeight w:val="303"/>
        </w:trPr>
        <w:tc>
          <w:tcPr>
            <w:tcW w:w="1393" w:type="dxa"/>
            <w:shd w:val="clear" w:color="auto" w:fill="DBE5F1"/>
            <w:vAlign w:val="center"/>
            <w:hideMark/>
          </w:tcPr>
          <w:p w:rsidR="00341280" w:rsidRPr="004D130C" w:rsidRDefault="00341280" w:rsidP="00341280">
            <w:pPr>
              <w:rPr>
                <w:color w:val="000000"/>
                <w:sz w:val="16"/>
                <w:szCs w:val="16"/>
              </w:rPr>
            </w:pPr>
            <w:r w:rsidRPr="004D130C">
              <w:rPr>
                <w:color w:val="000000"/>
                <w:sz w:val="16"/>
                <w:szCs w:val="16"/>
              </w:rPr>
              <w:t>Řídící pracovník</w:t>
            </w:r>
          </w:p>
        </w:tc>
        <w:tc>
          <w:tcPr>
            <w:tcW w:w="677" w:type="dxa"/>
            <w:shd w:val="clear" w:color="auto" w:fill="auto"/>
            <w:noWrap/>
            <w:vAlign w:val="center"/>
          </w:tcPr>
          <w:p w:rsidR="00341280" w:rsidRPr="004D130C" w:rsidRDefault="00341280" w:rsidP="00341280">
            <w:pPr>
              <w:jc w:val="center"/>
              <w:rPr>
                <w:sz w:val="16"/>
                <w:szCs w:val="16"/>
              </w:rPr>
            </w:pPr>
            <w:r w:rsidRPr="004D130C">
              <w:rPr>
                <w:sz w:val="16"/>
                <w:szCs w:val="16"/>
              </w:rPr>
              <w:t>7,60</w:t>
            </w:r>
          </w:p>
        </w:tc>
        <w:tc>
          <w:tcPr>
            <w:tcW w:w="780" w:type="dxa"/>
            <w:shd w:val="clear" w:color="auto" w:fill="auto"/>
            <w:noWrap/>
            <w:vAlign w:val="center"/>
          </w:tcPr>
          <w:p w:rsidR="00341280" w:rsidRPr="004D130C" w:rsidRDefault="00341280" w:rsidP="00341280">
            <w:pPr>
              <w:jc w:val="center"/>
              <w:rPr>
                <w:color w:val="000000"/>
                <w:sz w:val="16"/>
                <w:szCs w:val="16"/>
              </w:rPr>
            </w:pPr>
            <w:r w:rsidRPr="004D130C">
              <w:rPr>
                <w:color w:val="000000"/>
                <w:sz w:val="16"/>
                <w:szCs w:val="16"/>
              </w:rPr>
              <w:t>15,91</w:t>
            </w:r>
          </w:p>
        </w:tc>
        <w:tc>
          <w:tcPr>
            <w:tcW w:w="709" w:type="dxa"/>
            <w:shd w:val="clear" w:color="auto" w:fill="auto"/>
            <w:noWrap/>
            <w:vAlign w:val="center"/>
          </w:tcPr>
          <w:p w:rsidR="00341280" w:rsidRPr="004D130C" w:rsidRDefault="00341280" w:rsidP="00341280">
            <w:pPr>
              <w:jc w:val="center"/>
              <w:rPr>
                <w:sz w:val="16"/>
                <w:szCs w:val="16"/>
              </w:rPr>
            </w:pPr>
            <w:r w:rsidRPr="004D130C">
              <w:rPr>
                <w:sz w:val="16"/>
                <w:szCs w:val="16"/>
              </w:rPr>
              <w:t>7,60</w:t>
            </w:r>
          </w:p>
        </w:tc>
        <w:tc>
          <w:tcPr>
            <w:tcW w:w="709" w:type="dxa"/>
            <w:shd w:val="clear" w:color="auto" w:fill="auto"/>
            <w:noWrap/>
            <w:vAlign w:val="center"/>
          </w:tcPr>
          <w:p w:rsidR="00341280" w:rsidRPr="004D130C" w:rsidRDefault="00341280" w:rsidP="00341280">
            <w:pPr>
              <w:jc w:val="center"/>
              <w:rPr>
                <w:color w:val="000000"/>
                <w:sz w:val="16"/>
                <w:szCs w:val="16"/>
              </w:rPr>
            </w:pPr>
            <w:r w:rsidRPr="004D130C">
              <w:rPr>
                <w:color w:val="000000"/>
                <w:sz w:val="16"/>
                <w:szCs w:val="16"/>
              </w:rPr>
              <w:t>17,70</w:t>
            </w:r>
          </w:p>
        </w:tc>
        <w:tc>
          <w:tcPr>
            <w:tcW w:w="709" w:type="dxa"/>
            <w:shd w:val="clear" w:color="auto" w:fill="auto"/>
            <w:noWrap/>
            <w:vAlign w:val="center"/>
          </w:tcPr>
          <w:p w:rsidR="00341280" w:rsidRPr="004D130C" w:rsidRDefault="00341280" w:rsidP="00341280">
            <w:pPr>
              <w:jc w:val="center"/>
              <w:rPr>
                <w:color w:val="000000"/>
                <w:sz w:val="16"/>
                <w:szCs w:val="16"/>
              </w:rPr>
            </w:pPr>
          </w:p>
        </w:tc>
        <w:tc>
          <w:tcPr>
            <w:tcW w:w="850" w:type="dxa"/>
            <w:shd w:val="clear" w:color="auto" w:fill="auto"/>
            <w:noWrap/>
            <w:vAlign w:val="center"/>
          </w:tcPr>
          <w:p w:rsidR="00341280" w:rsidRPr="004D130C" w:rsidRDefault="00341280" w:rsidP="00341280">
            <w:pPr>
              <w:jc w:val="center"/>
              <w:rPr>
                <w:color w:val="000000"/>
                <w:sz w:val="16"/>
                <w:szCs w:val="16"/>
              </w:rPr>
            </w:pPr>
            <w:r w:rsidRPr="004D130C">
              <w:rPr>
                <w:color w:val="000000"/>
                <w:sz w:val="16"/>
                <w:szCs w:val="16"/>
              </w:rPr>
              <w:t>1,90</w:t>
            </w:r>
          </w:p>
        </w:tc>
        <w:tc>
          <w:tcPr>
            <w:tcW w:w="709" w:type="dxa"/>
            <w:shd w:val="clear" w:color="auto" w:fill="auto"/>
            <w:noWrap/>
            <w:vAlign w:val="center"/>
          </w:tcPr>
          <w:p w:rsidR="00341280" w:rsidRPr="004D130C" w:rsidRDefault="00341280" w:rsidP="00341280">
            <w:pPr>
              <w:jc w:val="center"/>
              <w:rPr>
                <w:color w:val="000000"/>
                <w:sz w:val="16"/>
                <w:szCs w:val="16"/>
              </w:rPr>
            </w:pPr>
          </w:p>
        </w:tc>
        <w:tc>
          <w:tcPr>
            <w:tcW w:w="686" w:type="dxa"/>
            <w:shd w:val="clear" w:color="auto" w:fill="auto"/>
            <w:noWrap/>
            <w:vAlign w:val="center"/>
          </w:tcPr>
          <w:p w:rsidR="00341280" w:rsidRPr="004D130C" w:rsidRDefault="00341280" w:rsidP="00341280">
            <w:pPr>
              <w:jc w:val="center"/>
              <w:rPr>
                <w:color w:val="000000"/>
                <w:sz w:val="16"/>
                <w:szCs w:val="16"/>
              </w:rPr>
            </w:pPr>
          </w:p>
        </w:tc>
        <w:tc>
          <w:tcPr>
            <w:tcW w:w="864" w:type="dxa"/>
            <w:shd w:val="clear" w:color="auto" w:fill="auto"/>
            <w:noWrap/>
            <w:vAlign w:val="center"/>
          </w:tcPr>
          <w:p w:rsidR="00341280" w:rsidRPr="004D130C" w:rsidRDefault="00341280" w:rsidP="00341280">
            <w:pPr>
              <w:jc w:val="center"/>
              <w:rPr>
                <w:color w:val="000000"/>
                <w:sz w:val="16"/>
                <w:szCs w:val="16"/>
              </w:rPr>
            </w:pPr>
          </w:p>
        </w:tc>
        <w:tc>
          <w:tcPr>
            <w:tcW w:w="1010" w:type="dxa"/>
            <w:shd w:val="clear" w:color="auto" w:fill="auto"/>
            <w:noWrap/>
            <w:vAlign w:val="center"/>
          </w:tcPr>
          <w:p w:rsidR="00341280" w:rsidRPr="004D130C" w:rsidRDefault="00341280" w:rsidP="00341280">
            <w:pPr>
              <w:jc w:val="center"/>
              <w:rPr>
                <w:color w:val="000000"/>
                <w:sz w:val="16"/>
                <w:szCs w:val="16"/>
              </w:rPr>
            </w:pPr>
            <w:r w:rsidRPr="004D130C">
              <w:rPr>
                <w:color w:val="000000"/>
                <w:sz w:val="16"/>
                <w:szCs w:val="16"/>
              </w:rPr>
              <w:t>1,00</w:t>
            </w:r>
          </w:p>
        </w:tc>
      </w:tr>
      <w:tr w:rsidR="00341280" w:rsidRPr="004D130C" w:rsidTr="00341280">
        <w:trPr>
          <w:trHeight w:val="303"/>
        </w:trPr>
        <w:tc>
          <w:tcPr>
            <w:tcW w:w="1393" w:type="dxa"/>
            <w:shd w:val="clear" w:color="auto" w:fill="DBE5F1"/>
            <w:vAlign w:val="center"/>
            <w:hideMark/>
          </w:tcPr>
          <w:p w:rsidR="00341280" w:rsidRPr="004D130C" w:rsidRDefault="00341280" w:rsidP="00341280">
            <w:pPr>
              <w:rPr>
                <w:color w:val="000000"/>
                <w:sz w:val="16"/>
                <w:szCs w:val="16"/>
              </w:rPr>
            </w:pPr>
            <w:r w:rsidRPr="004D130C">
              <w:rPr>
                <w:color w:val="000000"/>
                <w:sz w:val="16"/>
                <w:szCs w:val="16"/>
              </w:rPr>
              <w:t>Jiné pozice</w:t>
            </w:r>
          </w:p>
        </w:tc>
        <w:tc>
          <w:tcPr>
            <w:tcW w:w="677" w:type="dxa"/>
            <w:shd w:val="clear" w:color="auto" w:fill="auto"/>
            <w:noWrap/>
            <w:vAlign w:val="center"/>
          </w:tcPr>
          <w:p w:rsidR="00341280" w:rsidRPr="004D130C" w:rsidRDefault="00341280" w:rsidP="00341280">
            <w:pPr>
              <w:jc w:val="center"/>
              <w:rPr>
                <w:sz w:val="16"/>
                <w:szCs w:val="16"/>
              </w:rPr>
            </w:pPr>
            <w:r w:rsidRPr="004D130C">
              <w:rPr>
                <w:sz w:val="16"/>
                <w:szCs w:val="16"/>
              </w:rPr>
              <w:t>9,925</w:t>
            </w:r>
          </w:p>
        </w:tc>
        <w:tc>
          <w:tcPr>
            <w:tcW w:w="780" w:type="dxa"/>
            <w:shd w:val="clear" w:color="auto" w:fill="auto"/>
            <w:noWrap/>
            <w:vAlign w:val="center"/>
          </w:tcPr>
          <w:p w:rsidR="00341280" w:rsidRPr="004D130C" w:rsidRDefault="00341280" w:rsidP="00341280">
            <w:pPr>
              <w:jc w:val="center"/>
              <w:rPr>
                <w:color w:val="000000"/>
                <w:sz w:val="16"/>
                <w:szCs w:val="16"/>
              </w:rPr>
            </w:pPr>
            <w:r w:rsidRPr="004D130C">
              <w:rPr>
                <w:color w:val="000000"/>
                <w:sz w:val="16"/>
                <w:szCs w:val="16"/>
              </w:rPr>
              <w:t>2,88</w:t>
            </w:r>
          </w:p>
        </w:tc>
        <w:tc>
          <w:tcPr>
            <w:tcW w:w="709" w:type="dxa"/>
            <w:shd w:val="clear" w:color="auto" w:fill="auto"/>
            <w:noWrap/>
            <w:vAlign w:val="center"/>
          </w:tcPr>
          <w:p w:rsidR="00341280" w:rsidRPr="004D130C" w:rsidRDefault="00341280" w:rsidP="00341280">
            <w:pPr>
              <w:jc w:val="center"/>
              <w:rPr>
                <w:sz w:val="16"/>
                <w:szCs w:val="16"/>
              </w:rPr>
            </w:pPr>
            <w:r w:rsidRPr="004D130C">
              <w:rPr>
                <w:sz w:val="16"/>
                <w:szCs w:val="16"/>
              </w:rPr>
              <w:t>10,30</w:t>
            </w:r>
          </w:p>
        </w:tc>
        <w:tc>
          <w:tcPr>
            <w:tcW w:w="709" w:type="dxa"/>
            <w:shd w:val="clear" w:color="auto" w:fill="auto"/>
            <w:noWrap/>
            <w:vAlign w:val="center"/>
          </w:tcPr>
          <w:p w:rsidR="00341280" w:rsidRPr="004D130C" w:rsidRDefault="00341280" w:rsidP="00341280">
            <w:pPr>
              <w:jc w:val="center"/>
              <w:rPr>
                <w:color w:val="000000"/>
                <w:sz w:val="16"/>
                <w:szCs w:val="16"/>
              </w:rPr>
            </w:pPr>
            <w:r w:rsidRPr="004D130C">
              <w:rPr>
                <w:color w:val="000000"/>
                <w:sz w:val="16"/>
                <w:szCs w:val="16"/>
              </w:rPr>
              <w:t>1,38</w:t>
            </w:r>
          </w:p>
        </w:tc>
        <w:tc>
          <w:tcPr>
            <w:tcW w:w="709" w:type="dxa"/>
            <w:shd w:val="clear" w:color="auto" w:fill="auto"/>
            <w:noWrap/>
            <w:vAlign w:val="center"/>
          </w:tcPr>
          <w:p w:rsidR="00341280" w:rsidRPr="004D130C" w:rsidRDefault="00341280" w:rsidP="00341280">
            <w:pPr>
              <w:jc w:val="center"/>
              <w:rPr>
                <w:color w:val="000000"/>
                <w:sz w:val="16"/>
                <w:szCs w:val="16"/>
              </w:rPr>
            </w:pPr>
            <w:r w:rsidRPr="004D130C">
              <w:rPr>
                <w:color w:val="000000"/>
                <w:sz w:val="16"/>
                <w:szCs w:val="16"/>
              </w:rPr>
              <w:t>2,625</w:t>
            </w:r>
          </w:p>
        </w:tc>
        <w:tc>
          <w:tcPr>
            <w:tcW w:w="850" w:type="dxa"/>
            <w:shd w:val="clear" w:color="auto" w:fill="auto"/>
            <w:noWrap/>
            <w:vAlign w:val="center"/>
          </w:tcPr>
          <w:p w:rsidR="00341280" w:rsidRPr="004D130C" w:rsidRDefault="00341280" w:rsidP="00341280">
            <w:pPr>
              <w:jc w:val="center"/>
              <w:rPr>
                <w:color w:val="000000"/>
                <w:sz w:val="16"/>
                <w:szCs w:val="16"/>
              </w:rPr>
            </w:pPr>
            <w:r w:rsidRPr="004D130C">
              <w:rPr>
                <w:color w:val="000000"/>
                <w:sz w:val="16"/>
                <w:szCs w:val="16"/>
              </w:rPr>
              <w:t>0,50</w:t>
            </w:r>
          </w:p>
        </w:tc>
        <w:tc>
          <w:tcPr>
            <w:tcW w:w="709" w:type="dxa"/>
            <w:shd w:val="clear" w:color="auto" w:fill="auto"/>
            <w:noWrap/>
            <w:vAlign w:val="center"/>
          </w:tcPr>
          <w:p w:rsidR="00341280" w:rsidRPr="004D130C" w:rsidRDefault="00341280" w:rsidP="00341280">
            <w:pPr>
              <w:jc w:val="center"/>
              <w:rPr>
                <w:color w:val="000000"/>
                <w:sz w:val="16"/>
                <w:szCs w:val="16"/>
              </w:rPr>
            </w:pPr>
          </w:p>
        </w:tc>
        <w:tc>
          <w:tcPr>
            <w:tcW w:w="686" w:type="dxa"/>
            <w:shd w:val="clear" w:color="auto" w:fill="auto"/>
            <w:noWrap/>
            <w:vAlign w:val="center"/>
          </w:tcPr>
          <w:p w:rsidR="00341280" w:rsidRPr="004D130C" w:rsidRDefault="00341280" w:rsidP="00341280">
            <w:pPr>
              <w:jc w:val="center"/>
              <w:rPr>
                <w:color w:val="000000"/>
                <w:sz w:val="16"/>
                <w:szCs w:val="16"/>
              </w:rPr>
            </w:pPr>
          </w:p>
        </w:tc>
        <w:tc>
          <w:tcPr>
            <w:tcW w:w="864" w:type="dxa"/>
            <w:shd w:val="clear" w:color="auto" w:fill="auto"/>
            <w:noWrap/>
            <w:vAlign w:val="center"/>
          </w:tcPr>
          <w:p w:rsidR="00341280" w:rsidRPr="004D130C" w:rsidRDefault="00341280" w:rsidP="00341280">
            <w:pPr>
              <w:jc w:val="center"/>
              <w:rPr>
                <w:color w:val="000000"/>
                <w:sz w:val="16"/>
                <w:szCs w:val="16"/>
              </w:rPr>
            </w:pPr>
            <w:r w:rsidRPr="004D130C">
              <w:rPr>
                <w:color w:val="000000"/>
                <w:sz w:val="16"/>
                <w:szCs w:val="16"/>
              </w:rPr>
              <w:t>5,00</w:t>
            </w:r>
          </w:p>
        </w:tc>
        <w:tc>
          <w:tcPr>
            <w:tcW w:w="1010" w:type="dxa"/>
            <w:shd w:val="clear" w:color="auto" w:fill="auto"/>
            <w:noWrap/>
            <w:vAlign w:val="center"/>
          </w:tcPr>
          <w:p w:rsidR="00341280" w:rsidRPr="004D130C" w:rsidRDefault="00341280" w:rsidP="00341280">
            <w:pPr>
              <w:jc w:val="center"/>
              <w:rPr>
                <w:color w:val="000000"/>
                <w:sz w:val="16"/>
                <w:szCs w:val="16"/>
              </w:rPr>
            </w:pPr>
          </w:p>
        </w:tc>
      </w:tr>
      <w:tr w:rsidR="00341280" w:rsidRPr="004D130C" w:rsidTr="00341280">
        <w:trPr>
          <w:trHeight w:val="605"/>
        </w:trPr>
        <w:tc>
          <w:tcPr>
            <w:tcW w:w="1393" w:type="dxa"/>
            <w:shd w:val="clear" w:color="auto" w:fill="95B3D7" w:themeFill="accent1" w:themeFillTint="99"/>
            <w:vAlign w:val="center"/>
            <w:hideMark/>
          </w:tcPr>
          <w:p w:rsidR="00341280" w:rsidRPr="004D130C" w:rsidRDefault="00341280" w:rsidP="00341280">
            <w:pPr>
              <w:rPr>
                <w:b/>
                <w:bCs/>
                <w:color w:val="000000"/>
                <w:sz w:val="16"/>
                <w:szCs w:val="16"/>
              </w:rPr>
            </w:pPr>
            <w:r w:rsidRPr="004D130C">
              <w:rPr>
                <w:b/>
                <w:bCs/>
                <w:color w:val="000000"/>
                <w:sz w:val="16"/>
                <w:szCs w:val="16"/>
              </w:rPr>
              <w:t>Celkem počet zaměstnanců</w:t>
            </w:r>
          </w:p>
        </w:tc>
        <w:tc>
          <w:tcPr>
            <w:tcW w:w="677" w:type="dxa"/>
            <w:shd w:val="clear" w:color="auto" w:fill="95B3D7" w:themeFill="accent1" w:themeFillTint="99"/>
            <w:noWrap/>
            <w:vAlign w:val="center"/>
          </w:tcPr>
          <w:p w:rsidR="00341280" w:rsidRPr="004D130C" w:rsidRDefault="00341280" w:rsidP="00341280">
            <w:pPr>
              <w:jc w:val="center"/>
              <w:rPr>
                <w:b/>
                <w:bCs/>
                <w:sz w:val="16"/>
                <w:szCs w:val="16"/>
              </w:rPr>
            </w:pPr>
            <w:r w:rsidRPr="004D130C">
              <w:rPr>
                <w:b/>
                <w:bCs/>
                <w:sz w:val="16"/>
                <w:szCs w:val="16"/>
              </w:rPr>
              <w:t>67,075</w:t>
            </w:r>
          </w:p>
        </w:tc>
        <w:tc>
          <w:tcPr>
            <w:tcW w:w="780" w:type="dxa"/>
            <w:shd w:val="clear" w:color="auto" w:fill="95B3D7" w:themeFill="accent1" w:themeFillTint="99"/>
            <w:noWrap/>
            <w:vAlign w:val="center"/>
          </w:tcPr>
          <w:p w:rsidR="00341280" w:rsidRPr="004D130C" w:rsidRDefault="00341280" w:rsidP="00341280">
            <w:pPr>
              <w:jc w:val="center"/>
              <w:rPr>
                <w:b/>
                <w:bCs/>
                <w:color w:val="000000"/>
                <w:sz w:val="16"/>
                <w:szCs w:val="16"/>
              </w:rPr>
            </w:pPr>
            <w:r w:rsidRPr="004D130C">
              <w:rPr>
                <w:b/>
                <w:bCs/>
                <w:color w:val="000000"/>
                <w:sz w:val="16"/>
                <w:szCs w:val="16"/>
              </w:rPr>
              <w:t>122,81</w:t>
            </w:r>
          </w:p>
        </w:tc>
        <w:tc>
          <w:tcPr>
            <w:tcW w:w="709" w:type="dxa"/>
            <w:shd w:val="clear" w:color="auto" w:fill="95B3D7" w:themeFill="accent1" w:themeFillTint="99"/>
            <w:noWrap/>
            <w:vAlign w:val="center"/>
          </w:tcPr>
          <w:p w:rsidR="00341280" w:rsidRPr="004D130C" w:rsidRDefault="00341280" w:rsidP="00341280">
            <w:pPr>
              <w:jc w:val="center"/>
              <w:rPr>
                <w:b/>
                <w:bCs/>
                <w:sz w:val="16"/>
                <w:szCs w:val="16"/>
              </w:rPr>
            </w:pPr>
            <w:r w:rsidRPr="004D130C">
              <w:rPr>
                <w:b/>
                <w:bCs/>
                <w:sz w:val="16"/>
                <w:szCs w:val="16"/>
              </w:rPr>
              <w:t>71,325</w:t>
            </w:r>
          </w:p>
        </w:tc>
        <w:tc>
          <w:tcPr>
            <w:tcW w:w="709" w:type="dxa"/>
            <w:shd w:val="clear" w:color="auto" w:fill="95B3D7" w:themeFill="accent1" w:themeFillTint="99"/>
            <w:noWrap/>
            <w:vAlign w:val="center"/>
          </w:tcPr>
          <w:p w:rsidR="00341280" w:rsidRPr="004D130C" w:rsidRDefault="00341280" w:rsidP="00341280">
            <w:pPr>
              <w:jc w:val="center"/>
              <w:rPr>
                <w:b/>
                <w:bCs/>
                <w:color w:val="000000"/>
                <w:sz w:val="16"/>
                <w:szCs w:val="16"/>
              </w:rPr>
            </w:pPr>
            <w:r w:rsidRPr="004D130C">
              <w:rPr>
                <w:b/>
                <w:bCs/>
                <w:color w:val="000000"/>
                <w:sz w:val="16"/>
                <w:szCs w:val="16"/>
              </w:rPr>
              <w:t>113,71</w:t>
            </w:r>
          </w:p>
        </w:tc>
        <w:tc>
          <w:tcPr>
            <w:tcW w:w="709" w:type="dxa"/>
            <w:shd w:val="clear" w:color="auto" w:fill="95B3D7" w:themeFill="accent1" w:themeFillTint="99"/>
            <w:noWrap/>
            <w:vAlign w:val="center"/>
          </w:tcPr>
          <w:p w:rsidR="00341280" w:rsidRPr="004D130C" w:rsidRDefault="00341280" w:rsidP="00341280">
            <w:pPr>
              <w:jc w:val="center"/>
              <w:rPr>
                <w:b/>
                <w:bCs/>
                <w:color w:val="000000"/>
                <w:sz w:val="16"/>
                <w:szCs w:val="16"/>
              </w:rPr>
            </w:pPr>
            <w:r w:rsidRPr="004D130C">
              <w:rPr>
                <w:b/>
                <w:bCs/>
                <w:color w:val="000000"/>
                <w:sz w:val="16"/>
                <w:szCs w:val="16"/>
              </w:rPr>
              <w:t>4,625</w:t>
            </w:r>
          </w:p>
        </w:tc>
        <w:tc>
          <w:tcPr>
            <w:tcW w:w="850" w:type="dxa"/>
            <w:shd w:val="clear" w:color="auto" w:fill="95B3D7" w:themeFill="accent1" w:themeFillTint="99"/>
            <w:noWrap/>
            <w:vAlign w:val="center"/>
          </w:tcPr>
          <w:p w:rsidR="00341280" w:rsidRPr="004D130C" w:rsidRDefault="00341280" w:rsidP="00341280">
            <w:pPr>
              <w:jc w:val="center"/>
              <w:rPr>
                <w:b/>
                <w:bCs/>
                <w:color w:val="000000"/>
                <w:sz w:val="16"/>
                <w:szCs w:val="16"/>
              </w:rPr>
            </w:pPr>
            <w:r w:rsidRPr="004D130C">
              <w:rPr>
                <w:b/>
                <w:bCs/>
                <w:color w:val="000000"/>
                <w:sz w:val="16"/>
                <w:szCs w:val="16"/>
              </w:rPr>
              <w:t>11,38</w:t>
            </w:r>
          </w:p>
        </w:tc>
        <w:tc>
          <w:tcPr>
            <w:tcW w:w="709" w:type="dxa"/>
            <w:shd w:val="clear" w:color="auto" w:fill="95B3D7" w:themeFill="accent1" w:themeFillTint="99"/>
            <w:noWrap/>
            <w:vAlign w:val="center"/>
          </w:tcPr>
          <w:p w:rsidR="00341280" w:rsidRPr="004D130C" w:rsidRDefault="00341280" w:rsidP="00341280">
            <w:pPr>
              <w:jc w:val="center"/>
              <w:rPr>
                <w:b/>
                <w:bCs/>
                <w:color w:val="000000"/>
                <w:sz w:val="16"/>
                <w:szCs w:val="16"/>
              </w:rPr>
            </w:pPr>
            <w:r w:rsidRPr="004D130C">
              <w:rPr>
                <w:b/>
                <w:bCs/>
                <w:color w:val="000000"/>
                <w:sz w:val="16"/>
                <w:szCs w:val="16"/>
              </w:rPr>
              <w:t>2,00</w:t>
            </w:r>
          </w:p>
        </w:tc>
        <w:tc>
          <w:tcPr>
            <w:tcW w:w="686" w:type="dxa"/>
            <w:shd w:val="clear" w:color="auto" w:fill="95B3D7" w:themeFill="accent1" w:themeFillTint="99"/>
            <w:noWrap/>
            <w:vAlign w:val="center"/>
          </w:tcPr>
          <w:p w:rsidR="00341280" w:rsidRPr="004D130C" w:rsidRDefault="00341280" w:rsidP="00341280">
            <w:pPr>
              <w:jc w:val="center"/>
              <w:rPr>
                <w:b/>
                <w:bCs/>
                <w:color w:val="000000"/>
                <w:sz w:val="16"/>
                <w:szCs w:val="16"/>
              </w:rPr>
            </w:pPr>
            <w:r w:rsidRPr="004D130C">
              <w:rPr>
                <w:b/>
                <w:bCs/>
                <w:color w:val="000000"/>
                <w:sz w:val="16"/>
                <w:szCs w:val="16"/>
              </w:rPr>
              <w:t>0,00</w:t>
            </w:r>
          </w:p>
        </w:tc>
        <w:tc>
          <w:tcPr>
            <w:tcW w:w="864" w:type="dxa"/>
            <w:shd w:val="clear" w:color="auto" w:fill="95B3D7" w:themeFill="accent1" w:themeFillTint="99"/>
            <w:noWrap/>
            <w:vAlign w:val="center"/>
          </w:tcPr>
          <w:p w:rsidR="00341280" w:rsidRPr="004D130C" w:rsidRDefault="00341280" w:rsidP="00341280">
            <w:pPr>
              <w:jc w:val="center"/>
              <w:rPr>
                <w:b/>
                <w:bCs/>
                <w:color w:val="000000"/>
                <w:sz w:val="16"/>
                <w:szCs w:val="16"/>
              </w:rPr>
            </w:pPr>
            <w:r w:rsidRPr="004D130C">
              <w:rPr>
                <w:b/>
                <w:bCs/>
                <w:color w:val="000000"/>
                <w:sz w:val="16"/>
                <w:szCs w:val="16"/>
              </w:rPr>
              <w:t>10,45</w:t>
            </w:r>
          </w:p>
        </w:tc>
        <w:tc>
          <w:tcPr>
            <w:tcW w:w="1010" w:type="dxa"/>
            <w:shd w:val="clear" w:color="auto" w:fill="95B3D7" w:themeFill="accent1" w:themeFillTint="99"/>
            <w:noWrap/>
            <w:vAlign w:val="center"/>
          </w:tcPr>
          <w:p w:rsidR="00341280" w:rsidRPr="004D130C" w:rsidRDefault="00341280" w:rsidP="00341280">
            <w:pPr>
              <w:jc w:val="center"/>
              <w:rPr>
                <w:b/>
                <w:bCs/>
                <w:color w:val="000000"/>
                <w:sz w:val="16"/>
                <w:szCs w:val="16"/>
              </w:rPr>
            </w:pPr>
            <w:r w:rsidRPr="004D130C">
              <w:rPr>
                <w:b/>
                <w:bCs/>
                <w:color w:val="000000"/>
                <w:sz w:val="16"/>
                <w:szCs w:val="16"/>
              </w:rPr>
              <w:t>7,17</w:t>
            </w:r>
          </w:p>
        </w:tc>
      </w:tr>
    </w:tbl>
    <w:p w:rsidR="001D018D" w:rsidRDefault="001D018D" w:rsidP="001D018D">
      <w:pPr>
        <w:rPr>
          <w:i/>
          <w:sz w:val="18"/>
          <w:szCs w:val="18"/>
        </w:rPr>
      </w:pPr>
      <w:r w:rsidRPr="00813D31">
        <w:rPr>
          <w:i/>
          <w:sz w:val="18"/>
          <w:szCs w:val="18"/>
        </w:rPr>
        <w:t>Zdroj:</w:t>
      </w:r>
      <w:r>
        <w:rPr>
          <w:i/>
          <w:sz w:val="18"/>
          <w:szCs w:val="18"/>
        </w:rPr>
        <w:t xml:space="preserve"> </w:t>
      </w:r>
      <w:r w:rsidRPr="00813D31">
        <w:rPr>
          <w:i/>
          <w:sz w:val="18"/>
          <w:szCs w:val="18"/>
        </w:rPr>
        <w:t xml:space="preserve">ŘO  a </w:t>
      </w:r>
      <w:r>
        <w:rPr>
          <w:i/>
          <w:sz w:val="18"/>
          <w:szCs w:val="18"/>
        </w:rPr>
        <w:t xml:space="preserve">ostatní subjekty </w:t>
      </w:r>
      <w:r w:rsidR="00466653">
        <w:rPr>
          <w:i/>
          <w:sz w:val="18"/>
          <w:szCs w:val="18"/>
        </w:rPr>
        <w:t>implementace</w:t>
      </w:r>
      <w:r w:rsidR="00466653" w:rsidRPr="00813D31">
        <w:rPr>
          <w:i/>
          <w:sz w:val="18"/>
          <w:szCs w:val="18"/>
        </w:rPr>
        <w:t xml:space="preserve"> </w:t>
      </w:r>
      <w:r w:rsidR="00914BC7">
        <w:rPr>
          <w:i/>
          <w:sz w:val="18"/>
          <w:szCs w:val="18"/>
        </w:rPr>
        <w:t>k 30. 9. 2015</w:t>
      </w:r>
    </w:p>
    <w:p w:rsidR="001D018D" w:rsidRDefault="001D018D" w:rsidP="001D018D">
      <w:pPr>
        <w:rPr>
          <w:i/>
          <w:sz w:val="18"/>
          <w:szCs w:val="18"/>
        </w:rPr>
      </w:pPr>
      <w:r>
        <w:rPr>
          <w:i/>
          <w:sz w:val="18"/>
          <w:szCs w:val="18"/>
        </w:rPr>
        <w:t>*Pokud se zaměstnanec podílel svou pracovní činností na implementaci programu nižším poměrem než 100 %, uvádí se výše jeho úvazku pro program</w:t>
      </w:r>
    </w:p>
    <w:p w:rsidR="00341280" w:rsidRPr="0054727E" w:rsidRDefault="00341280" w:rsidP="001D018D">
      <w:r>
        <w:rPr>
          <w:i/>
          <w:sz w:val="18"/>
          <w:szCs w:val="18"/>
        </w:rPr>
        <w:t>**</w:t>
      </w:r>
      <w:r w:rsidRPr="00341280">
        <w:rPr>
          <w:i/>
          <w:sz w:val="18"/>
          <w:szCs w:val="18"/>
        </w:rPr>
        <w:t xml:space="preserve"> </w:t>
      </w:r>
      <w:r w:rsidRPr="00A00F55">
        <w:rPr>
          <w:i/>
          <w:sz w:val="18"/>
          <w:szCs w:val="18"/>
        </w:rPr>
        <w:t>návrat z rodičovské dovolené - 0,75 úvazku</w:t>
      </w:r>
    </w:p>
    <w:p w:rsidR="00925938" w:rsidRDefault="008162A2" w:rsidP="00925938">
      <w:pPr>
        <w:pStyle w:val="Nadpis1"/>
        <w:spacing w:before="240" w:after="60"/>
        <w:jc w:val="left"/>
        <w:rPr>
          <w:smallCaps w:val="0"/>
          <w:kern w:val="32"/>
          <w:sz w:val="32"/>
          <w:szCs w:val="32"/>
        </w:rPr>
      </w:pPr>
      <w:bookmarkStart w:id="167" w:name="_Toc309031383"/>
      <w:bookmarkStart w:id="168" w:name="_Toc433873532"/>
      <w:r>
        <w:rPr>
          <w:b w:val="0"/>
          <w:bCs w:val="0"/>
          <w:smallCaps w:val="0"/>
          <w:color w:val="auto"/>
          <w:sz w:val="22"/>
          <w:szCs w:val="22"/>
        </w:rPr>
        <w:lastRenderedPageBreak/>
        <w:t xml:space="preserve">  </w:t>
      </w:r>
      <w:r w:rsidR="00925938" w:rsidRPr="00C466D8">
        <w:rPr>
          <w:smallCaps w:val="0"/>
          <w:kern w:val="32"/>
          <w:sz w:val="32"/>
          <w:szCs w:val="32"/>
        </w:rPr>
        <w:t>5 HLAVNÍ ZÁVĚRY</w:t>
      </w:r>
      <w:bookmarkEnd w:id="167"/>
      <w:bookmarkEnd w:id="168"/>
    </w:p>
    <w:p w:rsidR="005B71E4" w:rsidRPr="00636553" w:rsidRDefault="005B71E4" w:rsidP="005B71E4">
      <w:pPr>
        <w:jc w:val="both"/>
        <w:rPr>
          <w:sz w:val="22"/>
          <w:szCs w:val="22"/>
        </w:rPr>
      </w:pPr>
      <w:r w:rsidRPr="00636553">
        <w:rPr>
          <w:sz w:val="22"/>
          <w:szCs w:val="22"/>
        </w:rPr>
        <w:t>V</w:t>
      </w:r>
      <w:r w:rsidR="00EB7E2B" w:rsidRPr="00636553">
        <w:rPr>
          <w:sz w:val="22"/>
          <w:szCs w:val="22"/>
        </w:rPr>
        <w:t> </w:t>
      </w:r>
      <w:r w:rsidRPr="00636553">
        <w:rPr>
          <w:sz w:val="22"/>
          <w:szCs w:val="22"/>
        </w:rPr>
        <w:t xml:space="preserve">období od </w:t>
      </w:r>
      <w:r w:rsidR="00A64FB9" w:rsidRPr="00636553">
        <w:rPr>
          <w:sz w:val="22"/>
          <w:szCs w:val="22"/>
        </w:rPr>
        <w:t>1</w:t>
      </w:r>
      <w:r w:rsidR="007A6647" w:rsidRPr="00636553">
        <w:rPr>
          <w:sz w:val="22"/>
          <w:szCs w:val="22"/>
        </w:rPr>
        <w:t>7</w:t>
      </w:r>
      <w:r w:rsidR="00A64FB9" w:rsidRPr="00636553">
        <w:rPr>
          <w:sz w:val="22"/>
          <w:szCs w:val="22"/>
        </w:rPr>
        <w:t>.</w:t>
      </w:r>
      <w:r w:rsidR="00EC119B" w:rsidRPr="00636553">
        <w:rPr>
          <w:sz w:val="22"/>
          <w:szCs w:val="22"/>
        </w:rPr>
        <w:t xml:space="preserve"> </w:t>
      </w:r>
      <w:r w:rsidR="007A6647" w:rsidRPr="00636553">
        <w:rPr>
          <w:sz w:val="22"/>
          <w:szCs w:val="22"/>
        </w:rPr>
        <w:t>4</w:t>
      </w:r>
      <w:r w:rsidR="003A30E7" w:rsidRPr="00636553">
        <w:rPr>
          <w:sz w:val="22"/>
          <w:szCs w:val="22"/>
        </w:rPr>
        <w:t>.</w:t>
      </w:r>
      <w:r w:rsidR="00EC119B" w:rsidRPr="00636553">
        <w:rPr>
          <w:sz w:val="22"/>
          <w:szCs w:val="22"/>
        </w:rPr>
        <w:t xml:space="preserve"> </w:t>
      </w:r>
      <w:r w:rsidR="003A30E7" w:rsidRPr="00636553">
        <w:rPr>
          <w:sz w:val="22"/>
          <w:szCs w:val="22"/>
        </w:rPr>
        <w:t>201</w:t>
      </w:r>
      <w:r w:rsidR="007A6647" w:rsidRPr="00636553">
        <w:rPr>
          <w:sz w:val="22"/>
          <w:szCs w:val="22"/>
        </w:rPr>
        <w:t>5</w:t>
      </w:r>
      <w:r w:rsidR="003A30E7" w:rsidRPr="00636553">
        <w:rPr>
          <w:sz w:val="22"/>
          <w:szCs w:val="22"/>
        </w:rPr>
        <w:t xml:space="preserve"> </w:t>
      </w:r>
      <w:r w:rsidRPr="00636553">
        <w:rPr>
          <w:sz w:val="22"/>
          <w:szCs w:val="22"/>
        </w:rPr>
        <w:t xml:space="preserve">do </w:t>
      </w:r>
      <w:r w:rsidR="0015783A" w:rsidRPr="00636553">
        <w:rPr>
          <w:sz w:val="22"/>
          <w:szCs w:val="22"/>
        </w:rPr>
        <w:t>30. 9. 2015</w:t>
      </w:r>
      <w:r w:rsidR="003A30E7" w:rsidRPr="00636553">
        <w:rPr>
          <w:sz w:val="22"/>
          <w:szCs w:val="22"/>
        </w:rPr>
        <w:t xml:space="preserve"> </w:t>
      </w:r>
      <w:r w:rsidRPr="00636553">
        <w:rPr>
          <w:sz w:val="22"/>
          <w:szCs w:val="22"/>
        </w:rPr>
        <w:t>bylo předloženo</w:t>
      </w:r>
      <w:r w:rsidR="007D6F15" w:rsidRPr="00636553">
        <w:rPr>
          <w:sz w:val="22"/>
          <w:szCs w:val="22"/>
        </w:rPr>
        <w:t xml:space="preserve"> </w:t>
      </w:r>
      <w:r w:rsidR="007A6647" w:rsidRPr="00636553">
        <w:rPr>
          <w:sz w:val="22"/>
          <w:szCs w:val="22"/>
        </w:rPr>
        <w:t>50</w:t>
      </w:r>
      <w:r w:rsidR="00267599" w:rsidRPr="00636553">
        <w:rPr>
          <w:sz w:val="22"/>
          <w:szCs w:val="22"/>
        </w:rPr>
        <w:t xml:space="preserve"> žádostí</w:t>
      </w:r>
      <w:r w:rsidRPr="00636553">
        <w:rPr>
          <w:sz w:val="22"/>
          <w:szCs w:val="22"/>
        </w:rPr>
        <w:t xml:space="preserve"> v</w:t>
      </w:r>
      <w:r w:rsidR="00EB7E2B" w:rsidRPr="00636553">
        <w:rPr>
          <w:sz w:val="22"/>
          <w:szCs w:val="22"/>
        </w:rPr>
        <w:t> </w:t>
      </w:r>
      <w:r w:rsidRPr="00636553">
        <w:rPr>
          <w:sz w:val="22"/>
          <w:szCs w:val="22"/>
        </w:rPr>
        <w:t>částce</w:t>
      </w:r>
      <w:r w:rsidR="007D6F15" w:rsidRPr="00636553">
        <w:rPr>
          <w:sz w:val="22"/>
          <w:szCs w:val="22"/>
        </w:rPr>
        <w:t xml:space="preserve"> </w:t>
      </w:r>
      <w:r w:rsidR="007A6647" w:rsidRPr="00636553">
        <w:rPr>
          <w:sz w:val="22"/>
          <w:szCs w:val="22"/>
        </w:rPr>
        <w:t>34,85</w:t>
      </w:r>
      <w:r w:rsidR="007D6F15" w:rsidRPr="00636553">
        <w:rPr>
          <w:sz w:val="22"/>
          <w:szCs w:val="22"/>
        </w:rPr>
        <w:t xml:space="preserve"> </w:t>
      </w:r>
      <w:r w:rsidRPr="00636553">
        <w:rPr>
          <w:sz w:val="22"/>
          <w:szCs w:val="22"/>
        </w:rPr>
        <w:t xml:space="preserve">mil. EUR. </w:t>
      </w:r>
      <w:r w:rsidR="00EC119B" w:rsidRPr="00636553">
        <w:rPr>
          <w:sz w:val="22"/>
          <w:szCs w:val="22"/>
        </w:rPr>
        <w:br/>
      </w:r>
      <w:r w:rsidR="00914BC7" w:rsidRPr="00636553">
        <w:rPr>
          <w:sz w:val="22"/>
          <w:szCs w:val="22"/>
        </w:rPr>
        <w:t>K 30. 9. 2015</w:t>
      </w:r>
      <w:r w:rsidR="007D6F15" w:rsidRPr="00636553">
        <w:rPr>
          <w:sz w:val="22"/>
          <w:szCs w:val="22"/>
        </w:rPr>
        <w:t xml:space="preserve"> b</w:t>
      </w:r>
      <w:r w:rsidRPr="00636553">
        <w:rPr>
          <w:sz w:val="22"/>
          <w:szCs w:val="22"/>
        </w:rPr>
        <w:t>ylo</w:t>
      </w:r>
      <w:r w:rsidR="007D6F15" w:rsidRPr="00636553">
        <w:rPr>
          <w:sz w:val="22"/>
          <w:szCs w:val="22"/>
        </w:rPr>
        <w:t xml:space="preserve"> </w:t>
      </w:r>
      <w:r w:rsidRPr="00636553">
        <w:rPr>
          <w:sz w:val="22"/>
          <w:szCs w:val="22"/>
        </w:rPr>
        <w:t>schváleno</w:t>
      </w:r>
      <w:r w:rsidR="00992F47" w:rsidRPr="00636553">
        <w:rPr>
          <w:sz w:val="22"/>
          <w:szCs w:val="22"/>
        </w:rPr>
        <w:t xml:space="preserve"> </w:t>
      </w:r>
      <w:r w:rsidR="007D6F15" w:rsidRPr="00636553">
        <w:rPr>
          <w:sz w:val="22"/>
          <w:szCs w:val="22"/>
        </w:rPr>
        <w:t>8</w:t>
      </w:r>
      <w:r w:rsidR="00A953B6" w:rsidRPr="00636553">
        <w:rPr>
          <w:sz w:val="22"/>
          <w:szCs w:val="22"/>
        </w:rPr>
        <w:t xml:space="preserve"> </w:t>
      </w:r>
      <w:r w:rsidR="009A314E" w:rsidRPr="00636553">
        <w:rPr>
          <w:sz w:val="22"/>
          <w:szCs w:val="22"/>
        </w:rPr>
        <w:t>509</w:t>
      </w:r>
      <w:r w:rsidRPr="00636553">
        <w:rPr>
          <w:sz w:val="22"/>
          <w:szCs w:val="22"/>
        </w:rPr>
        <w:t xml:space="preserve"> projektů za</w:t>
      </w:r>
      <w:r w:rsidR="00992F47" w:rsidRPr="00636553">
        <w:rPr>
          <w:sz w:val="22"/>
          <w:szCs w:val="22"/>
        </w:rPr>
        <w:t xml:space="preserve"> </w:t>
      </w:r>
      <w:r w:rsidR="009A314E" w:rsidRPr="00636553">
        <w:rPr>
          <w:sz w:val="22"/>
          <w:szCs w:val="22"/>
        </w:rPr>
        <w:t>1693,86</w:t>
      </w:r>
      <w:r w:rsidRPr="00636553">
        <w:rPr>
          <w:sz w:val="22"/>
          <w:szCs w:val="22"/>
        </w:rPr>
        <w:t xml:space="preserve"> mil. EUR, tj. </w:t>
      </w:r>
      <w:r w:rsidR="009A314E" w:rsidRPr="00636553">
        <w:rPr>
          <w:sz w:val="22"/>
          <w:szCs w:val="22"/>
        </w:rPr>
        <w:t>105,05</w:t>
      </w:r>
      <w:r w:rsidR="00992F47" w:rsidRPr="00636553">
        <w:rPr>
          <w:sz w:val="22"/>
          <w:szCs w:val="22"/>
        </w:rPr>
        <w:t xml:space="preserve"> </w:t>
      </w:r>
      <w:r w:rsidRPr="00636553">
        <w:rPr>
          <w:sz w:val="22"/>
          <w:szCs w:val="22"/>
        </w:rPr>
        <w:t xml:space="preserve">% </w:t>
      </w:r>
      <w:r w:rsidR="00992F47" w:rsidRPr="00636553">
        <w:rPr>
          <w:sz w:val="22"/>
          <w:szCs w:val="22"/>
        </w:rPr>
        <w:t xml:space="preserve">celkové </w:t>
      </w:r>
      <w:r w:rsidRPr="00636553">
        <w:rPr>
          <w:sz w:val="22"/>
          <w:szCs w:val="22"/>
        </w:rPr>
        <w:t>alokace</w:t>
      </w:r>
      <w:r w:rsidR="00992F47" w:rsidRPr="00636553">
        <w:rPr>
          <w:sz w:val="22"/>
          <w:szCs w:val="22"/>
        </w:rPr>
        <w:t xml:space="preserve"> programu</w:t>
      </w:r>
      <w:r w:rsidRPr="00636553">
        <w:rPr>
          <w:sz w:val="22"/>
          <w:szCs w:val="22"/>
        </w:rPr>
        <w:t xml:space="preserve">. </w:t>
      </w:r>
      <w:r w:rsidR="00502220" w:rsidRPr="00636553">
        <w:rPr>
          <w:sz w:val="22"/>
          <w:szCs w:val="22"/>
        </w:rPr>
        <w:t>Ve sledovaném období bylo p</w:t>
      </w:r>
      <w:r w:rsidRPr="00636553">
        <w:rPr>
          <w:sz w:val="22"/>
          <w:szCs w:val="22"/>
        </w:rPr>
        <w:t xml:space="preserve">říjemcům proplaceno </w:t>
      </w:r>
      <w:r w:rsidR="007A6647" w:rsidRPr="00636553">
        <w:rPr>
          <w:sz w:val="22"/>
          <w:szCs w:val="22"/>
        </w:rPr>
        <w:t>70,</w:t>
      </w:r>
      <w:r w:rsidR="009A314E" w:rsidRPr="00636553">
        <w:rPr>
          <w:sz w:val="22"/>
          <w:szCs w:val="22"/>
        </w:rPr>
        <w:t>98</w:t>
      </w:r>
      <w:r w:rsidR="00502220" w:rsidRPr="00636553">
        <w:rPr>
          <w:sz w:val="22"/>
          <w:szCs w:val="22"/>
        </w:rPr>
        <w:t xml:space="preserve"> mil.</w:t>
      </w:r>
      <w:r w:rsidRPr="00636553">
        <w:rPr>
          <w:sz w:val="22"/>
          <w:szCs w:val="22"/>
        </w:rPr>
        <w:t xml:space="preserve"> EUR, </w:t>
      </w:r>
      <w:r w:rsidR="00491AA2" w:rsidRPr="00636553">
        <w:rPr>
          <w:sz w:val="22"/>
          <w:szCs w:val="22"/>
        </w:rPr>
        <w:t xml:space="preserve">představující </w:t>
      </w:r>
      <w:r w:rsidR="009A314E" w:rsidRPr="00636553">
        <w:rPr>
          <w:sz w:val="22"/>
          <w:szCs w:val="22"/>
        </w:rPr>
        <w:t>4,53</w:t>
      </w:r>
      <w:r w:rsidR="00992F47" w:rsidRPr="00636553">
        <w:rPr>
          <w:sz w:val="22"/>
          <w:szCs w:val="22"/>
        </w:rPr>
        <w:t xml:space="preserve"> </w:t>
      </w:r>
      <w:r w:rsidRPr="00636553">
        <w:rPr>
          <w:sz w:val="22"/>
          <w:szCs w:val="22"/>
        </w:rPr>
        <w:t>% alokace programu</w:t>
      </w:r>
      <w:r w:rsidR="00502220" w:rsidRPr="00636553">
        <w:rPr>
          <w:sz w:val="22"/>
          <w:szCs w:val="22"/>
        </w:rPr>
        <w:t xml:space="preserve">, celkově bylo </w:t>
      </w:r>
      <w:r w:rsidR="00914BC7" w:rsidRPr="00636553">
        <w:rPr>
          <w:sz w:val="22"/>
          <w:szCs w:val="22"/>
        </w:rPr>
        <w:t>k 30. 9. 2015</w:t>
      </w:r>
      <w:r w:rsidR="00502220" w:rsidRPr="00636553">
        <w:rPr>
          <w:sz w:val="22"/>
          <w:szCs w:val="22"/>
        </w:rPr>
        <w:t xml:space="preserve"> proplaceno 63,</w:t>
      </w:r>
      <w:r w:rsidR="009A314E" w:rsidRPr="00636553">
        <w:rPr>
          <w:sz w:val="22"/>
          <w:szCs w:val="22"/>
        </w:rPr>
        <w:t>42</w:t>
      </w:r>
      <w:r w:rsidR="00502220" w:rsidRPr="00636553">
        <w:rPr>
          <w:sz w:val="22"/>
          <w:szCs w:val="22"/>
        </w:rPr>
        <w:t xml:space="preserve"> % alokace programu.</w:t>
      </w:r>
      <w:r w:rsidRPr="00636553">
        <w:rPr>
          <w:sz w:val="22"/>
          <w:szCs w:val="22"/>
        </w:rPr>
        <w:t xml:space="preserve"> </w:t>
      </w:r>
      <w:r w:rsidR="00636553" w:rsidRPr="00636553">
        <w:rPr>
          <w:sz w:val="22"/>
          <w:szCs w:val="22"/>
        </w:rPr>
        <w:t>Celkově bylo v</w:t>
      </w:r>
      <w:r w:rsidR="00EB7E2B" w:rsidRPr="00636553">
        <w:rPr>
          <w:sz w:val="22"/>
          <w:szCs w:val="22"/>
        </w:rPr>
        <w:t> </w:t>
      </w:r>
      <w:r w:rsidRPr="00636553">
        <w:rPr>
          <w:sz w:val="22"/>
          <w:szCs w:val="22"/>
        </w:rPr>
        <w:t>souhrnných žádostech PCO</w:t>
      </w:r>
      <w:r w:rsidR="00636553" w:rsidRPr="00636553">
        <w:rPr>
          <w:sz w:val="22"/>
          <w:szCs w:val="22"/>
        </w:rPr>
        <w:t xml:space="preserve"> zaúčtováno</w:t>
      </w:r>
      <w:r w:rsidRPr="00636553">
        <w:rPr>
          <w:sz w:val="22"/>
          <w:szCs w:val="22"/>
        </w:rPr>
        <w:t xml:space="preserve"> </w:t>
      </w:r>
      <w:r w:rsidR="009A314E" w:rsidRPr="00636553">
        <w:rPr>
          <w:sz w:val="22"/>
          <w:szCs w:val="22"/>
        </w:rPr>
        <w:t>1</w:t>
      </w:r>
      <w:r w:rsidR="00480F2C">
        <w:rPr>
          <w:sz w:val="22"/>
          <w:szCs w:val="22"/>
        </w:rPr>
        <w:t xml:space="preserve"> </w:t>
      </w:r>
      <w:r w:rsidR="009A314E" w:rsidRPr="00636553">
        <w:rPr>
          <w:sz w:val="22"/>
          <w:szCs w:val="22"/>
        </w:rPr>
        <w:t>091,2</w:t>
      </w:r>
      <w:r w:rsidR="00267599" w:rsidRPr="00636553">
        <w:rPr>
          <w:sz w:val="22"/>
          <w:szCs w:val="22"/>
        </w:rPr>
        <w:t xml:space="preserve"> mil.</w:t>
      </w:r>
      <w:r w:rsidRPr="00636553">
        <w:rPr>
          <w:sz w:val="22"/>
          <w:szCs w:val="22"/>
        </w:rPr>
        <w:t xml:space="preserve"> EUR, tedy </w:t>
      </w:r>
      <w:r w:rsidR="009A314E" w:rsidRPr="00636553">
        <w:rPr>
          <w:sz w:val="22"/>
          <w:szCs w:val="22"/>
        </w:rPr>
        <w:t>66,52</w:t>
      </w:r>
      <w:r w:rsidR="00267599" w:rsidRPr="00636553">
        <w:rPr>
          <w:sz w:val="22"/>
          <w:szCs w:val="22"/>
        </w:rPr>
        <w:t xml:space="preserve"> % alokace</w:t>
      </w:r>
      <w:r w:rsidRPr="00636553">
        <w:rPr>
          <w:sz w:val="22"/>
          <w:szCs w:val="22"/>
        </w:rPr>
        <w:t>.</w:t>
      </w:r>
      <w:r w:rsidR="00502220" w:rsidRPr="00636553">
        <w:rPr>
          <w:sz w:val="22"/>
          <w:szCs w:val="22"/>
        </w:rPr>
        <w:t xml:space="preserve"> Ve sledovaném období </w:t>
      </w:r>
      <w:r w:rsidR="00267599" w:rsidRPr="00636553">
        <w:rPr>
          <w:sz w:val="22"/>
          <w:szCs w:val="22"/>
        </w:rPr>
        <w:t>byly certifikovány</w:t>
      </w:r>
      <w:r w:rsidRPr="00636553">
        <w:rPr>
          <w:sz w:val="22"/>
          <w:szCs w:val="22"/>
        </w:rPr>
        <w:t xml:space="preserve"> výdaje ve výši </w:t>
      </w:r>
      <w:r w:rsidR="00636553" w:rsidRPr="00636553">
        <w:rPr>
          <w:sz w:val="22"/>
          <w:szCs w:val="22"/>
        </w:rPr>
        <w:t>11,17</w:t>
      </w:r>
      <w:r w:rsidR="00992F47" w:rsidRPr="00636553">
        <w:rPr>
          <w:sz w:val="22"/>
          <w:szCs w:val="22"/>
        </w:rPr>
        <w:t xml:space="preserve"> </w:t>
      </w:r>
      <w:r w:rsidRPr="00636553">
        <w:rPr>
          <w:sz w:val="22"/>
          <w:szCs w:val="22"/>
        </w:rPr>
        <w:t xml:space="preserve">mil. EUR, které představují </w:t>
      </w:r>
      <w:r w:rsidR="00636553" w:rsidRPr="00636553">
        <w:rPr>
          <w:sz w:val="22"/>
          <w:szCs w:val="22"/>
        </w:rPr>
        <w:t>0,8</w:t>
      </w:r>
      <w:r w:rsidR="00502220" w:rsidRPr="00636553">
        <w:rPr>
          <w:sz w:val="22"/>
          <w:szCs w:val="22"/>
        </w:rPr>
        <w:t xml:space="preserve"> </w:t>
      </w:r>
      <w:r w:rsidR="00267599" w:rsidRPr="00636553">
        <w:rPr>
          <w:sz w:val="22"/>
          <w:szCs w:val="22"/>
        </w:rPr>
        <w:t xml:space="preserve">% alokace programu, celkově je certifikováno </w:t>
      </w:r>
      <w:r w:rsidR="00636553" w:rsidRPr="00636553">
        <w:rPr>
          <w:sz w:val="22"/>
          <w:szCs w:val="22"/>
        </w:rPr>
        <w:t>61,78</w:t>
      </w:r>
      <w:r w:rsidR="00267599" w:rsidRPr="00636553">
        <w:rPr>
          <w:sz w:val="22"/>
          <w:szCs w:val="22"/>
        </w:rPr>
        <w:t xml:space="preserve"> % alokace programu. </w:t>
      </w:r>
    </w:p>
    <w:p w:rsidR="005873BD" w:rsidRPr="00376C83" w:rsidRDefault="005873BD" w:rsidP="005B71E4">
      <w:pPr>
        <w:jc w:val="both"/>
        <w:rPr>
          <w:sz w:val="22"/>
          <w:szCs w:val="22"/>
          <w:highlight w:val="yellow"/>
        </w:rPr>
      </w:pPr>
    </w:p>
    <w:p w:rsidR="005873BD" w:rsidRPr="00636553" w:rsidRDefault="005873BD" w:rsidP="005873BD">
      <w:pPr>
        <w:jc w:val="both"/>
        <w:rPr>
          <w:sz w:val="22"/>
          <w:szCs w:val="22"/>
        </w:rPr>
      </w:pPr>
      <w:r w:rsidRPr="00636553">
        <w:rPr>
          <w:sz w:val="22"/>
          <w:szCs w:val="22"/>
        </w:rPr>
        <w:t xml:space="preserve">ŘO IOP předložil EK žádosti za oba velké projekty („Připravenost Hasičského záchranného sboru České republiky k řešení povodní“ a „Zvýšení akceschopnosti Policie ČR k záchraně lidských životů </w:t>
      </w:r>
    </w:p>
    <w:p w:rsidR="005873BD" w:rsidRPr="00636553" w:rsidRDefault="005873BD" w:rsidP="005873BD">
      <w:pPr>
        <w:jc w:val="both"/>
        <w:rPr>
          <w:sz w:val="22"/>
          <w:szCs w:val="22"/>
        </w:rPr>
      </w:pPr>
      <w:r w:rsidRPr="00636553">
        <w:rPr>
          <w:sz w:val="22"/>
          <w:szCs w:val="22"/>
        </w:rPr>
        <w:t>a ochraně majetku při povodních“). Na základě požadavků EK předložil  ŘO IOP dne 30. 5. 2014 upravenou žádost, kde zpřesnil účel pořizované techniky a rozšířil analýzu potřeb projektu GŘ HZS „Připravenost Hasičského záchranného sboru České republiky k řešení povodní“. Evropská komise projekt dne 14. 8. 2014 schválila. Projekt je aktuálně v realizaci a podle schváleného harmonogramu probíhají veřejné zakázky. Projekt Policejního prezídia ČR nebyl do 25. 2. 2015 schválen, proto předložil příjemce 26.2. Oznámení o ukončení projektu</w:t>
      </w:r>
      <w:r w:rsidR="00480F2C">
        <w:rPr>
          <w:sz w:val="22"/>
          <w:szCs w:val="22"/>
        </w:rPr>
        <w:t xml:space="preserve"> a</w:t>
      </w:r>
      <w:r w:rsidRPr="00636553">
        <w:rPr>
          <w:sz w:val="22"/>
          <w:szCs w:val="22"/>
        </w:rPr>
        <w:t xml:space="preserve"> ŘO IOP stáhl žádost o podporu v režimu velkého projektu</w:t>
      </w:r>
      <w:r w:rsidR="00876E73" w:rsidRPr="00636553">
        <w:rPr>
          <w:sz w:val="22"/>
          <w:szCs w:val="22"/>
        </w:rPr>
        <w:t>.</w:t>
      </w:r>
      <w:r w:rsidRPr="00636553">
        <w:rPr>
          <w:sz w:val="22"/>
          <w:szCs w:val="22"/>
        </w:rPr>
        <w:t xml:space="preserve">  </w:t>
      </w:r>
    </w:p>
    <w:p w:rsidR="00B87D0E" w:rsidRDefault="00B87D0E" w:rsidP="002B0527">
      <w:pPr>
        <w:jc w:val="both"/>
        <w:rPr>
          <w:sz w:val="22"/>
          <w:szCs w:val="22"/>
          <w:highlight w:val="yellow"/>
        </w:rPr>
      </w:pPr>
    </w:p>
    <w:p w:rsidR="00636553" w:rsidRDefault="00636553" w:rsidP="00636553">
      <w:pPr>
        <w:pStyle w:val="Odstavecseseznamem"/>
        <w:widowControl w:val="0"/>
        <w:autoSpaceDE w:val="0"/>
        <w:autoSpaceDN w:val="0"/>
        <w:adjustRightInd w:val="0"/>
        <w:spacing w:after="0" w:line="240" w:lineRule="auto"/>
        <w:ind w:left="0"/>
        <w:jc w:val="both"/>
        <w:rPr>
          <w:rFonts w:ascii="Times New Roman" w:hAnsi="Times New Roman"/>
        </w:rPr>
      </w:pPr>
      <w:r w:rsidRPr="00673E63">
        <w:rPr>
          <w:rFonts w:ascii="Times New Roman" w:hAnsi="Times New Roman"/>
        </w:rPr>
        <w:t xml:space="preserve">V roce 2015 je hlavním cílem uzavřít poslední </w:t>
      </w:r>
      <w:r w:rsidR="00480F2C">
        <w:rPr>
          <w:rFonts w:ascii="Times New Roman" w:hAnsi="Times New Roman"/>
        </w:rPr>
        <w:t>zadávací a výběrová</w:t>
      </w:r>
      <w:r w:rsidRPr="00673E63">
        <w:rPr>
          <w:rFonts w:ascii="Times New Roman" w:hAnsi="Times New Roman"/>
        </w:rPr>
        <w:t xml:space="preserve"> řízení, úspěšně dokončit realizaci projektů</w:t>
      </w:r>
      <w:r w:rsidR="00480F2C">
        <w:rPr>
          <w:rFonts w:ascii="Times New Roman" w:hAnsi="Times New Roman"/>
        </w:rPr>
        <w:t xml:space="preserve"> </w:t>
      </w:r>
      <w:r w:rsidRPr="00673E63">
        <w:rPr>
          <w:rFonts w:ascii="Times New Roman" w:hAnsi="Times New Roman"/>
        </w:rPr>
        <w:t>a dočerpat maximum prostředků z disponibilní alokace programu. Zároveň je nutné začít s přípravou na ukončování programu.</w:t>
      </w:r>
    </w:p>
    <w:p w:rsidR="00CB0FCE" w:rsidRDefault="00CB0FCE" w:rsidP="00636553">
      <w:pPr>
        <w:pStyle w:val="Odstavecseseznamem"/>
        <w:widowControl w:val="0"/>
        <w:autoSpaceDE w:val="0"/>
        <w:autoSpaceDN w:val="0"/>
        <w:adjustRightInd w:val="0"/>
        <w:spacing w:after="0" w:line="240" w:lineRule="auto"/>
        <w:ind w:left="0"/>
        <w:jc w:val="both"/>
        <w:rPr>
          <w:rFonts w:ascii="Times New Roman" w:hAnsi="Times New Roman"/>
        </w:rPr>
      </w:pPr>
    </w:p>
    <w:p w:rsidR="00CB0FCE" w:rsidRPr="00376C83" w:rsidRDefault="00CB0FCE" w:rsidP="00CB0FCE">
      <w:pPr>
        <w:jc w:val="both"/>
        <w:rPr>
          <w:sz w:val="22"/>
          <w:szCs w:val="22"/>
          <w:highlight w:val="yellow"/>
        </w:rPr>
      </w:pPr>
      <w:r w:rsidRPr="00673E63">
        <w:rPr>
          <w:sz w:val="22"/>
          <w:szCs w:val="22"/>
        </w:rPr>
        <w:t xml:space="preserve">Klíčovým problémem je prodlužování realizace některých projektů, které ovlivňují plnění predikcí čerpání finančních prostředků. Řídící orgán IOP, ve spolupráci se zprostředkujícími subjekty, provádí od července 2012 speciální </w:t>
      </w:r>
      <w:r w:rsidRPr="00673E63">
        <w:rPr>
          <w:b/>
          <w:sz w:val="22"/>
          <w:szCs w:val="22"/>
        </w:rPr>
        <w:t>systém dohledu a řízení spících projektů</w:t>
      </w:r>
      <w:r w:rsidRPr="00673E63">
        <w:rPr>
          <w:sz w:val="22"/>
          <w:szCs w:val="22"/>
        </w:rPr>
        <w:t xml:space="preserve"> (termíny pro realizaci projektu jsou na hranici proveditelnosti), vysoce rizikových projektů (obtížná komunikace s příjemcem, plnění termínů vykazuje vážné nedostatky) a rizikových projektů (plnění termínů realizace vykazuje zvýšené riziko nedokončení v řádném termínu, </w:t>
      </w:r>
      <w:r w:rsidR="00480F2C">
        <w:rPr>
          <w:sz w:val="22"/>
          <w:szCs w:val="22"/>
        </w:rPr>
        <w:t>po</w:t>
      </w:r>
      <w:r w:rsidRPr="00673E63">
        <w:rPr>
          <w:sz w:val="22"/>
          <w:szCs w:val="22"/>
        </w:rPr>
        <w:t xml:space="preserve">dle původního harmonogramu realizace projektu). Tento systém se v čase rozvíjel a více </w:t>
      </w:r>
      <w:r w:rsidR="00480F2C">
        <w:rPr>
          <w:sz w:val="22"/>
          <w:szCs w:val="22"/>
        </w:rPr>
        <w:t xml:space="preserve">se </w:t>
      </w:r>
      <w:r w:rsidRPr="00673E63">
        <w:rPr>
          <w:sz w:val="22"/>
          <w:szCs w:val="22"/>
        </w:rPr>
        <w:t xml:space="preserve">zaměřoval </w:t>
      </w:r>
      <w:r w:rsidR="00480F2C">
        <w:rPr>
          <w:sz w:val="22"/>
          <w:szCs w:val="22"/>
        </w:rPr>
        <w:t>na</w:t>
      </w:r>
      <w:r w:rsidRPr="00673E63">
        <w:rPr>
          <w:sz w:val="22"/>
          <w:szCs w:val="22"/>
        </w:rPr>
        <w:t> individuální poradenství a dozor nad jednotlivými projekty, často se zapojením ŘO IOP například v řídicích výborech projektů.</w:t>
      </w:r>
    </w:p>
    <w:p w:rsidR="00636553" w:rsidRPr="00376C83" w:rsidRDefault="00636553" w:rsidP="002B0527">
      <w:pPr>
        <w:jc w:val="both"/>
        <w:rPr>
          <w:sz w:val="22"/>
          <w:szCs w:val="22"/>
          <w:highlight w:val="yellow"/>
        </w:rPr>
      </w:pPr>
    </w:p>
    <w:p w:rsidR="00B87D0E" w:rsidRPr="00376C83" w:rsidRDefault="00B87D0E" w:rsidP="00B87D0E">
      <w:pPr>
        <w:jc w:val="both"/>
        <w:rPr>
          <w:sz w:val="22"/>
          <w:szCs w:val="22"/>
          <w:highlight w:val="yellow"/>
        </w:rPr>
      </w:pPr>
      <w:r w:rsidRPr="00CB0FCE">
        <w:rPr>
          <w:sz w:val="22"/>
          <w:szCs w:val="22"/>
        </w:rPr>
        <w:t>ŘO IOP na začátku roku 2015 odhad</w:t>
      </w:r>
      <w:r w:rsidR="00876E73" w:rsidRPr="00CB0FCE">
        <w:rPr>
          <w:sz w:val="22"/>
          <w:szCs w:val="22"/>
        </w:rPr>
        <w:t>oval</w:t>
      </w:r>
      <w:r w:rsidRPr="00CB0FCE">
        <w:rPr>
          <w:sz w:val="22"/>
          <w:szCs w:val="22"/>
        </w:rPr>
        <w:t xml:space="preserve"> objem volných prostředků programu v celkové výši </w:t>
      </w:r>
      <w:r w:rsidR="00C91185">
        <w:rPr>
          <w:sz w:val="22"/>
          <w:szCs w:val="22"/>
        </w:rPr>
        <w:br/>
      </w:r>
      <w:r w:rsidR="00636553" w:rsidRPr="00CB0FCE">
        <w:rPr>
          <w:sz w:val="22"/>
          <w:szCs w:val="22"/>
        </w:rPr>
        <w:t>1,22 mld. Kč. V této částce není</w:t>
      </w:r>
      <w:r w:rsidRPr="00CB0FCE">
        <w:rPr>
          <w:sz w:val="22"/>
          <w:szCs w:val="22"/>
        </w:rPr>
        <w:t xml:space="preserve"> zohledněno riziko odstupování spících a rizikových projektů. Tyto projekty představují potenciální nebezpečí dalších uvolněných prostředků, které nebude možné s ohledem na čas absorbovat. Při naplnění optimistických očekávání, předpokládá ŘO IOP nedočerpání programu </w:t>
      </w:r>
      <w:r w:rsidR="008C6C74" w:rsidRPr="00CB0FCE">
        <w:rPr>
          <w:sz w:val="22"/>
          <w:szCs w:val="22"/>
        </w:rPr>
        <w:t>2,</w:t>
      </w:r>
      <w:r w:rsidR="00CB0FCE" w:rsidRPr="00CB0FCE">
        <w:rPr>
          <w:sz w:val="22"/>
          <w:szCs w:val="22"/>
        </w:rPr>
        <w:t>3</w:t>
      </w:r>
      <w:r w:rsidRPr="00CB0FCE">
        <w:rPr>
          <w:sz w:val="22"/>
          <w:szCs w:val="22"/>
        </w:rPr>
        <w:t xml:space="preserve"> mld. Kč, pesimistickou variantou je ztráta ve výši </w:t>
      </w:r>
      <w:r w:rsidR="00CB0FCE" w:rsidRPr="00CB0FCE">
        <w:rPr>
          <w:sz w:val="22"/>
          <w:szCs w:val="22"/>
        </w:rPr>
        <w:t xml:space="preserve">4,1 </w:t>
      </w:r>
      <w:r w:rsidRPr="00CB0FCE">
        <w:rPr>
          <w:sz w:val="22"/>
          <w:szCs w:val="22"/>
        </w:rPr>
        <w:t>mld. Kč.</w:t>
      </w:r>
    </w:p>
    <w:p w:rsidR="002B0527" w:rsidRPr="00376C83" w:rsidRDefault="002B0527" w:rsidP="002B0527">
      <w:pPr>
        <w:jc w:val="both"/>
        <w:rPr>
          <w:sz w:val="22"/>
          <w:szCs w:val="22"/>
          <w:highlight w:val="yellow"/>
        </w:rPr>
      </w:pPr>
    </w:p>
    <w:p w:rsidR="003E4916" w:rsidRPr="00376C83" w:rsidRDefault="003E4916" w:rsidP="003E4916">
      <w:pPr>
        <w:jc w:val="both"/>
        <w:rPr>
          <w:sz w:val="22"/>
          <w:szCs w:val="22"/>
          <w:highlight w:val="yellow"/>
        </w:rPr>
      </w:pPr>
    </w:p>
    <w:p w:rsidR="00B24135" w:rsidRDefault="00B24135" w:rsidP="00C572FE">
      <w:pPr>
        <w:spacing w:line="360" w:lineRule="auto"/>
        <w:jc w:val="both"/>
        <w:rPr>
          <w:b/>
          <w:sz w:val="16"/>
          <w:szCs w:val="16"/>
        </w:rPr>
      </w:pPr>
    </w:p>
    <w:p w:rsidR="0023613D" w:rsidRDefault="0023613D" w:rsidP="00C572FE">
      <w:pPr>
        <w:spacing w:line="360" w:lineRule="auto"/>
        <w:jc w:val="both"/>
        <w:rPr>
          <w:b/>
          <w:sz w:val="16"/>
          <w:szCs w:val="16"/>
        </w:rPr>
      </w:pPr>
    </w:p>
    <w:p w:rsidR="0023613D" w:rsidRDefault="0023613D" w:rsidP="00C572FE">
      <w:pPr>
        <w:spacing w:line="360" w:lineRule="auto"/>
        <w:jc w:val="both"/>
        <w:rPr>
          <w:b/>
          <w:sz w:val="16"/>
          <w:szCs w:val="16"/>
        </w:rPr>
      </w:pPr>
    </w:p>
    <w:p w:rsidR="0023613D" w:rsidRDefault="0023613D" w:rsidP="00C572FE">
      <w:pPr>
        <w:spacing w:line="360" w:lineRule="auto"/>
        <w:jc w:val="both"/>
        <w:rPr>
          <w:b/>
          <w:sz w:val="16"/>
          <w:szCs w:val="16"/>
        </w:rPr>
      </w:pPr>
    </w:p>
    <w:p w:rsidR="0023613D" w:rsidRDefault="0023613D" w:rsidP="00C572FE">
      <w:pPr>
        <w:spacing w:line="360" w:lineRule="auto"/>
        <w:jc w:val="both"/>
        <w:rPr>
          <w:b/>
          <w:sz w:val="16"/>
          <w:szCs w:val="16"/>
        </w:rPr>
      </w:pPr>
    </w:p>
    <w:p w:rsidR="0023613D" w:rsidRDefault="0023613D" w:rsidP="00C572FE">
      <w:pPr>
        <w:spacing w:line="360" w:lineRule="auto"/>
        <w:jc w:val="both"/>
        <w:rPr>
          <w:b/>
          <w:sz w:val="16"/>
          <w:szCs w:val="16"/>
        </w:rPr>
      </w:pPr>
    </w:p>
    <w:p w:rsidR="0023613D" w:rsidRDefault="0023613D" w:rsidP="00C572FE">
      <w:pPr>
        <w:spacing w:line="360" w:lineRule="auto"/>
        <w:jc w:val="both"/>
        <w:rPr>
          <w:b/>
          <w:sz w:val="16"/>
          <w:szCs w:val="16"/>
        </w:rPr>
      </w:pPr>
    </w:p>
    <w:p w:rsidR="0023613D" w:rsidRDefault="0023613D" w:rsidP="00C572FE">
      <w:pPr>
        <w:spacing w:line="360" w:lineRule="auto"/>
        <w:jc w:val="both"/>
        <w:rPr>
          <w:b/>
          <w:sz w:val="16"/>
          <w:szCs w:val="16"/>
        </w:rPr>
      </w:pPr>
    </w:p>
    <w:p w:rsidR="0023613D" w:rsidRDefault="0023613D" w:rsidP="00C572FE">
      <w:pPr>
        <w:spacing w:line="360" w:lineRule="auto"/>
        <w:jc w:val="both"/>
        <w:rPr>
          <w:b/>
          <w:sz w:val="16"/>
          <w:szCs w:val="16"/>
        </w:rPr>
      </w:pPr>
    </w:p>
    <w:p w:rsidR="00FA6CA4" w:rsidRDefault="00FA6CA4" w:rsidP="00C572FE">
      <w:pPr>
        <w:spacing w:line="360" w:lineRule="auto"/>
        <w:jc w:val="both"/>
        <w:rPr>
          <w:b/>
          <w:sz w:val="16"/>
          <w:szCs w:val="16"/>
        </w:rPr>
        <w:sectPr w:rsidR="00FA6CA4" w:rsidSect="00356E21">
          <w:footerReference w:type="default" r:id="rId53"/>
          <w:pgSz w:w="11907" w:h="16840" w:code="9"/>
          <w:pgMar w:top="1418" w:right="1418" w:bottom="1418" w:left="1418" w:header="680" w:footer="709" w:gutter="0"/>
          <w:cols w:space="708"/>
          <w:docGrid w:linePitch="272"/>
        </w:sectPr>
      </w:pPr>
    </w:p>
    <w:p w:rsidR="00D644B0" w:rsidRPr="009C349A" w:rsidRDefault="00D644B0" w:rsidP="00C572FE">
      <w:pPr>
        <w:pStyle w:val="Nadpis1"/>
        <w:jc w:val="left"/>
        <w:rPr>
          <w:smallCaps w:val="0"/>
          <w:kern w:val="32"/>
          <w:sz w:val="32"/>
          <w:szCs w:val="32"/>
        </w:rPr>
      </w:pPr>
      <w:bookmarkStart w:id="169" w:name="_Toc433873533"/>
      <w:r w:rsidRPr="009C349A">
        <w:rPr>
          <w:smallCaps w:val="0"/>
          <w:kern w:val="32"/>
          <w:sz w:val="32"/>
          <w:szCs w:val="32"/>
        </w:rPr>
        <w:lastRenderedPageBreak/>
        <w:t>SEZNAM ZKRATEK</w:t>
      </w:r>
      <w:bookmarkEnd w:id="169"/>
    </w:p>
    <w:tbl>
      <w:tblPr>
        <w:tblW w:w="9356" w:type="dxa"/>
        <w:jc w:val="center"/>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Look w:val="01E0" w:firstRow="1" w:lastRow="1" w:firstColumn="1" w:lastColumn="1" w:noHBand="0" w:noVBand="0"/>
      </w:tblPr>
      <w:tblGrid>
        <w:gridCol w:w="1703"/>
        <w:gridCol w:w="7653"/>
      </w:tblGrid>
      <w:tr w:rsidR="00D644B0" w:rsidRPr="007417DF" w:rsidTr="00EC119B">
        <w:trPr>
          <w:trHeight w:hRule="exact" w:val="284"/>
          <w:jc w:val="center"/>
        </w:trPr>
        <w:tc>
          <w:tcPr>
            <w:tcW w:w="1703" w:type="dxa"/>
            <w:vAlign w:val="center"/>
          </w:tcPr>
          <w:p w:rsidR="00D644B0" w:rsidRPr="00B45226" w:rsidRDefault="00D644B0">
            <w:pPr>
              <w:autoSpaceDE w:val="0"/>
              <w:autoSpaceDN w:val="0"/>
              <w:adjustRightInd w:val="0"/>
              <w:jc w:val="center"/>
              <w:rPr>
                <w:sz w:val="22"/>
                <w:szCs w:val="22"/>
              </w:rPr>
            </w:pPr>
            <w:r w:rsidRPr="00B45226">
              <w:rPr>
                <w:sz w:val="22"/>
                <w:szCs w:val="22"/>
              </w:rPr>
              <w:t>AO</w:t>
            </w:r>
          </w:p>
        </w:tc>
        <w:tc>
          <w:tcPr>
            <w:tcW w:w="7653" w:type="dxa"/>
            <w:vAlign w:val="center"/>
          </w:tcPr>
          <w:p w:rsidR="00D644B0" w:rsidRPr="00B45226" w:rsidRDefault="00D644B0">
            <w:pPr>
              <w:pStyle w:val="Seznam2"/>
              <w:ind w:left="0" w:firstLine="0"/>
              <w:rPr>
                <w:sz w:val="22"/>
                <w:szCs w:val="22"/>
              </w:rPr>
            </w:pPr>
            <w:r w:rsidRPr="00B45226">
              <w:rPr>
                <w:sz w:val="22"/>
                <w:szCs w:val="22"/>
              </w:rPr>
              <w:t xml:space="preserve">Auditní orgán </w:t>
            </w:r>
          </w:p>
        </w:tc>
      </w:tr>
      <w:tr w:rsidR="009272BA" w:rsidRPr="007417DF" w:rsidTr="00EC119B">
        <w:trPr>
          <w:trHeight w:hRule="exact" w:val="284"/>
          <w:jc w:val="center"/>
        </w:trPr>
        <w:tc>
          <w:tcPr>
            <w:tcW w:w="1703" w:type="dxa"/>
            <w:vAlign w:val="center"/>
          </w:tcPr>
          <w:p w:rsidR="009272BA" w:rsidRPr="00B45226" w:rsidRDefault="009272BA">
            <w:pPr>
              <w:autoSpaceDE w:val="0"/>
              <w:autoSpaceDN w:val="0"/>
              <w:adjustRightInd w:val="0"/>
              <w:jc w:val="center"/>
              <w:rPr>
                <w:sz w:val="22"/>
                <w:szCs w:val="22"/>
              </w:rPr>
            </w:pPr>
            <w:r>
              <w:rPr>
                <w:sz w:val="22"/>
                <w:szCs w:val="22"/>
              </w:rPr>
              <w:t>AP</w:t>
            </w:r>
          </w:p>
        </w:tc>
        <w:tc>
          <w:tcPr>
            <w:tcW w:w="7653" w:type="dxa"/>
            <w:vAlign w:val="center"/>
          </w:tcPr>
          <w:p w:rsidR="009272BA" w:rsidRPr="00B45226" w:rsidRDefault="009272BA">
            <w:pPr>
              <w:pStyle w:val="Seznam2"/>
              <w:ind w:left="0" w:firstLine="0"/>
              <w:rPr>
                <w:sz w:val="22"/>
                <w:szCs w:val="22"/>
              </w:rPr>
            </w:pPr>
            <w:r>
              <w:rPr>
                <w:sz w:val="22"/>
                <w:szCs w:val="22"/>
              </w:rPr>
              <w:t>Akční plán</w:t>
            </w:r>
          </w:p>
        </w:tc>
      </w:tr>
      <w:tr w:rsidR="008A1E26" w:rsidRPr="007417DF" w:rsidTr="00EC119B">
        <w:trPr>
          <w:trHeight w:hRule="exact" w:val="284"/>
          <w:jc w:val="center"/>
        </w:trPr>
        <w:tc>
          <w:tcPr>
            <w:tcW w:w="1703" w:type="dxa"/>
            <w:vAlign w:val="center"/>
          </w:tcPr>
          <w:p w:rsidR="008A1E26" w:rsidRPr="00B45226" w:rsidRDefault="008A1E26">
            <w:pPr>
              <w:autoSpaceDE w:val="0"/>
              <w:autoSpaceDN w:val="0"/>
              <w:adjustRightInd w:val="0"/>
              <w:jc w:val="center"/>
              <w:rPr>
                <w:sz w:val="22"/>
                <w:szCs w:val="22"/>
              </w:rPr>
            </w:pPr>
            <w:r>
              <w:rPr>
                <w:sz w:val="22"/>
                <w:szCs w:val="22"/>
              </w:rPr>
              <w:t>CES</w:t>
            </w:r>
          </w:p>
        </w:tc>
        <w:tc>
          <w:tcPr>
            <w:tcW w:w="7653" w:type="dxa"/>
            <w:vAlign w:val="center"/>
          </w:tcPr>
          <w:p w:rsidR="008A1E26" w:rsidRPr="00B45226" w:rsidRDefault="008A1E26">
            <w:pPr>
              <w:pStyle w:val="Seznam2"/>
              <w:ind w:left="0" w:firstLine="0"/>
              <w:rPr>
                <w:sz w:val="22"/>
                <w:szCs w:val="22"/>
              </w:rPr>
            </w:pPr>
            <w:r>
              <w:rPr>
                <w:sz w:val="22"/>
                <w:szCs w:val="22"/>
              </w:rPr>
              <w:t>Centrální evidence smluv</w:t>
            </w:r>
          </w:p>
        </w:tc>
      </w:tr>
      <w:tr w:rsidR="00D644B0" w:rsidRPr="007417DF" w:rsidTr="00EC119B">
        <w:trPr>
          <w:trHeight w:hRule="exact" w:val="284"/>
          <w:jc w:val="center"/>
        </w:trPr>
        <w:tc>
          <w:tcPr>
            <w:tcW w:w="1703" w:type="dxa"/>
            <w:vAlign w:val="center"/>
          </w:tcPr>
          <w:p w:rsidR="00D644B0" w:rsidRPr="00B45226" w:rsidRDefault="00D644B0">
            <w:pPr>
              <w:autoSpaceDE w:val="0"/>
              <w:autoSpaceDN w:val="0"/>
              <w:adjustRightInd w:val="0"/>
              <w:jc w:val="center"/>
              <w:rPr>
                <w:sz w:val="22"/>
                <w:szCs w:val="22"/>
              </w:rPr>
            </w:pPr>
            <w:r w:rsidRPr="00B45226">
              <w:rPr>
                <w:sz w:val="22"/>
                <w:szCs w:val="22"/>
              </w:rPr>
              <w:t>CR</w:t>
            </w:r>
          </w:p>
        </w:tc>
        <w:tc>
          <w:tcPr>
            <w:tcW w:w="7653" w:type="dxa"/>
            <w:vAlign w:val="center"/>
          </w:tcPr>
          <w:p w:rsidR="00D644B0" w:rsidRPr="00B45226" w:rsidRDefault="00D644B0">
            <w:pPr>
              <w:pStyle w:val="Seznam2"/>
              <w:ind w:left="0" w:firstLine="0"/>
              <w:rPr>
                <w:sz w:val="22"/>
                <w:szCs w:val="22"/>
              </w:rPr>
            </w:pPr>
            <w:r w:rsidRPr="00B45226">
              <w:rPr>
                <w:sz w:val="22"/>
                <w:szCs w:val="22"/>
              </w:rPr>
              <w:t>Cestovní ruch</w:t>
            </w:r>
          </w:p>
        </w:tc>
      </w:tr>
      <w:tr w:rsidR="00D644B0" w:rsidRPr="007417DF" w:rsidTr="00EC119B">
        <w:trPr>
          <w:trHeight w:hRule="exact" w:val="284"/>
          <w:jc w:val="center"/>
        </w:trPr>
        <w:tc>
          <w:tcPr>
            <w:tcW w:w="1703" w:type="dxa"/>
            <w:vAlign w:val="center"/>
          </w:tcPr>
          <w:p w:rsidR="00D644B0" w:rsidRPr="00B45226" w:rsidRDefault="00D644B0">
            <w:pPr>
              <w:autoSpaceDE w:val="0"/>
              <w:autoSpaceDN w:val="0"/>
              <w:adjustRightInd w:val="0"/>
              <w:jc w:val="center"/>
              <w:rPr>
                <w:sz w:val="22"/>
                <w:szCs w:val="22"/>
              </w:rPr>
            </w:pPr>
            <w:r w:rsidRPr="00B45226">
              <w:rPr>
                <w:sz w:val="22"/>
                <w:szCs w:val="22"/>
              </w:rPr>
              <w:t>CRR</w:t>
            </w:r>
          </w:p>
        </w:tc>
        <w:tc>
          <w:tcPr>
            <w:tcW w:w="7653" w:type="dxa"/>
            <w:vAlign w:val="center"/>
          </w:tcPr>
          <w:p w:rsidR="00D644B0" w:rsidRPr="00B45226" w:rsidRDefault="00D644B0">
            <w:pPr>
              <w:pStyle w:val="Seznam2"/>
              <w:ind w:left="0" w:firstLine="0"/>
              <w:rPr>
                <w:sz w:val="22"/>
                <w:szCs w:val="22"/>
              </w:rPr>
            </w:pPr>
            <w:r w:rsidRPr="00B45226">
              <w:rPr>
                <w:sz w:val="22"/>
                <w:szCs w:val="22"/>
              </w:rPr>
              <w:t xml:space="preserve">Centrum pro regionální rozvoj </w:t>
            </w:r>
          </w:p>
        </w:tc>
      </w:tr>
      <w:tr w:rsidR="00D644B0" w:rsidRPr="007417DF" w:rsidTr="00EC119B">
        <w:trPr>
          <w:trHeight w:hRule="exact" w:val="284"/>
          <w:jc w:val="center"/>
        </w:trPr>
        <w:tc>
          <w:tcPr>
            <w:tcW w:w="1703" w:type="dxa"/>
            <w:vAlign w:val="center"/>
          </w:tcPr>
          <w:p w:rsidR="00D644B0" w:rsidRPr="00B45226" w:rsidRDefault="00D644B0">
            <w:pPr>
              <w:autoSpaceDE w:val="0"/>
              <w:autoSpaceDN w:val="0"/>
              <w:adjustRightInd w:val="0"/>
              <w:jc w:val="center"/>
              <w:rPr>
                <w:sz w:val="22"/>
                <w:szCs w:val="22"/>
              </w:rPr>
            </w:pPr>
            <w:r w:rsidRPr="00B45226">
              <w:rPr>
                <w:sz w:val="22"/>
                <w:szCs w:val="22"/>
              </w:rPr>
              <w:t>CZK</w:t>
            </w:r>
          </w:p>
        </w:tc>
        <w:tc>
          <w:tcPr>
            <w:tcW w:w="7653" w:type="dxa"/>
            <w:vAlign w:val="center"/>
          </w:tcPr>
          <w:p w:rsidR="00D644B0" w:rsidRPr="00B45226" w:rsidRDefault="00D644B0">
            <w:pPr>
              <w:pStyle w:val="Seznam2"/>
              <w:ind w:left="0" w:firstLine="0"/>
              <w:rPr>
                <w:sz w:val="22"/>
                <w:szCs w:val="22"/>
              </w:rPr>
            </w:pPr>
            <w:r w:rsidRPr="00B45226">
              <w:rPr>
                <w:sz w:val="22"/>
                <w:szCs w:val="22"/>
              </w:rPr>
              <w:t>Česká koruna – měnová jednotka</w:t>
            </w:r>
          </w:p>
        </w:tc>
      </w:tr>
      <w:tr w:rsidR="00157169" w:rsidRPr="007417DF" w:rsidTr="00EC119B">
        <w:trPr>
          <w:trHeight w:hRule="exact" w:val="284"/>
          <w:jc w:val="center"/>
        </w:trPr>
        <w:tc>
          <w:tcPr>
            <w:tcW w:w="1703" w:type="dxa"/>
            <w:vAlign w:val="center"/>
          </w:tcPr>
          <w:p w:rsidR="00157169" w:rsidRPr="00B45226" w:rsidRDefault="00157169">
            <w:pPr>
              <w:autoSpaceDE w:val="0"/>
              <w:autoSpaceDN w:val="0"/>
              <w:adjustRightInd w:val="0"/>
              <w:jc w:val="center"/>
              <w:rPr>
                <w:sz w:val="22"/>
                <w:szCs w:val="22"/>
              </w:rPr>
            </w:pPr>
            <w:r>
              <w:rPr>
                <w:sz w:val="22"/>
                <w:szCs w:val="22"/>
              </w:rPr>
              <w:t>CZV</w:t>
            </w:r>
          </w:p>
        </w:tc>
        <w:tc>
          <w:tcPr>
            <w:tcW w:w="7653" w:type="dxa"/>
            <w:vAlign w:val="center"/>
          </w:tcPr>
          <w:p w:rsidR="00157169" w:rsidRPr="00B45226" w:rsidRDefault="00157169">
            <w:pPr>
              <w:pStyle w:val="Seznam2"/>
              <w:ind w:left="0" w:firstLine="0"/>
              <w:rPr>
                <w:sz w:val="22"/>
                <w:szCs w:val="22"/>
              </w:rPr>
            </w:pPr>
            <w:r>
              <w:rPr>
                <w:sz w:val="22"/>
                <w:szCs w:val="22"/>
              </w:rPr>
              <w:t>Celkové způsobilé výdaje</w:t>
            </w:r>
          </w:p>
        </w:tc>
      </w:tr>
      <w:tr w:rsidR="00D62305" w:rsidRPr="007417DF" w:rsidTr="00EC119B">
        <w:trPr>
          <w:trHeight w:hRule="exact" w:val="284"/>
          <w:jc w:val="center"/>
        </w:trPr>
        <w:tc>
          <w:tcPr>
            <w:tcW w:w="1703" w:type="dxa"/>
            <w:vAlign w:val="center"/>
          </w:tcPr>
          <w:p w:rsidR="00D62305" w:rsidRDefault="00D62305">
            <w:pPr>
              <w:autoSpaceDE w:val="0"/>
              <w:autoSpaceDN w:val="0"/>
              <w:adjustRightInd w:val="0"/>
              <w:jc w:val="center"/>
              <w:rPr>
                <w:sz w:val="22"/>
                <w:szCs w:val="22"/>
              </w:rPr>
            </w:pPr>
            <w:r>
              <w:rPr>
                <w:sz w:val="22"/>
                <w:szCs w:val="22"/>
              </w:rPr>
              <w:t>ČR</w:t>
            </w:r>
          </w:p>
        </w:tc>
        <w:tc>
          <w:tcPr>
            <w:tcW w:w="7653" w:type="dxa"/>
            <w:vAlign w:val="center"/>
          </w:tcPr>
          <w:p w:rsidR="00D62305" w:rsidRDefault="00D62305">
            <w:pPr>
              <w:pStyle w:val="Seznam2"/>
              <w:ind w:left="0" w:firstLine="0"/>
              <w:rPr>
                <w:sz w:val="22"/>
                <w:szCs w:val="22"/>
              </w:rPr>
            </w:pPr>
            <w:r>
              <w:rPr>
                <w:sz w:val="22"/>
                <w:szCs w:val="22"/>
              </w:rPr>
              <w:t>Česká republika</w:t>
            </w:r>
          </w:p>
        </w:tc>
      </w:tr>
      <w:tr w:rsidR="00CB2467" w:rsidRPr="007417DF" w:rsidTr="00EC119B">
        <w:trPr>
          <w:trHeight w:hRule="exact" w:val="284"/>
          <w:jc w:val="center"/>
        </w:trPr>
        <w:tc>
          <w:tcPr>
            <w:tcW w:w="1703" w:type="dxa"/>
            <w:vAlign w:val="center"/>
          </w:tcPr>
          <w:p w:rsidR="00CB2467" w:rsidRDefault="00CB2467">
            <w:pPr>
              <w:autoSpaceDE w:val="0"/>
              <w:autoSpaceDN w:val="0"/>
              <w:adjustRightInd w:val="0"/>
              <w:jc w:val="center"/>
              <w:rPr>
                <w:sz w:val="22"/>
                <w:szCs w:val="22"/>
              </w:rPr>
            </w:pPr>
            <w:r>
              <w:rPr>
                <w:sz w:val="22"/>
                <w:szCs w:val="22"/>
              </w:rPr>
              <w:t>ČNB</w:t>
            </w:r>
          </w:p>
        </w:tc>
        <w:tc>
          <w:tcPr>
            <w:tcW w:w="7653" w:type="dxa"/>
            <w:vAlign w:val="center"/>
          </w:tcPr>
          <w:p w:rsidR="00CB2467" w:rsidRDefault="00CB2467">
            <w:pPr>
              <w:pStyle w:val="Seznam2"/>
              <w:ind w:left="0" w:firstLine="0"/>
              <w:rPr>
                <w:sz w:val="22"/>
                <w:szCs w:val="22"/>
              </w:rPr>
            </w:pPr>
            <w:r>
              <w:rPr>
                <w:sz w:val="22"/>
                <w:szCs w:val="22"/>
              </w:rPr>
              <w:t>Česká národní banka</w:t>
            </w:r>
          </w:p>
        </w:tc>
      </w:tr>
      <w:tr w:rsidR="009173DA" w:rsidRPr="007417DF" w:rsidTr="00EC119B">
        <w:trPr>
          <w:trHeight w:hRule="exact" w:val="284"/>
          <w:jc w:val="center"/>
        </w:trPr>
        <w:tc>
          <w:tcPr>
            <w:tcW w:w="1703" w:type="dxa"/>
            <w:vAlign w:val="center"/>
          </w:tcPr>
          <w:p w:rsidR="009173DA" w:rsidRDefault="009173DA">
            <w:pPr>
              <w:autoSpaceDE w:val="0"/>
              <w:autoSpaceDN w:val="0"/>
              <w:adjustRightInd w:val="0"/>
              <w:jc w:val="center"/>
              <w:rPr>
                <w:sz w:val="22"/>
                <w:szCs w:val="22"/>
              </w:rPr>
            </w:pPr>
            <w:r w:rsidRPr="009173DA">
              <w:rPr>
                <w:sz w:val="22"/>
                <w:szCs w:val="22"/>
              </w:rPr>
              <w:t>ČP OZ ICT</w:t>
            </w:r>
          </w:p>
        </w:tc>
        <w:tc>
          <w:tcPr>
            <w:tcW w:w="7653" w:type="dxa"/>
            <w:vAlign w:val="center"/>
          </w:tcPr>
          <w:p w:rsidR="009173DA" w:rsidRDefault="009173DA">
            <w:pPr>
              <w:pStyle w:val="Seznam2"/>
              <w:ind w:left="0" w:firstLine="0"/>
              <w:rPr>
                <w:sz w:val="22"/>
                <w:szCs w:val="22"/>
              </w:rPr>
            </w:pPr>
            <w:r w:rsidRPr="009173DA">
              <w:rPr>
                <w:sz w:val="22"/>
                <w:szCs w:val="22"/>
              </w:rPr>
              <w:t>Odštěpný závod ICT služby České pošty</w:t>
            </w:r>
          </w:p>
        </w:tc>
      </w:tr>
      <w:tr w:rsidR="00BE45FE" w:rsidRPr="007417DF" w:rsidTr="00EC119B">
        <w:trPr>
          <w:trHeight w:hRule="exact" w:val="284"/>
          <w:jc w:val="center"/>
        </w:trPr>
        <w:tc>
          <w:tcPr>
            <w:tcW w:w="1703" w:type="dxa"/>
            <w:vAlign w:val="center"/>
          </w:tcPr>
          <w:p w:rsidR="00BE45FE" w:rsidRPr="009173DA" w:rsidRDefault="00BE45FE">
            <w:pPr>
              <w:autoSpaceDE w:val="0"/>
              <w:autoSpaceDN w:val="0"/>
              <w:adjustRightInd w:val="0"/>
              <w:jc w:val="center"/>
              <w:rPr>
                <w:sz w:val="22"/>
                <w:szCs w:val="22"/>
              </w:rPr>
            </w:pPr>
            <w:r>
              <w:rPr>
                <w:sz w:val="22"/>
                <w:szCs w:val="22"/>
              </w:rPr>
              <w:t>ČUZK</w:t>
            </w:r>
          </w:p>
        </w:tc>
        <w:tc>
          <w:tcPr>
            <w:tcW w:w="7653" w:type="dxa"/>
            <w:vAlign w:val="center"/>
          </w:tcPr>
          <w:p w:rsidR="00BE45FE" w:rsidRPr="009173DA" w:rsidRDefault="00BE45FE">
            <w:pPr>
              <w:pStyle w:val="Seznam2"/>
              <w:ind w:left="0" w:firstLine="0"/>
              <w:rPr>
                <w:sz w:val="22"/>
                <w:szCs w:val="22"/>
              </w:rPr>
            </w:pPr>
            <w:r w:rsidRPr="00BE45FE">
              <w:rPr>
                <w:sz w:val="22"/>
                <w:szCs w:val="22"/>
              </w:rPr>
              <w:t>Český úřad zeměměřický a katastrální</w:t>
            </w:r>
          </w:p>
        </w:tc>
      </w:tr>
      <w:tr w:rsidR="00D644B0" w:rsidRPr="007417DF" w:rsidTr="00EC119B">
        <w:trPr>
          <w:trHeight w:hRule="exact" w:val="284"/>
          <w:jc w:val="center"/>
        </w:trPr>
        <w:tc>
          <w:tcPr>
            <w:tcW w:w="1703" w:type="dxa"/>
            <w:vAlign w:val="center"/>
          </w:tcPr>
          <w:p w:rsidR="00D644B0" w:rsidRPr="00B45226" w:rsidRDefault="00D644B0">
            <w:pPr>
              <w:autoSpaceDE w:val="0"/>
              <w:autoSpaceDN w:val="0"/>
              <w:adjustRightInd w:val="0"/>
              <w:jc w:val="center"/>
              <w:rPr>
                <w:sz w:val="22"/>
                <w:szCs w:val="22"/>
              </w:rPr>
            </w:pPr>
            <w:r w:rsidRPr="00B45226">
              <w:rPr>
                <w:sz w:val="22"/>
                <w:szCs w:val="22"/>
              </w:rPr>
              <w:t>DPČ</w:t>
            </w:r>
          </w:p>
        </w:tc>
        <w:tc>
          <w:tcPr>
            <w:tcW w:w="7653" w:type="dxa"/>
            <w:vAlign w:val="center"/>
          </w:tcPr>
          <w:p w:rsidR="00D644B0" w:rsidRPr="00B45226" w:rsidRDefault="00D644B0">
            <w:pPr>
              <w:pStyle w:val="Seznam2"/>
              <w:ind w:left="0" w:firstLine="0"/>
              <w:rPr>
                <w:sz w:val="22"/>
                <w:szCs w:val="22"/>
              </w:rPr>
            </w:pPr>
            <w:r w:rsidRPr="00B45226">
              <w:rPr>
                <w:sz w:val="22"/>
                <w:szCs w:val="22"/>
              </w:rPr>
              <w:t>Dohoda o pracovní činnosti</w:t>
            </w:r>
          </w:p>
        </w:tc>
      </w:tr>
      <w:tr w:rsidR="00D644B0" w:rsidRPr="007417DF" w:rsidTr="00EC119B">
        <w:trPr>
          <w:trHeight w:hRule="exact" w:val="284"/>
          <w:jc w:val="center"/>
        </w:trPr>
        <w:tc>
          <w:tcPr>
            <w:tcW w:w="1703" w:type="dxa"/>
            <w:vAlign w:val="center"/>
          </w:tcPr>
          <w:p w:rsidR="00D644B0" w:rsidRPr="00B45226" w:rsidRDefault="00D644B0">
            <w:pPr>
              <w:autoSpaceDE w:val="0"/>
              <w:autoSpaceDN w:val="0"/>
              <w:adjustRightInd w:val="0"/>
              <w:jc w:val="center"/>
              <w:rPr>
                <w:sz w:val="22"/>
                <w:szCs w:val="22"/>
              </w:rPr>
            </w:pPr>
            <w:r w:rsidRPr="00B45226">
              <w:rPr>
                <w:sz w:val="22"/>
                <w:szCs w:val="22"/>
              </w:rPr>
              <w:t>DPP</w:t>
            </w:r>
          </w:p>
        </w:tc>
        <w:tc>
          <w:tcPr>
            <w:tcW w:w="7653" w:type="dxa"/>
            <w:vAlign w:val="center"/>
          </w:tcPr>
          <w:p w:rsidR="00D644B0" w:rsidRPr="00B45226" w:rsidRDefault="00D644B0">
            <w:pPr>
              <w:pStyle w:val="Seznam2"/>
              <w:ind w:left="0" w:firstLine="0"/>
              <w:rPr>
                <w:sz w:val="22"/>
                <w:szCs w:val="22"/>
              </w:rPr>
            </w:pPr>
            <w:r w:rsidRPr="00B45226">
              <w:rPr>
                <w:sz w:val="22"/>
                <w:szCs w:val="22"/>
              </w:rPr>
              <w:t>Dohoda o provedení práce</w:t>
            </w:r>
          </w:p>
        </w:tc>
      </w:tr>
      <w:tr w:rsidR="007417DF" w:rsidRPr="007417DF" w:rsidTr="00EC119B">
        <w:trPr>
          <w:trHeight w:hRule="exact" w:val="284"/>
          <w:jc w:val="center"/>
        </w:trPr>
        <w:tc>
          <w:tcPr>
            <w:tcW w:w="1703" w:type="dxa"/>
            <w:vAlign w:val="center"/>
          </w:tcPr>
          <w:p w:rsidR="007417DF" w:rsidRPr="00B45226" w:rsidRDefault="007417DF">
            <w:pPr>
              <w:autoSpaceDE w:val="0"/>
              <w:autoSpaceDN w:val="0"/>
              <w:adjustRightInd w:val="0"/>
              <w:jc w:val="center"/>
              <w:rPr>
                <w:sz w:val="22"/>
                <w:szCs w:val="22"/>
              </w:rPr>
            </w:pPr>
            <w:r w:rsidRPr="00B45226">
              <w:rPr>
                <w:sz w:val="22"/>
                <w:szCs w:val="22"/>
              </w:rPr>
              <w:t>DSS</w:t>
            </w:r>
          </w:p>
        </w:tc>
        <w:tc>
          <w:tcPr>
            <w:tcW w:w="7653" w:type="dxa"/>
            <w:vAlign w:val="center"/>
          </w:tcPr>
          <w:p w:rsidR="007417DF" w:rsidRPr="00B45226" w:rsidRDefault="007417DF" w:rsidP="007417DF">
            <w:pPr>
              <w:rPr>
                <w:sz w:val="22"/>
                <w:szCs w:val="22"/>
              </w:rPr>
            </w:pPr>
            <w:r w:rsidRPr="00B45226">
              <w:rPr>
                <w:sz w:val="22"/>
                <w:szCs w:val="22"/>
              </w:rPr>
              <w:t xml:space="preserve">DSS </w:t>
            </w:r>
            <w:r w:rsidR="00EB7E2B">
              <w:rPr>
                <w:sz w:val="22"/>
                <w:szCs w:val="22"/>
              </w:rPr>
              <w:t>–</w:t>
            </w:r>
            <w:r w:rsidRPr="00B45226">
              <w:rPr>
                <w:sz w:val="22"/>
                <w:szCs w:val="22"/>
              </w:rPr>
              <w:t xml:space="preserve"> Domov sociálních služeb</w:t>
            </w:r>
          </w:p>
          <w:p w:rsidR="007417DF" w:rsidRPr="00B45226" w:rsidRDefault="007417DF">
            <w:pPr>
              <w:pStyle w:val="Seznam2"/>
              <w:ind w:left="0" w:firstLine="0"/>
              <w:rPr>
                <w:sz w:val="22"/>
                <w:szCs w:val="22"/>
              </w:rPr>
            </w:pPr>
          </w:p>
        </w:tc>
      </w:tr>
      <w:tr w:rsidR="00D644B0" w:rsidRPr="007417DF" w:rsidTr="00EC119B">
        <w:trPr>
          <w:trHeight w:hRule="exact" w:val="284"/>
          <w:jc w:val="center"/>
        </w:trPr>
        <w:tc>
          <w:tcPr>
            <w:tcW w:w="1703" w:type="dxa"/>
            <w:vAlign w:val="center"/>
          </w:tcPr>
          <w:p w:rsidR="00D644B0" w:rsidRPr="00B45226" w:rsidRDefault="00D644B0">
            <w:pPr>
              <w:autoSpaceDE w:val="0"/>
              <w:autoSpaceDN w:val="0"/>
              <w:adjustRightInd w:val="0"/>
              <w:jc w:val="center"/>
              <w:rPr>
                <w:sz w:val="22"/>
                <w:szCs w:val="22"/>
              </w:rPr>
            </w:pPr>
            <w:r w:rsidRPr="00B45226">
              <w:rPr>
                <w:sz w:val="22"/>
                <w:szCs w:val="22"/>
              </w:rPr>
              <w:t>EDS</w:t>
            </w:r>
          </w:p>
        </w:tc>
        <w:tc>
          <w:tcPr>
            <w:tcW w:w="7653" w:type="dxa"/>
            <w:vAlign w:val="center"/>
          </w:tcPr>
          <w:p w:rsidR="00D644B0" w:rsidRPr="00B45226" w:rsidRDefault="00D644B0">
            <w:pPr>
              <w:pStyle w:val="Seznam2"/>
              <w:ind w:left="0" w:firstLine="0"/>
              <w:rPr>
                <w:sz w:val="22"/>
                <w:szCs w:val="22"/>
              </w:rPr>
            </w:pPr>
            <w:r w:rsidRPr="00B45226">
              <w:rPr>
                <w:sz w:val="22"/>
                <w:szCs w:val="22"/>
              </w:rPr>
              <w:t xml:space="preserve">Evidenčně dotační systém </w:t>
            </w:r>
          </w:p>
        </w:tc>
      </w:tr>
      <w:tr w:rsidR="00D644B0" w:rsidRPr="007417DF" w:rsidTr="00EC119B">
        <w:trPr>
          <w:trHeight w:hRule="exact" w:val="284"/>
          <w:jc w:val="center"/>
        </w:trPr>
        <w:tc>
          <w:tcPr>
            <w:tcW w:w="1703" w:type="dxa"/>
            <w:vAlign w:val="center"/>
          </w:tcPr>
          <w:p w:rsidR="00D644B0" w:rsidRPr="00B45226" w:rsidRDefault="00D644B0">
            <w:pPr>
              <w:autoSpaceDE w:val="0"/>
              <w:autoSpaceDN w:val="0"/>
              <w:adjustRightInd w:val="0"/>
              <w:jc w:val="center"/>
              <w:rPr>
                <w:sz w:val="22"/>
                <w:szCs w:val="22"/>
              </w:rPr>
            </w:pPr>
            <w:r w:rsidRPr="00B45226">
              <w:rPr>
                <w:sz w:val="22"/>
                <w:szCs w:val="22"/>
              </w:rPr>
              <w:t>EK</w:t>
            </w:r>
          </w:p>
        </w:tc>
        <w:tc>
          <w:tcPr>
            <w:tcW w:w="7653" w:type="dxa"/>
            <w:vAlign w:val="center"/>
          </w:tcPr>
          <w:p w:rsidR="00D644B0" w:rsidRDefault="00D644B0">
            <w:pPr>
              <w:pStyle w:val="Seznam2"/>
              <w:ind w:left="0" w:firstLine="0"/>
              <w:rPr>
                <w:sz w:val="22"/>
                <w:szCs w:val="22"/>
              </w:rPr>
            </w:pPr>
            <w:r w:rsidRPr="00B45226">
              <w:rPr>
                <w:sz w:val="22"/>
                <w:szCs w:val="22"/>
              </w:rPr>
              <w:t>Evropská komise</w:t>
            </w:r>
          </w:p>
          <w:p w:rsidR="0043029E" w:rsidRDefault="0043029E">
            <w:pPr>
              <w:pStyle w:val="Seznam2"/>
              <w:ind w:left="0" w:firstLine="0"/>
              <w:rPr>
                <w:sz w:val="22"/>
                <w:szCs w:val="22"/>
              </w:rPr>
            </w:pPr>
          </w:p>
          <w:p w:rsidR="0043029E" w:rsidRPr="00B45226" w:rsidRDefault="0043029E">
            <w:pPr>
              <w:pStyle w:val="Seznam2"/>
              <w:ind w:left="0" w:firstLine="0"/>
              <w:rPr>
                <w:sz w:val="22"/>
                <w:szCs w:val="22"/>
              </w:rPr>
            </w:pPr>
          </w:p>
        </w:tc>
      </w:tr>
      <w:tr w:rsidR="009272BA" w:rsidRPr="007417DF" w:rsidTr="00EC119B">
        <w:trPr>
          <w:trHeight w:hRule="exact" w:val="284"/>
          <w:jc w:val="center"/>
        </w:trPr>
        <w:tc>
          <w:tcPr>
            <w:tcW w:w="1703" w:type="dxa"/>
            <w:vAlign w:val="center"/>
          </w:tcPr>
          <w:p w:rsidR="009272BA" w:rsidRPr="00B45226" w:rsidRDefault="009272BA">
            <w:pPr>
              <w:autoSpaceDE w:val="0"/>
              <w:autoSpaceDN w:val="0"/>
              <w:adjustRightInd w:val="0"/>
              <w:jc w:val="center"/>
              <w:rPr>
                <w:sz w:val="22"/>
                <w:szCs w:val="22"/>
              </w:rPr>
            </w:pPr>
            <w:r>
              <w:rPr>
                <w:sz w:val="22"/>
                <w:szCs w:val="22"/>
              </w:rPr>
              <w:t>EMZ</w:t>
            </w:r>
          </w:p>
        </w:tc>
        <w:tc>
          <w:tcPr>
            <w:tcW w:w="7653" w:type="dxa"/>
            <w:vAlign w:val="center"/>
          </w:tcPr>
          <w:p w:rsidR="009272BA" w:rsidRPr="00B45226" w:rsidRDefault="009272BA">
            <w:pPr>
              <w:pStyle w:val="Seznam2"/>
              <w:ind w:left="0" w:firstLine="0"/>
              <w:rPr>
                <w:sz w:val="22"/>
                <w:szCs w:val="22"/>
              </w:rPr>
            </w:pPr>
            <w:r>
              <w:rPr>
                <w:sz w:val="22"/>
                <w:szCs w:val="22"/>
              </w:rPr>
              <w:t>Etapová monitorovací zpráva</w:t>
            </w:r>
          </w:p>
        </w:tc>
      </w:tr>
      <w:tr w:rsidR="00D644B0" w:rsidRPr="007417DF" w:rsidTr="00EC119B">
        <w:trPr>
          <w:trHeight w:hRule="exact" w:val="284"/>
          <w:jc w:val="center"/>
        </w:trPr>
        <w:tc>
          <w:tcPr>
            <w:tcW w:w="1703" w:type="dxa"/>
            <w:vAlign w:val="center"/>
          </w:tcPr>
          <w:p w:rsidR="00D644B0" w:rsidRPr="00B45226" w:rsidRDefault="00D644B0">
            <w:pPr>
              <w:autoSpaceDE w:val="0"/>
              <w:autoSpaceDN w:val="0"/>
              <w:adjustRightInd w:val="0"/>
              <w:jc w:val="center"/>
              <w:rPr>
                <w:sz w:val="22"/>
                <w:szCs w:val="22"/>
              </w:rPr>
            </w:pPr>
            <w:r w:rsidRPr="00B45226">
              <w:rPr>
                <w:sz w:val="22"/>
                <w:szCs w:val="22"/>
              </w:rPr>
              <w:t>ERDF</w:t>
            </w:r>
          </w:p>
        </w:tc>
        <w:tc>
          <w:tcPr>
            <w:tcW w:w="7653" w:type="dxa"/>
            <w:vAlign w:val="center"/>
          </w:tcPr>
          <w:p w:rsidR="00D644B0" w:rsidRPr="00B45226" w:rsidRDefault="00D644B0">
            <w:pPr>
              <w:autoSpaceDE w:val="0"/>
              <w:autoSpaceDN w:val="0"/>
              <w:adjustRightInd w:val="0"/>
              <w:rPr>
                <w:sz w:val="22"/>
                <w:szCs w:val="22"/>
              </w:rPr>
            </w:pPr>
            <w:proofErr w:type="spellStart"/>
            <w:r w:rsidRPr="00B45226">
              <w:rPr>
                <w:sz w:val="22"/>
                <w:szCs w:val="22"/>
              </w:rPr>
              <w:t>European</w:t>
            </w:r>
            <w:proofErr w:type="spellEnd"/>
            <w:r w:rsidRPr="00B45226">
              <w:rPr>
                <w:sz w:val="22"/>
                <w:szCs w:val="22"/>
              </w:rPr>
              <w:t xml:space="preserve"> </w:t>
            </w:r>
            <w:proofErr w:type="spellStart"/>
            <w:r w:rsidRPr="00B45226">
              <w:rPr>
                <w:sz w:val="22"/>
                <w:szCs w:val="22"/>
              </w:rPr>
              <w:t>Regional</w:t>
            </w:r>
            <w:proofErr w:type="spellEnd"/>
            <w:r w:rsidRPr="00B45226">
              <w:rPr>
                <w:sz w:val="22"/>
                <w:szCs w:val="22"/>
              </w:rPr>
              <w:t xml:space="preserve"> </w:t>
            </w:r>
            <w:proofErr w:type="spellStart"/>
            <w:r w:rsidRPr="00B45226">
              <w:rPr>
                <w:sz w:val="22"/>
                <w:szCs w:val="22"/>
              </w:rPr>
              <w:t>Development</w:t>
            </w:r>
            <w:proofErr w:type="spellEnd"/>
            <w:r w:rsidRPr="00B45226">
              <w:rPr>
                <w:sz w:val="22"/>
                <w:szCs w:val="22"/>
              </w:rPr>
              <w:t xml:space="preserve"> </w:t>
            </w:r>
            <w:proofErr w:type="spellStart"/>
            <w:r w:rsidRPr="00B45226">
              <w:rPr>
                <w:sz w:val="22"/>
                <w:szCs w:val="22"/>
              </w:rPr>
              <w:t>Fund</w:t>
            </w:r>
            <w:proofErr w:type="spellEnd"/>
            <w:r w:rsidRPr="00B45226">
              <w:rPr>
                <w:sz w:val="22"/>
                <w:szCs w:val="22"/>
              </w:rPr>
              <w:t xml:space="preserve"> (Evropský regionální rozvojový fond)</w:t>
            </w:r>
          </w:p>
        </w:tc>
      </w:tr>
      <w:tr w:rsidR="00D644B0" w:rsidRPr="007417DF" w:rsidTr="00EC119B">
        <w:trPr>
          <w:trHeight w:hRule="exact" w:val="284"/>
          <w:jc w:val="center"/>
        </w:trPr>
        <w:tc>
          <w:tcPr>
            <w:tcW w:w="1703" w:type="dxa"/>
            <w:vAlign w:val="center"/>
          </w:tcPr>
          <w:p w:rsidR="00D644B0" w:rsidRPr="00B45226" w:rsidRDefault="00D644B0">
            <w:pPr>
              <w:autoSpaceDE w:val="0"/>
              <w:autoSpaceDN w:val="0"/>
              <w:adjustRightInd w:val="0"/>
              <w:jc w:val="center"/>
              <w:rPr>
                <w:sz w:val="22"/>
                <w:szCs w:val="22"/>
              </w:rPr>
            </w:pPr>
            <w:r w:rsidRPr="00B45226">
              <w:rPr>
                <w:sz w:val="22"/>
                <w:szCs w:val="22"/>
              </w:rPr>
              <w:t>ESF</w:t>
            </w:r>
          </w:p>
        </w:tc>
        <w:tc>
          <w:tcPr>
            <w:tcW w:w="7653" w:type="dxa"/>
            <w:vAlign w:val="center"/>
          </w:tcPr>
          <w:p w:rsidR="00D644B0" w:rsidRPr="00B45226" w:rsidRDefault="00D644B0">
            <w:pPr>
              <w:pStyle w:val="Seznam2"/>
              <w:ind w:left="0" w:firstLine="0"/>
              <w:rPr>
                <w:sz w:val="22"/>
                <w:szCs w:val="22"/>
              </w:rPr>
            </w:pPr>
            <w:proofErr w:type="spellStart"/>
            <w:r w:rsidRPr="00B45226">
              <w:rPr>
                <w:sz w:val="22"/>
                <w:szCs w:val="22"/>
              </w:rPr>
              <w:t>European</w:t>
            </w:r>
            <w:proofErr w:type="spellEnd"/>
            <w:r w:rsidRPr="00B45226">
              <w:rPr>
                <w:sz w:val="22"/>
                <w:szCs w:val="22"/>
              </w:rPr>
              <w:t xml:space="preserve"> </w:t>
            </w:r>
            <w:proofErr w:type="spellStart"/>
            <w:r w:rsidRPr="00B45226">
              <w:rPr>
                <w:sz w:val="22"/>
                <w:szCs w:val="22"/>
              </w:rPr>
              <w:t>Social</w:t>
            </w:r>
            <w:proofErr w:type="spellEnd"/>
            <w:r w:rsidRPr="00B45226">
              <w:rPr>
                <w:sz w:val="22"/>
                <w:szCs w:val="22"/>
              </w:rPr>
              <w:t xml:space="preserve"> </w:t>
            </w:r>
            <w:proofErr w:type="spellStart"/>
            <w:r w:rsidRPr="00B45226">
              <w:rPr>
                <w:sz w:val="22"/>
                <w:szCs w:val="22"/>
              </w:rPr>
              <w:t>Fund</w:t>
            </w:r>
            <w:proofErr w:type="spellEnd"/>
            <w:r w:rsidRPr="00B45226">
              <w:rPr>
                <w:sz w:val="22"/>
                <w:szCs w:val="22"/>
              </w:rPr>
              <w:t xml:space="preserve"> (Evropský sociální fond)</w:t>
            </w:r>
          </w:p>
        </w:tc>
      </w:tr>
      <w:tr w:rsidR="00C636FA" w:rsidRPr="007417DF" w:rsidTr="00EC119B">
        <w:trPr>
          <w:trHeight w:hRule="exact" w:val="284"/>
          <w:jc w:val="center"/>
        </w:trPr>
        <w:tc>
          <w:tcPr>
            <w:tcW w:w="1703" w:type="dxa"/>
            <w:vAlign w:val="center"/>
          </w:tcPr>
          <w:p w:rsidR="00C636FA" w:rsidRPr="00B45226" w:rsidRDefault="00C636FA">
            <w:pPr>
              <w:autoSpaceDE w:val="0"/>
              <w:autoSpaceDN w:val="0"/>
              <w:adjustRightInd w:val="0"/>
              <w:jc w:val="center"/>
              <w:rPr>
                <w:sz w:val="22"/>
                <w:szCs w:val="22"/>
              </w:rPr>
            </w:pPr>
            <w:r w:rsidRPr="0039431F">
              <w:rPr>
                <w:sz w:val="22"/>
                <w:szCs w:val="22"/>
              </w:rPr>
              <w:t>ESS elektronická spisová služba</w:t>
            </w:r>
          </w:p>
        </w:tc>
        <w:tc>
          <w:tcPr>
            <w:tcW w:w="7653" w:type="dxa"/>
            <w:vAlign w:val="center"/>
          </w:tcPr>
          <w:p w:rsidR="00C636FA" w:rsidRPr="00B45226" w:rsidRDefault="00C636FA">
            <w:pPr>
              <w:autoSpaceDE w:val="0"/>
              <w:autoSpaceDN w:val="0"/>
              <w:adjustRightInd w:val="0"/>
              <w:rPr>
                <w:sz w:val="22"/>
                <w:szCs w:val="22"/>
              </w:rPr>
            </w:pPr>
            <w:r w:rsidRPr="0039431F">
              <w:rPr>
                <w:sz w:val="22"/>
                <w:szCs w:val="22"/>
              </w:rPr>
              <w:t>Elektronická spisová služba</w:t>
            </w:r>
          </w:p>
        </w:tc>
      </w:tr>
      <w:tr w:rsidR="00C636FA" w:rsidRPr="007417DF" w:rsidTr="00EC119B">
        <w:trPr>
          <w:trHeight w:hRule="exact" w:val="284"/>
          <w:jc w:val="center"/>
        </w:trPr>
        <w:tc>
          <w:tcPr>
            <w:tcW w:w="1703" w:type="dxa"/>
            <w:vAlign w:val="center"/>
          </w:tcPr>
          <w:p w:rsidR="00C636FA" w:rsidRPr="00B45226" w:rsidRDefault="00C636FA">
            <w:pPr>
              <w:autoSpaceDE w:val="0"/>
              <w:autoSpaceDN w:val="0"/>
              <w:adjustRightInd w:val="0"/>
              <w:jc w:val="center"/>
              <w:rPr>
                <w:sz w:val="22"/>
                <w:szCs w:val="22"/>
              </w:rPr>
            </w:pPr>
            <w:r w:rsidRPr="00B45226">
              <w:rPr>
                <w:sz w:val="22"/>
                <w:szCs w:val="22"/>
              </w:rPr>
              <w:t>EU</w:t>
            </w:r>
          </w:p>
        </w:tc>
        <w:tc>
          <w:tcPr>
            <w:tcW w:w="7653" w:type="dxa"/>
            <w:vAlign w:val="center"/>
          </w:tcPr>
          <w:p w:rsidR="00C636FA" w:rsidRPr="00B45226" w:rsidRDefault="00C636FA">
            <w:pPr>
              <w:autoSpaceDE w:val="0"/>
              <w:autoSpaceDN w:val="0"/>
              <w:adjustRightInd w:val="0"/>
              <w:rPr>
                <w:b/>
                <w:bCs/>
                <w:sz w:val="22"/>
                <w:szCs w:val="22"/>
              </w:rPr>
            </w:pPr>
            <w:r w:rsidRPr="00B45226">
              <w:rPr>
                <w:sz w:val="22"/>
                <w:szCs w:val="22"/>
              </w:rPr>
              <w:t>Evropská unie</w:t>
            </w:r>
          </w:p>
        </w:tc>
      </w:tr>
      <w:tr w:rsidR="00C636FA" w:rsidRPr="007417DF" w:rsidTr="00EC119B">
        <w:trPr>
          <w:trHeight w:hRule="exact" w:val="284"/>
          <w:jc w:val="center"/>
        </w:trPr>
        <w:tc>
          <w:tcPr>
            <w:tcW w:w="1703" w:type="dxa"/>
            <w:vAlign w:val="center"/>
          </w:tcPr>
          <w:p w:rsidR="00C636FA" w:rsidRPr="00B45226" w:rsidRDefault="00C636FA">
            <w:pPr>
              <w:autoSpaceDE w:val="0"/>
              <w:autoSpaceDN w:val="0"/>
              <w:adjustRightInd w:val="0"/>
              <w:jc w:val="center"/>
              <w:rPr>
                <w:sz w:val="22"/>
                <w:szCs w:val="22"/>
              </w:rPr>
            </w:pPr>
            <w:r w:rsidRPr="00B45226">
              <w:rPr>
                <w:sz w:val="22"/>
                <w:szCs w:val="22"/>
              </w:rPr>
              <w:t>EUR</w:t>
            </w:r>
          </w:p>
        </w:tc>
        <w:tc>
          <w:tcPr>
            <w:tcW w:w="7653" w:type="dxa"/>
            <w:vAlign w:val="center"/>
          </w:tcPr>
          <w:p w:rsidR="00C636FA" w:rsidRPr="00B45226" w:rsidRDefault="00C636FA">
            <w:pPr>
              <w:autoSpaceDE w:val="0"/>
              <w:autoSpaceDN w:val="0"/>
              <w:adjustRightInd w:val="0"/>
              <w:rPr>
                <w:sz w:val="22"/>
                <w:szCs w:val="22"/>
              </w:rPr>
            </w:pPr>
            <w:r w:rsidRPr="00B45226">
              <w:rPr>
                <w:sz w:val="22"/>
                <w:szCs w:val="22"/>
              </w:rPr>
              <w:t>Euro – měnová jednotka</w:t>
            </w:r>
          </w:p>
        </w:tc>
      </w:tr>
      <w:tr w:rsidR="0047011E" w:rsidRPr="007417DF" w:rsidTr="00EC119B">
        <w:trPr>
          <w:trHeight w:hRule="exact" w:val="284"/>
          <w:jc w:val="center"/>
        </w:trPr>
        <w:tc>
          <w:tcPr>
            <w:tcW w:w="1703" w:type="dxa"/>
            <w:vAlign w:val="center"/>
          </w:tcPr>
          <w:p w:rsidR="0047011E" w:rsidRPr="00B45226" w:rsidRDefault="0047011E">
            <w:pPr>
              <w:autoSpaceDE w:val="0"/>
              <w:autoSpaceDN w:val="0"/>
              <w:adjustRightInd w:val="0"/>
              <w:jc w:val="center"/>
              <w:rPr>
                <w:sz w:val="22"/>
                <w:szCs w:val="22"/>
              </w:rPr>
            </w:pPr>
            <w:r>
              <w:rPr>
                <w:sz w:val="22"/>
                <w:szCs w:val="22"/>
              </w:rPr>
              <w:t>EÚD</w:t>
            </w:r>
          </w:p>
        </w:tc>
        <w:tc>
          <w:tcPr>
            <w:tcW w:w="7653" w:type="dxa"/>
            <w:vAlign w:val="center"/>
          </w:tcPr>
          <w:p w:rsidR="0047011E" w:rsidRPr="00B45226" w:rsidRDefault="0047011E">
            <w:pPr>
              <w:autoSpaceDE w:val="0"/>
              <w:autoSpaceDN w:val="0"/>
              <w:adjustRightInd w:val="0"/>
              <w:rPr>
                <w:sz w:val="22"/>
                <w:szCs w:val="22"/>
              </w:rPr>
            </w:pPr>
            <w:r>
              <w:rPr>
                <w:sz w:val="22"/>
                <w:szCs w:val="22"/>
              </w:rPr>
              <w:t>Evropský účetní dvůr</w:t>
            </w:r>
          </w:p>
        </w:tc>
      </w:tr>
      <w:tr w:rsidR="00C636FA" w:rsidRPr="007417DF" w:rsidTr="00EC119B">
        <w:trPr>
          <w:trHeight w:hRule="exact" w:val="284"/>
          <w:jc w:val="center"/>
        </w:trPr>
        <w:tc>
          <w:tcPr>
            <w:tcW w:w="1703" w:type="dxa"/>
            <w:vAlign w:val="center"/>
          </w:tcPr>
          <w:p w:rsidR="00C636FA" w:rsidRPr="00B45226" w:rsidRDefault="00C636FA">
            <w:pPr>
              <w:autoSpaceDE w:val="0"/>
              <w:autoSpaceDN w:val="0"/>
              <w:adjustRightInd w:val="0"/>
              <w:jc w:val="center"/>
              <w:rPr>
                <w:sz w:val="22"/>
                <w:szCs w:val="22"/>
              </w:rPr>
            </w:pPr>
            <w:r w:rsidRPr="00B45226">
              <w:rPr>
                <w:sz w:val="22"/>
                <w:szCs w:val="22"/>
              </w:rPr>
              <w:t>FN</w:t>
            </w:r>
          </w:p>
        </w:tc>
        <w:tc>
          <w:tcPr>
            <w:tcW w:w="7653" w:type="dxa"/>
            <w:vAlign w:val="center"/>
          </w:tcPr>
          <w:p w:rsidR="00C636FA" w:rsidRPr="00B45226" w:rsidRDefault="00C636FA">
            <w:pPr>
              <w:autoSpaceDE w:val="0"/>
              <w:autoSpaceDN w:val="0"/>
              <w:adjustRightInd w:val="0"/>
              <w:rPr>
                <w:sz w:val="22"/>
                <w:szCs w:val="22"/>
              </w:rPr>
            </w:pPr>
            <w:r w:rsidRPr="00B45226">
              <w:rPr>
                <w:sz w:val="22"/>
                <w:szCs w:val="22"/>
              </w:rPr>
              <w:t>Finanční nástroj</w:t>
            </w:r>
          </w:p>
        </w:tc>
      </w:tr>
      <w:tr w:rsidR="00C636FA" w:rsidRPr="007417DF" w:rsidTr="00EC119B">
        <w:trPr>
          <w:trHeight w:hRule="exact" w:val="284"/>
          <w:jc w:val="center"/>
        </w:trPr>
        <w:tc>
          <w:tcPr>
            <w:tcW w:w="1703" w:type="dxa"/>
            <w:vAlign w:val="center"/>
          </w:tcPr>
          <w:p w:rsidR="00C636FA" w:rsidRPr="00B45226" w:rsidRDefault="00C636FA">
            <w:pPr>
              <w:autoSpaceDE w:val="0"/>
              <w:autoSpaceDN w:val="0"/>
              <w:adjustRightInd w:val="0"/>
              <w:jc w:val="center"/>
              <w:rPr>
                <w:sz w:val="22"/>
                <w:szCs w:val="22"/>
              </w:rPr>
            </w:pPr>
            <w:r w:rsidRPr="00B45226">
              <w:rPr>
                <w:sz w:val="22"/>
                <w:szCs w:val="22"/>
              </w:rPr>
              <w:t>FRM</w:t>
            </w:r>
          </w:p>
        </w:tc>
        <w:tc>
          <w:tcPr>
            <w:tcW w:w="7653" w:type="dxa"/>
            <w:vAlign w:val="center"/>
          </w:tcPr>
          <w:p w:rsidR="00C636FA" w:rsidRPr="00B45226" w:rsidRDefault="00C636FA">
            <w:pPr>
              <w:autoSpaceDE w:val="0"/>
              <w:autoSpaceDN w:val="0"/>
              <w:adjustRightInd w:val="0"/>
              <w:rPr>
                <w:sz w:val="22"/>
                <w:szCs w:val="22"/>
              </w:rPr>
            </w:pPr>
            <w:r w:rsidRPr="00B45226">
              <w:rPr>
                <w:sz w:val="22"/>
                <w:szCs w:val="22"/>
              </w:rPr>
              <w:t>Fond rozvoje měst</w:t>
            </w:r>
          </w:p>
        </w:tc>
      </w:tr>
      <w:tr w:rsidR="00C636FA" w:rsidRPr="007417DF" w:rsidTr="00EC119B">
        <w:trPr>
          <w:trHeight w:hRule="exact" w:val="284"/>
          <w:jc w:val="center"/>
        </w:trPr>
        <w:tc>
          <w:tcPr>
            <w:tcW w:w="1703" w:type="dxa"/>
            <w:vAlign w:val="center"/>
          </w:tcPr>
          <w:p w:rsidR="00C636FA" w:rsidRPr="00B45226" w:rsidRDefault="00C636FA">
            <w:pPr>
              <w:autoSpaceDE w:val="0"/>
              <w:autoSpaceDN w:val="0"/>
              <w:adjustRightInd w:val="0"/>
              <w:jc w:val="center"/>
              <w:rPr>
                <w:sz w:val="22"/>
                <w:szCs w:val="22"/>
              </w:rPr>
            </w:pPr>
            <w:r w:rsidRPr="00B45226">
              <w:rPr>
                <w:sz w:val="22"/>
                <w:szCs w:val="22"/>
              </w:rPr>
              <w:t>FÚ</w:t>
            </w:r>
          </w:p>
        </w:tc>
        <w:tc>
          <w:tcPr>
            <w:tcW w:w="7653" w:type="dxa"/>
            <w:vAlign w:val="center"/>
          </w:tcPr>
          <w:p w:rsidR="00C636FA" w:rsidRPr="00B45226" w:rsidRDefault="00C636FA">
            <w:pPr>
              <w:autoSpaceDE w:val="0"/>
              <w:autoSpaceDN w:val="0"/>
              <w:adjustRightInd w:val="0"/>
              <w:rPr>
                <w:sz w:val="22"/>
                <w:szCs w:val="22"/>
              </w:rPr>
            </w:pPr>
            <w:r w:rsidRPr="00B45226">
              <w:rPr>
                <w:sz w:val="22"/>
                <w:szCs w:val="22"/>
              </w:rPr>
              <w:t>Finanční úřad</w:t>
            </w:r>
          </w:p>
        </w:tc>
      </w:tr>
      <w:tr w:rsidR="00C636FA" w:rsidRPr="007417DF" w:rsidTr="00EC119B">
        <w:trPr>
          <w:trHeight w:hRule="exact" w:val="284"/>
          <w:jc w:val="center"/>
        </w:trPr>
        <w:tc>
          <w:tcPr>
            <w:tcW w:w="1703" w:type="dxa"/>
            <w:vAlign w:val="center"/>
          </w:tcPr>
          <w:p w:rsidR="00C636FA" w:rsidRPr="00B45226" w:rsidRDefault="00C636FA">
            <w:pPr>
              <w:autoSpaceDE w:val="0"/>
              <w:autoSpaceDN w:val="0"/>
              <w:adjustRightInd w:val="0"/>
              <w:jc w:val="center"/>
              <w:rPr>
                <w:sz w:val="22"/>
                <w:szCs w:val="22"/>
              </w:rPr>
            </w:pPr>
            <w:r w:rsidRPr="00B45226">
              <w:rPr>
                <w:sz w:val="22"/>
                <w:szCs w:val="22"/>
              </w:rPr>
              <w:t>GFŘ</w:t>
            </w:r>
          </w:p>
        </w:tc>
        <w:tc>
          <w:tcPr>
            <w:tcW w:w="7653" w:type="dxa"/>
            <w:vAlign w:val="center"/>
          </w:tcPr>
          <w:p w:rsidR="00C636FA" w:rsidRPr="00B45226" w:rsidRDefault="00C636FA">
            <w:pPr>
              <w:autoSpaceDE w:val="0"/>
              <w:autoSpaceDN w:val="0"/>
              <w:adjustRightInd w:val="0"/>
              <w:rPr>
                <w:sz w:val="22"/>
                <w:szCs w:val="22"/>
              </w:rPr>
            </w:pPr>
            <w:r w:rsidRPr="00B45226">
              <w:rPr>
                <w:sz w:val="22"/>
                <w:szCs w:val="22"/>
              </w:rPr>
              <w:t>Generální finanční ředitelství</w:t>
            </w:r>
          </w:p>
        </w:tc>
      </w:tr>
      <w:tr w:rsidR="00C636FA" w:rsidRPr="007417DF" w:rsidTr="00EC119B">
        <w:trPr>
          <w:trHeight w:hRule="exact" w:val="284"/>
          <w:jc w:val="center"/>
        </w:trPr>
        <w:tc>
          <w:tcPr>
            <w:tcW w:w="1703" w:type="dxa"/>
            <w:vAlign w:val="center"/>
          </w:tcPr>
          <w:p w:rsidR="00C636FA" w:rsidRPr="00B45226" w:rsidRDefault="00C636FA">
            <w:pPr>
              <w:autoSpaceDE w:val="0"/>
              <w:autoSpaceDN w:val="0"/>
              <w:adjustRightInd w:val="0"/>
              <w:jc w:val="center"/>
              <w:rPr>
                <w:sz w:val="22"/>
                <w:szCs w:val="22"/>
              </w:rPr>
            </w:pPr>
            <w:r w:rsidRPr="00B45226">
              <w:rPr>
                <w:sz w:val="22"/>
                <w:szCs w:val="22"/>
              </w:rPr>
              <w:t>GŘ HZS</w:t>
            </w:r>
          </w:p>
        </w:tc>
        <w:tc>
          <w:tcPr>
            <w:tcW w:w="7653" w:type="dxa"/>
            <w:vAlign w:val="center"/>
          </w:tcPr>
          <w:p w:rsidR="00C636FA" w:rsidRPr="00B45226" w:rsidRDefault="00C636FA">
            <w:pPr>
              <w:autoSpaceDE w:val="0"/>
              <w:autoSpaceDN w:val="0"/>
              <w:adjustRightInd w:val="0"/>
              <w:rPr>
                <w:sz w:val="22"/>
                <w:szCs w:val="22"/>
              </w:rPr>
            </w:pPr>
            <w:r w:rsidRPr="00B45226">
              <w:rPr>
                <w:sz w:val="22"/>
                <w:szCs w:val="22"/>
              </w:rPr>
              <w:t>Generální ředitelství Hasičského záchranného sboru</w:t>
            </w:r>
          </w:p>
        </w:tc>
      </w:tr>
      <w:tr w:rsidR="002D668F" w:rsidRPr="007417DF" w:rsidTr="00EC119B">
        <w:trPr>
          <w:trHeight w:hRule="exact" w:val="284"/>
          <w:jc w:val="center"/>
        </w:trPr>
        <w:tc>
          <w:tcPr>
            <w:tcW w:w="1703" w:type="dxa"/>
            <w:vAlign w:val="center"/>
          </w:tcPr>
          <w:p w:rsidR="002D668F" w:rsidRPr="00B45226" w:rsidRDefault="002D668F" w:rsidP="002D668F">
            <w:pPr>
              <w:autoSpaceDE w:val="0"/>
              <w:autoSpaceDN w:val="0"/>
              <w:adjustRightInd w:val="0"/>
              <w:jc w:val="center"/>
              <w:rPr>
                <w:sz w:val="22"/>
                <w:szCs w:val="22"/>
              </w:rPr>
            </w:pPr>
            <w:r>
              <w:rPr>
                <w:sz w:val="22"/>
                <w:szCs w:val="22"/>
              </w:rPr>
              <w:t>GŘ ÚP ČR</w:t>
            </w:r>
          </w:p>
        </w:tc>
        <w:tc>
          <w:tcPr>
            <w:tcW w:w="7653" w:type="dxa"/>
            <w:vAlign w:val="center"/>
          </w:tcPr>
          <w:p w:rsidR="002D668F" w:rsidRPr="00B45226" w:rsidRDefault="002D668F" w:rsidP="002D668F">
            <w:pPr>
              <w:autoSpaceDE w:val="0"/>
              <w:autoSpaceDN w:val="0"/>
              <w:adjustRightInd w:val="0"/>
              <w:rPr>
                <w:sz w:val="22"/>
                <w:szCs w:val="22"/>
              </w:rPr>
            </w:pPr>
            <w:r w:rsidRPr="002D668F">
              <w:rPr>
                <w:sz w:val="22"/>
                <w:szCs w:val="22"/>
              </w:rPr>
              <w:t>Generální ředitelství Úřadu práce ČR</w:t>
            </w:r>
          </w:p>
        </w:tc>
      </w:tr>
      <w:tr w:rsidR="00C636FA" w:rsidRPr="007417DF" w:rsidTr="00EC119B">
        <w:trPr>
          <w:trHeight w:hRule="exact" w:val="284"/>
          <w:jc w:val="center"/>
        </w:trPr>
        <w:tc>
          <w:tcPr>
            <w:tcW w:w="1703" w:type="dxa"/>
            <w:vAlign w:val="center"/>
          </w:tcPr>
          <w:p w:rsidR="00C636FA" w:rsidRPr="00B45226" w:rsidRDefault="00C636FA">
            <w:pPr>
              <w:autoSpaceDE w:val="0"/>
              <w:autoSpaceDN w:val="0"/>
              <w:adjustRightInd w:val="0"/>
              <w:jc w:val="center"/>
              <w:rPr>
                <w:sz w:val="22"/>
                <w:szCs w:val="22"/>
              </w:rPr>
            </w:pPr>
            <w:r w:rsidRPr="00B45226">
              <w:rPr>
                <w:sz w:val="22"/>
                <w:szCs w:val="22"/>
              </w:rPr>
              <w:t>HF</w:t>
            </w:r>
          </w:p>
        </w:tc>
        <w:tc>
          <w:tcPr>
            <w:tcW w:w="7653" w:type="dxa"/>
            <w:vAlign w:val="center"/>
          </w:tcPr>
          <w:p w:rsidR="00C636FA" w:rsidRPr="00B45226" w:rsidRDefault="00C636FA">
            <w:pPr>
              <w:autoSpaceDE w:val="0"/>
              <w:autoSpaceDN w:val="0"/>
              <w:adjustRightInd w:val="0"/>
              <w:rPr>
                <w:sz w:val="22"/>
                <w:szCs w:val="22"/>
              </w:rPr>
            </w:pPr>
            <w:r w:rsidRPr="00B45226">
              <w:rPr>
                <w:sz w:val="22"/>
                <w:szCs w:val="22"/>
              </w:rPr>
              <w:t>Holdingový fond</w:t>
            </w:r>
          </w:p>
        </w:tc>
      </w:tr>
      <w:tr w:rsidR="00C636FA" w:rsidRPr="007417DF" w:rsidTr="00EC119B">
        <w:trPr>
          <w:trHeight w:hRule="exact" w:val="284"/>
          <w:jc w:val="center"/>
        </w:trPr>
        <w:tc>
          <w:tcPr>
            <w:tcW w:w="1703" w:type="dxa"/>
            <w:vAlign w:val="center"/>
          </w:tcPr>
          <w:p w:rsidR="00C636FA" w:rsidRPr="00B45226" w:rsidRDefault="00C636FA">
            <w:pPr>
              <w:autoSpaceDE w:val="0"/>
              <w:autoSpaceDN w:val="0"/>
              <w:adjustRightInd w:val="0"/>
              <w:jc w:val="center"/>
              <w:rPr>
                <w:sz w:val="22"/>
                <w:szCs w:val="22"/>
              </w:rPr>
            </w:pPr>
            <w:r>
              <w:rPr>
                <w:sz w:val="22"/>
                <w:szCs w:val="22"/>
              </w:rPr>
              <w:t>HQ</w:t>
            </w:r>
          </w:p>
        </w:tc>
        <w:tc>
          <w:tcPr>
            <w:tcW w:w="7653" w:type="dxa"/>
            <w:vAlign w:val="center"/>
          </w:tcPr>
          <w:p w:rsidR="00C636FA" w:rsidRPr="00B45226" w:rsidRDefault="00C636FA">
            <w:pPr>
              <w:autoSpaceDE w:val="0"/>
              <w:autoSpaceDN w:val="0"/>
              <w:adjustRightInd w:val="0"/>
              <w:rPr>
                <w:sz w:val="22"/>
                <w:szCs w:val="22"/>
              </w:rPr>
            </w:pPr>
            <w:r>
              <w:rPr>
                <w:sz w:val="22"/>
                <w:szCs w:val="22"/>
              </w:rPr>
              <w:t>Hlavní kancelář</w:t>
            </w:r>
          </w:p>
        </w:tc>
      </w:tr>
      <w:tr w:rsidR="00C918A9" w:rsidRPr="007417DF" w:rsidTr="00EC119B">
        <w:trPr>
          <w:trHeight w:hRule="exact" w:val="284"/>
          <w:jc w:val="center"/>
        </w:trPr>
        <w:tc>
          <w:tcPr>
            <w:tcW w:w="1703" w:type="dxa"/>
            <w:vAlign w:val="center"/>
          </w:tcPr>
          <w:p w:rsidR="00C918A9" w:rsidRDefault="00C918A9">
            <w:pPr>
              <w:autoSpaceDE w:val="0"/>
              <w:autoSpaceDN w:val="0"/>
              <w:adjustRightInd w:val="0"/>
              <w:jc w:val="center"/>
              <w:rPr>
                <w:sz w:val="22"/>
                <w:szCs w:val="22"/>
              </w:rPr>
            </w:pPr>
            <w:r>
              <w:rPr>
                <w:sz w:val="22"/>
                <w:szCs w:val="22"/>
              </w:rPr>
              <w:t>HZS ČR</w:t>
            </w:r>
          </w:p>
        </w:tc>
        <w:tc>
          <w:tcPr>
            <w:tcW w:w="7653" w:type="dxa"/>
            <w:vAlign w:val="center"/>
          </w:tcPr>
          <w:p w:rsidR="00C918A9" w:rsidRDefault="00C918A9">
            <w:pPr>
              <w:autoSpaceDE w:val="0"/>
              <w:autoSpaceDN w:val="0"/>
              <w:adjustRightInd w:val="0"/>
              <w:rPr>
                <w:sz w:val="22"/>
                <w:szCs w:val="22"/>
              </w:rPr>
            </w:pPr>
            <w:r>
              <w:rPr>
                <w:sz w:val="22"/>
                <w:szCs w:val="22"/>
              </w:rPr>
              <w:t>Hasičský záchranný sbor ČR</w:t>
            </w:r>
          </w:p>
        </w:tc>
      </w:tr>
      <w:tr w:rsidR="00E1460A" w:rsidRPr="007417DF" w:rsidTr="00EC119B">
        <w:trPr>
          <w:trHeight w:hRule="exact" w:val="284"/>
          <w:jc w:val="center"/>
        </w:trPr>
        <w:tc>
          <w:tcPr>
            <w:tcW w:w="1703" w:type="dxa"/>
            <w:vAlign w:val="center"/>
          </w:tcPr>
          <w:p w:rsidR="00E1460A" w:rsidRDefault="00E1460A">
            <w:pPr>
              <w:autoSpaceDE w:val="0"/>
              <w:autoSpaceDN w:val="0"/>
              <w:adjustRightInd w:val="0"/>
              <w:jc w:val="center"/>
              <w:rPr>
                <w:sz w:val="22"/>
                <w:szCs w:val="22"/>
              </w:rPr>
            </w:pPr>
            <w:r>
              <w:rPr>
                <w:sz w:val="22"/>
                <w:szCs w:val="22"/>
              </w:rPr>
              <w:t>HPP</w:t>
            </w:r>
          </w:p>
        </w:tc>
        <w:tc>
          <w:tcPr>
            <w:tcW w:w="7653" w:type="dxa"/>
            <w:vAlign w:val="center"/>
          </w:tcPr>
          <w:p w:rsidR="00E1460A" w:rsidRDefault="00E1460A">
            <w:pPr>
              <w:autoSpaceDE w:val="0"/>
              <w:autoSpaceDN w:val="0"/>
              <w:adjustRightInd w:val="0"/>
              <w:rPr>
                <w:sz w:val="22"/>
                <w:szCs w:val="22"/>
              </w:rPr>
            </w:pPr>
            <w:r>
              <w:rPr>
                <w:sz w:val="22"/>
                <w:szCs w:val="22"/>
              </w:rPr>
              <w:t>Hlavní pracovní poměr</w:t>
            </w:r>
          </w:p>
        </w:tc>
      </w:tr>
      <w:tr w:rsidR="00C636FA" w:rsidRPr="007417DF" w:rsidTr="00EC119B">
        <w:trPr>
          <w:trHeight w:hRule="exact" w:val="284"/>
          <w:jc w:val="center"/>
        </w:trPr>
        <w:tc>
          <w:tcPr>
            <w:tcW w:w="1703" w:type="dxa"/>
            <w:vAlign w:val="center"/>
          </w:tcPr>
          <w:p w:rsidR="00C636FA" w:rsidRPr="00B45226" w:rsidRDefault="00C636FA">
            <w:pPr>
              <w:autoSpaceDE w:val="0"/>
              <w:autoSpaceDN w:val="0"/>
              <w:adjustRightInd w:val="0"/>
              <w:jc w:val="center"/>
              <w:rPr>
                <w:sz w:val="22"/>
                <w:szCs w:val="22"/>
              </w:rPr>
            </w:pPr>
            <w:r w:rsidRPr="00B45226">
              <w:rPr>
                <w:sz w:val="22"/>
                <w:szCs w:val="22"/>
              </w:rPr>
              <w:t>IOP</w:t>
            </w:r>
          </w:p>
        </w:tc>
        <w:tc>
          <w:tcPr>
            <w:tcW w:w="7653" w:type="dxa"/>
            <w:vAlign w:val="center"/>
          </w:tcPr>
          <w:p w:rsidR="00C636FA" w:rsidRPr="00B45226" w:rsidRDefault="00C636FA">
            <w:pPr>
              <w:autoSpaceDE w:val="0"/>
              <w:autoSpaceDN w:val="0"/>
              <w:adjustRightInd w:val="0"/>
              <w:rPr>
                <w:b/>
                <w:bCs/>
                <w:sz w:val="22"/>
                <w:szCs w:val="22"/>
              </w:rPr>
            </w:pPr>
            <w:r w:rsidRPr="00B45226">
              <w:rPr>
                <w:sz w:val="22"/>
                <w:szCs w:val="22"/>
              </w:rPr>
              <w:t>Integrovaný operační program</w:t>
            </w:r>
          </w:p>
        </w:tc>
      </w:tr>
      <w:tr w:rsidR="004138A0" w:rsidRPr="007417DF" w:rsidTr="00EC119B">
        <w:trPr>
          <w:trHeight w:hRule="exact" w:val="284"/>
          <w:jc w:val="center"/>
        </w:trPr>
        <w:tc>
          <w:tcPr>
            <w:tcW w:w="1703" w:type="dxa"/>
            <w:vAlign w:val="center"/>
          </w:tcPr>
          <w:p w:rsidR="004138A0" w:rsidRPr="00B45226" w:rsidRDefault="004138A0">
            <w:pPr>
              <w:autoSpaceDE w:val="0"/>
              <w:autoSpaceDN w:val="0"/>
              <w:adjustRightInd w:val="0"/>
              <w:jc w:val="center"/>
              <w:rPr>
                <w:sz w:val="22"/>
                <w:szCs w:val="22"/>
              </w:rPr>
            </w:pPr>
            <w:r>
              <w:rPr>
                <w:sz w:val="22"/>
                <w:szCs w:val="22"/>
              </w:rPr>
              <w:t>IROP</w:t>
            </w:r>
          </w:p>
        </w:tc>
        <w:tc>
          <w:tcPr>
            <w:tcW w:w="7653" w:type="dxa"/>
            <w:vAlign w:val="center"/>
          </w:tcPr>
          <w:p w:rsidR="004138A0" w:rsidRPr="00B45226" w:rsidRDefault="004138A0">
            <w:pPr>
              <w:autoSpaceDE w:val="0"/>
              <w:autoSpaceDN w:val="0"/>
              <w:adjustRightInd w:val="0"/>
              <w:rPr>
                <w:sz w:val="22"/>
                <w:szCs w:val="22"/>
              </w:rPr>
            </w:pPr>
            <w:r>
              <w:rPr>
                <w:sz w:val="22"/>
                <w:szCs w:val="22"/>
              </w:rPr>
              <w:t>Integrovaný regionální operační program</w:t>
            </w:r>
          </w:p>
        </w:tc>
      </w:tr>
      <w:tr w:rsidR="00C636FA" w:rsidRPr="007417DF" w:rsidTr="00F24130">
        <w:trPr>
          <w:trHeight w:hRule="exact" w:val="592"/>
          <w:jc w:val="center"/>
        </w:trPr>
        <w:tc>
          <w:tcPr>
            <w:tcW w:w="1703" w:type="dxa"/>
            <w:vAlign w:val="center"/>
          </w:tcPr>
          <w:p w:rsidR="00C636FA" w:rsidRPr="00B45226" w:rsidRDefault="00C636FA">
            <w:pPr>
              <w:autoSpaceDE w:val="0"/>
              <w:autoSpaceDN w:val="0"/>
              <w:adjustRightInd w:val="0"/>
              <w:jc w:val="center"/>
              <w:rPr>
                <w:sz w:val="22"/>
                <w:szCs w:val="22"/>
              </w:rPr>
            </w:pPr>
            <w:r w:rsidRPr="00B45226">
              <w:rPr>
                <w:sz w:val="22"/>
                <w:szCs w:val="22"/>
              </w:rPr>
              <w:t>ICT</w:t>
            </w:r>
          </w:p>
        </w:tc>
        <w:tc>
          <w:tcPr>
            <w:tcW w:w="7653" w:type="dxa"/>
            <w:vAlign w:val="center"/>
          </w:tcPr>
          <w:p w:rsidR="009B7527" w:rsidRDefault="00C636FA" w:rsidP="00E3419B">
            <w:pPr>
              <w:autoSpaceDE w:val="0"/>
              <w:autoSpaceDN w:val="0"/>
              <w:adjustRightInd w:val="0"/>
              <w:rPr>
                <w:sz w:val="22"/>
                <w:szCs w:val="22"/>
              </w:rPr>
            </w:pPr>
            <w:proofErr w:type="spellStart"/>
            <w:r w:rsidRPr="00B45226">
              <w:rPr>
                <w:sz w:val="22"/>
                <w:szCs w:val="22"/>
              </w:rPr>
              <w:t>Information</w:t>
            </w:r>
            <w:proofErr w:type="spellEnd"/>
            <w:r w:rsidRPr="00B45226">
              <w:rPr>
                <w:sz w:val="22"/>
                <w:szCs w:val="22"/>
              </w:rPr>
              <w:t xml:space="preserve"> and </w:t>
            </w:r>
            <w:proofErr w:type="spellStart"/>
            <w:r w:rsidRPr="00B45226">
              <w:rPr>
                <w:sz w:val="22"/>
                <w:szCs w:val="22"/>
              </w:rPr>
              <w:t>communication</w:t>
            </w:r>
            <w:proofErr w:type="spellEnd"/>
            <w:r w:rsidRPr="00B45226">
              <w:rPr>
                <w:sz w:val="22"/>
                <w:szCs w:val="22"/>
              </w:rPr>
              <w:t xml:space="preserve"> </w:t>
            </w:r>
            <w:proofErr w:type="spellStart"/>
            <w:r w:rsidRPr="00B45226">
              <w:rPr>
                <w:sz w:val="22"/>
                <w:szCs w:val="22"/>
              </w:rPr>
              <w:t>technologies</w:t>
            </w:r>
            <w:proofErr w:type="spellEnd"/>
            <w:r w:rsidRPr="00B45226">
              <w:rPr>
                <w:sz w:val="22"/>
                <w:szCs w:val="22"/>
              </w:rPr>
              <w:t xml:space="preserve"> (Informační a komunikační technologie)</w:t>
            </w:r>
          </w:p>
          <w:p w:rsidR="00E3419B" w:rsidRPr="00B45226" w:rsidRDefault="00E3419B" w:rsidP="00E3419B">
            <w:pPr>
              <w:autoSpaceDE w:val="0"/>
              <w:autoSpaceDN w:val="0"/>
              <w:adjustRightInd w:val="0"/>
              <w:rPr>
                <w:sz w:val="22"/>
                <w:szCs w:val="22"/>
              </w:rPr>
            </w:pPr>
          </w:p>
        </w:tc>
      </w:tr>
      <w:tr w:rsidR="00C636FA" w:rsidRPr="007417DF" w:rsidTr="00EC119B">
        <w:trPr>
          <w:trHeight w:hRule="exact" w:val="284"/>
          <w:jc w:val="center"/>
        </w:trPr>
        <w:tc>
          <w:tcPr>
            <w:tcW w:w="1703" w:type="dxa"/>
            <w:vAlign w:val="center"/>
          </w:tcPr>
          <w:p w:rsidR="00C636FA" w:rsidRPr="00B45226" w:rsidRDefault="00C636FA">
            <w:pPr>
              <w:autoSpaceDE w:val="0"/>
              <w:autoSpaceDN w:val="0"/>
              <w:adjustRightInd w:val="0"/>
              <w:jc w:val="center"/>
              <w:rPr>
                <w:sz w:val="22"/>
                <w:szCs w:val="22"/>
              </w:rPr>
            </w:pPr>
            <w:r w:rsidRPr="00B45226">
              <w:rPr>
                <w:sz w:val="22"/>
                <w:szCs w:val="22"/>
              </w:rPr>
              <w:t>IPRM</w:t>
            </w:r>
          </w:p>
        </w:tc>
        <w:tc>
          <w:tcPr>
            <w:tcW w:w="7653" w:type="dxa"/>
            <w:vAlign w:val="center"/>
          </w:tcPr>
          <w:p w:rsidR="00C636FA" w:rsidRPr="00B45226" w:rsidRDefault="00C636FA">
            <w:pPr>
              <w:autoSpaceDE w:val="0"/>
              <w:autoSpaceDN w:val="0"/>
              <w:adjustRightInd w:val="0"/>
              <w:rPr>
                <w:sz w:val="22"/>
                <w:szCs w:val="22"/>
              </w:rPr>
            </w:pPr>
            <w:r w:rsidRPr="00B45226">
              <w:rPr>
                <w:sz w:val="22"/>
                <w:szCs w:val="22"/>
              </w:rPr>
              <w:t>Integrovaný plán rozvoje měst</w:t>
            </w:r>
          </w:p>
        </w:tc>
      </w:tr>
      <w:tr w:rsidR="00C636FA" w:rsidRPr="007417DF" w:rsidTr="00EC119B">
        <w:trPr>
          <w:trHeight w:hRule="exact" w:val="284"/>
          <w:jc w:val="center"/>
        </w:trPr>
        <w:tc>
          <w:tcPr>
            <w:tcW w:w="1703" w:type="dxa"/>
            <w:vAlign w:val="center"/>
          </w:tcPr>
          <w:p w:rsidR="00C636FA" w:rsidRPr="00B45226" w:rsidRDefault="00C636FA">
            <w:pPr>
              <w:autoSpaceDE w:val="0"/>
              <w:autoSpaceDN w:val="0"/>
              <w:adjustRightInd w:val="0"/>
              <w:jc w:val="center"/>
              <w:rPr>
                <w:sz w:val="22"/>
                <w:szCs w:val="22"/>
              </w:rPr>
            </w:pPr>
            <w:r>
              <w:rPr>
                <w:sz w:val="22"/>
                <w:szCs w:val="22"/>
              </w:rPr>
              <w:t>IS IZS</w:t>
            </w:r>
          </w:p>
        </w:tc>
        <w:tc>
          <w:tcPr>
            <w:tcW w:w="7653" w:type="dxa"/>
            <w:vAlign w:val="center"/>
          </w:tcPr>
          <w:p w:rsidR="00C636FA" w:rsidRPr="00B45226" w:rsidRDefault="00C636FA">
            <w:pPr>
              <w:autoSpaceDE w:val="0"/>
              <w:autoSpaceDN w:val="0"/>
              <w:adjustRightInd w:val="0"/>
              <w:rPr>
                <w:sz w:val="22"/>
                <w:szCs w:val="22"/>
              </w:rPr>
            </w:pPr>
            <w:r>
              <w:rPr>
                <w:sz w:val="22"/>
                <w:szCs w:val="22"/>
              </w:rPr>
              <w:t>Informační systém integrovaného záchranného systému</w:t>
            </w:r>
          </w:p>
        </w:tc>
      </w:tr>
      <w:tr w:rsidR="00AC10E5" w:rsidRPr="007417DF" w:rsidTr="00EC119B">
        <w:trPr>
          <w:trHeight w:hRule="exact" w:val="284"/>
          <w:jc w:val="center"/>
        </w:trPr>
        <w:tc>
          <w:tcPr>
            <w:tcW w:w="1703" w:type="dxa"/>
            <w:vAlign w:val="center"/>
          </w:tcPr>
          <w:p w:rsidR="00AC10E5" w:rsidRDefault="00AC10E5" w:rsidP="001332F4">
            <w:pPr>
              <w:autoSpaceDE w:val="0"/>
              <w:autoSpaceDN w:val="0"/>
              <w:adjustRightInd w:val="0"/>
              <w:jc w:val="center"/>
              <w:rPr>
                <w:sz w:val="22"/>
                <w:szCs w:val="22"/>
              </w:rPr>
            </w:pPr>
            <w:r w:rsidRPr="0039431F">
              <w:rPr>
                <w:sz w:val="22"/>
                <w:szCs w:val="22"/>
              </w:rPr>
              <w:t>ISVS</w:t>
            </w:r>
          </w:p>
        </w:tc>
        <w:tc>
          <w:tcPr>
            <w:tcW w:w="7653" w:type="dxa"/>
            <w:vAlign w:val="center"/>
          </w:tcPr>
          <w:p w:rsidR="00AC10E5" w:rsidRDefault="00AC10E5" w:rsidP="001332F4">
            <w:pPr>
              <w:autoSpaceDE w:val="0"/>
              <w:autoSpaceDN w:val="0"/>
              <w:adjustRightInd w:val="0"/>
              <w:rPr>
                <w:sz w:val="22"/>
                <w:szCs w:val="22"/>
              </w:rPr>
            </w:pPr>
            <w:r w:rsidRPr="0039431F">
              <w:rPr>
                <w:sz w:val="22"/>
                <w:szCs w:val="22"/>
              </w:rPr>
              <w:t>Informační systémy veřejné správy</w:t>
            </w:r>
          </w:p>
        </w:tc>
      </w:tr>
      <w:tr w:rsidR="00AC10E5" w:rsidRPr="007417DF" w:rsidTr="00EC119B">
        <w:trPr>
          <w:trHeight w:hRule="exact" w:val="284"/>
          <w:jc w:val="center"/>
        </w:trPr>
        <w:tc>
          <w:tcPr>
            <w:tcW w:w="1703" w:type="dxa"/>
            <w:vAlign w:val="center"/>
          </w:tcPr>
          <w:p w:rsidR="00AC10E5" w:rsidRPr="00B45226" w:rsidRDefault="00AC10E5" w:rsidP="001332F4">
            <w:pPr>
              <w:autoSpaceDE w:val="0"/>
              <w:autoSpaceDN w:val="0"/>
              <w:adjustRightInd w:val="0"/>
              <w:jc w:val="center"/>
              <w:rPr>
                <w:sz w:val="22"/>
                <w:szCs w:val="22"/>
              </w:rPr>
            </w:pPr>
            <w:r>
              <w:rPr>
                <w:sz w:val="22"/>
                <w:szCs w:val="22"/>
              </w:rPr>
              <w:t>ISZR</w:t>
            </w:r>
          </w:p>
        </w:tc>
        <w:tc>
          <w:tcPr>
            <w:tcW w:w="7653" w:type="dxa"/>
            <w:vAlign w:val="center"/>
          </w:tcPr>
          <w:p w:rsidR="00AC10E5" w:rsidRPr="00B45226" w:rsidRDefault="00AC10E5" w:rsidP="001332F4">
            <w:pPr>
              <w:autoSpaceDE w:val="0"/>
              <w:autoSpaceDN w:val="0"/>
              <w:adjustRightInd w:val="0"/>
              <w:rPr>
                <w:sz w:val="22"/>
                <w:szCs w:val="22"/>
              </w:rPr>
            </w:pPr>
            <w:r>
              <w:rPr>
                <w:sz w:val="22"/>
                <w:szCs w:val="22"/>
              </w:rPr>
              <w:t>Informační systém základních registrů</w:t>
            </w:r>
          </w:p>
        </w:tc>
      </w:tr>
      <w:tr w:rsidR="00AC10E5" w:rsidRPr="007417DF" w:rsidTr="00EC119B">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r w:rsidRPr="00B45226">
              <w:rPr>
                <w:sz w:val="22"/>
                <w:szCs w:val="22"/>
              </w:rPr>
              <w:t>IZS</w:t>
            </w:r>
          </w:p>
        </w:tc>
        <w:tc>
          <w:tcPr>
            <w:tcW w:w="7653" w:type="dxa"/>
            <w:vAlign w:val="center"/>
          </w:tcPr>
          <w:p w:rsidR="00AC10E5" w:rsidRPr="00B45226" w:rsidRDefault="00AC10E5">
            <w:pPr>
              <w:autoSpaceDE w:val="0"/>
              <w:autoSpaceDN w:val="0"/>
              <w:adjustRightInd w:val="0"/>
              <w:rPr>
                <w:sz w:val="22"/>
                <w:szCs w:val="22"/>
              </w:rPr>
            </w:pPr>
            <w:r w:rsidRPr="00B45226">
              <w:rPr>
                <w:sz w:val="22"/>
                <w:szCs w:val="22"/>
              </w:rPr>
              <w:t>Integrovaný záchranný systém</w:t>
            </w:r>
          </w:p>
        </w:tc>
      </w:tr>
      <w:tr w:rsidR="00013704" w:rsidRPr="007417DF" w:rsidTr="00EC119B">
        <w:trPr>
          <w:trHeight w:hRule="exact" w:val="284"/>
          <w:jc w:val="center"/>
        </w:trPr>
        <w:tc>
          <w:tcPr>
            <w:tcW w:w="1703" w:type="dxa"/>
            <w:vAlign w:val="center"/>
          </w:tcPr>
          <w:p w:rsidR="00013704" w:rsidRPr="00B45226" w:rsidRDefault="00013704">
            <w:pPr>
              <w:autoSpaceDE w:val="0"/>
              <w:autoSpaceDN w:val="0"/>
              <w:adjustRightInd w:val="0"/>
              <w:jc w:val="center"/>
              <w:rPr>
                <w:sz w:val="22"/>
                <w:szCs w:val="22"/>
              </w:rPr>
            </w:pPr>
            <w:r>
              <w:rPr>
                <w:sz w:val="22"/>
                <w:szCs w:val="22"/>
              </w:rPr>
              <w:t>ISKN</w:t>
            </w:r>
          </w:p>
        </w:tc>
        <w:tc>
          <w:tcPr>
            <w:tcW w:w="7653" w:type="dxa"/>
            <w:vAlign w:val="center"/>
          </w:tcPr>
          <w:p w:rsidR="00013704" w:rsidRPr="00B45226" w:rsidRDefault="00013704">
            <w:pPr>
              <w:autoSpaceDE w:val="0"/>
              <w:autoSpaceDN w:val="0"/>
              <w:adjustRightInd w:val="0"/>
              <w:rPr>
                <w:sz w:val="22"/>
                <w:szCs w:val="22"/>
              </w:rPr>
            </w:pPr>
            <w:r>
              <w:rPr>
                <w:sz w:val="22"/>
                <w:szCs w:val="22"/>
              </w:rPr>
              <w:t>Informační systém katastru nemovitostí</w:t>
            </w:r>
          </w:p>
        </w:tc>
      </w:tr>
      <w:tr w:rsidR="00AC10E5" w:rsidRPr="007417DF" w:rsidTr="00EC119B">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proofErr w:type="spellStart"/>
            <w:r w:rsidRPr="00B45226">
              <w:rPr>
                <w:sz w:val="22"/>
                <w:szCs w:val="22"/>
              </w:rPr>
              <w:t>KoP</w:t>
            </w:r>
            <w:proofErr w:type="spellEnd"/>
          </w:p>
        </w:tc>
        <w:tc>
          <w:tcPr>
            <w:tcW w:w="7653" w:type="dxa"/>
            <w:vAlign w:val="center"/>
          </w:tcPr>
          <w:p w:rsidR="00AC10E5" w:rsidRPr="00B45226" w:rsidRDefault="00AC10E5">
            <w:pPr>
              <w:autoSpaceDE w:val="0"/>
              <w:autoSpaceDN w:val="0"/>
              <w:adjustRightInd w:val="0"/>
              <w:rPr>
                <w:b/>
                <w:bCs/>
                <w:sz w:val="22"/>
                <w:szCs w:val="22"/>
              </w:rPr>
            </w:pPr>
            <w:r w:rsidRPr="00B45226">
              <w:rPr>
                <w:sz w:val="22"/>
                <w:szCs w:val="22"/>
              </w:rPr>
              <w:t>Komunikační plán</w:t>
            </w:r>
          </w:p>
        </w:tc>
      </w:tr>
      <w:tr w:rsidR="00AC10E5" w:rsidRPr="007417DF" w:rsidTr="00EC119B">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proofErr w:type="spellStart"/>
            <w:r w:rsidRPr="00B45226">
              <w:rPr>
                <w:sz w:val="22"/>
                <w:szCs w:val="22"/>
              </w:rPr>
              <w:t>Konv</w:t>
            </w:r>
            <w:proofErr w:type="spellEnd"/>
            <w:r w:rsidRPr="00B45226">
              <w:rPr>
                <w:sz w:val="22"/>
                <w:szCs w:val="22"/>
              </w:rPr>
              <w:t>.</w:t>
            </w:r>
          </w:p>
        </w:tc>
        <w:tc>
          <w:tcPr>
            <w:tcW w:w="7653" w:type="dxa"/>
            <w:vAlign w:val="center"/>
          </w:tcPr>
          <w:p w:rsidR="00AC10E5" w:rsidRPr="00B45226" w:rsidRDefault="00AC10E5">
            <w:pPr>
              <w:autoSpaceDE w:val="0"/>
              <w:autoSpaceDN w:val="0"/>
              <w:adjustRightInd w:val="0"/>
              <w:rPr>
                <w:sz w:val="22"/>
                <w:szCs w:val="22"/>
              </w:rPr>
            </w:pPr>
            <w:r w:rsidRPr="00B45226">
              <w:rPr>
                <w:sz w:val="22"/>
                <w:szCs w:val="22"/>
              </w:rPr>
              <w:t>Cíl Konvergence</w:t>
            </w:r>
          </w:p>
        </w:tc>
      </w:tr>
      <w:tr w:rsidR="0009647F" w:rsidRPr="007417DF" w:rsidTr="00EC119B">
        <w:trPr>
          <w:trHeight w:hRule="exact" w:val="284"/>
          <w:jc w:val="center"/>
        </w:trPr>
        <w:tc>
          <w:tcPr>
            <w:tcW w:w="1703" w:type="dxa"/>
            <w:vAlign w:val="center"/>
          </w:tcPr>
          <w:p w:rsidR="0009647F" w:rsidRPr="00B45226" w:rsidRDefault="0009647F">
            <w:pPr>
              <w:autoSpaceDE w:val="0"/>
              <w:autoSpaceDN w:val="0"/>
              <w:adjustRightInd w:val="0"/>
              <w:jc w:val="center"/>
              <w:rPr>
                <w:sz w:val="22"/>
                <w:szCs w:val="22"/>
              </w:rPr>
            </w:pPr>
            <w:r>
              <w:rPr>
                <w:sz w:val="22"/>
                <w:szCs w:val="22"/>
              </w:rPr>
              <w:t>KDČ</w:t>
            </w:r>
          </w:p>
        </w:tc>
        <w:tc>
          <w:tcPr>
            <w:tcW w:w="7653" w:type="dxa"/>
            <w:vAlign w:val="center"/>
          </w:tcPr>
          <w:p w:rsidR="0009647F" w:rsidRPr="00B45226" w:rsidRDefault="0009647F">
            <w:pPr>
              <w:autoSpaceDE w:val="0"/>
              <w:autoSpaceDN w:val="0"/>
              <w:adjustRightInd w:val="0"/>
              <w:rPr>
                <w:sz w:val="22"/>
                <w:szCs w:val="22"/>
              </w:rPr>
            </w:pPr>
            <w:r>
              <w:rPr>
                <w:sz w:val="22"/>
                <w:szCs w:val="22"/>
              </w:rPr>
              <w:t>Kontrola delegovaných činností</w:t>
            </w:r>
          </w:p>
        </w:tc>
      </w:tr>
      <w:tr w:rsidR="0009647F" w:rsidRPr="007417DF" w:rsidTr="00EC119B">
        <w:trPr>
          <w:trHeight w:hRule="exact" w:val="284"/>
          <w:jc w:val="center"/>
        </w:trPr>
        <w:tc>
          <w:tcPr>
            <w:tcW w:w="1703" w:type="dxa"/>
            <w:vAlign w:val="center"/>
          </w:tcPr>
          <w:p w:rsidR="0009647F" w:rsidRDefault="0009647F">
            <w:pPr>
              <w:autoSpaceDE w:val="0"/>
              <w:autoSpaceDN w:val="0"/>
              <w:adjustRightInd w:val="0"/>
              <w:jc w:val="center"/>
              <w:rPr>
                <w:sz w:val="22"/>
                <w:szCs w:val="22"/>
              </w:rPr>
            </w:pPr>
            <w:r>
              <w:rPr>
                <w:sz w:val="22"/>
                <w:szCs w:val="22"/>
              </w:rPr>
              <w:t xml:space="preserve">KNP </w:t>
            </w:r>
          </w:p>
        </w:tc>
        <w:tc>
          <w:tcPr>
            <w:tcW w:w="7653" w:type="dxa"/>
            <w:vAlign w:val="center"/>
          </w:tcPr>
          <w:p w:rsidR="0009647F" w:rsidRDefault="0009647F">
            <w:pPr>
              <w:autoSpaceDE w:val="0"/>
              <w:autoSpaceDN w:val="0"/>
              <w:adjustRightInd w:val="0"/>
              <w:rPr>
                <w:sz w:val="22"/>
                <w:szCs w:val="22"/>
              </w:rPr>
            </w:pPr>
            <w:r>
              <w:rPr>
                <w:sz w:val="22"/>
                <w:szCs w:val="22"/>
              </w:rPr>
              <w:t>Kontrola na projektu</w:t>
            </w:r>
          </w:p>
        </w:tc>
      </w:tr>
      <w:tr w:rsidR="00AC10E5" w:rsidRPr="007417DF" w:rsidTr="00EC119B">
        <w:trPr>
          <w:trHeight w:hRule="exact" w:val="284"/>
          <w:jc w:val="center"/>
        </w:trPr>
        <w:tc>
          <w:tcPr>
            <w:tcW w:w="1703" w:type="dxa"/>
            <w:vAlign w:val="center"/>
          </w:tcPr>
          <w:p w:rsidR="00AC10E5" w:rsidRPr="00F81B40" w:rsidRDefault="00AC10E5" w:rsidP="0017054B">
            <w:pPr>
              <w:autoSpaceDE w:val="0"/>
              <w:autoSpaceDN w:val="0"/>
              <w:adjustRightInd w:val="0"/>
              <w:jc w:val="center"/>
              <w:rPr>
                <w:sz w:val="22"/>
                <w:szCs w:val="22"/>
              </w:rPr>
            </w:pPr>
            <w:r w:rsidRPr="00F81B40">
              <w:rPr>
                <w:sz w:val="22"/>
                <w:szCs w:val="22"/>
              </w:rPr>
              <w:lastRenderedPageBreak/>
              <w:t>KP</w:t>
            </w:r>
          </w:p>
        </w:tc>
        <w:tc>
          <w:tcPr>
            <w:tcW w:w="7653" w:type="dxa"/>
            <w:vAlign w:val="center"/>
          </w:tcPr>
          <w:p w:rsidR="00AC10E5" w:rsidRPr="00F81B40" w:rsidRDefault="00AC10E5" w:rsidP="0017054B">
            <w:pPr>
              <w:pStyle w:val="Seznam2"/>
              <w:ind w:left="0" w:firstLine="0"/>
              <w:rPr>
                <w:sz w:val="22"/>
                <w:szCs w:val="22"/>
              </w:rPr>
            </w:pPr>
            <w:r w:rsidRPr="00F81B40">
              <w:rPr>
                <w:sz w:val="22"/>
                <w:szCs w:val="22"/>
              </w:rPr>
              <w:t>Klasifikace platby</w:t>
            </w:r>
          </w:p>
        </w:tc>
      </w:tr>
      <w:tr w:rsidR="00AC10E5" w:rsidRPr="007417DF" w:rsidTr="00EC119B">
        <w:trPr>
          <w:trHeight w:hRule="exact" w:val="284"/>
          <w:jc w:val="center"/>
        </w:trPr>
        <w:tc>
          <w:tcPr>
            <w:tcW w:w="1703" w:type="dxa"/>
            <w:vAlign w:val="center"/>
          </w:tcPr>
          <w:p w:rsidR="00AC10E5" w:rsidRPr="00B45226" w:rsidRDefault="00AC10E5" w:rsidP="0017054B">
            <w:pPr>
              <w:autoSpaceDE w:val="0"/>
              <w:autoSpaceDN w:val="0"/>
              <w:adjustRightInd w:val="0"/>
              <w:jc w:val="center"/>
              <w:rPr>
                <w:sz w:val="22"/>
                <w:szCs w:val="22"/>
              </w:rPr>
            </w:pPr>
            <w:r>
              <w:rPr>
                <w:sz w:val="22"/>
                <w:szCs w:val="22"/>
              </w:rPr>
              <w:t>KSS</w:t>
            </w:r>
          </w:p>
        </w:tc>
        <w:tc>
          <w:tcPr>
            <w:tcW w:w="7653" w:type="dxa"/>
            <w:vAlign w:val="center"/>
          </w:tcPr>
          <w:p w:rsidR="00AC10E5" w:rsidRPr="00B45226" w:rsidRDefault="00AC10E5" w:rsidP="0017054B">
            <w:pPr>
              <w:pStyle w:val="Seznam2"/>
              <w:ind w:left="0" w:firstLine="0"/>
              <w:rPr>
                <w:sz w:val="22"/>
                <w:szCs w:val="22"/>
              </w:rPr>
            </w:pPr>
            <w:r>
              <w:rPr>
                <w:sz w:val="22"/>
                <w:szCs w:val="22"/>
              </w:rPr>
              <w:t>Krajský správní soud</w:t>
            </w:r>
          </w:p>
        </w:tc>
      </w:tr>
      <w:tr w:rsidR="00791176" w:rsidRPr="007417DF" w:rsidTr="00EC119B">
        <w:trPr>
          <w:trHeight w:hRule="exact" w:val="284"/>
          <w:jc w:val="center"/>
        </w:trPr>
        <w:tc>
          <w:tcPr>
            <w:tcW w:w="1703" w:type="dxa"/>
            <w:vAlign w:val="center"/>
          </w:tcPr>
          <w:p w:rsidR="00791176" w:rsidRDefault="00791176" w:rsidP="0017054B">
            <w:pPr>
              <w:autoSpaceDE w:val="0"/>
              <w:autoSpaceDN w:val="0"/>
              <w:adjustRightInd w:val="0"/>
              <w:jc w:val="center"/>
              <w:rPr>
                <w:sz w:val="22"/>
                <w:szCs w:val="22"/>
              </w:rPr>
            </w:pPr>
            <w:r>
              <w:rPr>
                <w:sz w:val="22"/>
                <w:szCs w:val="22"/>
              </w:rPr>
              <w:t>OLAF</w:t>
            </w:r>
          </w:p>
        </w:tc>
        <w:tc>
          <w:tcPr>
            <w:tcW w:w="7653" w:type="dxa"/>
            <w:vAlign w:val="center"/>
          </w:tcPr>
          <w:p w:rsidR="00791176" w:rsidRDefault="000302B3" w:rsidP="0017054B">
            <w:pPr>
              <w:pStyle w:val="Seznam2"/>
              <w:ind w:left="0" w:firstLine="0"/>
              <w:rPr>
                <w:sz w:val="22"/>
                <w:szCs w:val="22"/>
              </w:rPr>
            </w:pPr>
            <w:r>
              <w:rPr>
                <w:sz w:val="22"/>
                <w:szCs w:val="22"/>
              </w:rPr>
              <w:t xml:space="preserve">Office de </w:t>
            </w:r>
            <w:proofErr w:type="spellStart"/>
            <w:r>
              <w:rPr>
                <w:sz w:val="22"/>
                <w:szCs w:val="22"/>
              </w:rPr>
              <w:t>Lutte</w:t>
            </w:r>
            <w:proofErr w:type="spellEnd"/>
            <w:r>
              <w:rPr>
                <w:sz w:val="22"/>
                <w:szCs w:val="22"/>
              </w:rPr>
              <w:t xml:space="preserve"> Anti-</w:t>
            </w:r>
            <w:proofErr w:type="spellStart"/>
            <w:r>
              <w:rPr>
                <w:sz w:val="22"/>
                <w:szCs w:val="22"/>
              </w:rPr>
              <w:t>Fraude</w:t>
            </w:r>
            <w:proofErr w:type="spellEnd"/>
            <w:r>
              <w:rPr>
                <w:sz w:val="22"/>
                <w:szCs w:val="22"/>
              </w:rPr>
              <w:t xml:space="preserve"> - </w:t>
            </w:r>
            <w:r w:rsidR="00791176">
              <w:rPr>
                <w:sz w:val="22"/>
                <w:szCs w:val="22"/>
              </w:rPr>
              <w:t>Evropský úřad pro boj proti podvodům</w:t>
            </w:r>
            <w:r>
              <w:rPr>
                <w:sz w:val="22"/>
                <w:szCs w:val="22"/>
              </w:rPr>
              <w:t xml:space="preserve"> </w:t>
            </w:r>
          </w:p>
        </w:tc>
      </w:tr>
      <w:tr w:rsidR="00AC10E5" w:rsidRPr="007417DF" w:rsidTr="00EC119B">
        <w:trPr>
          <w:trHeight w:hRule="exact" w:val="284"/>
          <w:jc w:val="center"/>
        </w:trPr>
        <w:tc>
          <w:tcPr>
            <w:tcW w:w="1703" w:type="dxa"/>
            <w:vAlign w:val="center"/>
          </w:tcPr>
          <w:p w:rsidR="00AC10E5" w:rsidRPr="00B45226" w:rsidRDefault="00AC10E5" w:rsidP="0017054B">
            <w:pPr>
              <w:autoSpaceDE w:val="0"/>
              <w:autoSpaceDN w:val="0"/>
              <w:adjustRightInd w:val="0"/>
              <w:jc w:val="center"/>
              <w:rPr>
                <w:sz w:val="22"/>
                <w:szCs w:val="22"/>
              </w:rPr>
            </w:pPr>
            <w:r w:rsidRPr="00B45226">
              <w:rPr>
                <w:sz w:val="22"/>
                <w:szCs w:val="22"/>
              </w:rPr>
              <w:t>MIP</w:t>
            </w:r>
          </w:p>
        </w:tc>
        <w:tc>
          <w:tcPr>
            <w:tcW w:w="7653" w:type="dxa"/>
            <w:vAlign w:val="center"/>
          </w:tcPr>
          <w:p w:rsidR="00AC10E5" w:rsidRPr="00B45226" w:rsidRDefault="00AC10E5" w:rsidP="0017054B">
            <w:pPr>
              <w:pStyle w:val="Seznam2"/>
              <w:ind w:left="0" w:firstLine="0"/>
              <w:rPr>
                <w:sz w:val="22"/>
                <w:szCs w:val="22"/>
              </w:rPr>
            </w:pPr>
            <w:r w:rsidRPr="00B45226">
              <w:rPr>
                <w:sz w:val="22"/>
                <w:szCs w:val="22"/>
              </w:rPr>
              <w:t>Manuál interních postupů</w:t>
            </w:r>
          </w:p>
        </w:tc>
      </w:tr>
      <w:tr w:rsidR="00B23AFC" w:rsidRPr="007417DF" w:rsidTr="00EC119B">
        <w:trPr>
          <w:trHeight w:hRule="exact" w:val="284"/>
          <w:jc w:val="center"/>
        </w:trPr>
        <w:tc>
          <w:tcPr>
            <w:tcW w:w="1703" w:type="dxa"/>
            <w:vAlign w:val="center"/>
          </w:tcPr>
          <w:p w:rsidR="00B23AFC" w:rsidRPr="00B45226" w:rsidRDefault="00B23AFC" w:rsidP="0017054B">
            <w:pPr>
              <w:autoSpaceDE w:val="0"/>
              <w:autoSpaceDN w:val="0"/>
              <w:adjustRightInd w:val="0"/>
              <w:jc w:val="center"/>
              <w:rPr>
                <w:sz w:val="22"/>
                <w:szCs w:val="22"/>
              </w:rPr>
            </w:pPr>
            <w:r>
              <w:rPr>
                <w:sz w:val="22"/>
                <w:szCs w:val="22"/>
              </w:rPr>
              <w:t>MFTK</w:t>
            </w:r>
          </w:p>
        </w:tc>
        <w:tc>
          <w:tcPr>
            <w:tcW w:w="7653" w:type="dxa"/>
            <w:vAlign w:val="center"/>
          </w:tcPr>
          <w:p w:rsidR="00B23AFC" w:rsidRPr="00B45226" w:rsidRDefault="00B23AFC" w:rsidP="0017054B">
            <w:pPr>
              <w:pStyle w:val="Seznam2"/>
              <w:ind w:left="0" w:firstLine="0"/>
              <w:rPr>
                <w:sz w:val="22"/>
                <w:szCs w:val="22"/>
              </w:rPr>
            </w:pPr>
            <w:r>
              <w:rPr>
                <w:sz w:val="22"/>
                <w:szCs w:val="22"/>
              </w:rPr>
              <w:t>Metodika finančních toků a kontrol</w:t>
            </w:r>
          </w:p>
        </w:tc>
      </w:tr>
      <w:tr w:rsidR="00AC10E5" w:rsidRPr="007417DF" w:rsidTr="00EC119B">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r w:rsidRPr="00B45226">
              <w:rPr>
                <w:sz w:val="22"/>
                <w:szCs w:val="22"/>
              </w:rPr>
              <w:t>MK</w:t>
            </w:r>
          </w:p>
        </w:tc>
        <w:tc>
          <w:tcPr>
            <w:tcW w:w="7653" w:type="dxa"/>
            <w:vAlign w:val="center"/>
          </w:tcPr>
          <w:p w:rsidR="00AC10E5" w:rsidRPr="00B45226" w:rsidRDefault="00AC10E5">
            <w:pPr>
              <w:pStyle w:val="Seznam2"/>
              <w:ind w:left="0" w:firstLine="0"/>
              <w:rPr>
                <w:sz w:val="22"/>
                <w:szCs w:val="22"/>
              </w:rPr>
            </w:pPr>
            <w:r w:rsidRPr="00B45226">
              <w:rPr>
                <w:sz w:val="22"/>
                <w:szCs w:val="22"/>
              </w:rPr>
              <w:t>Ministerstvo kultury</w:t>
            </w:r>
          </w:p>
        </w:tc>
      </w:tr>
      <w:tr w:rsidR="00AC10E5" w:rsidRPr="007417DF" w:rsidTr="00EC119B">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r w:rsidRPr="00B45226">
              <w:rPr>
                <w:sz w:val="22"/>
                <w:szCs w:val="22"/>
              </w:rPr>
              <w:t>MMR</w:t>
            </w:r>
          </w:p>
        </w:tc>
        <w:tc>
          <w:tcPr>
            <w:tcW w:w="7653" w:type="dxa"/>
            <w:vAlign w:val="center"/>
          </w:tcPr>
          <w:p w:rsidR="00AC10E5" w:rsidRPr="00B45226" w:rsidRDefault="00AC10E5">
            <w:pPr>
              <w:autoSpaceDE w:val="0"/>
              <w:autoSpaceDN w:val="0"/>
              <w:adjustRightInd w:val="0"/>
              <w:rPr>
                <w:sz w:val="22"/>
                <w:szCs w:val="22"/>
              </w:rPr>
            </w:pPr>
            <w:r w:rsidRPr="00B45226">
              <w:rPr>
                <w:sz w:val="22"/>
                <w:szCs w:val="22"/>
              </w:rPr>
              <w:t>Ministerstvo pro místní rozvoj</w:t>
            </w:r>
          </w:p>
        </w:tc>
      </w:tr>
      <w:tr w:rsidR="00AC10E5" w:rsidRPr="007417DF" w:rsidTr="00EC119B">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r>
              <w:rPr>
                <w:sz w:val="22"/>
                <w:szCs w:val="22"/>
              </w:rPr>
              <w:t>MMZ</w:t>
            </w:r>
          </w:p>
        </w:tc>
        <w:tc>
          <w:tcPr>
            <w:tcW w:w="7653" w:type="dxa"/>
            <w:vAlign w:val="center"/>
          </w:tcPr>
          <w:p w:rsidR="00AC10E5" w:rsidRPr="00B45226" w:rsidRDefault="00AC10E5">
            <w:pPr>
              <w:pStyle w:val="Seznam2"/>
              <w:ind w:left="0" w:firstLine="0"/>
              <w:rPr>
                <w:sz w:val="22"/>
                <w:szCs w:val="22"/>
              </w:rPr>
            </w:pPr>
            <w:r>
              <w:rPr>
                <w:sz w:val="22"/>
                <w:szCs w:val="22"/>
              </w:rPr>
              <w:t>Měsíční monitorovací zpráva</w:t>
            </w:r>
          </w:p>
        </w:tc>
      </w:tr>
      <w:tr w:rsidR="00AC10E5" w:rsidRPr="007417DF" w:rsidTr="00EC119B">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proofErr w:type="spellStart"/>
            <w:r w:rsidRPr="00B45226">
              <w:rPr>
                <w:sz w:val="22"/>
                <w:szCs w:val="22"/>
              </w:rPr>
              <w:t>MoV</w:t>
            </w:r>
            <w:proofErr w:type="spellEnd"/>
            <w:r w:rsidRPr="00B45226">
              <w:rPr>
                <w:sz w:val="22"/>
                <w:szCs w:val="22"/>
              </w:rPr>
              <w:t xml:space="preserve"> IOP</w:t>
            </w:r>
          </w:p>
        </w:tc>
        <w:tc>
          <w:tcPr>
            <w:tcW w:w="7653" w:type="dxa"/>
            <w:vAlign w:val="center"/>
          </w:tcPr>
          <w:p w:rsidR="00AC10E5" w:rsidRPr="00B45226" w:rsidRDefault="00AC10E5">
            <w:pPr>
              <w:pStyle w:val="Seznam2"/>
              <w:ind w:left="0" w:firstLine="0"/>
              <w:rPr>
                <w:sz w:val="22"/>
                <w:szCs w:val="22"/>
              </w:rPr>
            </w:pPr>
            <w:r w:rsidRPr="00B45226">
              <w:rPr>
                <w:sz w:val="22"/>
                <w:szCs w:val="22"/>
              </w:rPr>
              <w:t>Monitorovací výbor IOP</w:t>
            </w:r>
          </w:p>
        </w:tc>
      </w:tr>
      <w:tr w:rsidR="009E48B7" w:rsidRPr="007417DF" w:rsidTr="00EC119B">
        <w:trPr>
          <w:trHeight w:hRule="exact" w:val="284"/>
          <w:jc w:val="center"/>
        </w:trPr>
        <w:tc>
          <w:tcPr>
            <w:tcW w:w="1703" w:type="dxa"/>
            <w:vAlign w:val="center"/>
          </w:tcPr>
          <w:p w:rsidR="009E48B7" w:rsidRPr="00B45226" w:rsidRDefault="009E48B7">
            <w:pPr>
              <w:autoSpaceDE w:val="0"/>
              <w:autoSpaceDN w:val="0"/>
              <w:adjustRightInd w:val="0"/>
              <w:jc w:val="center"/>
              <w:rPr>
                <w:sz w:val="22"/>
                <w:szCs w:val="22"/>
              </w:rPr>
            </w:pPr>
            <w:proofErr w:type="spellStart"/>
            <w:r>
              <w:rPr>
                <w:sz w:val="22"/>
                <w:szCs w:val="22"/>
              </w:rPr>
              <w:t>MSp</w:t>
            </w:r>
            <w:proofErr w:type="spellEnd"/>
            <w:r>
              <w:rPr>
                <w:sz w:val="22"/>
                <w:szCs w:val="22"/>
              </w:rPr>
              <w:t xml:space="preserve"> </w:t>
            </w:r>
          </w:p>
        </w:tc>
        <w:tc>
          <w:tcPr>
            <w:tcW w:w="7653" w:type="dxa"/>
            <w:vAlign w:val="center"/>
          </w:tcPr>
          <w:p w:rsidR="009E48B7" w:rsidRPr="00B45226" w:rsidRDefault="009E48B7">
            <w:pPr>
              <w:pStyle w:val="Seznam2"/>
              <w:ind w:left="0" w:firstLine="0"/>
              <w:rPr>
                <w:sz w:val="22"/>
                <w:szCs w:val="22"/>
              </w:rPr>
            </w:pPr>
            <w:r>
              <w:rPr>
                <w:sz w:val="22"/>
                <w:szCs w:val="22"/>
              </w:rPr>
              <w:t>Ministerstvo spravedlnosti</w:t>
            </w:r>
          </w:p>
        </w:tc>
      </w:tr>
      <w:tr w:rsidR="00AC10E5" w:rsidRPr="007417DF" w:rsidTr="00EC119B">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r w:rsidRPr="00B45226">
              <w:rPr>
                <w:sz w:val="22"/>
                <w:szCs w:val="22"/>
              </w:rPr>
              <w:t>MPSV</w:t>
            </w:r>
          </w:p>
        </w:tc>
        <w:tc>
          <w:tcPr>
            <w:tcW w:w="7653" w:type="dxa"/>
            <w:vAlign w:val="center"/>
          </w:tcPr>
          <w:p w:rsidR="00AC10E5" w:rsidRPr="00B45226" w:rsidRDefault="00AC10E5">
            <w:pPr>
              <w:pStyle w:val="Seznam2"/>
              <w:ind w:left="0" w:firstLine="0"/>
              <w:rPr>
                <w:sz w:val="22"/>
                <w:szCs w:val="22"/>
              </w:rPr>
            </w:pPr>
            <w:r w:rsidRPr="00B45226">
              <w:rPr>
                <w:sz w:val="22"/>
                <w:szCs w:val="22"/>
              </w:rPr>
              <w:t xml:space="preserve">Ministerstvo práce a sociálních věcí </w:t>
            </w:r>
          </w:p>
        </w:tc>
      </w:tr>
      <w:tr w:rsidR="00AC10E5" w:rsidRPr="007417DF" w:rsidTr="00EC119B">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r w:rsidRPr="00B45226">
              <w:rPr>
                <w:sz w:val="22"/>
                <w:szCs w:val="22"/>
              </w:rPr>
              <w:t>MV</w:t>
            </w:r>
          </w:p>
        </w:tc>
        <w:tc>
          <w:tcPr>
            <w:tcW w:w="7653" w:type="dxa"/>
            <w:vAlign w:val="center"/>
          </w:tcPr>
          <w:p w:rsidR="00AC10E5" w:rsidRPr="00B45226" w:rsidRDefault="00AC10E5">
            <w:pPr>
              <w:pStyle w:val="Seznam2"/>
              <w:ind w:left="0" w:firstLine="0"/>
              <w:rPr>
                <w:sz w:val="22"/>
                <w:szCs w:val="22"/>
              </w:rPr>
            </w:pPr>
            <w:r w:rsidRPr="00B45226">
              <w:rPr>
                <w:sz w:val="22"/>
                <w:szCs w:val="22"/>
              </w:rPr>
              <w:t xml:space="preserve">Ministerstvo vnitra </w:t>
            </w:r>
          </w:p>
        </w:tc>
      </w:tr>
      <w:tr w:rsidR="00AC10E5" w:rsidRPr="007417DF" w:rsidTr="00EC119B">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r w:rsidRPr="00B45226">
              <w:rPr>
                <w:sz w:val="22"/>
                <w:szCs w:val="22"/>
              </w:rPr>
              <w:t>MZ</w:t>
            </w:r>
          </w:p>
        </w:tc>
        <w:tc>
          <w:tcPr>
            <w:tcW w:w="7653" w:type="dxa"/>
            <w:vAlign w:val="center"/>
          </w:tcPr>
          <w:p w:rsidR="00AC10E5" w:rsidRPr="00B45226" w:rsidRDefault="00AC10E5">
            <w:pPr>
              <w:pStyle w:val="Seznam2"/>
              <w:ind w:left="0" w:firstLine="0"/>
              <w:rPr>
                <w:sz w:val="22"/>
                <w:szCs w:val="22"/>
              </w:rPr>
            </w:pPr>
            <w:r w:rsidRPr="00B45226">
              <w:rPr>
                <w:sz w:val="22"/>
                <w:szCs w:val="22"/>
              </w:rPr>
              <w:t>Monitorovací zpráva</w:t>
            </w:r>
          </w:p>
        </w:tc>
      </w:tr>
      <w:tr w:rsidR="00AC10E5" w:rsidRPr="007417DF" w:rsidTr="00EC119B">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proofErr w:type="spellStart"/>
            <w:r w:rsidRPr="00B45226">
              <w:rPr>
                <w:sz w:val="22"/>
                <w:szCs w:val="22"/>
              </w:rPr>
              <w:t>MZd</w:t>
            </w:r>
            <w:proofErr w:type="spellEnd"/>
          </w:p>
        </w:tc>
        <w:tc>
          <w:tcPr>
            <w:tcW w:w="7653" w:type="dxa"/>
            <w:vAlign w:val="center"/>
          </w:tcPr>
          <w:p w:rsidR="00AC10E5" w:rsidRPr="00B45226" w:rsidRDefault="00AC10E5">
            <w:pPr>
              <w:pStyle w:val="Seznam2"/>
              <w:ind w:left="0" w:firstLine="0"/>
              <w:rPr>
                <w:sz w:val="22"/>
                <w:szCs w:val="22"/>
              </w:rPr>
            </w:pPr>
            <w:r w:rsidRPr="00B45226">
              <w:rPr>
                <w:sz w:val="22"/>
                <w:szCs w:val="22"/>
              </w:rPr>
              <w:t xml:space="preserve">Ministerstvo zdravotnictví </w:t>
            </w:r>
          </w:p>
        </w:tc>
      </w:tr>
      <w:tr w:rsidR="00AC10E5" w:rsidRPr="007417DF" w:rsidTr="00EC119B">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r w:rsidRPr="00B45226">
              <w:rPr>
                <w:sz w:val="22"/>
                <w:szCs w:val="22"/>
              </w:rPr>
              <w:t>NCT</w:t>
            </w:r>
          </w:p>
        </w:tc>
        <w:tc>
          <w:tcPr>
            <w:tcW w:w="7653" w:type="dxa"/>
            <w:vAlign w:val="center"/>
          </w:tcPr>
          <w:p w:rsidR="00AC10E5" w:rsidRPr="00B45226" w:rsidRDefault="00AC10E5">
            <w:pPr>
              <w:autoSpaceDE w:val="0"/>
              <w:autoSpaceDN w:val="0"/>
              <w:adjustRightInd w:val="0"/>
              <w:rPr>
                <w:sz w:val="22"/>
                <w:szCs w:val="22"/>
              </w:rPr>
            </w:pPr>
            <w:r w:rsidRPr="00B45226">
              <w:rPr>
                <w:sz w:val="22"/>
                <w:szCs w:val="22"/>
              </w:rPr>
              <w:t>Národní centrum podpory transformace sociálních služeb</w:t>
            </w:r>
          </w:p>
        </w:tc>
      </w:tr>
      <w:tr w:rsidR="00AC10E5" w:rsidRPr="007417DF" w:rsidTr="00EC119B">
        <w:trPr>
          <w:trHeight w:hRule="exact" w:val="284"/>
          <w:jc w:val="center"/>
        </w:trPr>
        <w:tc>
          <w:tcPr>
            <w:tcW w:w="1703" w:type="dxa"/>
            <w:vAlign w:val="center"/>
          </w:tcPr>
          <w:p w:rsidR="00AC10E5" w:rsidRDefault="00AC10E5">
            <w:pPr>
              <w:autoSpaceDE w:val="0"/>
              <w:autoSpaceDN w:val="0"/>
              <w:adjustRightInd w:val="0"/>
              <w:jc w:val="center"/>
              <w:rPr>
                <w:sz w:val="22"/>
                <w:szCs w:val="22"/>
              </w:rPr>
            </w:pPr>
            <w:r>
              <w:rPr>
                <w:sz w:val="22"/>
                <w:szCs w:val="22"/>
              </w:rPr>
              <w:t>NIS IZS</w:t>
            </w:r>
          </w:p>
        </w:tc>
        <w:tc>
          <w:tcPr>
            <w:tcW w:w="7653" w:type="dxa"/>
            <w:vAlign w:val="center"/>
          </w:tcPr>
          <w:p w:rsidR="00AC10E5" w:rsidRDefault="00AC10E5" w:rsidP="008A1167">
            <w:pPr>
              <w:autoSpaceDE w:val="0"/>
              <w:autoSpaceDN w:val="0"/>
              <w:adjustRightInd w:val="0"/>
              <w:rPr>
                <w:sz w:val="22"/>
                <w:szCs w:val="22"/>
              </w:rPr>
            </w:pPr>
            <w:r>
              <w:rPr>
                <w:sz w:val="22"/>
                <w:szCs w:val="22"/>
              </w:rPr>
              <w:t>Národní informační systém integrovaného záchranného systému</w:t>
            </w:r>
          </w:p>
        </w:tc>
      </w:tr>
      <w:tr w:rsidR="00AC10E5" w:rsidRPr="007417DF" w:rsidTr="00EC119B">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r>
              <w:rPr>
                <w:sz w:val="22"/>
                <w:szCs w:val="22"/>
              </w:rPr>
              <w:t>NKÚ</w:t>
            </w:r>
          </w:p>
        </w:tc>
        <w:tc>
          <w:tcPr>
            <w:tcW w:w="7653" w:type="dxa"/>
            <w:vAlign w:val="center"/>
          </w:tcPr>
          <w:p w:rsidR="00AC10E5" w:rsidRPr="00B45226" w:rsidRDefault="00AC10E5">
            <w:pPr>
              <w:autoSpaceDE w:val="0"/>
              <w:autoSpaceDN w:val="0"/>
              <w:adjustRightInd w:val="0"/>
              <w:rPr>
                <w:sz w:val="22"/>
                <w:szCs w:val="22"/>
              </w:rPr>
            </w:pPr>
            <w:r>
              <w:rPr>
                <w:sz w:val="22"/>
                <w:szCs w:val="22"/>
              </w:rPr>
              <w:t>Nejvyšší kontrolní úřad</w:t>
            </w:r>
          </w:p>
        </w:tc>
      </w:tr>
      <w:tr w:rsidR="00AC10E5" w:rsidRPr="007417DF" w:rsidTr="00EC119B">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r w:rsidRPr="00B45226">
              <w:rPr>
                <w:sz w:val="22"/>
                <w:szCs w:val="22"/>
              </w:rPr>
              <w:t>NOK</w:t>
            </w:r>
          </w:p>
        </w:tc>
        <w:tc>
          <w:tcPr>
            <w:tcW w:w="7653" w:type="dxa"/>
            <w:vAlign w:val="center"/>
          </w:tcPr>
          <w:p w:rsidR="00AC10E5" w:rsidRPr="00B45226" w:rsidRDefault="00AC10E5">
            <w:pPr>
              <w:autoSpaceDE w:val="0"/>
              <w:autoSpaceDN w:val="0"/>
              <w:adjustRightInd w:val="0"/>
              <w:rPr>
                <w:sz w:val="22"/>
                <w:szCs w:val="22"/>
              </w:rPr>
            </w:pPr>
            <w:r w:rsidRPr="00B45226">
              <w:rPr>
                <w:sz w:val="22"/>
                <w:szCs w:val="22"/>
              </w:rPr>
              <w:t>Národní orgán pro koordinaci</w:t>
            </w:r>
          </w:p>
        </w:tc>
      </w:tr>
      <w:tr w:rsidR="00AC10E5" w:rsidRPr="007417DF" w:rsidTr="00EC119B">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r w:rsidRPr="00B45226">
              <w:rPr>
                <w:sz w:val="22"/>
                <w:szCs w:val="22"/>
              </w:rPr>
              <w:t>NSRR</w:t>
            </w:r>
          </w:p>
        </w:tc>
        <w:tc>
          <w:tcPr>
            <w:tcW w:w="7653" w:type="dxa"/>
            <w:vAlign w:val="center"/>
          </w:tcPr>
          <w:p w:rsidR="00AC10E5" w:rsidRPr="00B45226" w:rsidRDefault="00AC10E5">
            <w:pPr>
              <w:autoSpaceDE w:val="0"/>
              <w:autoSpaceDN w:val="0"/>
              <w:adjustRightInd w:val="0"/>
              <w:rPr>
                <w:b/>
                <w:bCs/>
                <w:sz w:val="22"/>
                <w:szCs w:val="22"/>
              </w:rPr>
            </w:pPr>
            <w:r w:rsidRPr="00B45226">
              <w:rPr>
                <w:sz w:val="22"/>
                <w:szCs w:val="22"/>
              </w:rPr>
              <w:t>Národní strategický referenční rámec</w:t>
            </w:r>
          </w:p>
        </w:tc>
      </w:tr>
      <w:tr w:rsidR="00AC10E5" w:rsidRPr="007417DF" w:rsidTr="00EC119B">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r>
              <w:rPr>
                <w:sz w:val="22"/>
                <w:szCs w:val="22"/>
              </w:rPr>
              <w:t>NSS</w:t>
            </w:r>
          </w:p>
        </w:tc>
        <w:tc>
          <w:tcPr>
            <w:tcW w:w="7653" w:type="dxa"/>
            <w:vAlign w:val="center"/>
          </w:tcPr>
          <w:p w:rsidR="00AC10E5" w:rsidRPr="00B45226" w:rsidRDefault="00AC10E5">
            <w:pPr>
              <w:autoSpaceDE w:val="0"/>
              <w:autoSpaceDN w:val="0"/>
              <w:adjustRightInd w:val="0"/>
              <w:rPr>
                <w:sz w:val="22"/>
                <w:szCs w:val="22"/>
              </w:rPr>
            </w:pPr>
            <w:r>
              <w:rPr>
                <w:sz w:val="22"/>
                <w:szCs w:val="22"/>
              </w:rPr>
              <w:t>Nejvyšší správní soud</w:t>
            </w:r>
          </w:p>
        </w:tc>
      </w:tr>
      <w:tr w:rsidR="0047011E" w:rsidRPr="007417DF" w:rsidTr="00EC119B">
        <w:trPr>
          <w:trHeight w:hRule="exact" w:val="284"/>
          <w:jc w:val="center"/>
        </w:trPr>
        <w:tc>
          <w:tcPr>
            <w:tcW w:w="1703" w:type="dxa"/>
            <w:vAlign w:val="center"/>
          </w:tcPr>
          <w:p w:rsidR="0047011E" w:rsidRDefault="0047011E">
            <w:pPr>
              <w:autoSpaceDE w:val="0"/>
              <w:autoSpaceDN w:val="0"/>
              <w:adjustRightInd w:val="0"/>
              <w:jc w:val="center"/>
              <w:rPr>
                <w:sz w:val="22"/>
                <w:szCs w:val="22"/>
              </w:rPr>
            </w:pPr>
            <w:r>
              <w:rPr>
                <w:sz w:val="22"/>
                <w:szCs w:val="22"/>
              </w:rPr>
              <w:t>OFS</w:t>
            </w:r>
          </w:p>
        </w:tc>
        <w:tc>
          <w:tcPr>
            <w:tcW w:w="7653" w:type="dxa"/>
            <w:vAlign w:val="center"/>
          </w:tcPr>
          <w:p w:rsidR="0047011E" w:rsidRDefault="0047011E">
            <w:pPr>
              <w:autoSpaceDE w:val="0"/>
              <w:autoSpaceDN w:val="0"/>
              <w:adjustRightInd w:val="0"/>
              <w:rPr>
                <w:sz w:val="22"/>
                <w:szCs w:val="22"/>
              </w:rPr>
            </w:pPr>
            <w:r>
              <w:rPr>
                <w:sz w:val="22"/>
                <w:szCs w:val="22"/>
              </w:rPr>
              <w:t>Orgány finanční správy</w:t>
            </w:r>
          </w:p>
        </w:tc>
      </w:tr>
      <w:tr w:rsidR="00AC10E5" w:rsidRPr="007417DF" w:rsidTr="00EC119B">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r w:rsidRPr="00B45226">
              <w:rPr>
                <w:sz w:val="22"/>
                <w:szCs w:val="22"/>
              </w:rPr>
              <w:t>OM IOP</w:t>
            </w:r>
          </w:p>
        </w:tc>
        <w:tc>
          <w:tcPr>
            <w:tcW w:w="7653" w:type="dxa"/>
            <w:vAlign w:val="center"/>
          </w:tcPr>
          <w:p w:rsidR="00AC10E5" w:rsidRPr="00B45226" w:rsidRDefault="00AC10E5">
            <w:pPr>
              <w:autoSpaceDE w:val="0"/>
              <w:autoSpaceDN w:val="0"/>
              <w:adjustRightInd w:val="0"/>
              <w:rPr>
                <w:sz w:val="22"/>
                <w:szCs w:val="22"/>
              </w:rPr>
            </w:pPr>
            <w:r w:rsidRPr="00B45226">
              <w:rPr>
                <w:sz w:val="22"/>
                <w:szCs w:val="22"/>
              </w:rPr>
              <w:t>Operační manuál IOP</w:t>
            </w:r>
          </w:p>
        </w:tc>
      </w:tr>
      <w:tr w:rsidR="00AC10E5" w:rsidRPr="007417DF" w:rsidTr="00EC119B">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r w:rsidRPr="00B45226">
              <w:rPr>
                <w:sz w:val="22"/>
                <w:szCs w:val="22"/>
              </w:rPr>
              <w:t>OP</w:t>
            </w:r>
          </w:p>
        </w:tc>
        <w:tc>
          <w:tcPr>
            <w:tcW w:w="7653" w:type="dxa"/>
            <w:vAlign w:val="center"/>
          </w:tcPr>
          <w:p w:rsidR="00AC10E5" w:rsidRPr="00B45226" w:rsidRDefault="00AC10E5">
            <w:pPr>
              <w:autoSpaceDE w:val="0"/>
              <w:autoSpaceDN w:val="0"/>
              <w:adjustRightInd w:val="0"/>
              <w:rPr>
                <w:b/>
                <w:bCs/>
                <w:sz w:val="22"/>
                <w:szCs w:val="22"/>
              </w:rPr>
            </w:pPr>
            <w:r w:rsidRPr="00B45226">
              <w:rPr>
                <w:sz w:val="22"/>
                <w:szCs w:val="22"/>
              </w:rPr>
              <w:t>Operační program</w:t>
            </w:r>
          </w:p>
        </w:tc>
      </w:tr>
      <w:tr w:rsidR="00AC10E5" w:rsidRPr="007417DF" w:rsidTr="00EC119B">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r w:rsidRPr="00B45226">
              <w:rPr>
                <w:sz w:val="22"/>
                <w:szCs w:val="22"/>
              </w:rPr>
              <w:t>OP LZZ</w:t>
            </w:r>
          </w:p>
        </w:tc>
        <w:tc>
          <w:tcPr>
            <w:tcW w:w="7653" w:type="dxa"/>
            <w:vAlign w:val="center"/>
          </w:tcPr>
          <w:p w:rsidR="00AC10E5" w:rsidRPr="00B45226" w:rsidRDefault="00AC10E5">
            <w:pPr>
              <w:autoSpaceDE w:val="0"/>
              <w:autoSpaceDN w:val="0"/>
              <w:adjustRightInd w:val="0"/>
              <w:rPr>
                <w:sz w:val="22"/>
                <w:szCs w:val="22"/>
              </w:rPr>
            </w:pPr>
            <w:r w:rsidRPr="00B45226">
              <w:rPr>
                <w:sz w:val="22"/>
                <w:szCs w:val="22"/>
              </w:rPr>
              <w:t>Operační program Lidské zdroje a zaměstnanost</w:t>
            </w:r>
          </w:p>
        </w:tc>
      </w:tr>
      <w:tr w:rsidR="00AC10E5" w:rsidRPr="007417DF" w:rsidTr="00EC119B">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r w:rsidRPr="00B45226">
              <w:rPr>
                <w:sz w:val="22"/>
                <w:szCs w:val="22"/>
              </w:rPr>
              <w:t>OPTP</w:t>
            </w:r>
          </w:p>
        </w:tc>
        <w:tc>
          <w:tcPr>
            <w:tcW w:w="7653" w:type="dxa"/>
            <w:vAlign w:val="center"/>
          </w:tcPr>
          <w:p w:rsidR="00AC10E5" w:rsidRPr="00B45226" w:rsidRDefault="00AC10E5">
            <w:pPr>
              <w:autoSpaceDE w:val="0"/>
              <w:autoSpaceDN w:val="0"/>
              <w:adjustRightInd w:val="0"/>
              <w:rPr>
                <w:sz w:val="22"/>
                <w:szCs w:val="22"/>
              </w:rPr>
            </w:pPr>
            <w:r w:rsidRPr="00B45226">
              <w:rPr>
                <w:sz w:val="22"/>
                <w:szCs w:val="22"/>
              </w:rPr>
              <w:t>Operační program Technická pomoc</w:t>
            </w:r>
          </w:p>
        </w:tc>
      </w:tr>
      <w:tr w:rsidR="00AC10E5" w:rsidRPr="007417DF" w:rsidTr="00EC119B">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r w:rsidRPr="00B45226">
              <w:rPr>
                <w:sz w:val="22"/>
                <w:szCs w:val="22"/>
              </w:rPr>
              <w:t>OSF</w:t>
            </w:r>
          </w:p>
        </w:tc>
        <w:tc>
          <w:tcPr>
            <w:tcW w:w="7653" w:type="dxa"/>
            <w:vAlign w:val="center"/>
          </w:tcPr>
          <w:p w:rsidR="00AC10E5" w:rsidRPr="00B45226" w:rsidRDefault="00AC10E5">
            <w:pPr>
              <w:autoSpaceDE w:val="0"/>
              <w:autoSpaceDN w:val="0"/>
              <w:adjustRightInd w:val="0"/>
              <w:rPr>
                <w:sz w:val="22"/>
                <w:szCs w:val="22"/>
              </w:rPr>
            </w:pPr>
            <w:r w:rsidRPr="00B45226">
              <w:rPr>
                <w:sz w:val="22"/>
                <w:szCs w:val="22"/>
              </w:rPr>
              <w:t>Odbor strukturálních fondů</w:t>
            </w:r>
          </w:p>
        </w:tc>
      </w:tr>
      <w:tr w:rsidR="00AC10E5" w:rsidRPr="007417DF" w:rsidTr="00EC119B">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r w:rsidRPr="00B45226">
              <w:rPr>
                <w:sz w:val="22"/>
                <w:szCs w:val="22"/>
              </w:rPr>
              <w:t>OSS</w:t>
            </w:r>
          </w:p>
        </w:tc>
        <w:tc>
          <w:tcPr>
            <w:tcW w:w="7653" w:type="dxa"/>
            <w:vAlign w:val="center"/>
          </w:tcPr>
          <w:p w:rsidR="00AC10E5" w:rsidRPr="00B45226" w:rsidRDefault="00AC10E5">
            <w:pPr>
              <w:autoSpaceDE w:val="0"/>
              <w:autoSpaceDN w:val="0"/>
              <w:adjustRightInd w:val="0"/>
              <w:rPr>
                <w:sz w:val="22"/>
                <w:szCs w:val="22"/>
              </w:rPr>
            </w:pPr>
            <w:r w:rsidRPr="00B45226">
              <w:rPr>
                <w:sz w:val="22"/>
                <w:szCs w:val="22"/>
              </w:rPr>
              <w:t>Organizační složka státu</w:t>
            </w:r>
          </w:p>
        </w:tc>
      </w:tr>
      <w:tr w:rsidR="00AC10E5" w:rsidRPr="007417DF" w:rsidTr="00EC119B">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r w:rsidRPr="00B45226">
              <w:rPr>
                <w:sz w:val="22"/>
                <w:szCs w:val="22"/>
              </w:rPr>
              <w:t>PCO</w:t>
            </w:r>
          </w:p>
        </w:tc>
        <w:tc>
          <w:tcPr>
            <w:tcW w:w="7653" w:type="dxa"/>
            <w:vAlign w:val="center"/>
          </w:tcPr>
          <w:p w:rsidR="00AC10E5" w:rsidRPr="00B45226" w:rsidRDefault="00AC10E5">
            <w:pPr>
              <w:autoSpaceDE w:val="0"/>
              <w:autoSpaceDN w:val="0"/>
              <w:adjustRightInd w:val="0"/>
              <w:rPr>
                <w:sz w:val="22"/>
                <w:szCs w:val="22"/>
              </w:rPr>
            </w:pPr>
            <w:r w:rsidRPr="00B45226">
              <w:rPr>
                <w:sz w:val="22"/>
                <w:szCs w:val="22"/>
              </w:rPr>
              <w:t>Platební a certifikační orgán  - Národní fond</w:t>
            </w:r>
          </w:p>
        </w:tc>
      </w:tr>
      <w:tr w:rsidR="00AC10E5" w:rsidRPr="007417DF" w:rsidTr="00EC119B">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r w:rsidRPr="00B45226">
              <w:rPr>
                <w:sz w:val="22"/>
                <w:szCs w:val="22"/>
              </w:rPr>
              <w:t>PO</w:t>
            </w:r>
          </w:p>
        </w:tc>
        <w:tc>
          <w:tcPr>
            <w:tcW w:w="7653" w:type="dxa"/>
            <w:vAlign w:val="center"/>
          </w:tcPr>
          <w:p w:rsidR="00AC10E5" w:rsidRPr="00B45226" w:rsidRDefault="00AC10E5">
            <w:pPr>
              <w:autoSpaceDE w:val="0"/>
              <w:autoSpaceDN w:val="0"/>
              <w:adjustRightInd w:val="0"/>
              <w:rPr>
                <w:sz w:val="22"/>
                <w:szCs w:val="22"/>
              </w:rPr>
            </w:pPr>
            <w:r w:rsidRPr="00B45226">
              <w:rPr>
                <w:sz w:val="22"/>
                <w:szCs w:val="22"/>
              </w:rPr>
              <w:t>Prioritní osa / prioritní oblast</w:t>
            </w:r>
          </w:p>
        </w:tc>
      </w:tr>
      <w:tr w:rsidR="00AC10E5" w:rsidRPr="007417DF" w:rsidTr="00EC119B">
        <w:trPr>
          <w:trHeight w:hRule="exact" w:val="284"/>
          <w:jc w:val="center"/>
        </w:trPr>
        <w:tc>
          <w:tcPr>
            <w:tcW w:w="1703" w:type="dxa"/>
            <w:vAlign w:val="center"/>
          </w:tcPr>
          <w:p w:rsidR="00AC10E5" w:rsidRPr="00B45226" w:rsidRDefault="00C02F82">
            <w:pPr>
              <w:autoSpaceDE w:val="0"/>
              <w:autoSpaceDN w:val="0"/>
              <w:adjustRightInd w:val="0"/>
              <w:jc w:val="center"/>
              <w:rPr>
                <w:sz w:val="22"/>
                <w:szCs w:val="22"/>
              </w:rPr>
            </w:pPr>
            <w:r>
              <w:rPr>
                <w:sz w:val="22"/>
                <w:szCs w:val="22"/>
              </w:rPr>
              <w:t>PPŽP</w:t>
            </w:r>
          </w:p>
        </w:tc>
        <w:tc>
          <w:tcPr>
            <w:tcW w:w="7653" w:type="dxa"/>
            <w:vAlign w:val="center"/>
          </w:tcPr>
          <w:p w:rsidR="00AC10E5" w:rsidRPr="00B45226" w:rsidRDefault="00AC10E5">
            <w:pPr>
              <w:autoSpaceDE w:val="0"/>
              <w:autoSpaceDN w:val="0"/>
              <w:adjustRightInd w:val="0"/>
              <w:rPr>
                <w:sz w:val="22"/>
                <w:szCs w:val="22"/>
              </w:rPr>
            </w:pPr>
            <w:r w:rsidRPr="00B45226">
              <w:rPr>
                <w:sz w:val="22"/>
                <w:szCs w:val="22"/>
              </w:rPr>
              <w:t>Příručka pro žadatele a příjemce</w:t>
            </w:r>
          </w:p>
        </w:tc>
      </w:tr>
      <w:tr w:rsidR="00C918A9" w:rsidRPr="007417DF" w:rsidTr="00EC119B">
        <w:trPr>
          <w:trHeight w:hRule="exact" w:val="284"/>
          <w:jc w:val="center"/>
        </w:trPr>
        <w:tc>
          <w:tcPr>
            <w:tcW w:w="1703" w:type="dxa"/>
            <w:vAlign w:val="center"/>
          </w:tcPr>
          <w:p w:rsidR="00C918A9" w:rsidRDefault="00C918A9">
            <w:pPr>
              <w:autoSpaceDE w:val="0"/>
              <w:autoSpaceDN w:val="0"/>
              <w:adjustRightInd w:val="0"/>
              <w:jc w:val="center"/>
              <w:rPr>
                <w:sz w:val="22"/>
                <w:szCs w:val="22"/>
              </w:rPr>
            </w:pPr>
            <w:r>
              <w:rPr>
                <w:sz w:val="22"/>
                <w:szCs w:val="22"/>
              </w:rPr>
              <w:t xml:space="preserve">PČR </w:t>
            </w:r>
          </w:p>
        </w:tc>
        <w:tc>
          <w:tcPr>
            <w:tcW w:w="7653" w:type="dxa"/>
            <w:vAlign w:val="center"/>
          </w:tcPr>
          <w:p w:rsidR="00C918A9" w:rsidRPr="00B45226" w:rsidRDefault="00C918A9">
            <w:pPr>
              <w:autoSpaceDE w:val="0"/>
              <w:autoSpaceDN w:val="0"/>
              <w:adjustRightInd w:val="0"/>
              <w:rPr>
                <w:sz w:val="22"/>
                <w:szCs w:val="22"/>
              </w:rPr>
            </w:pPr>
            <w:r>
              <w:rPr>
                <w:sz w:val="22"/>
                <w:szCs w:val="22"/>
              </w:rPr>
              <w:t>Policie ČR</w:t>
            </w:r>
          </w:p>
        </w:tc>
      </w:tr>
      <w:tr w:rsidR="00AC10E5" w:rsidRPr="007417DF" w:rsidTr="00EC119B">
        <w:trPr>
          <w:trHeight w:hRule="exact" w:val="284"/>
          <w:jc w:val="center"/>
        </w:trPr>
        <w:tc>
          <w:tcPr>
            <w:tcW w:w="1703" w:type="dxa"/>
            <w:vAlign w:val="center"/>
          </w:tcPr>
          <w:p w:rsidR="00AC10E5" w:rsidRPr="00B45226" w:rsidRDefault="00AC10E5" w:rsidP="00CB5F47">
            <w:pPr>
              <w:autoSpaceDE w:val="0"/>
              <w:autoSpaceDN w:val="0"/>
              <w:adjustRightInd w:val="0"/>
              <w:jc w:val="center"/>
              <w:rPr>
                <w:sz w:val="22"/>
                <w:szCs w:val="22"/>
              </w:rPr>
            </w:pPr>
            <w:r>
              <w:rPr>
                <w:sz w:val="22"/>
                <w:szCs w:val="22"/>
              </w:rPr>
              <w:t xml:space="preserve">PPP </w:t>
            </w:r>
          </w:p>
        </w:tc>
        <w:tc>
          <w:tcPr>
            <w:tcW w:w="7653" w:type="dxa"/>
            <w:vAlign w:val="center"/>
          </w:tcPr>
          <w:p w:rsidR="00AC10E5" w:rsidRPr="00B45226" w:rsidRDefault="00AC10E5">
            <w:pPr>
              <w:autoSpaceDE w:val="0"/>
              <w:autoSpaceDN w:val="0"/>
              <w:adjustRightInd w:val="0"/>
              <w:rPr>
                <w:sz w:val="22"/>
                <w:szCs w:val="22"/>
              </w:rPr>
            </w:pPr>
            <w:r>
              <w:rPr>
                <w:sz w:val="22"/>
                <w:szCs w:val="22"/>
              </w:rPr>
              <w:t>Příručka pracovních postupů</w:t>
            </w:r>
          </w:p>
        </w:tc>
      </w:tr>
      <w:tr w:rsidR="00AC10E5" w:rsidRPr="007417DF" w:rsidTr="00EC119B">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r w:rsidRPr="00B45226">
              <w:rPr>
                <w:sz w:val="22"/>
                <w:szCs w:val="22"/>
              </w:rPr>
              <w:t>PS</w:t>
            </w:r>
          </w:p>
        </w:tc>
        <w:tc>
          <w:tcPr>
            <w:tcW w:w="7653" w:type="dxa"/>
            <w:vAlign w:val="center"/>
          </w:tcPr>
          <w:p w:rsidR="00AC10E5" w:rsidRPr="00B45226" w:rsidRDefault="00AC10E5">
            <w:pPr>
              <w:autoSpaceDE w:val="0"/>
              <w:autoSpaceDN w:val="0"/>
              <w:adjustRightInd w:val="0"/>
              <w:rPr>
                <w:sz w:val="22"/>
                <w:szCs w:val="22"/>
              </w:rPr>
            </w:pPr>
            <w:r w:rsidRPr="00B45226">
              <w:rPr>
                <w:sz w:val="22"/>
                <w:szCs w:val="22"/>
              </w:rPr>
              <w:t>Pracovní skupina</w:t>
            </w:r>
          </w:p>
        </w:tc>
      </w:tr>
      <w:tr w:rsidR="00AC10E5" w:rsidRPr="007417DF" w:rsidTr="00EC119B">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r>
              <w:rPr>
                <w:sz w:val="22"/>
                <w:szCs w:val="22"/>
              </w:rPr>
              <w:t>RA</w:t>
            </w:r>
          </w:p>
        </w:tc>
        <w:tc>
          <w:tcPr>
            <w:tcW w:w="7653" w:type="dxa"/>
            <w:vAlign w:val="center"/>
          </w:tcPr>
          <w:p w:rsidR="00AC10E5" w:rsidRPr="00B45226" w:rsidRDefault="00AC10E5">
            <w:pPr>
              <w:autoSpaceDE w:val="0"/>
              <w:autoSpaceDN w:val="0"/>
              <w:adjustRightInd w:val="0"/>
              <w:rPr>
                <w:sz w:val="22"/>
                <w:szCs w:val="22"/>
              </w:rPr>
            </w:pPr>
            <w:r>
              <w:rPr>
                <w:sz w:val="22"/>
                <w:szCs w:val="22"/>
              </w:rPr>
              <w:t>Registrace akce</w:t>
            </w:r>
          </w:p>
        </w:tc>
      </w:tr>
      <w:tr w:rsidR="00AC10E5" w:rsidRPr="007417DF" w:rsidTr="00EC119B">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proofErr w:type="spellStart"/>
            <w:r w:rsidRPr="00B45226">
              <w:rPr>
                <w:sz w:val="22"/>
                <w:szCs w:val="22"/>
              </w:rPr>
              <w:t>R</w:t>
            </w:r>
            <w:r w:rsidR="00EB7E2B" w:rsidRPr="00B45226">
              <w:rPr>
                <w:sz w:val="22"/>
                <w:szCs w:val="22"/>
              </w:rPr>
              <w:t>k</w:t>
            </w:r>
            <w:r w:rsidRPr="00B45226">
              <w:rPr>
                <w:sz w:val="22"/>
                <w:szCs w:val="22"/>
              </w:rPr>
              <w:t>aZ</w:t>
            </w:r>
            <w:proofErr w:type="spellEnd"/>
          </w:p>
        </w:tc>
        <w:tc>
          <w:tcPr>
            <w:tcW w:w="7653" w:type="dxa"/>
            <w:vAlign w:val="center"/>
          </w:tcPr>
          <w:p w:rsidR="00AC10E5" w:rsidRPr="00B45226" w:rsidRDefault="00AC10E5">
            <w:pPr>
              <w:autoSpaceDE w:val="0"/>
              <w:autoSpaceDN w:val="0"/>
              <w:adjustRightInd w:val="0"/>
              <w:rPr>
                <w:sz w:val="22"/>
                <w:szCs w:val="22"/>
              </w:rPr>
            </w:pPr>
            <w:r w:rsidRPr="00B45226">
              <w:rPr>
                <w:sz w:val="22"/>
                <w:szCs w:val="22"/>
              </w:rPr>
              <w:t>Cíl Regionální konkurenceschopnost a zaměstnanost</w:t>
            </w:r>
          </w:p>
        </w:tc>
      </w:tr>
      <w:tr w:rsidR="00AC10E5" w:rsidRPr="007417DF" w:rsidTr="00EC119B">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proofErr w:type="spellStart"/>
            <w:r>
              <w:rPr>
                <w:sz w:val="22"/>
                <w:szCs w:val="22"/>
              </w:rPr>
              <w:t>RoD</w:t>
            </w:r>
            <w:proofErr w:type="spellEnd"/>
          </w:p>
        </w:tc>
        <w:tc>
          <w:tcPr>
            <w:tcW w:w="7653" w:type="dxa"/>
            <w:vAlign w:val="center"/>
          </w:tcPr>
          <w:p w:rsidR="00AC10E5" w:rsidRPr="00B45226" w:rsidRDefault="00AC10E5" w:rsidP="004E5939">
            <w:pPr>
              <w:autoSpaceDE w:val="0"/>
              <w:autoSpaceDN w:val="0"/>
              <w:adjustRightInd w:val="0"/>
              <w:rPr>
                <w:sz w:val="22"/>
                <w:szCs w:val="22"/>
              </w:rPr>
            </w:pPr>
            <w:r>
              <w:rPr>
                <w:sz w:val="22"/>
                <w:szCs w:val="22"/>
              </w:rPr>
              <w:t>Rozhodnutí o poskytnutí dotace</w:t>
            </w:r>
          </w:p>
        </w:tc>
      </w:tr>
      <w:tr w:rsidR="00AC10E5" w:rsidRPr="007417DF" w:rsidTr="00EC119B">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r w:rsidRPr="00B45226">
              <w:rPr>
                <w:sz w:val="22"/>
                <w:szCs w:val="22"/>
              </w:rPr>
              <w:t>ROP</w:t>
            </w:r>
          </w:p>
        </w:tc>
        <w:tc>
          <w:tcPr>
            <w:tcW w:w="7653" w:type="dxa"/>
            <w:vAlign w:val="center"/>
          </w:tcPr>
          <w:p w:rsidR="00AC10E5" w:rsidRPr="00B45226" w:rsidRDefault="00AC10E5">
            <w:pPr>
              <w:autoSpaceDE w:val="0"/>
              <w:autoSpaceDN w:val="0"/>
              <w:adjustRightInd w:val="0"/>
              <w:rPr>
                <w:sz w:val="22"/>
                <w:szCs w:val="22"/>
              </w:rPr>
            </w:pPr>
            <w:r w:rsidRPr="00B45226">
              <w:rPr>
                <w:sz w:val="22"/>
                <w:szCs w:val="22"/>
              </w:rPr>
              <w:t>Regionální operační program</w:t>
            </w:r>
          </w:p>
        </w:tc>
      </w:tr>
      <w:tr w:rsidR="00AC10E5" w:rsidRPr="007417DF" w:rsidTr="00EC119B">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r w:rsidRPr="00B45226">
              <w:rPr>
                <w:sz w:val="22"/>
                <w:szCs w:val="22"/>
              </w:rPr>
              <w:t>ŘO</w:t>
            </w:r>
          </w:p>
        </w:tc>
        <w:tc>
          <w:tcPr>
            <w:tcW w:w="7653" w:type="dxa"/>
            <w:vAlign w:val="center"/>
          </w:tcPr>
          <w:p w:rsidR="00AC10E5" w:rsidRPr="00B45226" w:rsidRDefault="00AC10E5">
            <w:pPr>
              <w:autoSpaceDE w:val="0"/>
              <w:autoSpaceDN w:val="0"/>
              <w:adjustRightInd w:val="0"/>
              <w:rPr>
                <w:sz w:val="22"/>
                <w:szCs w:val="22"/>
              </w:rPr>
            </w:pPr>
            <w:r w:rsidRPr="00B45226">
              <w:rPr>
                <w:sz w:val="22"/>
                <w:szCs w:val="22"/>
              </w:rPr>
              <w:t>Řídící orgán</w:t>
            </w:r>
          </w:p>
        </w:tc>
      </w:tr>
      <w:tr w:rsidR="00AC10E5" w:rsidRPr="007417DF" w:rsidTr="00EC119B">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r w:rsidRPr="00B45226">
              <w:rPr>
                <w:sz w:val="22"/>
                <w:szCs w:val="22"/>
              </w:rPr>
              <w:t>SA</w:t>
            </w:r>
          </w:p>
        </w:tc>
        <w:tc>
          <w:tcPr>
            <w:tcW w:w="7653" w:type="dxa"/>
            <w:vAlign w:val="center"/>
          </w:tcPr>
          <w:p w:rsidR="00AC10E5" w:rsidRPr="00B45226" w:rsidRDefault="00AC10E5">
            <w:pPr>
              <w:autoSpaceDE w:val="0"/>
              <w:autoSpaceDN w:val="0"/>
              <w:adjustRightInd w:val="0"/>
              <w:rPr>
                <w:sz w:val="22"/>
                <w:szCs w:val="22"/>
              </w:rPr>
            </w:pPr>
            <w:r w:rsidRPr="00B45226">
              <w:rPr>
                <w:sz w:val="22"/>
                <w:szCs w:val="22"/>
              </w:rPr>
              <w:t xml:space="preserve">Smart </w:t>
            </w:r>
            <w:proofErr w:type="spellStart"/>
            <w:r w:rsidRPr="00B45226">
              <w:rPr>
                <w:sz w:val="22"/>
                <w:szCs w:val="22"/>
              </w:rPr>
              <w:t>Administration</w:t>
            </w:r>
            <w:proofErr w:type="spellEnd"/>
          </w:p>
        </w:tc>
      </w:tr>
      <w:tr w:rsidR="00AC10E5" w:rsidRPr="007417DF" w:rsidTr="00EC119B">
        <w:trPr>
          <w:trHeight w:hRule="exact" w:val="284"/>
          <w:jc w:val="center"/>
        </w:trPr>
        <w:tc>
          <w:tcPr>
            <w:tcW w:w="1703" w:type="dxa"/>
            <w:vAlign w:val="center"/>
          </w:tcPr>
          <w:p w:rsidR="00AC10E5" w:rsidRPr="00B45226" w:rsidRDefault="00AC10E5">
            <w:pPr>
              <w:autoSpaceDE w:val="0"/>
              <w:autoSpaceDN w:val="0"/>
              <w:adjustRightInd w:val="0"/>
              <w:jc w:val="center"/>
              <w:rPr>
                <w:b/>
                <w:bCs/>
                <w:sz w:val="22"/>
                <w:szCs w:val="22"/>
              </w:rPr>
            </w:pPr>
            <w:r w:rsidRPr="00B45226">
              <w:rPr>
                <w:sz w:val="22"/>
                <w:szCs w:val="22"/>
              </w:rPr>
              <w:t>SF</w:t>
            </w:r>
          </w:p>
        </w:tc>
        <w:tc>
          <w:tcPr>
            <w:tcW w:w="7653" w:type="dxa"/>
            <w:vAlign w:val="center"/>
          </w:tcPr>
          <w:p w:rsidR="00AC10E5" w:rsidRPr="00B45226" w:rsidRDefault="00AC10E5">
            <w:pPr>
              <w:autoSpaceDE w:val="0"/>
              <w:autoSpaceDN w:val="0"/>
              <w:adjustRightInd w:val="0"/>
              <w:rPr>
                <w:b/>
                <w:bCs/>
                <w:sz w:val="22"/>
                <w:szCs w:val="22"/>
              </w:rPr>
            </w:pPr>
            <w:r w:rsidRPr="00B45226">
              <w:rPr>
                <w:sz w:val="22"/>
                <w:szCs w:val="22"/>
              </w:rPr>
              <w:t>Strukturální fondy</w:t>
            </w:r>
          </w:p>
        </w:tc>
      </w:tr>
      <w:tr w:rsidR="00AC10E5" w:rsidRPr="007417DF" w:rsidTr="00EC119B">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r w:rsidRPr="00B45226">
              <w:rPr>
                <w:sz w:val="22"/>
                <w:szCs w:val="22"/>
              </w:rPr>
              <w:t>SFRB</w:t>
            </w:r>
          </w:p>
        </w:tc>
        <w:tc>
          <w:tcPr>
            <w:tcW w:w="7653" w:type="dxa"/>
            <w:vAlign w:val="center"/>
          </w:tcPr>
          <w:p w:rsidR="00AC10E5" w:rsidRPr="00B45226" w:rsidRDefault="00AC10E5">
            <w:pPr>
              <w:autoSpaceDE w:val="0"/>
              <w:autoSpaceDN w:val="0"/>
              <w:adjustRightInd w:val="0"/>
              <w:rPr>
                <w:sz w:val="22"/>
                <w:szCs w:val="22"/>
              </w:rPr>
            </w:pPr>
            <w:r w:rsidRPr="00B45226">
              <w:rPr>
                <w:sz w:val="22"/>
                <w:szCs w:val="22"/>
              </w:rPr>
              <w:t>Státní fond rozvoje bydlení</w:t>
            </w:r>
          </w:p>
        </w:tc>
      </w:tr>
      <w:tr w:rsidR="00AC10E5" w:rsidRPr="007417DF" w:rsidTr="00EC119B">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r w:rsidRPr="00B45226">
              <w:rPr>
                <w:sz w:val="22"/>
                <w:szCs w:val="22"/>
              </w:rPr>
              <w:t>SMVS</w:t>
            </w:r>
          </w:p>
        </w:tc>
        <w:tc>
          <w:tcPr>
            <w:tcW w:w="7653" w:type="dxa"/>
            <w:vAlign w:val="center"/>
          </w:tcPr>
          <w:p w:rsidR="00AC10E5" w:rsidRPr="00B45226" w:rsidRDefault="00AC10E5">
            <w:pPr>
              <w:autoSpaceDE w:val="0"/>
              <w:autoSpaceDN w:val="0"/>
              <w:adjustRightInd w:val="0"/>
              <w:rPr>
                <w:sz w:val="22"/>
                <w:szCs w:val="22"/>
              </w:rPr>
            </w:pPr>
            <w:r w:rsidRPr="00B45226">
              <w:rPr>
                <w:sz w:val="22"/>
                <w:szCs w:val="22"/>
              </w:rPr>
              <w:t>Správa majetku ve vlastnictví státu</w:t>
            </w:r>
          </w:p>
        </w:tc>
      </w:tr>
      <w:tr w:rsidR="00AC10E5" w:rsidRPr="007417DF" w:rsidTr="00EC119B">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r w:rsidRPr="00B45226">
              <w:rPr>
                <w:sz w:val="22"/>
                <w:szCs w:val="22"/>
              </w:rPr>
              <w:t>SR</w:t>
            </w:r>
          </w:p>
        </w:tc>
        <w:tc>
          <w:tcPr>
            <w:tcW w:w="7653" w:type="dxa"/>
            <w:vAlign w:val="center"/>
          </w:tcPr>
          <w:p w:rsidR="00AC10E5" w:rsidRPr="00B45226" w:rsidRDefault="00AC10E5">
            <w:pPr>
              <w:autoSpaceDE w:val="0"/>
              <w:autoSpaceDN w:val="0"/>
              <w:adjustRightInd w:val="0"/>
              <w:rPr>
                <w:sz w:val="22"/>
                <w:szCs w:val="22"/>
              </w:rPr>
            </w:pPr>
            <w:r w:rsidRPr="00B45226">
              <w:rPr>
                <w:sz w:val="22"/>
                <w:szCs w:val="22"/>
              </w:rPr>
              <w:t>Státní rozpočet</w:t>
            </w:r>
          </w:p>
        </w:tc>
      </w:tr>
      <w:tr w:rsidR="00AC10E5" w:rsidRPr="007417DF" w:rsidTr="00EC119B">
        <w:trPr>
          <w:trHeight w:hRule="exact" w:val="284"/>
          <w:jc w:val="center"/>
        </w:trPr>
        <w:tc>
          <w:tcPr>
            <w:tcW w:w="1703" w:type="dxa"/>
            <w:vAlign w:val="center"/>
          </w:tcPr>
          <w:p w:rsidR="00AC10E5" w:rsidRPr="000B5204" w:rsidRDefault="00AC10E5">
            <w:pPr>
              <w:autoSpaceDE w:val="0"/>
              <w:autoSpaceDN w:val="0"/>
              <w:adjustRightInd w:val="0"/>
              <w:jc w:val="center"/>
              <w:rPr>
                <w:sz w:val="22"/>
                <w:szCs w:val="22"/>
              </w:rPr>
            </w:pPr>
            <w:r w:rsidRPr="000B5204">
              <w:rPr>
                <w:sz w:val="22"/>
                <w:szCs w:val="22"/>
              </w:rPr>
              <w:t>TP</w:t>
            </w:r>
          </w:p>
        </w:tc>
        <w:tc>
          <w:tcPr>
            <w:tcW w:w="7653" w:type="dxa"/>
            <w:vAlign w:val="center"/>
          </w:tcPr>
          <w:p w:rsidR="00AC10E5" w:rsidRPr="000B5204" w:rsidRDefault="00AC10E5">
            <w:pPr>
              <w:autoSpaceDE w:val="0"/>
              <w:autoSpaceDN w:val="0"/>
              <w:adjustRightInd w:val="0"/>
              <w:rPr>
                <w:sz w:val="22"/>
                <w:szCs w:val="22"/>
              </w:rPr>
            </w:pPr>
            <w:r w:rsidRPr="000B5204">
              <w:rPr>
                <w:sz w:val="22"/>
                <w:szCs w:val="22"/>
              </w:rPr>
              <w:t>Technická pomoc</w:t>
            </w:r>
          </w:p>
        </w:tc>
      </w:tr>
      <w:tr w:rsidR="00357684" w:rsidRPr="007417DF" w:rsidTr="00EC119B">
        <w:trPr>
          <w:trHeight w:hRule="exact" w:val="284"/>
          <w:jc w:val="center"/>
        </w:trPr>
        <w:tc>
          <w:tcPr>
            <w:tcW w:w="1703" w:type="dxa"/>
            <w:vAlign w:val="center"/>
          </w:tcPr>
          <w:p w:rsidR="00357684" w:rsidRPr="000B5204" w:rsidRDefault="00357684">
            <w:pPr>
              <w:autoSpaceDE w:val="0"/>
              <w:autoSpaceDN w:val="0"/>
              <w:adjustRightInd w:val="0"/>
              <w:jc w:val="center"/>
              <w:rPr>
                <w:sz w:val="22"/>
                <w:szCs w:val="22"/>
              </w:rPr>
            </w:pPr>
            <w:r>
              <w:rPr>
                <w:sz w:val="22"/>
                <w:szCs w:val="22"/>
              </w:rPr>
              <w:t>TP IROP</w:t>
            </w:r>
          </w:p>
        </w:tc>
        <w:tc>
          <w:tcPr>
            <w:tcW w:w="7653" w:type="dxa"/>
            <w:vAlign w:val="center"/>
          </w:tcPr>
          <w:p w:rsidR="00357684" w:rsidRPr="000B5204" w:rsidRDefault="00357684">
            <w:pPr>
              <w:autoSpaceDE w:val="0"/>
              <w:autoSpaceDN w:val="0"/>
              <w:adjustRightInd w:val="0"/>
              <w:rPr>
                <w:sz w:val="22"/>
                <w:szCs w:val="22"/>
              </w:rPr>
            </w:pPr>
            <w:r>
              <w:rPr>
                <w:sz w:val="22"/>
                <w:szCs w:val="22"/>
              </w:rPr>
              <w:t>Technická pomoc Integrovaného regionálního operačního programu</w:t>
            </w:r>
          </w:p>
        </w:tc>
      </w:tr>
      <w:tr w:rsidR="00EB7E2B" w:rsidRPr="007417DF" w:rsidTr="00EC119B">
        <w:trPr>
          <w:trHeight w:hRule="exact" w:val="284"/>
          <w:jc w:val="center"/>
        </w:trPr>
        <w:tc>
          <w:tcPr>
            <w:tcW w:w="1703" w:type="dxa"/>
            <w:vAlign w:val="center"/>
          </w:tcPr>
          <w:p w:rsidR="00EB7E2B" w:rsidRPr="000B5204" w:rsidRDefault="00EB7E2B">
            <w:pPr>
              <w:autoSpaceDE w:val="0"/>
              <w:autoSpaceDN w:val="0"/>
              <w:adjustRightInd w:val="0"/>
              <w:jc w:val="center"/>
              <w:rPr>
                <w:sz w:val="22"/>
                <w:szCs w:val="22"/>
              </w:rPr>
            </w:pPr>
            <w:r>
              <w:rPr>
                <w:sz w:val="22"/>
                <w:szCs w:val="22"/>
              </w:rPr>
              <w:t xml:space="preserve">ÚV </w:t>
            </w:r>
          </w:p>
        </w:tc>
        <w:tc>
          <w:tcPr>
            <w:tcW w:w="7653" w:type="dxa"/>
            <w:vAlign w:val="center"/>
          </w:tcPr>
          <w:p w:rsidR="00EB7E2B" w:rsidRPr="000B5204" w:rsidRDefault="00EB7E2B">
            <w:pPr>
              <w:autoSpaceDE w:val="0"/>
              <w:autoSpaceDN w:val="0"/>
              <w:adjustRightInd w:val="0"/>
              <w:rPr>
                <w:sz w:val="22"/>
                <w:szCs w:val="22"/>
              </w:rPr>
            </w:pPr>
            <w:r>
              <w:rPr>
                <w:sz w:val="22"/>
                <w:szCs w:val="22"/>
              </w:rPr>
              <w:t xml:space="preserve">Úřad vlády </w:t>
            </w:r>
          </w:p>
        </w:tc>
      </w:tr>
      <w:tr w:rsidR="00AC10E5" w:rsidRPr="007417DF" w:rsidTr="00EC119B">
        <w:trPr>
          <w:trHeight w:hRule="exact" w:val="284"/>
          <w:jc w:val="center"/>
        </w:trPr>
        <w:tc>
          <w:tcPr>
            <w:tcW w:w="1703" w:type="dxa"/>
            <w:vAlign w:val="center"/>
          </w:tcPr>
          <w:p w:rsidR="00AC10E5" w:rsidRPr="000B5204" w:rsidRDefault="00AC10E5">
            <w:pPr>
              <w:autoSpaceDE w:val="0"/>
              <w:autoSpaceDN w:val="0"/>
              <w:adjustRightInd w:val="0"/>
              <w:jc w:val="center"/>
              <w:rPr>
                <w:sz w:val="22"/>
                <w:szCs w:val="22"/>
              </w:rPr>
            </w:pPr>
            <w:r w:rsidRPr="000B5204">
              <w:rPr>
                <w:sz w:val="22"/>
                <w:szCs w:val="22"/>
              </w:rPr>
              <w:t>ÚOHS</w:t>
            </w:r>
          </w:p>
        </w:tc>
        <w:tc>
          <w:tcPr>
            <w:tcW w:w="7653" w:type="dxa"/>
            <w:vAlign w:val="center"/>
          </w:tcPr>
          <w:p w:rsidR="00AC10E5" w:rsidRPr="000B5204" w:rsidRDefault="00AC10E5">
            <w:pPr>
              <w:autoSpaceDE w:val="0"/>
              <w:autoSpaceDN w:val="0"/>
              <w:adjustRightInd w:val="0"/>
              <w:rPr>
                <w:sz w:val="22"/>
                <w:szCs w:val="22"/>
              </w:rPr>
            </w:pPr>
            <w:r w:rsidRPr="000B5204">
              <w:rPr>
                <w:sz w:val="22"/>
                <w:szCs w:val="22"/>
              </w:rPr>
              <w:t>Úřad pro ochranu hospodářské soutěže</w:t>
            </w:r>
          </w:p>
        </w:tc>
      </w:tr>
      <w:tr w:rsidR="00AC10E5" w:rsidRPr="007417DF" w:rsidTr="00EC119B">
        <w:trPr>
          <w:trHeight w:hRule="exact" w:val="284"/>
          <w:jc w:val="center"/>
        </w:trPr>
        <w:tc>
          <w:tcPr>
            <w:tcW w:w="1703" w:type="dxa"/>
            <w:vAlign w:val="center"/>
          </w:tcPr>
          <w:p w:rsidR="00AC10E5" w:rsidRPr="000B5204" w:rsidRDefault="00AC10E5">
            <w:pPr>
              <w:autoSpaceDE w:val="0"/>
              <w:autoSpaceDN w:val="0"/>
              <w:adjustRightInd w:val="0"/>
              <w:jc w:val="center"/>
              <w:rPr>
                <w:sz w:val="22"/>
                <w:szCs w:val="22"/>
              </w:rPr>
            </w:pPr>
            <w:r w:rsidRPr="000B5204">
              <w:rPr>
                <w:sz w:val="22"/>
                <w:szCs w:val="22"/>
              </w:rPr>
              <w:t>ÚSP</w:t>
            </w:r>
          </w:p>
        </w:tc>
        <w:tc>
          <w:tcPr>
            <w:tcW w:w="7653" w:type="dxa"/>
            <w:vAlign w:val="center"/>
          </w:tcPr>
          <w:p w:rsidR="00AC10E5" w:rsidRPr="000B5204" w:rsidRDefault="00AC10E5">
            <w:pPr>
              <w:autoSpaceDE w:val="0"/>
              <w:autoSpaceDN w:val="0"/>
              <w:adjustRightInd w:val="0"/>
              <w:rPr>
                <w:sz w:val="22"/>
                <w:szCs w:val="22"/>
              </w:rPr>
            </w:pPr>
            <w:r w:rsidRPr="000B5204">
              <w:rPr>
                <w:sz w:val="22"/>
                <w:szCs w:val="22"/>
              </w:rPr>
              <w:t>Ústav sociální péče </w:t>
            </w:r>
          </w:p>
        </w:tc>
      </w:tr>
      <w:tr w:rsidR="00AC10E5" w:rsidRPr="007417DF" w:rsidTr="00EC119B">
        <w:trPr>
          <w:trHeight w:hRule="exact" w:val="284"/>
          <w:jc w:val="center"/>
        </w:trPr>
        <w:tc>
          <w:tcPr>
            <w:tcW w:w="1703" w:type="dxa"/>
            <w:vAlign w:val="center"/>
          </w:tcPr>
          <w:p w:rsidR="00AC10E5" w:rsidRPr="000B5204" w:rsidRDefault="00AC10E5">
            <w:pPr>
              <w:autoSpaceDE w:val="0"/>
              <w:autoSpaceDN w:val="0"/>
              <w:adjustRightInd w:val="0"/>
              <w:jc w:val="center"/>
              <w:rPr>
                <w:sz w:val="22"/>
                <w:szCs w:val="22"/>
              </w:rPr>
            </w:pPr>
            <w:r>
              <w:rPr>
                <w:sz w:val="22"/>
                <w:szCs w:val="22"/>
              </w:rPr>
              <w:t>VKZ</w:t>
            </w:r>
          </w:p>
        </w:tc>
        <w:tc>
          <w:tcPr>
            <w:tcW w:w="7653" w:type="dxa"/>
            <w:vAlign w:val="center"/>
          </w:tcPr>
          <w:p w:rsidR="00AC10E5" w:rsidRPr="000B5204" w:rsidRDefault="00AC10E5">
            <w:pPr>
              <w:autoSpaceDE w:val="0"/>
              <w:autoSpaceDN w:val="0"/>
              <w:adjustRightInd w:val="0"/>
              <w:rPr>
                <w:sz w:val="22"/>
                <w:szCs w:val="22"/>
              </w:rPr>
            </w:pPr>
            <w:r>
              <w:rPr>
                <w:sz w:val="22"/>
                <w:szCs w:val="22"/>
              </w:rPr>
              <w:t>Výroční kontrolní zpráva</w:t>
            </w:r>
          </w:p>
        </w:tc>
      </w:tr>
      <w:tr w:rsidR="00AC10E5" w:rsidRPr="007417DF" w:rsidTr="00EC119B">
        <w:trPr>
          <w:trHeight w:hRule="exact" w:val="284"/>
          <w:jc w:val="center"/>
        </w:trPr>
        <w:tc>
          <w:tcPr>
            <w:tcW w:w="1703" w:type="dxa"/>
            <w:vAlign w:val="center"/>
          </w:tcPr>
          <w:p w:rsidR="00AC10E5" w:rsidRDefault="00AC10E5">
            <w:pPr>
              <w:autoSpaceDE w:val="0"/>
              <w:autoSpaceDN w:val="0"/>
              <w:adjustRightInd w:val="0"/>
              <w:jc w:val="center"/>
              <w:rPr>
                <w:sz w:val="22"/>
                <w:szCs w:val="22"/>
              </w:rPr>
            </w:pPr>
            <w:r>
              <w:rPr>
                <w:sz w:val="22"/>
                <w:szCs w:val="22"/>
              </w:rPr>
              <w:lastRenderedPageBreak/>
              <w:t>VP</w:t>
            </w:r>
          </w:p>
        </w:tc>
        <w:tc>
          <w:tcPr>
            <w:tcW w:w="7653" w:type="dxa"/>
            <w:vAlign w:val="center"/>
          </w:tcPr>
          <w:p w:rsidR="00AC10E5" w:rsidRDefault="00AC10E5">
            <w:pPr>
              <w:autoSpaceDE w:val="0"/>
              <w:autoSpaceDN w:val="0"/>
              <w:adjustRightInd w:val="0"/>
              <w:rPr>
                <w:sz w:val="22"/>
                <w:szCs w:val="22"/>
              </w:rPr>
            </w:pPr>
            <w:r>
              <w:rPr>
                <w:sz w:val="22"/>
                <w:szCs w:val="22"/>
              </w:rPr>
              <w:t>Veřejná podpora</w:t>
            </w:r>
          </w:p>
        </w:tc>
      </w:tr>
      <w:tr w:rsidR="00AC10E5" w:rsidRPr="007417DF" w:rsidTr="00EC119B">
        <w:trPr>
          <w:trHeight w:hRule="exact" w:val="284"/>
          <w:jc w:val="center"/>
        </w:trPr>
        <w:tc>
          <w:tcPr>
            <w:tcW w:w="1703" w:type="dxa"/>
            <w:vAlign w:val="center"/>
          </w:tcPr>
          <w:p w:rsidR="00AC10E5" w:rsidRDefault="00AC10E5">
            <w:pPr>
              <w:autoSpaceDE w:val="0"/>
              <w:autoSpaceDN w:val="0"/>
              <w:adjustRightInd w:val="0"/>
              <w:jc w:val="center"/>
              <w:rPr>
                <w:sz w:val="22"/>
                <w:szCs w:val="22"/>
              </w:rPr>
            </w:pPr>
            <w:r>
              <w:rPr>
                <w:sz w:val="22"/>
                <w:szCs w:val="22"/>
              </w:rPr>
              <w:t>VŘ</w:t>
            </w:r>
          </w:p>
        </w:tc>
        <w:tc>
          <w:tcPr>
            <w:tcW w:w="7653" w:type="dxa"/>
            <w:vAlign w:val="center"/>
          </w:tcPr>
          <w:p w:rsidR="00AC10E5" w:rsidRDefault="00AC10E5">
            <w:pPr>
              <w:autoSpaceDE w:val="0"/>
              <w:autoSpaceDN w:val="0"/>
              <w:adjustRightInd w:val="0"/>
              <w:rPr>
                <w:sz w:val="22"/>
                <w:szCs w:val="22"/>
              </w:rPr>
            </w:pPr>
            <w:r>
              <w:rPr>
                <w:sz w:val="22"/>
                <w:szCs w:val="22"/>
              </w:rPr>
              <w:t>Výběrové řízení</w:t>
            </w:r>
          </w:p>
        </w:tc>
      </w:tr>
      <w:tr w:rsidR="00AC10E5" w:rsidRPr="007417DF" w:rsidTr="00EC119B">
        <w:trPr>
          <w:trHeight w:hRule="exact" w:val="284"/>
          <w:jc w:val="center"/>
        </w:trPr>
        <w:tc>
          <w:tcPr>
            <w:tcW w:w="1703" w:type="dxa"/>
            <w:vAlign w:val="center"/>
          </w:tcPr>
          <w:p w:rsidR="00AC10E5" w:rsidRDefault="00AC10E5">
            <w:pPr>
              <w:autoSpaceDE w:val="0"/>
              <w:autoSpaceDN w:val="0"/>
              <w:adjustRightInd w:val="0"/>
              <w:jc w:val="center"/>
              <w:rPr>
                <w:sz w:val="22"/>
                <w:szCs w:val="22"/>
              </w:rPr>
            </w:pPr>
            <w:r>
              <w:rPr>
                <w:sz w:val="22"/>
                <w:szCs w:val="22"/>
              </w:rPr>
              <w:t>ZD</w:t>
            </w:r>
          </w:p>
        </w:tc>
        <w:tc>
          <w:tcPr>
            <w:tcW w:w="7653" w:type="dxa"/>
            <w:vAlign w:val="center"/>
          </w:tcPr>
          <w:p w:rsidR="00AC10E5" w:rsidRDefault="00AC10E5" w:rsidP="00CB5F47">
            <w:pPr>
              <w:autoSpaceDE w:val="0"/>
              <w:autoSpaceDN w:val="0"/>
              <w:adjustRightInd w:val="0"/>
              <w:rPr>
                <w:sz w:val="22"/>
                <w:szCs w:val="22"/>
              </w:rPr>
            </w:pPr>
            <w:r>
              <w:rPr>
                <w:sz w:val="22"/>
                <w:szCs w:val="22"/>
              </w:rPr>
              <w:t>Zadávací dokumentace</w:t>
            </w:r>
          </w:p>
        </w:tc>
      </w:tr>
      <w:tr w:rsidR="00AC10E5" w:rsidRPr="007417DF" w:rsidTr="00EC119B">
        <w:trPr>
          <w:trHeight w:hRule="exact" w:val="284"/>
          <w:jc w:val="center"/>
        </w:trPr>
        <w:tc>
          <w:tcPr>
            <w:tcW w:w="1703" w:type="dxa"/>
            <w:vAlign w:val="center"/>
          </w:tcPr>
          <w:p w:rsidR="00AC10E5" w:rsidRPr="000B5204" w:rsidRDefault="00AC10E5">
            <w:pPr>
              <w:autoSpaceDE w:val="0"/>
              <w:autoSpaceDN w:val="0"/>
              <w:adjustRightInd w:val="0"/>
              <w:jc w:val="center"/>
              <w:rPr>
                <w:sz w:val="22"/>
                <w:szCs w:val="22"/>
              </w:rPr>
            </w:pPr>
            <w:r w:rsidRPr="000B5204">
              <w:rPr>
                <w:sz w:val="22"/>
                <w:szCs w:val="22"/>
              </w:rPr>
              <w:t>ZS</w:t>
            </w:r>
          </w:p>
        </w:tc>
        <w:tc>
          <w:tcPr>
            <w:tcW w:w="7653" w:type="dxa"/>
            <w:vAlign w:val="center"/>
          </w:tcPr>
          <w:p w:rsidR="00AC10E5" w:rsidRPr="000B5204" w:rsidRDefault="00AC10E5">
            <w:pPr>
              <w:autoSpaceDE w:val="0"/>
              <w:autoSpaceDN w:val="0"/>
              <w:adjustRightInd w:val="0"/>
              <w:rPr>
                <w:sz w:val="22"/>
                <w:szCs w:val="22"/>
              </w:rPr>
            </w:pPr>
            <w:r w:rsidRPr="000B5204">
              <w:rPr>
                <w:sz w:val="22"/>
                <w:szCs w:val="22"/>
              </w:rPr>
              <w:t>Zprostředkující subjekt</w:t>
            </w:r>
          </w:p>
        </w:tc>
      </w:tr>
      <w:tr w:rsidR="00AC10E5" w:rsidRPr="007417DF" w:rsidTr="00EC119B">
        <w:trPr>
          <w:trHeight w:hRule="exact" w:val="284"/>
          <w:jc w:val="center"/>
        </w:trPr>
        <w:tc>
          <w:tcPr>
            <w:tcW w:w="1703" w:type="dxa"/>
            <w:vAlign w:val="center"/>
          </w:tcPr>
          <w:p w:rsidR="00AC10E5" w:rsidRPr="000B5204" w:rsidRDefault="00AC10E5">
            <w:pPr>
              <w:autoSpaceDE w:val="0"/>
              <w:autoSpaceDN w:val="0"/>
              <w:adjustRightInd w:val="0"/>
              <w:jc w:val="center"/>
              <w:rPr>
                <w:sz w:val="22"/>
                <w:szCs w:val="22"/>
              </w:rPr>
            </w:pPr>
            <w:r>
              <w:rPr>
                <w:sz w:val="22"/>
                <w:szCs w:val="22"/>
              </w:rPr>
              <w:t>ZVA</w:t>
            </w:r>
          </w:p>
        </w:tc>
        <w:tc>
          <w:tcPr>
            <w:tcW w:w="7653" w:type="dxa"/>
            <w:vAlign w:val="center"/>
          </w:tcPr>
          <w:p w:rsidR="00AC10E5" w:rsidRPr="000B5204" w:rsidRDefault="00AC10E5">
            <w:pPr>
              <w:autoSpaceDE w:val="0"/>
              <w:autoSpaceDN w:val="0"/>
              <w:adjustRightInd w:val="0"/>
              <w:rPr>
                <w:sz w:val="22"/>
                <w:szCs w:val="22"/>
              </w:rPr>
            </w:pPr>
            <w:r>
              <w:rPr>
                <w:sz w:val="22"/>
                <w:szCs w:val="22"/>
              </w:rPr>
              <w:t>Závěrečné vyhodnocení akce</w:t>
            </w:r>
          </w:p>
        </w:tc>
      </w:tr>
      <w:tr w:rsidR="00A305D9" w:rsidRPr="007417DF" w:rsidTr="00EC119B">
        <w:trPr>
          <w:trHeight w:hRule="exact" w:val="284"/>
          <w:jc w:val="center"/>
        </w:trPr>
        <w:tc>
          <w:tcPr>
            <w:tcW w:w="1703" w:type="dxa"/>
            <w:vAlign w:val="center"/>
          </w:tcPr>
          <w:p w:rsidR="00A305D9" w:rsidRDefault="00A305D9">
            <w:pPr>
              <w:autoSpaceDE w:val="0"/>
              <w:autoSpaceDN w:val="0"/>
              <w:adjustRightInd w:val="0"/>
              <w:jc w:val="center"/>
              <w:rPr>
                <w:sz w:val="22"/>
                <w:szCs w:val="22"/>
              </w:rPr>
            </w:pPr>
            <w:r>
              <w:rPr>
                <w:sz w:val="22"/>
                <w:szCs w:val="22"/>
              </w:rPr>
              <w:t>ZZ</w:t>
            </w:r>
          </w:p>
        </w:tc>
        <w:tc>
          <w:tcPr>
            <w:tcW w:w="7653" w:type="dxa"/>
            <w:vAlign w:val="center"/>
          </w:tcPr>
          <w:p w:rsidR="00A305D9" w:rsidRDefault="00A305D9">
            <w:pPr>
              <w:autoSpaceDE w:val="0"/>
              <w:autoSpaceDN w:val="0"/>
              <w:adjustRightInd w:val="0"/>
              <w:rPr>
                <w:sz w:val="22"/>
                <w:szCs w:val="22"/>
              </w:rPr>
            </w:pPr>
            <w:r>
              <w:rPr>
                <w:sz w:val="22"/>
                <w:szCs w:val="22"/>
              </w:rPr>
              <w:t>Závěrečná zpráva</w:t>
            </w:r>
          </w:p>
        </w:tc>
      </w:tr>
      <w:tr w:rsidR="00AC10E5" w:rsidRPr="007417DF" w:rsidTr="00EC119B">
        <w:trPr>
          <w:trHeight w:hRule="exact" w:val="284"/>
          <w:jc w:val="center"/>
        </w:trPr>
        <w:tc>
          <w:tcPr>
            <w:tcW w:w="1703" w:type="dxa"/>
            <w:vAlign w:val="center"/>
          </w:tcPr>
          <w:p w:rsidR="00AC10E5" w:rsidRDefault="00AC10E5">
            <w:pPr>
              <w:autoSpaceDE w:val="0"/>
              <w:autoSpaceDN w:val="0"/>
              <w:adjustRightInd w:val="0"/>
              <w:jc w:val="center"/>
              <w:rPr>
                <w:sz w:val="22"/>
                <w:szCs w:val="22"/>
              </w:rPr>
            </w:pPr>
            <w:proofErr w:type="spellStart"/>
            <w:r>
              <w:rPr>
                <w:sz w:val="22"/>
                <w:szCs w:val="22"/>
              </w:rPr>
              <w:t>ŽoP</w:t>
            </w:r>
            <w:proofErr w:type="spellEnd"/>
          </w:p>
        </w:tc>
        <w:tc>
          <w:tcPr>
            <w:tcW w:w="7653" w:type="dxa"/>
            <w:vAlign w:val="center"/>
          </w:tcPr>
          <w:p w:rsidR="00AC10E5" w:rsidRDefault="00AC10E5">
            <w:pPr>
              <w:autoSpaceDE w:val="0"/>
              <w:autoSpaceDN w:val="0"/>
              <w:adjustRightInd w:val="0"/>
              <w:rPr>
                <w:sz w:val="22"/>
                <w:szCs w:val="22"/>
              </w:rPr>
            </w:pPr>
            <w:r>
              <w:rPr>
                <w:sz w:val="22"/>
                <w:szCs w:val="22"/>
              </w:rPr>
              <w:t>Žádost o platbu</w:t>
            </w:r>
          </w:p>
        </w:tc>
      </w:tr>
    </w:tbl>
    <w:p w:rsidR="009354B6" w:rsidRDefault="009354B6" w:rsidP="006C05C4">
      <w:pPr>
        <w:sectPr w:rsidR="009354B6" w:rsidSect="00356E21">
          <w:pgSz w:w="11907" w:h="16840" w:code="9"/>
          <w:pgMar w:top="1418" w:right="1418" w:bottom="1418" w:left="1418" w:header="680" w:footer="709" w:gutter="0"/>
          <w:cols w:space="708"/>
          <w:docGrid w:linePitch="272"/>
        </w:sectPr>
      </w:pPr>
    </w:p>
    <w:p w:rsidR="005F3D2E" w:rsidRDefault="005F3D2E" w:rsidP="006C05C4"/>
    <w:p w:rsidR="00D644B0" w:rsidRPr="007B6DD5" w:rsidRDefault="00D644B0" w:rsidP="007B6DD5">
      <w:pPr>
        <w:pStyle w:val="Nadpis1"/>
        <w:spacing w:before="240" w:after="60"/>
        <w:jc w:val="left"/>
        <w:rPr>
          <w:smallCaps w:val="0"/>
          <w:kern w:val="32"/>
          <w:sz w:val="32"/>
          <w:szCs w:val="32"/>
        </w:rPr>
      </w:pPr>
      <w:bookmarkStart w:id="170" w:name="_Toc433873534"/>
      <w:r w:rsidRPr="009C349A">
        <w:rPr>
          <w:smallCaps w:val="0"/>
          <w:kern w:val="32"/>
          <w:sz w:val="32"/>
          <w:szCs w:val="32"/>
        </w:rPr>
        <w:t>PŘÍLOHY</w:t>
      </w:r>
      <w:bookmarkEnd w:id="170"/>
    </w:p>
    <w:p w:rsidR="00D644B0" w:rsidRDefault="00D644B0" w:rsidP="003304F0">
      <w:pPr>
        <w:spacing w:before="120"/>
        <w:rPr>
          <w:b/>
          <w:sz w:val="24"/>
          <w:szCs w:val="24"/>
        </w:rPr>
      </w:pPr>
      <w:r w:rsidRPr="00265FD7">
        <w:rPr>
          <w:b/>
          <w:sz w:val="24"/>
          <w:szCs w:val="24"/>
        </w:rPr>
        <w:t xml:space="preserve">Příloha č. 1 – Aktivity v oblasti publicity za období </w:t>
      </w:r>
      <w:r w:rsidR="004F6A30">
        <w:rPr>
          <w:b/>
          <w:sz w:val="24"/>
          <w:szCs w:val="24"/>
        </w:rPr>
        <w:t>1</w:t>
      </w:r>
      <w:r w:rsidR="007A2BE2">
        <w:rPr>
          <w:b/>
          <w:sz w:val="24"/>
          <w:szCs w:val="24"/>
        </w:rPr>
        <w:t>7</w:t>
      </w:r>
      <w:r w:rsidR="004F6A30">
        <w:rPr>
          <w:b/>
          <w:sz w:val="24"/>
          <w:szCs w:val="24"/>
        </w:rPr>
        <w:t>. 4. 201</w:t>
      </w:r>
      <w:r w:rsidR="007A2BE2">
        <w:rPr>
          <w:b/>
          <w:sz w:val="24"/>
          <w:szCs w:val="24"/>
        </w:rPr>
        <w:t>5</w:t>
      </w:r>
      <w:r w:rsidRPr="00265FD7">
        <w:rPr>
          <w:b/>
          <w:sz w:val="24"/>
          <w:szCs w:val="24"/>
        </w:rPr>
        <w:t xml:space="preserve"> – </w:t>
      </w:r>
      <w:r w:rsidR="0015783A">
        <w:rPr>
          <w:b/>
          <w:sz w:val="24"/>
          <w:szCs w:val="24"/>
        </w:rPr>
        <w:t>30. 9. 2015</w:t>
      </w:r>
    </w:p>
    <w:p w:rsidR="00030E14" w:rsidRDefault="00030E14" w:rsidP="003304F0">
      <w:pPr>
        <w:spacing w:before="120"/>
        <w:rPr>
          <w:b/>
          <w:sz w:val="24"/>
          <w:szCs w:val="24"/>
        </w:rPr>
      </w:pPr>
      <w:r w:rsidRPr="00265FD7">
        <w:rPr>
          <w:b/>
          <w:sz w:val="24"/>
          <w:szCs w:val="24"/>
        </w:rPr>
        <w:t xml:space="preserve">Příloha č. </w:t>
      </w:r>
      <w:r w:rsidR="005C4B91">
        <w:rPr>
          <w:b/>
          <w:sz w:val="24"/>
          <w:szCs w:val="24"/>
        </w:rPr>
        <w:t>2</w:t>
      </w:r>
      <w:r w:rsidRPr="00265FD7">
        <w:rPr>
          <w:b/>
          <w:sz w:val="24"/>
          <w:szCs w:val="24"/>
        </w:rPr>
        <w:t xml:space="preserve"> </w:t>
      </w:r>
      <w:r w:rsidR="00083476" w:rsidRPr="00265FD7">
        <w:rPr>
          <w:b/>
          <w:sz w:val="24"/>
          <w:szCs w:val="24"/>
        </w:rPr>
        <w:t>–</w:t>
      </w:r>
      <w:r w:rsidRPr="00265FD7">
        <w:rPr>
          <w:b/>
          <w:sz w:val="24"/>
          <w:szCs w:val="24"/>
        </w:rPr>
        <w:t xml:space="preserve"> </w:t>
      </w:r>
      <w:r w:rsidR="000066C1">
        <w:rPr>
          <w:b/>
          <w:sz w:val="24"/>
          <w:szCs w:val="24"/>
        </w:rPr>
        <w:t>Krizový</w:t>
      </w:r>
      <w:r w:rsidR="00D41C85" w:rsidRPr="00265FD7">
        <w:rPr>
          <w:b/>
          <w:sz w:val="24"/>
          <w:szCs w:val="24"/>
        </w:rPr>
        <w:t xml:space="preserve"> plán</w:t>
      </w:r>
      <w:r w:rsidR="007A2BE2">
        <w:rPr>
          <w:b/>
          <w:sz w:val="24"/>
          <w:szCs w:val="24"/>
        </w:rPr>
        <w:t xml:space="preserve"> IOP na rok 2015</w:t>
      </w:r>
    </w:p>
    <w:p w:rsidR="004F6A30" w:rsidRDefault="007135AA" w:rsidP="003304F0">
      <w:pPr>
        <w:spacing w:before="120"/>
        <w:rPr>
          <w:b/>
          <w:sz w:val="24"/>
          <w:szCs w:val="24"/>
        </w:rPr>
      </w:pPr>
      <w:r w:rsidRPr="00304865">
        <w:rPr>
          <w:b/>
          <w:sz w:val="24"/>
          <w:szCs w:val="24"/>
        </w:rPr>
        <w:t>Přílo</w:t>
      </w:r>
      <w:r w:rsidR="003304F0">
        <w:rPr>
          <w:b/>
          <w:sz w:val="24"/>
          <w:szCs w:val="24"/>
        </w:rPr>
        <w:t xml:space="preserve">ha č. </w:t>
      </w:r>
      <w:r w:rsidR="007A2BE2">
        <w:rPr>
          <w:b/>
          <w:sz w:val="24"/>
          <w:szCs w:val="24"/>
        </w:rPr>
        <w:t>3</w:t>
      </w:r>
      <w:r w:rsidRPr="00304865">
        <w:rPr>
          <w:b/>
          <w:sz w:val="24"/>
          <w:szCs w:val="24"/>
        </w:rPr>
        <w:t xml:space="preserve"> – Přehled </w:t>
      </w:r>
      <w:r w:rsidR="0043743F" w:rsidRPr="00304865">
        <w:rPr>
          <w:b/>
          <w:sz w:val="24"/>
          <w:szCs w:val="24"/>
        </w:rPr>
        <w:t>opatření přijatých k závěrům z</w:t>
      </w:r>
      <w:r w:rsidR="00DC6E40">
        <w:rPr>
          <w:b/>
          <w:sz w:val="24"/>
          <w:szCs w:val="24"/>
        </w:rPr>
        <w:t> 1</w:t>
      </w:r>
      <w:r w:rsidR="007A2BE2">
        <w:rPr>
          <w:b/>
          <w:sz w:val="24"/>
          <w:szCs w:val="24"/>
        </w:rPr>
        <w:t>5</w:t>
      </w:r>
      <w:r w:rsidR="0016365D" w:rsidRPr="00304865">
        <w:rPr>
          <w:b/>
          <w:sz w:val="24"/>
          <w:szCs w:val="24"/>
        </w:rPr>
        <w:t>.</w:t>
      </w:r>
      <w:r w:rsidR="0043743F" w:rsidRPr="00304865">
        <w:rPr>
          <w:b/>
          <w:sz w:val="24"/>
          <w:szCs w:val="24"/>
        </w:rPr>
        <w:t xml:space="preserve"> jednání </w:t>
      </w:r>
      <w:proofErr w:type="spellStart"/>
      <w:r w:rsidR="0043743F" w:rsidRPr="00304865">
        <w:rPr>
          <w:b/>
          <w:sz w:val="24"/>
          <w:szCs w:val="24"/>
        </w:rPr>
        <w:t>MoV</w:t>
      </w:r>
      <w:proofErr w:type="spellEnd"/>
      <w:r w:rsidR="0043743F" w:rsidRPr="00304865">
        <w:rPr>
          <w:b/>
          <w:sz w:val="24"/>
          <w:szCs w:val="24"/>
        </w:rPr>
        <w:t xml:space="preserve"> IOP</w:t>
      </w:r>
      <w:r w:rsidRPr="00304865">
        <w:rPr>
          <w:b/>
          <w:sz w:val="24"/>
          <w:szCs w:val="24"/>
        </w:rPr>
        <w:t xml:space="preserve"> </w:t>
      </w:r>
    </w:p>
    <w:p w:rsidR="0009702B" w:rsidRDefault="0009702B" w:rsidP="003304F0">
      <w:pPr>
        <w:spacing w:before="120"/>
        <w:rPr>
          <w:b/>
          <w:sz w:val="24"/>
          <w:szCs w:val="24"/>
        </w:rPr>
        <w:sectPr w:rsidR="0009702B" w:rsidSect="006C1BAC">
          <w:pgSz w:w="16840" w:h="11907" w:orient="landscape" w:code="9"/>
          <w:pgMar w:top="1418" w:right="1418" w:bottom="1418" w:left="1418" w:header="709" w:footer="709" w:gutter="0"/>
          <w:cols w:space="708"/>
          <w:docGrid w:linePitch="360"/>
        </w:sectPr>
      </w:pPr>
      <w:r>
        <w:rPr>
          <w:b/>
          <w:sz w:val="24"/>
          <w:szCs w:val="24"/>
        </w:rPr>
        <w:t xml:space="preserve">Příloha č. 4 – Seznam velkých projektů </w:t>
      </w:r>
    </w:p>
    <w:p w:rsidR="00B84271" w:rsidRPr="003C095A" w:rsidRDefault="008E4D1A" w:rsidP="003C095A">
      <w:pPr>
        <w:pStyle w:val="Nadpis2"/>
        <w:rPr>
          <w:rFonts w:ascii="Times New Roman" w:hAnsi="Times New Roman"/>
          <w:i w:val="0"/>
        </w:rPr>
      </w:pPr>
      <w:bookmarkStart w:id="171" w:name="_Toc433873535"/>
      <w:r w:rsidRPr="00DB19BE">
        <w:rPr>
          <w:rFonts w:ascii="Times New Roman" w:hAnsi="Times New Roman"/>
          <w:i w:val="0"/>
        </w:rPr>
        <w:lastRenderedPageBreak/>
        <w:t xml:space="preserve">Příloha č. 1 – Aktivity v oblasti publicity za období </w:t>
      </w:r>
      <w:r w:rsidR="00470642">
        <w:rPr>
          <w:rFonts w:ascii="Times New Roman" w:hAnsi="Times New Roman"/>
          <w:i w:val="0"/>
        </w:rPr>
        <w:t>1</w:t>
      </w:r>
      <w:r w:rsidR="00016E91">
        <w:rPr>
          <w:rFonts w:ascii="Times New Roman" w:hAnsi="Times New Roman"/>
          <w:i w:val="0"/>
        </w:rPr>
        <w:t>7</w:t>
      </w:r>
      <w:r w:rsidR="00470642">
        <w:rPr>
          <w:rFonts w:ascii="Times New Roman" w:hAnsi="Times New Roman"/>
          <w:i w:val="0"/>
        </w:rPr>
        <w:t xml:space="preserve">. </w:t>
      </w:r>
      <w:r w:rsidR="00016E91">
        <w:rPr>
          <w:rFonts w:ascii="Times New Roman" w:hAnsi="Times New Roman"/>
          <w:i w:val="0"/>
        </w:rPr>
        <w:t>4</w:t>
      </w:r>
      <w:r w:rsidR="004A3B60">
        <w:rPr>
          <w:rFonts w:ascii="Times New Roman" w:hAnsi="Times New Roman"/>
          <w:i w:val="0"/>
        </w:rPr>
        <w:t>. 201</w:t>
      </w:r>
      <w:r w:rsidR="00016E91">
        <w:rPr>
          <w:rFonts w:ascii="Times New Roman" w:hAnsi="Times New Roman"/>
          <w:i w:val="0"/>
        </w:rPr>
        <w:t>5</w:t>
      </w:r>
      <w:r w:rsidR="004A3B60">
        <w:rPr>
          <w:rFonts w:ascii="Times New Roman" w:hAnsi="Times New Roman"/>
          <w:i w:val="0"/>
        </w:rPr>
        <w:t xml:space="preserve"> </w:t>
      </w:r>
      <w:r w:rsidR="00E206D4">
        <w:rPr>
          <w:rFonts w:ascii="Times New Roman" w:hAnsi="Times New Roman"/>
          <w:i w:val="0"/>
        </w:rPr>
        <w:t>–</w:t>
      </w:r>
      <w:r w:rsidR="004A3B60">
        <w:rPr>
          <w:rFonts w:ascii="Times New Roman" w:hAnsi="Times New Roman"/>
          <w:i w:val="0"/>
        </w:rPr>
        <w:t xml:space="preserve"> </w:t>
      </w:r>
      <w:r w:rsidR="0015783A">
        <w:rPr>
          <w:rFonts w:ascii="Times New Roman" w:hAnsi="Times New Roman"/>
          <w:i w:val="0"/>
        </w:rPr>
        <w:t>30. 9. 2015</w:t>
      </w:r>
      <w:bookmarkEnd w:id="171"/>
    </w:p>
    <w:tbl>
      <w:tblPr>
        <w:tblW w:w="5000" w:type="pct"/>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Look w:val="01E0" w:firstRow="1" w:lastRow="1" w:firstColumn="1" w:lastColumn="1" w:noHBand="0" w:noVBand="0"/>
      </w:tblPr>
      <w:tblGrid>
        <w:gridCol w:w="1606"/>
        <w:gridCol w:w="3017"/>
        <w:gridCol w:w="2577"/>
        <w:gridCol w:w="2409"/>
        <w:gridCol w:w="2068"/>
        <w:gridCol w:w="2543"/>
      </w:tblGrid>
      <w:tr w:rsidR="00ED7992" w:rsidRPr="005002C4" w:rsidTr="005846CD">
        <w:trPr>
          <w:trHeight w:val="144"/>
          <w:tblHeader/>
        </w:trPr>
        <w:tc>
          <w:tcPr>
            <w:tcW w:w="565" w:type="pct"/>
            <w:shd w:val="clear" w:color="auto" w:fill="B8CCE4" w:themeFill="accent1" w:themeFillTint="66"/>
            <w:vAlign w:val="center"/>
          </w:tcPr>
          <w:p w:rsidR="00ED7992" w:rsidRPr="005002C4" w:rsidRDefault="00ED7992" w:rsidP="005846CD">
            <w:pPr>
              <w:jc w:val="center"/>
              <w:rPr>
                <w:b/>
                <w:sz w:val="24"/>
                <w:szCs w:val="24"/>
              </w:rPr>
            </w:pPr>
            <w:r w:rsidRPr="005002C4">
              <w:rPr>
                <w:b/>
                <w:sz w:val="24"/>
                <w:szCs w:val="24"/>
              </w:rPr>
              <w:t>ŘO/ZS</w:t>
            </w:r>
          </w:p>
        </w:tc>
        <w:tc>
          <w:tcPr>
            <w:tcW w:w="1061" w:type="pct"/>
            <w:shd w:val="clear" w:color="auto" w:fill="B8CCE4" w:themeFill="accent1" w:themeFillTint="66"/>
            <w:vAlign w:val="center"/>
          </w:tcPr>
          <w:p w:rsidR="00ED7992" w:rsidRPr="005002C4" w:rsidRDefault="00ED7992" w:rsidP="005846CD">
            <w:pPr>
              <w:jc w:val="center"/>
              <w:rPr>
                <w:b/>
                <w:sz w:val="24"/>
                <w:szCs w:val="24"/>
              </w:rPr>
            </w:pPr>
            <w:r w:rsidRPr="005002C4">
              <w:rPr>
                <w:b/>
                <w:sz w:val="24"/>
                <w:szCs w:val="24"/>
              </w:rPr>
              <w:t>Název</w:t>
            </w:r>
          </w:p>
        </w:tc>
        <w:tc>
          <w:tcPr>
            <w:tcW w:w="906" w:type="pct"/>
            <w:shd w:val="clear" w:color="auto" w:fill="B8CCE4" w:themeFill="accent1" w:themeFillTint="66"/>
            <w:vAlign w:val="center"/>
          </w:tcPr>
          <w:p w:rsidR="00ED7992" w:rsidRPr="005002C4" w:rsidRDefault="00ED7992" w:rsidP="005846CD">
            <w:pPr>
              <w:jc w:val="center"/>
              <w:rPr>
                <w:b/>
                <w:sz w:val="24"/>
                <w:szCs w:val="24"/>
              </w:rPr>
            </w:pPr>
            <w:r w:rsidRPr="005002C4">
              <w:rPr>
                <w:b/>
                <w:sz w:val="24"/>
                <w:szCs w:val="24"/>
              </w:rPr>
              <w:t>Téma</w:t>
            </w:r>
          </w:p>
        </w:tc>
        <w:tc>
          <w:tcPr>
            <w:tcW w:w="847" w:type="pct"/>
            <w:shd w:val="clear" w:color="auto" w:fill="B8CCE4" w:themeFill="accent1" w:themeFillTint="66"/>
            <w:vAlign w:val="center"/>
          </w:tcPr>
          <w:p w:rsidR="00ED7992" w:rsidRPr="005002C4" w:rsidRDefault="00ED7992" w:rsidP="005846CD">
            <w:pPr>
              <w:jc w:val="center"/>
              <w:rPr>
                <w:b/>
                <w:sz w:val="24"/>
                <w:szCs w:val="24"/>
              </w:rPr>
            </w:pPr>
            <w:r w:rsidRPr="005002C4">
              <w:rPr>
                <w:b/>
                <w:sz w:val="24"/>
                <w:szCs w:val="24"/>
              </w:rPr>
              <w:t>Cílová skupina</w:t>
            </w:r>
          </w:p>
        </w:tc>
        <w:tc>
          <w:tcPr>
            <w:tcW w:w="727" w:type="pct"/>
            <w:shd w:val="clear" w:color="auto" w:fill="B8CCE4" w:themeFill="accent1" w:themeFillTint="66"/>
            <w:vAlign w:val="center"/>
          </w:tcPr>
          <w:p w:rsidR="00ED7992" w:rsidRPr="005002C4" w:rsidRDefault="00ED7992" w:rsidP="005846CD">
            <w:pPr>
              <w:jc w:val="center"/>
              <w:rPr>
                <w:b/>
                <w:sz w:val="24"/>
                <w:szCs w:val="24"/>
              </w:rPr>
            </w:pPr>
            <w:r w:rsidRPr="005002C4">
              <w:rPr>
                <w:b/>
                <w:sz w:val="24"/>
                <w:szCs w:val="24"/>
              </w:rPr>
              <w:t>Finanční náklady z TP IOP (EUR)</w:t>
            </w:r>
          </w:p>
        </w:tc>
        <w:tc>
          <w:tcPr>
            <w:tcW w:w="894" w:type="pct"/>
            <w:shd w:val="clear" w:color="auto" w:fill="B8CCE4" w:themeFill="accent1" w:themeFillTint="66"/>
            <w:vAlign w:val="center"/>
          </w:tcPr>
          <w:p w:rsidR="00ED7992" w:rsidRPr="005002C4" w:rsidRDefault="00ED7992" w:rsidP="005846CD">
            <w:pPr>
              <w:jc w:val="center"/>
              <w:rPr>
                <w:b/>
                <w:sz w:val="24"/>
                <w:szCs w:val="24"/>
              </w:rPr>
            </w:pPr>
            <w:r w:rsidRPr="005002C4">
              <w:rPr>
                <w:b/>
                <w:sz w:val="24"/>
                <w:szCs w:val="24"/>
              </w:rPr>
              <w:t>Další informace</w:t>
            </w:r>
          </w:p>
        </w:tc>
      </w:tr>
      <w:tr w:rsidR="00ED7992" w:rsidRPr="005002C4" w:rsidTr="005846CD">
        <w:trPr>
          <w:trHeight w:val="144"/>
        </w:trPr>
        <w:tc>
          <w:tcPr>
            <w:tcW w:w="565" w:type="pct"/>
            <w:shd w:val="clear" w:color="auto" w:fill="auto"/>
            <w:vAlign w:val="center"/>
          </w:tcPr>
          <w:p w:rsidR="00ED7992" w:rsidRPr="005B0140" w:rsidRDefault="00ED7992" w:rsidP="005846CD">
            <w:pPr>
              <w:rPr>
                <w:color w:val="000000"/>
              </w:rPr>
            </w:pPr>
            <w:r w:rsidRPr="005B0140">
              <w:rPr>
                <w:color w:val="000000"/>
              </w:rPr>
              <w:t>ŘO</w:t>
            </w:r>
          </w:p>
        </w:tc>
        <w:tc>
          <w:tcPr>
            <w:tcW w:w="1061" w:type="pct"/>
            <w:shd w:val="clear" w:color="auto" w:fill="auto"/>
            <w:vAlign w:val="center"/>
          </w:tcPr>
          <w:p w:rsidR="00ED7992" w:rsidRPr="005B0140" w:rsidRDefault="00ED7992" w:rsidP="005846CD">
            <w:pPr>
              <w:rPr>
                <w:color w:val="000000"/>
              </w:rPr>
            </w:pPr>
            <w:r w:rsidRPr="005B0140">
              <w:rPr>
                <w:color w:val="000000"/>
              </w:rPr>
              <w:t>Webové stránky</w:t>
            </w:r>
            <w:r w:rsidRPr="002A1E16">
              <w:rPr>
                <w:color w:val="000000"/>
              </w:rPr>
              <w:t xml:space="preserve"> </w:t>
            </w:r>
            <w:r w:rsidRPr="005B0140">
              <w:rPr>
                <w:color w:val="000000"/>
              </w:rPr>
              <w:t xml:space="preserve">  </w:t>
            </w:r>
            <w:hyperlink r:id="rId54" w:history="1">
              <w:r w:rsidRPr="002A1E16">
                <w:rPr>
                  <w:color w:val="000000"/>
                </w:rPr>
                <w:t>www.strukturalni-fondy.cz/iop</w:t>
              </w:r>
            </w:hyperlink>
            <w:r w:rsidR="00480F2C">
              <w:rPr>
                <w:color w:val="000000"/>
              </w:rPr>
              <w:t xml:space="preserve"> </w:t>
            </w:r>
            <w:r w:rsidRPr="005B0140">
              <w:rPr>
                <w:color w:val="000000"/>
              </w:rPr>
              <w:t xml:space="preserve">   </w:t>
            </w:r>
          </w:p>
        </w:tc>
        <w:tc>
          <w:tcPr>
            <w:tcW w:w="906" w:type="pct"/>
            <w:shd w:val="clear" w:color="auto" w:fill="auto"/>
            <w:vAlign w:val="center"/>
          </w:tcPr>
          <w:p w:rsidR="00ED7992" w:rsidRPr="005B0140" w:rsidRDefault="00ED7992" w:rsidP="005846CD">
            <w:pPr>
              <w:rPr>
                <w:color w:val="000000"/>
              </w:rPr>
            </w:pPr>
            <w:r w:rsidRPr="005B0140">
              <w:rPr>
                <w:color w:val="000000"/>
              </w:rPr>
              <w:t>Průběžné uveřejňování informací a aktualizace stránek</w:t>
            </w:r>
          </w:p>
        </w:tc>
        <w:tc>
          <w:tcPr>
            <w:tcW w:w="847" w:type="pct"/>
            <w:shd w:val="clear" w:color="auto" w:fill="auto"/>
            <w:vAlign w:val="center"/>
          </w:tcPr>
          <w:p w:rsidR="00ED7992" w:rsidRPr="005B0140" w:rsidRDefault="00ED7992" w:rsidP="005846CD">
            <w:pPr>
              <w:rPr>
                <w:color w:val="000000"/>
              </w:rPr>
            </w:pPr>
            <w:r>
              <w:rPr>
                <w:color w:val="000000"/>
              </w:rPr>
              <w:t>Ž</w:t>
            </w:r>
            <w:r w:rsidRPr="005B0140">
              <w:rPr>
                <w:color w:val="000000"/>
              </w:rPr>
              <w:t>adatelé a příjemci,</w:t>
            </w:r>
          </w:p>
          <w:p w:rsidR="00ED7992" w:rsidRPr="005B0140" w:rsidRDefault="00ED7992" w:rsidP="005846CD">
            <w:pPr>
              <w:rPr>
                <w:color w:val="000000"/>
              </w:rPr>
            </w:pPr>
            <w:r w:rsidRPr="005B0140">
              <w:rPr>
                <w:color w:val="000000"/>
              </w:rPr>
              <w:t>veřejnost, hodnotitelé,</w:t>
            </w:r>
          </w:p>
          <w:p w:rsidR="00ED7992" w:rsidRPr="005B0140" w:rsidRDefault="00ED7992" w:rsidP="005846CD">
            <w:pPr>
              <w:rPr>
                <w:color w:val="000000"/>
              </w:rPr>
            </w:pPr>
            <w:r w:rsidRPr="005B0140">
              <w:rPr>
                <w:color w:val="000000"/>
              </w:rPr>
              <w:t>subjekty implementace,</w:t>
            </w:r>
          </w:p>
          <w:p w:rsidR="00ED7992" w:rsidRPr="005B0140" w:rsidRDefault="00ED7992" w:rsidP="005846CD">
            <w:pPr>
              <w:rPr>
                <w:color w:val="000000"/>
              </w:rPr>
            </w:pPr>
            <w:r w:rsidRPr="005B0140">
              <w:rPr>
                <w:color w:val="000000"/>
              </w:rPr>
              <w:t>sdělovací prostředky</w:t>
            </w:r>
          </w:p>
        </w:tc>
        <w:tc>
          <w:tcPr>
            <w:tcW w:w="727" w:type="pct"/>
            <w:shd w:val="clear" w:color="auto" w:fill="auto"/>
            <w:vAlign w:val="center"/>
          </w:tcPr>
          <w:p w:rsidR="00ED7992" w:rsidRPr="005B0140" w:rsidRDefault="00ED7992" w:rsidP="005846CD">
            <w:pPr>
              <w:jc w:val="right"/>
              <w:rPr>
                <w:color w:val="000000"/>
              </w:rPr>
            </w:pPr>
            <w:r w:rsidRPr="005B0140">
              <w:rPr>
                <w:color w:val="000000"/>
              </w:rPr>
              <w:t>0,- Kč</w:t>
            </w:r>
          </w:p>
        </w:tc>
        <w:tc>
          <w:tcPr>
            <w:tcW w:w="894" w:type="pct"/>
            <w:shd w:val="clear" w:color="auto" w:fill="auto"/>
            <w:vAlign w:val="center"/>
          </w:tcPr>
          <w:p w:rsidR="00ED7992" w:rsidRPr="005B0140" w:rsidRDefault="00ED7992" w:rsidP="005846CD">
            <w:pPr>
              <w:rPr>
                <w:color w:val="000000"/>
              </w:rPr>
            </w:pPr>
            <w:r w:rsidRPr="005B0140">
              <w:rPr>
                <w:color w:val="000000"/>
              </w:rPr>
              <w:t>Aktualizace stránek probíhá po celé období.</w:t>
            </w:r>
          </w:p>
        </w:tc>
      </w:tr>
      <w:tr w:rsidR="00ED7992" w:rsidRPr="005002C4" w:rsidTr="005846CD">
        <w:trPr>
          <w:trHeight w:val="144"/>
        </w:trPr>
        <w:tc>
          <w:tcPr>
            <w:tcW w:w="565" w:type="pct"/>
            <w:shd w:val="clear" w:color="auto" w:fill="auto"/>
            <w:vAlign w:val="center"/>
          </w:tcPr>
          <w:p w:rsidR="00ED7992" w:rsidRPr="005B0140" w:rsidRDefault="00ED7992" w:rsidP="005846CD">
            <w:r w:rsidRPr="005B0140">
              <w:t>ŘO</w:t>
            </w:r>
          </w:p>
        </w:tc>
        <w:tc>
          <w:tcPr>
            <w:tcW w:w="1061" w:type="pct"/>
            <w:shd w:val="clear" w:color="auto" w:fill="auto"/>
            <w:vAlign w:val="center"/>
          </w:tcPr>
          <w:p w:rsidR="00ED7992" w:rsidRPr="005B0140" w:rsidRDefault="00ED7992" w:rsidP="005846CD">
            <w:pPr>
              <w:rPr>
                <w:color w:val="000000"/>
              </w:rPr>
            </w:pPr>
            <w:proofErr w:type="spellStart"/>
            <w:r w:rsidRPr="005B0140">
              <w:rPr>
                <w:color w:val="000000"/>
              </w:rPr>
              <w:t>Newsletter</w:t>
            </w:r>
            <w:proofErr w:type="spellEnd"/>
            <w:r w:rsidRPr="005B0140">
              <w:rPr>
                <w:color w:val="000000"/>
              </w:rPr>
              <w:t xml:space="preserve"> </w:t>
            </w:r>
          </w:p>
          <w:p w:rsidR="00ED7992" w:rsidRPr="005B0140" w:rsidRDefault="00ED7992" w:rsidP="005846CD">
            <w:pPr>
              <w:rPr>
                <w:color w:val="000000"/>
              </w:rPr>
            </w:pPr>
            <w:r w:rsidRPr="005B0140">
              <w:rPr>
                <w:color w:val="000000"/>
              </w:rPr>
              <w:t>IOP pod lupou</w:t>
            </w:r>
            <w:r>
              <w:rPr>
                <w:color w:val="000000"/>
              </w:rPr>
              <w:t xml:space="preserve"> </w:t>
            </w:r>
          </w:p>
        </w:tc>
        <w:tc>
          <w:tcPr>
            <w:tcW w:w="906" w:type="pct"/>
            <w:shd w:val="clear" w:color="auto" w:fill="auto"/>
            <w:vAlign w:val="center"/>
          </w:tcPr>
          <w:p w:rsidR="00ED7992" w:rsidRPr="005B0140" w:rsidRDefault="00ED7992" w:rsidP="005846CD">
            <w:pPr>
              <w:rPr>
                <w:color w:val="000000"/>
              </w:rPr>
            </w:pPr>
            <w:r w:rsidRPr="005B0140">
              <w:rPr>
                <w:color w:val="000000"/>
              </w:rPr>
              <w:t>Aktuální informace o IO</w:t>
            </w:r>
            <w:r>
              <w:rPr>
                <w:color w:val="000000"/>
              </w:rPr>
              <w:t>P, úspěšné projekty, výzvy IROP.</w:t>
            </w:r>
          </w:p>
        </w:tc>
        <w:tc>
          <w:tcPr>
            <w:tcW w:w="847" w:type="pct"/>
            <w:shd w:val="clear" w:color="auto" w:fill="auto"/>
            <w:vAlign w:val="center"/>
          </w:tcPr>
          <w:p w:rsidR="00ED7992" w:rsidRPr="005B0140" w:rsidRDefault="00ED7992" w:rsidP="005846CD">
            <w:pPr>
              <w:rPr>
                <w:color w:val="000000"/>
              </w:rPr>
            </w:pPr>
            <w:r>
              <w:rPr>
                <w:color w:val="000000"/>
              </w:rPr>
              <w:t>Ž</w:t>
            </w:r>
            <w:r w:rsidRPr="005B0140">
              <w:rPr>
                <w:color w:val="000000"/>
              </w:rPr>
              <w:t>adatelé a příjemci,</w:t>
            </w:r>
          </w:p>
          <w:p w:rsidR="00ED7992" w:rsidRPr="005B0140" w:rsidRDefault="00ED7992" w:rsidP="005846CD">
            <w:pPr>
              <w:rPr>
                <w:color w:val="000000"/>
              </w:rPr>
            </w:pPr>
            <w:r w:rsidRPr="005B0140">
              <w:rPr>
                <w:color w:val="000000"/>
              </w:rPr>
              <w:t>veřejnost, subjekty implementace,</w:t>
            </w:r>
          </w:p>
          <w:p w:rsidR="00ED7992" w:rsidRPr="005B0140" w:rsidRDefault="00ED7992" w:rsidP="005846CD">
            <w:pPr>
              <w:rPr>
                <w:color w:val="000000"/>
              </w:rPr>
            </w:pPr>
            <w:r w:rsidRPr="005B0140">
              <w:rPr>
                <w:color w:val="000000"/>
              </w:rPr>
              <w:t>sdělovací prostředky</w:t>
            </w:r>
          </w:p>
        </w:tc>
        <w:tc>
          <w:tcPr>
            <w:tcW w:w="727" w:type="pct"/>
            <w:shd w:val="clear" w:color="auto" w:fill="auto"/>
            <w:vAlign w:val="center"/>
          </w:tcPr>
          <w:p w:rsidR="00ED7992" w:rsidRPr="005B0140" w:rsidRDefault="00ED7992" w:rsidP="005846CD">
            <w:pPr>
              <w:jc w:val="right"/>
              <w:rPr>
                <w:color w:val="000000"/>
              </w:rPr>
            </w:pPr>
            <w:r>
              <w:rPr>
                <w:color w:val="000000"/>
              </w:rPr>
              <w:t>62 936</w:t>
            </w:r>
            <w:r w:rsidRPr="005B0140">
              <w:rPr>
                <w:color w:val="000000"/>
              </w:rPr>
              <w:t>,- Kč</w:t>
            </w:r>
          </w:p>
        </w:tc>
        <w:tc>
          <w:tcPr>
            <w:tcW w:w="894" w:type="pct"/>
            <w:shd w:val="clear" w:color="auto" w:fill="auto"/>
            <w:vAlign w:val="center"/>
          </w:tcPr>
          <w:p w:rsidR="00ED7992" w:rsidRPr="005B0140" w:rsidRDefault="00ED7992" w:rsidP="005846CD">
            <w:pPr>
              <w:rPr>
                <w:color w:val="000000"/>
              </w:rPr>
            </w:pPr>
            <w:r>
              <w:rPr>
                <w:color w:val="000000"/>
              </w:rPr>
              <w:t>Za sledované období vyšla</w:t>
            </w:r>
            <w:r w:rsidRPr="005B0140">
              <w:rPr>
                <w:color w:val="000000"/>
              </w:rPr>
              <w:t xml:space="preserve"> </w:t>
            </w:r>
            <w:r>
              <w:rPr>
                <w:color w:val="000000"/>
              </w:rPr>
              <w:br/>
              <w:t xml:space="preserve">2 čísla </w:t>
            </w:r>
            <w:proofErr w:type="spellStart"/>
            <w:r w:rsidRPr="005B0140">
              <w:rPr>
                <w:color w:val="000000"/>
              </w:rPr>
              <w:t>newsletteru</w:t>
            </w:r>
            <w:proofErr w:type="spellEnd"/>
            <w:r w:rsidRPr="005B0140">
              <w:rPr>
                <w:color w:val="000000"/>
              </w:rPr>
              <w:t>, zaměřen</w:t>
            </w:r>
            <w:r>
              <w:rPr>
                <w:color w:val="000000"/>
              </w:rPr>
              <w:t>á</w:t>
            </w:r>
            <w:r w:rsidRPr="005B0140">
              <w:rPr>
                <w:color w:val="000000"/>
              </w:rPr>
              <w:t xml:space="preserve"> na aktuální dění v IOP a </w:t>
            </w:r>
            <w:r>
              <w:rPr>
                <w:color w:val="000000"/>
              </w:rPr>
              <w:t>výzvy IROP</w:t>
            </w:r>
            <w:r w:rsidRPr="005B0140">
              <w:rPr>
                <w:color w:val="000000"/>
              </w:rPr>
              <w:t xml:space="preserve">.  </w:t>
            </w:r>
          </w:p>
        </w:tc>
      </w:tr>
      <w:tr w:rsidR="00ED7992" w:rsidRPr="005002C4" w:rsidTr="005846CD">
        <w:trPr>
          <w:trHeight w:val="144"/>
        </w:trPr>
        <w:tc>
          <w:tcPr>
            <w:tcW w:w="565" w:type="pct"/>
            <w:shd w:val="clear" w:color="auto" w:fill="auto"/>
            <w:vAlign w:val="center"/>
          </w:tcPr>
          <w:p w:rsidR="00ED7992" w:rsidRPr="005B0140" w:rsidRDefault="00ED7992" w:rsidP="005846CD">
            <w:r w:rsidRPr="005B0140">
              <w:t>ŘO ve spolupráci se ZS</w:t>
            </w:r>
          </w:p>
        </w:tc>
        <w:tc>
          <w:tcPr>
            <w:tcW w:w="1061" w:type="pct"/>
            <w:shd w:val="clear" w:color="auto" w:fill="auto"/>
            <w:vAlign w:val="center"/>
          </w:tcPr>
          <w:p w:rsidR="00ED7992" w:rsidRPr="005B0140" w:rsidRDefault="00ED7992" w:rsidP="005846CD">
            <w:proofErr w:type="spellStart"/>
            <w:r w:rsidRPr="005B0140">
              <w:t>Microsites</w:t>
            </w:r>
            <w:proofErr w:type="spellEnd"/>
            <w:r w:rsidRPr="005B0140">
              <w:t xml:space="preserve"> kvalitazivota.eu</w:t>
            </w:r>
          </w:p>
        </w:tc>
        <w:tc>
          <w:tcPr>
            <w:tcW w:w="906" w:type="pct"/>
            <w:shd w:val="clear" w:color="auto" w:fill="auto"/>
            <w:vAlign w:val="center"/>
          </w:tcPr>
          <w:p w:rsidR="00ED7992" w:rsidRPr="005B0140" w:rsidRDefault="00ED7992" w:rsidP="005846CD">
            <w:r w:rsidRPr="005B0140">
              <w:t>Průběžné uveřejňování informací o projektech, financovaných z IOP</w:t>
            </w:r>
          </w:p>
        </w:tc>
        <w:tc>
          <w:tcPr>
            <w:tcW w:w="847" w:type="pct"/>
            <w:shd w:val="clear" w:color="auto" w:fill="auto"/>
            <w:vAlign w:val="center"/>
          </w:tcPr>
          <w:p w:rsidR="00ED7992" w:rsidRPr="005B0140" w:rsidRDefault="00ED7992" w:rsidP="005846CD">
            <w:r>
              <w:t>V</w:t>
            </w:r>
            <w:r w:rsidRPr="005B0140">
              <w:t>eřejnost</w:t>
            </w:r>
          </w:p>
        </w:tc>
        <w:tc>
          <w:tcPr>
            <w:tcW w:w="727" w:type="pct"/>
            <w:shd w:val="clear" w:color="auto" w:fill="auto"/>
            <w:vAlign w:val="center"/>
          </w:tcPr>
          <w:p w:rsidR="00ED7992" w:rsidRPr="005B0140" w:rsidRDefault="00ED7992" w:rsidP="005846CD">
            <w:pPr>
              <w:jc w:val="right"/>
            </w:pPr>
            <w:r w:rsidRPr="005B0140">
              <w:t> </w:t>
            </w:r>
          </w:p>
          <w:p w:rsidR="00ED7992" w:rsidRPr="005B0140" w:rsidRDefault="00ED7992" w:rsidP="005846CD">
            <w:pPr>
              <w:jc w:val="right"/>
            </w:pPr>
            <w:r>
              <w:t>5 082</w:t>
            </w:r>
            <w:r w:rsidRPr="005B0140">
              <w:t>,- Kč (</w:t>
            </w:r>
            <w:proofErr w:type="spellStart"/>
            <w:r w:rsidRPr="005B0140">
              <w:t>webhosting</w:t>
            </w:r>
            <w:proofErr w:type="spellEnd"/>
            <w:r w:rsidRPr="005B0140">
              <w:t>)</w:t>
            </w:r>
          </w:p>
        </w:tc>
        <w:tc>
          <w:tcPr>
            <w:tcW w:w="894" w:type="pct"/>
            <w:shd w:val="clear" w:color="auto" w:fill="auto"/>
            <w:vAlign w:val="center"/>
          </w:tcPr>
          <w:p w:rsidR="00ED7992" w:rsidRPr="005B0140" w:rsidRDefault="00ED7992" w:rsidP="005846CD">
            <w:proofErr w:type="spellStart"/>
            <w:r w:rsidRPr="005B0140">
              <w:t>Microsites</w:t>
            </w:r>
            <w:proofErr w:type="spellEnd"/>
            <w:r w:rsidRPr="005B0140">
              <w:t xml:space="preserve"> informují o realizovaných projektech IOP. Na jejich aktualizaci se podílí ŘO a ZS.</w:t>
            </w:r>
          </w:p>
        </w:tc>
      </w:tr>
      <w:tr w:rsidR="00ED7992" w:rsidRPr="005002C4" w:rsidTr="005846CD">
        <w:trPr>
          <w:trHeight w:val="144"/>
        </w:trPr>
        <w:tc>
          <w:tcPr>
            <w:tcW w:w="565" w:type="pct"/>
            <w:shd w:val="clear" w:color="auto" w:fill="auto"/>
            <w:vAlign w:val="center"/>
          </w:tcPr>
          <w:p w:rsidR="00ED7992" w:rsidRPr="005B0140" w:rsidRDefault="00ED7992" w:rsidP="005846CD">
            <w:r w:rsidRPr="005B0140">
              <w:t>ŘO</w:t>
            </w:r>
          </w:p>
        </w:tc>
        <w:tc>
          <w:tcPr>
            <w:tcW w:w="1061" w:type="pct"/>
            <w:shd w:val="clear" w:color="auto" w:fill="auto"/>
            <w:vAlign w:val="center"/>
          </w:tcPr>
          <w:p w:rsidR="00ED7992" w:rsidRPr="005B0140" w:rsidRDefault="00ED7992" w:rsidP="005846CD">
            <w:r>
              <w:t>Putovní výstava IOP</w:t>
            </w:r>
          </w:p>
          <w:p w:rsidR="00ED7992" w:rsidRPr="005B0140" w:rsidRDefault="00ED7992" w:rsidP="005846CD"/>
        </w:tc>
        <w:tc>
          <w:tcPr>
            <w:tcW w:w="906" w:type="pct"/>
            <w:shd w:val="clear" w:color="auto" w:fill="auto"/>
            <w:vAlign w:val="center"/>
          </w:tcPr>
          <w:p w:rsidR="00ED7992" w:rsidRPr="005B0140" w:rsidRDefault="00ED7992" w:rsidP="005846CD">
            <w:r>
              <w:t>Výstava formou velkoformátových fotografií na stojanech</w:t>
            </w:r>
          </w:p>
        </w:tc>
        <w:tc>
          <w:tcPr>
            <w:tcW w:w="847" w:type="pct"/>
            <w:shd w:val="clear" w:color="auto" w:fill="auto"/>
            <w:vAlign w:val="center"/>
          </w:tcPr>
          <w:p w:rsidR="00ED7992" w:rsidRPr="005B0140" w:rsidRDefault="00ED7992" w:rsidP="005846CD">
            <w:r>
              <w:t>V</w:t>
            </w:r>
            <w:r w:rsidRPr="005B0140">
              <w:t>eřejnost</w:t>
            </w:r>
            <w:r>
              <w:t xml:space="preserve"> a sdělovací prostředky</w:t>
            </w:r>
          </w:p>
        </w:tc>
        <w:tc>
          <w:tcPr>
            <w:tcW w:w="727" w:type="pct"/>
            <w:shd w:val="clear" w:color="auto" w:fill="auto"/>
            <w:vAlign w:val="center"/>
          </w:tcPr>
          <w:p w:rsidR="00ED7992" w:rsidRDefault="00ED7992" w:rsidP="005846CD">
            <w:pPr>
              <w:jc w:val="right"/>
            </w:pPr>
            <w:r>
              <w:t>0</w:t>
            </w:r>
            <w:r w:rsidRPr="005B0140">
              <w:t>,- Kč</w:t>
            </w:r>
          </w:p>
          <w:p w:rsidR="00ED7992" w:rsidRPr="005B0140" w:rsidRDefault="00ED7992" w:rsidP="005846CD">
            <w:pPr>
              <w:jc w:val="right"/>
            </w:pPr>
            <w:r>
              <w:t>(finanční náklady budou uhrazeny až po skončení výstavy 30. listopadu 2015)</w:t>
            </w:r>
          </w:p>
        </w:tc>
        <w:tc>
          <w:tcPr>
            <w:tcW w:w="894" w:type="pct"/>
            <w:shd w:val="clear" w:color="auto" w:fill="auto"/>
            <w:vAlign w:val="center"/>
          </w:tcPr>
          <w:p w:rsidR="00ED7992" w:rsidRPr="005B0140" w:rsidRDefault="00ED7992" w:rsidP="005846CD">
            <w:r>
              <w:t>Putovní výstava IOP se zaměřila na nejširší veřejnost. Na venkovních prostranstvích v šesti velkých městech ČR vystavila atraktivní velkoformátové fotografie úspěšných projektů z různých oblastí intervence IOP.</w:t>
            </w:r>
          </w:p>
        </w:tc>
      </w:tr>
      <w:tr w:rsidR="00ED7992" w:rsidRPr="005002C4" w:rsidTr="005846CD">
        <w:trPr>
          <w:trHeight w:val="144"/>
        </w:trPr>
        <w:tc>
          <w:tcPr>
            <w:tcW w:w="565" w:type="pct"/>
            <w:shd w:val="clear" w:color="auto" w:fill="auto"/>
            <w:vAlign w:val="center"/>
          </w:tcPr>
          <w:p w:rsidR="00ED7992" w:rsidRPr="005B0140" w:rsidRDefault="00ED7992" w:rsidP="005846CD">
            <w:r w:rsidRPr="005B0140">
              <w:t>ŘO</w:t>
            </w:r>
          </w:p>
        </w:tc>
        <w:tc>
          <w:tcPr>
            <w:tcW w:w="1061" w:type="pct"/>
            <w:shd w:val="clear" w:color="auto" w:fill="auto"/>
            <w:vAlign w:val="center"/>
          </w:tcPr>
          <w:p w:rsidR="00ED7992" w:rsidRPr="005B0140" w:rsidRDefault="00ED7992" w:rsidP="005846CD">
            <w:r>
              <w:t>Letáky ke specifickým cílům IROP 1.1 a 3.3</w:t>
            </w:r>
          </w:p>
        </w:tc>
        <w:tc>
          <w:tcPr>
            <w:tcW w:w="906" w:type="pct"/>
            <w:shd w:val="clear" w:color="auto" w:fill="auto"/>
            <w:vAlign w:val="center"/>
          </w:tcPr>
          <w:p w:rsidR="00ED7992" w:rsidRPr="005B0140" w:rsidRDefault="00ED7992" w:rsidP="005846CD">
            <w:r>
              <w:t>Informovanost o oblastech působnosti IROP</w:t>
            </w:r>
          </w:p>
        </w:tc>
        <w:tc>
          <w:tcPr>
            <w:tcW w:w="847" w:type="pct"/>
            <w:shd w:val="clear" w:color="auto" w:fill="auto"/>
            <w:vAlign w:val="center"/>
          </w:tcPr>
          <w:p w:rsidR="00ED7992" w:rsidRPr="005B0140" w:rsidRDefault="00ED7992" w:rsidP="005846CD">
            <w:r>
              <w:t xml:space="preserve">Žadatelé, </w:t>
            </w:r>
            <w:r w:rsidRPr="005B0140">
              <w:t>veřejnost</w:t>
            </w:r>
            <w:r>
              <w:t>, sdělovací prostředky</w:t>
            </w:r>
          </w:p>
        </w:tc>
        <w:tc>
          <w:tcPr>
            <w:tcW w:w="727" w:type="pct"/>
            <w:shd w:val="clear" w:color="auto" w:fill="auto"/>
            <w:vAlign w:val="center"/>
          </w:tcPr>
          <w:p w:rsidR="00ED7992" w:rsidRPr="005B0140" w:rsidRDefault="00ED7992" w:rsidP="005846CD">
            <w:pPr>
              <w:jc w:val="right"/>
            </w:pPr>
            <w:r>
              <w:t>4 000</w:t>
            </w:r>
            <w:r w:rsidRPr="005B0140">
              <w:t>,- Kč</w:t>
            </w:r>
          </w:p>
        </w:tc>
        <w:tc>
          <w:tcPr>
            <w:tcW w:w="894" w:type="pct"/>
            <w:shd w:val="clear" w:color="auto" w:fill="auto"/>
            <w:vAlign w:val="center"/>
          </w:tcPr>
          <w:p w:rsidR="00ED7992" w:rsidRPr="005B0140" w:rsidRDefault="00ED7992" w:rsidP="00480F2C">
            <w:pPr>
              <w:autoSpaceDE w:val="0"/>
              <w:autoSpaceDN w:val="0"/>
              <w:adjustRightInd w:val="0"/>
            </w:pPr>
            <w:r>
              <w:t xml:space="preserve">Letáky informující o podporovaných aktivitách IROP </w:t>
            </w:r>
            <w:r w:rsidR="00480F2C">
              <w:t xml:space="preserve">ve specifických cílech </w:t>
            </w:r>
            <w:r>
              <w:t>1.1 a 3.3</w:t>
            </w:r>
            <w:r w:rsidR="00480F2C">
              <w:t>.</w:t>
            </w:r>
          </w:p>
        </w:tc>
      </w:tr>
      <w:tr w:rsidR="00ED7992" w:rsidRPr="005002C4" w:rsidTr="005846CD">
        <w:trPr>
          <w:trHeight w:val="144"/>
        </w:trPr>
        <w:tc>
          <w:tcPr>
            <w:tcW w:w="565" w:type="pct"/>
            <w:shd w:val="clear" w:color="auto" w:fill="auto"/>
            <w:vAlign w:val="center"/>
          </w:tcPr>
          <w:p w:rsidR="00ED7992" w:rsidRPr="005B0140" w:rsidRDefault="00ED7992" w:rsidP="005846CD">
            <w:r w:rsidRPr="005B0140">
              <w:t xml:space="preserve">ŘO </w:t>
            </w:r>
          </w:p>
        </w:tc>
        <w:tc>
          <w:tcPr>
            <w:tcW w:w="1061" w:type="pct"/>
            <w:shd w:val="clear" w:color="auto" w:fill="auto"/>
            <w:vAlign w:val="center"/>
          </w:tcPr>
          <w:p w:rsidR="00ED7992" w:rsidRPr="005B0140" w:rsidRDefault="00ED7992" w:rsidP="005846CD">
            <w:r>
              <w:t>Katalog úspěšných projektů IOP</w:t>
            </w:r>
          </w:p>
        </w:tc>
        <w:tc>
          <w:tcPr>
            <w:tcW w:w="906" w:type="pct"/>
            <w:shd w:val="clear" w:color="auto" w:fill="auto"/>
            <w:vAlign w:val="center"/>
          </w:tcPr>
          <w:p w:rsidR="00ED7992" w:rsidRPr="005B0140" w:rsidRDefault="00ED7992" w:rsidP="005846CD">
            <w:r>
              <w:t>Prezentace realizovaných projektů</w:t>
            </w:r>
          </w:p>
        </w:tc>
        <w:tc>
          <w:tcPr>
            <w:tcW w:w="847" w:type="pct"/>
            <w:shd w:val="clear" w:color="auto" w:fill="auto"/>
            <w:vAlign w:val="center"/>
          </w:tcPr>
          <w:p w:rsidR="00ED7992" w:rsidRPr="005B0140" w:rsidRDefault="00ED7992" w:rsidP="005846CD">
            <w:r>
              <w:t>Veřejnost, sdělovací prostředky, odborná veřejnost</w:t>
            </w:r>
          </w:p>
        </w:tc>
        <w:tc>
          <w:tcPr>
            <w:tcW w:w="727" w:type="pct"/>
            <w:shd w:val="clear" w:color="auto" w:fill="auto"/>
            <w:vAlign w:val="center"/>
          </w:tcPr>
          <w:p w:rsidR="00ED7992" w:rsidRPr="005B0140" w:rsidRDefault="00ED7992" w:rsidP="005846CD">
            <w:pPr>
              <w:jc w:val="right"/>
            </w:pPr>
            <w:r>
              <w:t>24 000</w:t>
            </w:r>
            <w:r w:rsidRPr="005B0140">
              <w:t>,- Kč</w:t>
            </w:r>
          </w:p>
        </w:tc>
        <w:tc>
          <w:tcPr>
            <w:tcW w:w="894" w:type="pct"/>
            <w:shd w:val="clear" w:color="auto" w:fill="auto"/>
            <w:vAlign w:val="center"/>
          </w:tcPr>
          <w:p w:rsidR="00ED7992" w:rsidRPr="005B0140" w:rsidRDefault="00ED7992" w:rsidP="00480F2C">
            <w:r>
              <w:t>V červnu 2015 byl dokončen katalog úspěšných projektů IOP</w:t>
            </w:r>
            <w:r w:rsidR="00480F2C">
              <w:t xml:space="preserve">. </w:t>
            </w:r>
            <w:r>
              <w:t>Katalog má 56 stran a byl vydán v tištěné i elektronické verzi.</w:t>
            </w:r>
          </w:p>
        </w:tc>
      </w:tr>
      <w:tr w:rsidR="00ED7992" w:rsidRPr="005002C4" w:rsidTr="005846CD">
        <w:trPr>
          <w:trHeight w:val="144"/>
        </w:trPr>
        <w:tc>
          <w:tcPr>
            <w:tcW w:w="565" w:type="pct"/>
            <w:shd w:val="clear" w:color="auto" w:fill="auto"/>
            <w:vAlign w:val="center"/>
          </w:tcPr>
          <w:p w:rsidR="00ED7992" w:rsidRPr="005B0140" w:rsidRDefault="00ED7992" w:rsidP="005846CD">
            <w:r>
              <w:t>ŘO</w:t>
            </w:r>
          </w:p>
        </w:tc>
        <w:tc>
          <w:tcPr>
            <w:tcW w:w="1061" w:type="pct"/>
            <w:shd w:val="clear" w:color="auto" w:fill="auto"/>
            <w:vAlign w:val="center"/>
          </w:tcPr>
          <w:p w:rsidR="00ED7992" w:rsidRDefault="00ED7992" w:rsidP="005846CD">
            <w:r>
              <w:t>Seminář k výzvě 1.1 Praha</w:t>
            </w:r>
          </w:p>
        </w:tc>
        <w:tc>
          <w:tcPr>
            <w:tcW w:w="906" w:type="pct"/>
            <w:shd w:val="clear" w:color="auto" w:fill="auto"/>
            <w:vAlign w:val="center"/>
          </w:tcPr>
          <w:p w:rsidR="00ED7992" w:rsidRDefault="00ED7992" w:rsidP="005846CD">
            <w:r>
              <w:t>Seminář k výzvě 1.1 Praha</w:t>
            </w:r>
          </w:p>
        </w:tc>
        <w:tc>
          <w:tcPr>
            <w:tcW w:w="847" w:type="pct"/>
            <w:shd w:val="clear" w:color="auto" w:fill="auto"/>
            <w:vAlign w:val="center"/>
          </w:tcPr>
          <w:p w:rsidR="00ED7992" w:rsidRDefault="00ED7992" w:rsidP="005846CD">
            <w:r>
              <w:t>Žadatelé</w:t>
            </w:r>
          </w:p>
        </w:tc>
        <w:tc>
          <w:tcPr>
            <w:tcW w:w="727" w:type="pct"/>
            <w:shd w:val="clear" w:color="auto" w:fill="auto"/>
            <w:vAlign w:val="center"/>
          </w:tcPr>
          <w:p w:rsidR="00ED7992" w:rsidRDefault="00ED7992" w:rsidP="005846CD">
            <w:pPr>
              <w:jc w:val="right"/>
            </w:pPr>
            <w:r w:rsidRPr="008F738D">
              <w:t>100 675,- Kč</w:t>
            </w:r>
          </w:p>
        </w:tc>
        <w:tc>
          <w:tcPr>
            <w:tcW w:w="894" w:type="pct"/>
            <w:shd w:val="clear" w:color="auto" w:fill="auto"/>
            <w:vAlign w:val="center"/>
          </w:tcPr>
          <w:p w:rsidR="00ED7992" w:rsidRDefault="00ED7992" w:rsidP="00480F2C">
            <w:r>
              <w:t xml:space="preserve">Dne 18. srpna 2015 v Praze proběhl seminář pro žadatele </w:t>
            </w:r>
            <w:r>
              <w:lastRenderedPageBreak/>
              <w:t>k výzvě „Vybrané úseky silnic II. A III. třídy“ vyhlašované v</w:t>
            </w:r>
            <w:r w:rsidR="00480F2C">
              <w:t>e</w:t>
            </w:r>
            <w:r>
              <w:t xml:space="preserve"> specifické</w:t>
            </w:r>
            <w:r w:rsidR="00480F2C">
              <w:t>m</w:t>
            </w:r>
            <w:r>
              <w:t xml:space="preserve"> cíl</w:t>
            </w:r>
            <w:r w:rsidR="00480F2C">
              <w:t>i</w:t>
            </w:r>
            <w:r>
              <w:t xml:space="preserve"> IROP 1.1.</w:t>
            </w:r>
          </w:p>
        </w:tc>
      </w:tr>
      <w:tr w:rsidR="00ED7992" w:rsidRPr="005002C4" w:rsidTr="005846CD">
        <w:trPr>
          <w:trHeight w:val="144"/>
        </w:trPr>
        <w:tc>
          <w:tcPr>
            <w:tcW w:w="565" w:type="pct"/>
            <w:shd w:val="clear" w:color="auto" w:fill="auto"/>
            <w:vAlign w:val="center"/>
          </w:tcPr>
          <w:p w:rsidR="00ED7992" w:rsidRDefault="00ED7992" w:rsidP="005846CD">
            <w:r>
              <w:lastRenderedPageBreak/>
              <w:t>ŘO</w:t>
            </w:r>
          </w:p>
        </w:tc>
        <w:tc>
          <w:tcPr>
            <w:tcW w:w="1061" w:type="pct"/>
            <w:shd w:val="clear" w:color="auto" w:fill="auto"/>
            <w:vAlign w:val="center"/>
          </w:tcPr>
          <w:p w:rsidR="00ED7992" w:rsidRDefault="00ED7992" w:rsidP="005846CD">
            <w:r>
              <w:t>Semináře k výzvě 3.3 Praha a Olomouc</w:t>
            </w:r>
          </w:p>
        </w:tc>
        <w:tc>
          <w:tcPr>
            <w:tcW w:w="906" w:type="pct"/>
            <w:shd w:val="clear" w:color="auto" w:fill="auto"/>
            <w:vAlign w:val="center"/>
          </w:tcPr>
          <w:p w:rsidR="00ED7992" w:rsidRDefault="00ED7992" w:rsidP="005846CD">
            <w:r>
              <w:t>územní plány</w:t>
            </w:r>
          </w:p>
        </w:tc>
        <w:tc>
          <w:tcPr>
            <w:tcW w:w="847" w:type="pct"/>
            <w:shd w:val="clear" w:color="auto" w:fill="auto"/>
            <w:vAlign w:val="center"/>
          </w:tcPr>
          <w:p w:rsidR="00ED7992" w:rsidRDefault="00ED7992" w:rsidP="005846CD">
            <w:r>
              <w:t>Žadatelé</w:t>
            </w:r>
          </w:p>
        </w:tc>
        <w:tc>
          <w:tcPr>
            <w:tcW w:w="727" w:type="pct"/>
            <w:shd w:val="clear" w:color="auto" w:fill="auto"/>
            <w:vAlign w:val="center"/>
          </w:tcPr>
          <w:p w:rsidR="00ED7992" w:rsidRPr="008F738D" w:rsidRDefault="00ED7992" w:rsidP="005846CD">
            <w:pPr>
              <w:jc w:val="right"/>
            </w:pPr>
            <w:r w:rsidRPr="008A078E">
              <w:t>164 380,- Kč</w:t>
            </w:r>
          </w:p>
        </w:tc>
        <w:tc>
          <w:tcPr>
            <w:tcW w:w="894" w:type="pct"/>
            <w:shd w:val="clear" w:color="auto" w:fill="auto"/>
            <w:vAlign w:val="center"/>
          </w:tcPr>
          <w:p w:rsidR="00ED7992" w:rsidRDefault="00ED7992" w:rsidP="00480F2C">
            <w:r>
              <w:t>Dne 20. srpna proběhl v Praze seminář pro žadatele k výzvě „Územní plány“ vyhlašované v</w:t>
            </w:r>
            <w:r w:rsidR="00480F2C">
              <w:t>e</w:t>
            </w:r>
            <w:r>
              <w:t xml:space="preserve"> specifické</w:t>
            </w:r>
            <w:r w:rsidR="00480F2C">
              <w:t>m</w:t>
            </w:r>
            <w:r>
              <w:t xml:space="preserve"> cíl</w:t>
            </w:r>
            <w:r w:rsidR="00480F2C">
              <w:t>i</w:t>
            </w:r>
            <w:r>
              <w:t xml:space="preserve"> IROP 3.3. Na totéž téma se uskutečnil seminář v Olomouci dne 25. srpna 2015.</w:t>
            </w:r>
          </w:p>
        </w:tc>
      </w:tr>
      <w:tr w:rsidR="00ED7992" w:rsidRPr="005002C4" w:rsidTr="005846CD">
        <w:trPr>
          <w:trHeight w:val="144"/>
        </w:trPr>
        <w:tc>
          <w:tcPr>
            <w:tcW w:w="565" w:type="pct"/>
            <w:shd w:val="clear" w:color="auto" w:fill="auto"/>
            <w:vAlign w:val="center"/>
          </w:tcPr>
          <w:p w:rsidR="00ED7992" w:rsidRPr="005B0140" w:rsidRDefault="00ED7992" w:rsidP="005846CD">
            <w:r w:rsidRPr="005B0140">
              <w:t>ŘO</w:t>
            </w:r>
          </w:p>
        </w:tc>
        <w:tc>
          <w:tcPr>
            <w:tcW w:w="1061" w:type="pct"/>
            <w:shd w:val="clear" w:color="auto" w:fill="auto"/>
            <w:vAlign w:val="center"/>
          </w:tcPr>
          <w:p w:rsidR="00ED7992" w:rsidRPr="005B0140" w:rsidRDefault="00ED7992" w:rsidP="005846CD">
            <w:r w:rsidRPr="005B0140">
              <w:t>Tiskové zprávy, komunikace na sociálních sítích</w:t>
            </w:r>
          </w:p>
        </w:tc>
        <w:tc>
          <w:tcPr>
            <w:tcW w:w="906" w:type="pct"/>
            <w:shd w:val="clear" w:color="auto" w:fill="auto"/>
            <w:vAlign w:val="center"/>
          </w:tcPr>
          <w:p w:rsidR="00ED7992" w:rsidRPr="005B0140" w:rsidRDefault="00ED7992" w:rsidP="005846CD">
            <w:r w:rsidRPr="005B0140">
              <w:t>Zviditelnění aktivit ŘO</w:t>
            </w:r>
          </w:p>
        </w:tc>
        <w:tc>
          <w:tcPr>
            <w:tcW w:w="847" w:type="pct"/>
            <w:shd w:val="clear" w:color="auto" w:fill="auto"/>
            <w:vAlign w:val="center"/>
          </w:tcPr>
          <w:p w:rsidR="00ED7992" w:rsidRPr="005B0140" w:rsidRDefault="00ED7992" w:rsidP="005846CD">
            <w:r w:rsidRPr="005B0140">
              <w:t>Široká a odborná veřejnost</w:t>
            </w:r>
          </w:p>
        </w:tc>
        <w:tc>
          <w:tcPr>
            <w:tcW w:w="727" w:type="pct"/>
            <w:shd w:val="clear" w:color="auto" w:fill="auto"/>
            <w:vAlign w:val="center"/>
          </w:tcPr>
          <w:p w:rsidR="00ED7992" w:rsidRPr="005B0140" w:rsidRDefault="00ED7992" w:rsidP="005846CD">
            <w:pPr>
              <w:jc w:val="right"/>
            </w:pPr>
            <w:r w:rsidRPr="005B0140">
              <w:t>0,- Kč</w:t>
            </w:r>
          </w:p>
        </w:tc>
        <w:tc>
          <w:tcPr>
            <w:tcW w:w="894" w:type="pct"/>
            <w:shd w:val="clear" w:color="auto" w:fill="auto"/>
            <w:vAlign w:val="center"/>
          </w:tcPr>
          <w:p w:rsidR="00ED7992" w:rsidRPr="005B0140" w:rsidRDefault="00ED7992" w:rsidP="005846CD">
            <w:r w:rsidRPr="005B0140">
              <w:t>Průběžně zveřejňované aktuální informace formou tiskových zpráv a informací na sociálních sítích.</w:t>
            </w:r>
          </w:p>
        </w:tc>
      </w:tr>
      <w:tr w:rsidR="00ED7992" w:rsidRPr="005002C4" w:rsidTr="005846CD">
        <w:trPr>
          <w:trHeight w:val="3682"/>
        </w:trPr>
        <w:tc>
          <w:tcPr>
            <w:tcW w:w="565" w:type="pct"/>
            <w:shd w:val="clear" w:color="auto" w:fill="auto"/>
            <w:vAlign w:val="center"/>
          </w:tcPr>
          <w:p w:rsidR="00ED7992" w:rsidRPr="005B0140" w:rsidRDefault="00ED7992" w:rsidP="005846CD">
            <w:r w:rsidRPr="005B0140">
              <w:t>ŘO</w:t>
            </w:r>
          </w:p>
        </w:tc>
        <w:tc>
          <w:tcPr>
            <w:tcW w:w="1061" w:type="pct"/>
            <w:shd w:val="clear" w:color="auto" w:fill="auto"/>
            <w:vAlign w:val="center"/>
          </w:tcPr>
          <w:p w:rsidR="00ED7992" w:rsidRPr="005B0140" w:rsidRDefault="00ED7992" w:rsidP="005846CD">
            <w:r w:rsidRPr="005B0140">
              <w:t>Semináře k představení IROP</w:t>
            </w:r>
          </w:p>
        </w:tc>
        <w:tc>
          <w:tcPr>
            <w:tcW w:w="906" w:type="pct"/>
            <w:shd w:val="clear" w:color="auto" w:fill="auto"/>
            <w:vAlign w:val="center"/>
          </w:tcPr>
          <w:p w:rsidR="00ED7992" w:rsidRPr="005B0140" w:rsidRDefault="00ED7992" w:rsidP="005846CD">
            <w:r w:rsidRPr="005B0140">
              <w:t>Příprava absorpční kapacity IROP</w:t>
            </w:r>
          </w:p>
        </w:tc>
        <w:tc>
          <w:tcPr>
            <w:tcW w:w="847" w:type="pct"/>
            <w:shd w:val="clear" w:color="auto" w:fill="auto"/>
            <w:vAlign w:val="center"/>
          </w:tcPr>
          <w:p w:rsidR="00ED7992" w:rsidRPr="005B0140" w:rsidRDefault="00ED7992" w:rsidP="005846CD">
            <w:r w:rsidRPr="005B0140">
              <w:t>Příjemci a veřejnost</w:t>
            </w:r>
          </w:p>
        </w:tc>
        <w:tc>
          <w:tcPr>
            <w:tcW w:w="727" w:type="pct"/>
            <w:shd w:val="clear" w:color="auto" w:fill="auto"/>
            <w:vAlign w:val="center"/>
          </w:tcPr>
          <w:p w:rsidR="00ED7992" w:rsidRPr="005B0140" w:rsidRDefault="00ED7992" w:rsidP="005846CD">
            <w:pPr>
              <w:jc w:val="right"/>
            </w:pPr>
            <w:r w:rsidRPr="008A078E">
              <w:t>235 587,- Kč</w:t>
            </w:r>
            <w:r w:rsidRPr="005B0140">
              <w:t xml:space="preserve"> </w:t>
            </w:r>
          </w:p>
        </w:tc>
        <w:tc>
          <w:tcPr>
            <w:tcW w:w="894" w:type="pct"/>
            <w:shd w:val="clear" w:color="auto" w:fill="auto"/>
            <w:vAlign w:val="center"/>
          </w:tcPr>
          <w:p w:rsidR="00ED7992" w:rsidRPr="005B0140" w:rsidRDefault="00ED7992" w:rsidP="00480F2C">
            <w:r w:rsidRPr="005B0140">
              <w:t xml:space="preserve">Z důvodu plynulé návaznosti IOP na IROP se publicita mimo jiné orientovala na přípravu absorpční kapacity a informovanosti </w:t>
            </w:r>
            <w:r>
              <w:br/>
            </w:r>
            <w:r w:rsidRPr="005B0140">
              <w:t xml:space="preserve">o IROP. Od </w:t>
            </w:r>
            <w:r>
              <w:t xml:space="preserve">28. </w:t>
            </w:r>
            <w:r w:rsidRPr="005B0140">
              <w:t xml:space="preserve">ledna </w:t>
            </w:r>
            <w:r>
              <w:t xml:space="preserve">do 4. května </w:t>
            </w:r>
            <w:r w:rsidRPr="005B0140">
              <w:t>201</w:t>
            </w:r>
            <w:r>
              <w:t>5 se v krajských městech ČR konala</w:t>
            </w:r>
            <w:r w:rsidRPr="005B0140">
              <w:t xml:space="preserve"> série 13 seminářů k představení Integrovaného regionálního operačního </w:t>
            </w:r>
            <w:r>
              <w:t>programu.</w:t>
            </w:r>
          </w:p>
        </w:tc>
      </w:tr>
      <w:tr w:rsidR="00ED7992" w:rsidRPr="005002C4" w:rsidTr="005846CD">
        <w:trPr>
          <w:trHeight w:val="144"/>
        </w:trPr>
        <w:tc>
          <w:tcPr>
            <w:tcW w:w="565" w:type="pct"/>
            <w:shd w:val="clear" w:color="auto" w:fill="DCE6F1"/>
            <w:vAlign w:val="center"/>
          </w:tcPr>
          <w:p w:rsidR="00ED7992" w:rsidRPr="005B0140" w:rsidRDefault="00ED7992" w:rsidP="005846CD">
            <w:r w:rsidRPr="005B0140">
              <w:t>CRR</w:t>
            </w:r>
          </w:p>
        </w:tc>
        <w:tc>
          <w:tcPr>
            <w:tcW w:w="1061" w:type="pct"/>
            <w:shd w:val="clear" w:color="auto" w:fill="DCE6F1"/>
            <w:vAlign w:val="center"/>
          </w:tcPr>
          <w:p w:rsidR="00ED7992" w:rsidRPr="005B0140" w:rsidRDefault="00ED7992" w:rsidP="005846CD">
            <w:r w:rsidRPr="005B0140">
              <w:t>Odborný PR článek</w:t>
            </w:r>
          </w:p>
        </w:tc>
        <w:tc>
          <w:tcPr>
            <w:tcW w:w="906" w:type="pct"/>
            <w:shd w:val="clear" w:color="auto" w:fill="DCE6F1"/>
            <w:vAlign w:val="center"/>
          </w:tcPr>
          <w:p w:rsidR="00ED7992" w:rsidRPr="005B0140" w:rsidRDefault="00ED7992" w:rsidP="005846CD">
            <w:r w:rsidRPr="005B0140">
              <w:t>Dotační možnosti z IOP 5.2 (Integrované plány rozvoje měst)</w:t>
            </w:r>
          </w:p>
        </w:tc>
        <w:tc>
          <w:tcPr>
            <w:tcW w:w="847" w:type="pct"/>
            <w:shd w:val="clear" w:color="auto" w:fill="DCE6F1"/>
            <w:vAlign w:val="center"/>
          </w:tcPr>
          <w:p w:rsidR="00ED7992" w:rsidRPr="005B0140" w:rsidRDefault="00ED7992" w:rsidP="005846CD">
            <w:r w:rsidRPr="005B0140">
              <w:t>Příjemci a žadatelé, odborná veřejnost</w:t>
            </w:r>
          </w:p>
        </w:tc>
        <w:tc>
          <w:tcPr>
            <w:tcW w:w="727" w:type="pct"/>
            <w:shd w:val="clear" w:color="auto" w:fill="DCE6F1"/>
            <w:vAlign w:val="center"/>
          </w:tcPr>
          <w:p w:rsidR="00ED7992" w:rsidRPr="005B0140" w:rsidRDefault="00ED7992" w:rsidP="005846CD">
            <w:r>
              <w:t>15 125,-</w:t>
            </w:r>
            <w:r w:rsidRPr="005B0140">
              <w:t xml:space="preserve"> Kč </w:t>
            </w:r>
          </w:p>
        </w:tc>
        <w:tc>
          <w:tcPr>
            <w:tcW w:w="894" w:type="pct"/>
            <w:shd w:val="clear" w:color="auto" w:fill="DCE6F1"/>
            <w:vAlign w:val="center"/>
          </w:tcPr>
          <w:p w:rsidR="00ED7992" w:rsidRPr="005B0140" w:rsidRDefault="00ED7992" w:rsidP="00926C07">
            <w:r w:rsidRPr="004650DA">
              <w:t>Článek „Evropské dotace pomáhají zlepšit prostředí českých sídlišť“ – vydání 47</w:t>
            </w:r>
            <w:r w:rsidR="00926C07">
              <w:t xml:space="preserve"> v</w:t>
            </w:r>
            <w:r w:rsidRPr="004650DA">
              <w:t xml:space="preserve"> květn</w:t>
            </w:r>
            <w:r w:rsidR="00926C07">
              <w:t>u</w:t>
            </w:r>
            <w:r w:rsidRPr="004650DA">
              <w:t xml:space="preserve"> 2015, text o IPRM </w:t>
            </w:r>
            <w:r w:rsidRPr="004650DA">
              <w:lastRenderedPageBreak/>
              <w:t xml:space="preserve">s důrazem na region Střední Morava, vydání 48 </w:t>
            </w:r>
            <w:r w:rsidR="00926C07">
              <w:t xml:space="preserve">v </w:t>
            </w:r>
            <w:r w:rsidRPr="004650DA">
              <w:t>září 2015, shrnující text o IOP a navazujících dotačních možnostech v IROP.</w:t>
            </w:r>
          </w:p>
        </w:tc>
      </w:tr>
      <w:tr w:rsidR="00ED7992" w:rsidRPr="005002C4" w:rsidTr="005846CD">
        <w:trPr>
          <w:trHeight w:val="144"/>
        </w:trPr>
        <w:tc>
          <w:tcPr>
            <w:tcW w:w="565" w:type="pct"/>
            <w:shd w:val="clear" w:color="auto" w:fill="DCE6F1"/>
            <w:vAlign w:val="center"/>
          </w:tcPr>
          <w:p w:rsidR="00ED7992" w:rsidRPr="005B0140" w:rsidRDefault="00ED7992" w:rsidP="005846CD">
            <w:r w:rsidRPr="005B0140">
              <w:lastRenderedPageBreak/>
              <w:t>CRR</w:t>
            </w:r>
          </w:p>
        </w:tc>
        <w:tc>
          <w:tcPr>
            <w:tcW w:w="1061" w:type="pct"/>
            <w:shd w:val="clear" w:color="auto" w:fill="DCE6F1"/>
            <w:vAlign w:val="center"/>
          </w:tcPr>
          <w:p w:rsidR="00ED7992" w:rsidRPr="005B0140" w:rsidRDefault="00ED7992" w:rsidP="005846CD">
            <w:r w:rsidRPr="005B0140">
              <w:t>Tisková prezentace v denním tisku</w:t>
            </w:r>
          </w:p>
        </w:tc>
        <w:tc>
          <w:tcPr>
            <w:tcW w:w="906" w:type="pct"/>
            <w:shd w:val="clear" w:color="auto" w:fill="DCE6F1"/>
            <w:vAlign w:val="center"/>
          </w:tcPr>
          <w:p w:rsidR="00ED7992" w:rsidRPr="005B0140" w:rsidRDefault="00ED7992" w:rsidP="005846CD">
            <w:r w:rsidRPr="005B0140">
              <w:t>Příklad reali</w:t>
            </w:r>
            <w:r>
              <w:t>zovaných projektů z IOP 5.1</w:t>
            </w:r>
          </w:p>
        </w:tc>
        <w:tc>
          <w:tcPr>
            <w:tcW w:w="847" w:type="pct"/>
            <w:shd w:val="clear" w:color="auto" w:fill="DCE6F1"/>
            <w:vAlign w:val="center"/>
          </w:tcPr>
          <w:p w:rsidR="00ED7992" w:rsidRPr="005B0140" w:rsidRDefault="00ED7992" w:rsidP="005846CD">
            <w:r w:rsidRPr="005B0140">
              <w:t>Široká veřejnost</w:t>
            </w:r>
          </w:p>
        </w:tc>
        <w:tc>
          <w:tcPr>
            <w:tcW w:w="727" w:type="pct"/>
            <w:shd w:val="clear" w:color="auto" w:fill="DCE6F1"/>
            <w:vAlign w:val="center"/>
          </w:tcPr>
          <w:p w:rsidR="00ED7992" w:rsidRPr="005B0140" w:rsidRDefault="00ED7992" w:rsidP="005846CD">
            <w:r>
              <w:t>40 172,- Kč</w:t>
            </w:r>
          </w:p>
        </w:tc>
        <w:tc>
          <w:tcPr>
            <w:tcW w:w="894" w:type="pct"/>
            <w:shd w:val="clear" w:color="auto" w:fill="DCE6F1"/>
            <w:vAlign w:val="center"/>
          </w:tcPr>
          <w:p w:rsidR="00ED7992" w:rsidRPr="005B0140" w:rsidRDefault="00ED7992" w:rsidP="005846CD">
            <w:r w:rsidRPr="004650DA">
              <w:t>Inzerce o rozsahu 1/4 tiskové strany v barevném provedení na stránkách regionálních příloh MF DNES: 24. 4. 2015 – Klášter Broumov (Královéhradecký kraj), 30. 4. – Kuks (Královéhradecký kraj).</w:t>
            </w:r>
          </w:p>
        </w:tc>
      </w:tr>
      <w:tr w:rsidR="00ED7992" w:rsidRPr="005002C4" w:rsidTr="005846CD">
        <w:trPr>
          <w:trHeight w:val="144"/>
        </w:trPr>
        <w:tc>
          <w:tcPr>
            <w:tcW w:w="565" w:type="pct"/>
            <w:shd w:val="clear" w:color="auto" w:fill="DCE6F1"/>
            <w:vAlign w:val="center"/>
          </w:tcPr>
          <w:p w:rsidR="00ED7992" w:rsidRPr="005B0140" w:rsidRDefault="00ED7992" w:rsidP="005846CD">
            <w:r w:rsidRPr="005B0140">
              <w:t>CRR</w:t>
            </w:r>
          </w:p>
        </w:tc>
        <w:tc>
          <w:tcPr>
            <w:tcW w:w="1061" w:type="pct"/>
            <w:shd w:val="clear" w:color="auto" w:fill="DCE6F1"/>
            <w:vAlign w:val="center"/>
          </w:tcPr>
          <w:p w:rsidR="00ED7992" w:rsidRPr="005B0140" w:rsidRDefault="00ED7992" w:rsidP="005846CD">
            <w:r>
              <w:t>Tiskové zprávy</w:t>
            </w:r>
          </w:p>
        </w:tc>
        <w:tc>
          <w:tcPr>
            <w:tcW w:w="906" w:type="pct"/>
            <w:shd w:val="clear" w:color="auto" w:fill="DCE6F1"/>
            <w:vAlign w:val="center"/>
          </w:tcPr>
          <w:p w:rsidR="00ED7992" w:rsidRPr="005B0140" w:rsidRDefault="00ED7992" w:rsidP="005846CD">
            <w:r>
              <w:t>Ukončení realizace projektů IOP</w:t>
            </w:r>
          </w:p>
        </w:tc>
        <w:tc>
          <w:tcPr>
            <w:tcW w:w="847" w:type="pct"/>
            <w:shd w:val="clear" w:color="auto" w:fill="DCE6F1"/>
            <w:vAlign w:val="center"/>
          </w:tcPr>
          <w:p w:rsidR="00ED7992" w:rsidRPr="005B0140" w:rsidRDefault="00ED7992" w:rsidP="005846CD">
            <w:r>
              <w:t>Odborná a Š</w:t>
            </w:r>
            <w:r w:rsidRPr="005B0140">
              <w:t>iroká veřejnost</w:t>
            </w:r>
          </w:p>
        </w:tc>
        <w:tc>
          <w:tcPr>
            <w:tcW w:w="727" w:type="pct"/>
            <w:shd w:val="clear" w:color="auto" w:fill="DCE6F1"/>
            <w:vAlign w:val="center"/>
          </w:tcPr>
          <w:p w:rsidR="00ED7992" w:rsidRPr="005B0140" w:rsidRDefault="00ED7992" w:rsidP="005846CD">
            <w:r>
              <w:t>0,- Kč</w:t>
            </w:r>
          </w:p>
          <w:p w:rsidR="00ED7992" w:rsidRPr="005B0140" w:rsidRDefault="00ED7992" w:rsidP="005846CD"/>
        </w:tc>
        <w:tc>
          <w:tcPr>
            <w:tcW w:w="894" w:type="pct"/>
            <w:shd w:val="clear" w:color="auto" w:fill="DCE6F1"/>
            <w:vAlign w:val="center"/>
          </w:tcPr>
          <w:p w:rsidR="00ED7992" w:rsidRPr="004650DA" w:rsidRDefault="00ED7992" w:rsidP="005846CD">
            <w:r w:rsidRPr="004650DA">
              <w:t>Vydání dvou tiskových zpráv k ukončení realizace vybraných projektů IOP a přípravě nového programu IROP – 14. 8. 2015 (Terezín, IOP 5.1) a 28. 8. 2015 (nová technika pro středočeské hasiče, IOP 3.4). Dalších pět podobných zpráv bylo zveřejněno na webu Centra.</w:t>
            </w:r>
          </w:p>
        </w:tc>
      </w:tr>
      <w:tr w:rsidR="00ED7992" w:rsidRPr="005002C4" w:rsidTr="005846CD">
        <w:trPr>
          <w:trHeight w:val="144"/>
        </w:trPr>
        <w:tc>
          <w:tcPr>
            <w:tcW w:w="565" w:type="pct"/>
            <w:shd w:val="clear" w:color="auto" w:fill="DCE6F1"/>
            <w:vAlign w:val="center"/>
          </w:tcPr>
          <w:p w:rsidR="00ED7992" w:rsidRPr="005B0140" w:rsidRDefault="00ED7992" w:rsidP="00ED7992">
            <w:r w:rsidRPr="005B0140">
              <w:t>CRR</w:t>
            </w:r>
          </w:p>
        </w:tc>
        <w:tc>
          <w:tcPr>
            <w:tcW w:w="1061" w:type="pct"/>
            <w:shd w:val="clear" w:color="auto" w:fill="DCE6F1"/>
            <w:vAlign w:val="center"/>
          </w:tcPr>
          <w:p w:rsidR="00ED7992" w:rsidRPr="005B0140" w:rsidRDefault="00ED7992" w:rsidP="005846CD">
            <w:r w:rsidRPr="005B0140">
              <w:t>Webové stránky</w:t>
            </w:r>
          </w:p>
          <w:p w:rsidR="00ED7992" w:rsidRPr="005B0140" w:rsidRDefault="00497984" w:rsidP="005846CD">
            <w:hyperlink r:id="rId55" w:history="1">
              <w:r w:rsidR="00ED7992" w:rsidRPr="005B0140">
                <w:rPr>
                  <w:rStyle w:val="Hypertextovodkaz"/>
                </w:rPr>
                <w:t>www.crr.cz</w:t>
              </w:r>
            </w:hyperlink>
            <w:r w:rsidR="00ED7992" w:rsidRPr="005B0140">
              <w:t xml:space="preserve"> a </w:t>
            </w:r>
            <w:hyperlink r:id="rId56" w:history="1">
              <w:r w:rsidR="00ED7992" w:rsidRPr="005B0140">
                <w:rPr>
                  <w:rStyle w:val="Hypertextovodkaz"/>
                </w:rPr>
                <w:t>www.risy.cz</w:t>
              </w:r>
            </w:hyperlink>
          </w:p>
        </w:tc>
        <w:tc>
          <w:tcPr>
            <w:tcW w:w="906" w:type="pct"/>
            <w:shd w:val="clear" w:color="auto" w:fill="DCE6F1"/>
            <w:vAlign w:val="center"/>
          </w:tcPr>
          <w:p w:rsidR="00ED7992" w:rsidRPr="005B0140" w:rsidRDefault="00ED7992" w:rsidP="005846CD">
            <w:r w:rsidRPr="005B0140">
              <w:t>Průběžné uveřejňování informací o IOP, na RIS průběžná aktualizace přehledu projektů realizovaných za podpory EU</w:t>
            </w:r>
          </w:p>
        </w:tc>
        <w:tc>
          <w:tcPr>
            <w:tcW w:w="847" w:type="pct"/>
            <w:shd w:val="clear" w:color="auto" w:fill="DCE6F1"/>
            <w:vAlign w:val="center"/>
          </w:tcPr>
          <w:p w:rsidR="00ED7992" w:rsidRPr="005B0140" w:rsidRDefault="00ED7992" w:rsidP="005846CD">
            <w:r w:rsidRPr="005B0140">
              <w:t>Žadatelé a příjemci,</w:t>
            </w:r>
          </w:p>
          <w:p w:rsidR="00ED7992" w:rsidRPr="005B0140" w:rsidRDefault="00ED7992" w:rsidP="005846CD">
            <w:r w:rsidRPr="005B0140">
              <w:t>veřejnost,</w:t>
            </w:r>
          </w:p>
          <w:p w:rsidR="00ED7992" w:rsidRPr="005B0140" w:rsidRDefault="00ED7992" w:rsidP="005846CD">
            <w:r w:rsidRPr="005B0140">
              <w:t>subjekty implementace,</w:t>
            </w:r>
          </w:p>
          <w:p w:rsidR="00ED7992" w:rsidRPr="005B0140" w:rsidRDefault="00ED7992" w:rsidP="005846CD">
            <w:r w:rsidRPr="005B0140">
              <w:t>sdělovací prostředky</w:t>
            </w:r>
          </w:p>
        </w:tc>
        <w:tc>
          <w:tcPr>
            <w:tcW w:w="727" w:type="pct"/>
            <w:shd w:val="clear" w:color="auto" w:fill="DCE6F1"/>
            <w:vAlign w:val="center"/>
          </w:tcPr>
          <w:p w:rsidR="00ED7992" w:rsidRPr="005B0140" w:rsidRDefault="00ED7992" w:rsidP="005846CD">
            <w:r w:rsidRPr="005B0140">
              <w:t>0</w:t>
            </w:r>
            <w:r>
              <w:t>,- Kč</w:t>
            </w:r>
          </w:p>
        </w:tc>
        <w:tc>
          <w:tcPr>
            <w:tcW w:w="894" w:type="pct"/>
            <w:shd w:val="clear" w:color="auto" w:fill="DCE6F1"/>
            <w:vAlign w:val="center"/>
          </w:tcPr>
          <w:p w:rsidR="00ED7992" w:rsidRPr="005B0140" w:rsidRDefault="00ED7992" w:rsidP="005846CD">
            <w:r w:rsidRPr="005B0140">
              <w:t>Aktualizace stránek probíhá po celý rok.</w:t>
            </w:r>
          </w:p>
        </w:tc>
      </w:tr>
      <w:tr w:rsidR="00ED7992" w:rsidRPr="005002C4" w:rsidTr="005846CD">
        <w:trPr>
          <w:trHeight w:val="144"/>
        </w:trPr>
        <w:tc>
          <w:tcPr>
            <w:tcW w:w="565" w:type="pct"/>
            <w:shd w:val="clear" w:color="auto" w:fill="DCE6F1"/>
            <w:vAlign w:val="center"/>
          </w:tcPr>
          <w:p w:rsidR="00ED7992" w:rsidRPr="005B0140" w:rsidRDefault="00ED7992" w:rsidP="00ED7992">
            <w:r w:rsidRPr="005B0140">
              <w:t>CRR</w:t>
            </w:r>
          </w:p>
        </w:tc>
        <w:tc>
          <w:tcPr>
            <w:tcW w:w="1061" w:type="pct"/>
            <w:shd w:val="clear" w:color="auto" w:fill="DCE6F1"/>
            <w:vAlign w:val="center"/>
          </w:tcPr>
          <w:p w:rsidR="00ED7992" w:rsidRPr="005B0140" w:rsidRDefault="00ED7992" w:rsidP="005846CD">
            <w:r w:rsidRPr="004650DA">
              <w:t>Konzultační služby</w:t>
            </w:r>
          </w:p>
        </w:tc>
        <w:tc>
          <w:tcPr>
            <w:tcW w:w="906" w:type="pct"/>
            <w:shd w:val="clear" w:color="auto" w:fill="DCE6F1"/>
            <w:vAlign w:val="center"/>
          </w:tcPr>
          <w:p w:rsidR="00ED7992" w:rsidRPr="005B0140" w:rsidRDefault="00ED7992" w:rsidP="005846CD">
            <w:r>
              <w:t>Dotazy k IOP</w:t>
            </w:r>
          </w:p>
        </w:tc>
        <w:tc>
          <w:tcPr>
            <w:tcW w:w="847" w:type="pct"/>
            <w:shd w:val="clear" w:color="auto" w:fill="DCE6F1"/>
            <w:vAlign w:val="center"/>
          </w:tcPr>
          <w:p w:rsidR="00ED7992" w:rsidRPr="005B0140" w:rsidRDefault="00ED7992" w:rsidP="005846CD">
            <w:r>
              <w:t>Veřejnost, příjemci, žadatelé</w:t>
            </w:r>
          </w:p>
          <w:p w:rsidR="00ED7992" w:rsidRPr="005B0140" w:rsidRDefault="00ED7992" w:rsidP="005846CD"/>
        </w:tc>
        <w:tc>
          <w:tcPr>
            <w:tcW w:w="727" w:type="pct"/>
            <w:shd w:val="clear" w:color="auto" w:fill="DCE6F1"/>
            <w:vAlign w:val="center"/>
          </w:tcPr>
          <w:p w:rsidR="00ED7992" w:rsidRPr="005B0140" w:rsidRDefault="00ED7992" w:rsidP="005846CD">
            <w:r>
              <w:t>0,- Kč</w:t>
            </w:r>
          </w:p>
          <w:p w:rsidR="00ED7992" w:rsidRPr="005B0140" w:rsidRDefault="00ED7992" w:rsidP="005846CD"/>
        </w:tc>
        <w:tc>
          <w:tcPr>
            <w:tcW w:w="894" w:type="pct"/>
            <w:shd w:val="clear" w:color="auto" w:fill="DCE6F1"/>
            <w:vAlign w:val="center"/>
          </w:tcPr>
          <w:p w:rsidR="00ED7992" w:rsidRPr="004650DA" w:rsidRDefault="00ED7992" w:rsidP="005846CD">
            <w:pPr>
              <w:rPr>
                <w:i/>
              </w:rPr>
            </w:pPr>
            <w:r w:rsidRPr="004650DA">
              <w:t>CRR ČR ve spolupráci s ŘO, případně dalšími ZS (MPSV)</w:t>
            </w:r>
            <w:r w:rsidR="00926C07">
              <w:t>,</w:t>
            </w:r>
            <w:r w:rsidRPr="004650DA">
              <w:t xml:space="preserve"> zpracovává a pravidelně aktualizuje seznam častých dotazů (FAQ), který je zveřejněn na </w:t>
            </w:r>
            <w:r w:rsidRPr="004650DA">
              <w:lastRenderedPageBreak/>
              <w:t>stránkách CRR. Kromě toho CRR ČR poskytuje žadatelům a příjemcům konzultační servis, průběžně probíhají osobní konzultace se žadateli a příjemci (není vedena podrobná evidence).</w:t>
            </w:r>
          </w:p>
        </w:tc>
      </w:tr>
      <w:tr w:rsidR="00ED7992" w:rsidRPr="005B0140" w:rsidTr="005846CD">
        <w:trPr>
          <w:trHeight w:val="144"/>
        </w:trPr>
        <w:tc>
          <w:tcPr>
            <w:tcW w:w="565" w:type="pct"/>
            <w:shd w:val="clear" w:color="auto" w:fill="DCE6F1"/>
            <w:vAlign w:val="center"/>
          </w:tcPr>
          <w:p w:rsidR="00ED7992" w:rsidRPr="005B0140" w:rsidRDefault="00ED7992" w:rsidP="00ED7992">
            <w:r w:rsidRPr="005B0140">
              <w:lastRenderedPageBreak/>
              <w:t>CRR</w:t>
            </w:r>
          </w:p>
        </w:tc>
        <w:tc>
          <w:tcPr>
            <w:tcW w:w="1061" w:type="pct"/>
            <w:shd w:val="clear" w:color="auto" w:fill="DCE6F1"/>
            <w:vAlign w:val="center"/>
          </w:tcPr>
          <w:p w:rsidR="00ED7992" w:rsidRPr="005B0140" w:rsidRDefault="00ED7992" w:rsidP="005846CD">
            <w:r w:rsidRPr="004650DA">
              <w:t>Prezentace</w:t>
            </w:r>
          </w:p>
        </w:tc>
        <w:tc>
          <w:tcPr>
            <w:tcW w:w="906" w:type="pct"/>
            <w:shd w:val="clear" w:color="auto" w:fill="DCE6F1"/>
            <w:vAlign w:val="center"/>
          </w:tcPr>
          <w:p w:rsidR="00ED7992" w:rsidRPr="005B0140" w:rsidRDefault="00ED7992" w:rsidP="005846CD">
            <w:r w:rsidRPr="004650DA">
              <w:t>Prezentace o CRR, IOP a IROP</w:t>
            </w:r>
          </w:p>
        </w:tc>
        <w:tc>
          <w:tcPr>
            <w:tcW w:w="847" w:type="pct"/>
            <w:shd w:val="clear" w:color="auto" w:fill="DCE6F1"/>
            <w:vAlign w:val="center"/>
          </w:tcPr>
          <w:p w:rsidR="00ED7992" w:rsidRPr="005B0140" w:rsidRDefault="00ED7992" w:rsidP="005846CD">
            <w:r w:rsidRPr="004650DA">
              <w:t>Žadatelé a příjemci, odborná veřejnost, média</w:t>
            </w:r>
          </w:p>
        </w:tc>
        <w:tc>
          <w:tcPr>
            <w:tcW w:w="727" w:type="pct"/>
            <w:shd w:val="clear" w:color="auto" w:fill="DCE6F1"/>
            <w:vAlign w:val="center"/>
          </w:tcPr>
          <w:p w:rsidR="00ED7992" w:rsidRPr="005B0140" w:rsidRDefault="00ED7992" w:rsidP="005846CD">
            <w:r>
              <w:t>0,- Kč</w:t>
            </w:r>
          </w:p>
          <w:p w:rsidR="00ED7992" w:rsidRPr="005B0140" w:rsidRDefault="00ED7992" w:rsidP="005846CD"/>
        </w:tc>
        <w:tc>
          <w:tcPr>
            <w:tcW w:w="894" w:type="pct"/>
            <w:shd w:val="clear" w:color="auto" w:fill="DCE6F1"/>
            <w:vAlign w:val="center"/>
          </w:tcPr>
          <w:p w:rsidR="00ED7992" w:rsidRPr="004650DA" w:rsidRDefault="00ED7992" w:rsidP="00926C07">
            <w:r w:rsidRPr="004650DA">
              <w:t xml:space="preserve">Prezentace </w:t>
            </w:r>
            <w:r w:rsidR="00926C07">
              <w:t xml:space="preserve">na </w:t>
            </w:r>
            <w:r w:rsidRPr="004650DA">
              <w:t>závěrečné konferenc</w:t>
            </w:r>
            <w:r w:rsidR="00926C07">
              <w:t>i</w:t>
            </w:r>
            <w:r w:rsidRPr="004650DA">
              <w:t xml:space="preserve"> projektů IOP </w:t>
            </w:r>
            <w:r>
              <w:br/>
            </w:r>
            <w:r w:rsidRPr="004650DA">
              <w:t xml:space="preserve">5.1 v Terezíně (29. 7. 2015) a v Plasích (29. 9. 2015) </w:t>
            </w:r>
            <w:r>
              <w:br/>
            </w:r>
            <w:r w:rsidRPr="004650DA">
              <w:t>a při slavnostním předání hasičské techniky v Říčanech (28. 8. 2015)</w:t>
            </w:r>
            <w:r w:rsidR="00926C07">
              <w:t>.</w:t>
            </w:r>
          </w:p>
        </w:tc>
      </w:tr>
      <w:tr w:rsidR="00ED7992" w:rsidRPr="005B0140" w:rsidTr="005846CD">
        <w:trPr>
          <w:trHeight w:val="144"/>
        </w:trPr>
        <w:tc>
          <w:tcPr>
            <w:tcW w:w="565" w:type="pct"/>
            <w:shd w:val="clear" w:color="auto" w:fill="auto"/>
            <w:vAlign w:val="center"/>
          </w:tcPr>
          <w:p w:rsidR="00ED7992" w:rsidRPr="005B0140" w:rsidRDefault="00ED7992" w:rsidP="005846CD">
            <w:r w:rsidRPr="005B0140">
              <w:t>MPSV</w:t>
            </w:r>
          </w:p>
        </w:tc>
        <w:tc>
          <w:tcPr>
            <w:tcW w:w="1061" w:type="pct"/>
            <w:shd w:val="clear" w:color="auto" w:fill="auto"/>
            <w:vAlign w:val="center"/>
          </w:tcPr>
          <w:p w:rsidR="00ED7992" w:rsidRPr="005B0140" w:rsidRDefault="00ED7992" w:rsidP="005846CD">
            <w:r w:rsidRPr="005B0140">
              <w:t>Webové stránky</w:t>
            </w:r>
          </w:p>
          <w:p w:rsidR="00ED7992" w:rsidRPr="005B0140" w:rsidRDefault="00ED7992" w:rsidP="005846CD">
            <w:r w:rsidRPr="005B0140">
              <w:t>www.mpsv.cz</w:t>
            </w:r>
          </w:p>
        </w:tc>
        <w:tc>
          <w:tcPr>
            <w:tcW w:w="906" w:type="pct"/>
            <w:shd w:val="clear" w:color="auto" w:fill="auto"/>
            <w:vAlign w:val="center"/>
          </w:tcPr>
          <w:p w:rsidR="00ED7992" w:rsidRPr="005B0140" w:rsidRDefault="00ED7992" w:rsidP="005846CD">
            <w:r w:rsidRPr="005B0140">
              <w:t>Obecné informace o oblastech intervence 3.1 a 3.3</w:t>
            </w:r>
          </w:p>
        </w:tc>
        <w:tc>
          <w:tcPr>
            <w:tcW w:w="847" w:type="pct"/>
            <w:shd w:val="clear" w:color="auto" w:fill="auto"/>
            <w:vAlign w:val="center"/>
          </w:tcPr>
          <w:p w:rsidR="00ED7992" w:rsidRPr="005B0140" w:rsidRDefault="00ED7992" w:rsidP="005846CD">
            <w:r w:rsidRPr="005B0140">
              <w:t>Žadatelé a příjemci,</w:t>
            </w:r>
          </w:p>
          <w:p w:rsidR="00ED7992" w:rsidRPr="005B0140" w:rsidRDefault="00ED7992" w:rsidP="005846CD">
            <w:r w:rsidRPr="005B0140">
              <w:t>veřejnost,</w:t>
            </w:r>
          </w:p>
          <w:p w:rsidR="00ED7992" w:rsidRPr="005B0140" w:rsidRDefault="00ED7992" w:rsidP="005846CD">
            <w:r w:rsidRPr="005B0140">
              <w:t>sdělovací prostředky</w:t>
            </w:r>
          </w:p>
        </w:tc>
        <w:tc>
          <w:tcPr>
            <w:tcW w:w="727" w:type="pct"/>
            <w:shd w:val="clear" w:color="auto" w:fill="auto"/>
            <w:vAlign w:val="center"/>
          </w:tcPr>
          <w:p w:rsidR="00ED7992" w:rsidRPr="005B0140" w:rsidRDefault="00ED7992" w:rsidP="005846CD">
            <w:r w:rsidRPr="005B0140">
              <w:t>0</w:t>
            </w:r>
            <w:r>
              <w:t>,- Kč</w:t>
            </w:r>
          </w:p>
        </w:tc>
        <w:tc>
          <w:tcPr>
            <w:tcW w:w="894" w:type="pct"/>
            <w:shd w:val="clear" w:color="auto" w:fill="auto"/>
            <w:vAlign w:val="center"/>
          </w:tcPr>
          <w:p w:rsidR="00ED7992" w:rsidRPr="005B0140" w:rsidRDefault="00ED7992" w:rsidP="005846CD">
            <w:r w:rsidRPr="005B0140">
              <w:t>Aktualizace stránek probíhala pravidelně za celé sledované období.</w:t>
            </w:r>
          </w:p>
          <w:p w:rsidR="00ED7992" w:rsidRPr="005B0140" w:rsidRDefault="00ED7992" w:rsidP="005846CD"/>
        </w:tc>
      </w:tr>
      <w:tr w:rsidR="00ED7992" w:rsidRPr="005002C4" w:rsidTr="005846CD">
        <w:trPr>
          <w:trHeight w:val="144"/>
        </w:trPr>
        <w:tc>
          <w:tcPr>
            <w:tcW w:w="565" w:type="pct"/>
            <w:shd w:val="clear" w:color="auto" w:fill="auto"/>
            <w:vAlign w:val="center"/>
          </w:tcPr>
          <w:p w:rsidR="00ED7992" w:rsidRPr="005B0140" w:rsidRDefault="00ED7992" w:rsidP="005846CD">
            <w:r w:rsidRPr="005B0140">
              <w:t>MPSV</w:t>
            </w:r>
          </w:p>
        </w:tc>
        <w:tc>
          <w:tcPr>
            <w:tcW w:w="1061" w:type="pct"/>
            <w:shd w:val="clear" w:color="auto" w:fill="auto"/>
            <w:vAlign w:val="center"/>
          </w:tcPr>
          <w:p w:rsidR="00ED7992" w:rsidRPr="005B0140" w:rsidRDefault="00ED7992" w:rsidP="005846CD">
            <w:r w:rsidRPr="00D40B8E">
              <w:t>Prezentace úspěšných projektů IOP v OI 3.1 v časopise Respekt – 2x uveřejnění</w:t>
            </w:r>
          </w:p>
        </w:tc>
        <w:tc>
          <w:tcPr>
            <w:tcW w:w="906" w:type="pct"/>
            <w:shd w:val="clear" w:color="auto" w:fill="auto"/>
            <w:vAlign w:val="center"/>
          </w:tcPr>
          <w:p w:rsidR="00ED7992" w:rsidRPr="005B0140" w:rsidRDefault="00ED7992" w:rsidP="005846CD">
            <w:pPr>
              <w:pStyle w:val="Odstavecseseznamem"/>
              <w:ind w:left="0"/>
              <w:rPr>
                <w:rFonts w:ascii="Times New Roman" w:hAnsi="Times New Roman"/>
                <w:sz w:val="20"/>
                <w:szCs w:val="20"/>
              </w:rPr>
            </w:pPr>
            <w:r w:rsidRPr="00D40B8E">
              <w:rPr>
                <w:rFonts w:ascii="Times New Roman" w:hAnsi="Times New Roman"/>
                <w:sz w:val="20"/>
                <w:szCs w:val="20"/>
              </w:rPr>
              <w:t>Prezentace úspěšných projektů IOP v OI 3.1 a) transformace sociálních služeb a v OI 3.1b) investiční podpora sociálně vyloučených lokalit</w:t>
            </w:r>
          </w:p>
        </w:tc>
        <w:tc>
          <w:tcPr>
            <w:tcW w:w="847" w:type="pct"/>
            <w:shd w:val="clear" w:color="auto" w:fill="auto"/>
            <w:vAlign w:val="center"/>
          </w:tcPr>
          <w:p w:rsidR="00ED7992" w:rsidRPr="005B0140" w:rsidRDefault="00ED7992" w:rsidP="005846CD">
            <w:pPr>
              <w:pStyle w:val="Odstavecseseznamem"/>
              <w:ind w:left="0"/>
              <w:rPr>
                <w:rFonts w:ascii="Times New Roman" w:hAnsi="Times New Roman"/>
                <w:sz w:val="20"/>
                <w:szCs w:val="20"/>
              </w:rPr>
            </w:pPr>
            <w:r>
              <w:rPr>
                <w:rFonts w:ascii="Times New Roman" w:hAnsi="Times New Roman"/>
                <w:sz w:val="20"/>
                <w:szCs w:val="20"/>
              </w:rPr>
              <w:t>Veřejnost</w:t>
            </w:r>
          </w:p>
        </w:tc>
        <w:tc>
          <w:tcPr>
            <w:tcW w:w="727" w:type="pct"/>
            <w:shd w:val="clear" w:color="auto" w:fill="auto"/>
            <w:vAlign w:val="center"/>
          </w:tcPr>
          <w:p w:rsidR="00ED7992" w:rsidRPr="005B0140" w:rsidRDefault="00ED7992" w:rsidP="005846CD">
            <w:r>
              <w:t>67 922,-</w:t>
            </w:r>
            <w:r w:rsidRPr="005B0140">
              <w:t xml:space="preserve"> Kč</w:t>
            </w:r>
          </w:p>
          <w:p w:rsidR="00ED7992" w:rsidRPr="005B0140" w:rsidRDefault="00ED7992" w:rsidP="005846CD">
            <w:pPr>
              <w:pStyle w:val="Odstavecseseznamem"/>
              <w:ind w:left="0"/>
              <w:rPr>
                <w:rFonts w:ascii="Times New Roman" w:hAnsi="Times New Roman"/>
                <w:sz w:val="20"/>
                <w:szCs w:val="20"/>
              </w:rPr>
            </w:pPr>
          </w:p>
        </w:tc>
        <w:tc>
          <w:tcPr>
            <w:tcW w:w="894" w:type="pct"/>
            <w:shd w:val="clear" w:color="auto" w:fill="auto"/>
            <w:vAlign w:val="center"/>
          </w:tcPr>
          <w:p w:rsidR="00ED7992" w:rsidRPr="005B0140" w:rsidRDefault="00ED7992" w:rsidP="005846CD">
            <w:pPr>
              <w:pStyle w:val="Odstavecseseznamem"/>
              <w:ind w:left="0"/>
              <w:rPr>
                <w:rFonts w:ascii="Times New Roman" w:hAnsi="Times New Roman"/>
                <w:sz w:val="20"/>
                <w:szCs w:val="20"/>
              </w:rPr>
            </w:pPr>
            <w:r w:rsidRPr="00D40B8E">
              <w:rPr>
                <w:rFonts w:ascii="Times New Roman" w:hAnsi="Times New Roman"/>
                <w:sz w:val="20"/>
                <w:szCs w:val="20"/>
              </w:rPr>
              <w:t>Zveřejnění úspěšných projektů  IOP –byl</w:t>
            </w:r>
            <w:r>
              <w:rPr>
                <w:rFonts w:ascii="Times New Roman" w:hAnsi="Times New Roman"/>
                <w:sz w:val="20"/>
                <w:szCs w:val="20"/>
              </w:rPr>
              <w:t xml:space="preserve">o zveřejněno v časopise Respekt </w:t>
            </w:r>
            <w:r w:rsidRPr="00D40B8E">
              <w:rPr>
                <w:rFonts w:ascii="Times New Roman" w:hAnsi="Times New Roman"/>
                <w:sz w:val="20"/>
                <w:szCs w:val="20"/>
              </w:rPr>
              <w:t xml:space="preserve">7. 9. 2015 </w:t>
            </w:r>
            <w:r>
              <w:rPr>
                <w:rFonts w:ascii="Times New Roman" w:hAnsi="Times New Roman"/>
                <w:sz w:val="20"/>
                <w:szCs w:val="20"/>
              </w:rPr>
              <w:br/>
            </w:r>
            <w:r w:rsidRPr="00D40B8E">
              <w:rPr>
                <w:rFonts w:ascii="Times New Roman" w:hAnsi="Times New Roman"/>
                <w:sz w:val="20"/>
                <w:szCs w:val="20"/>
              </w:rPr>
              <w:t xml:space="preserve">a </w:t>
            </w:r>
            <w:proofErr w:type="gramStart"/>
            <w:r w:rsidRPr="00D40B8E">
              <w:rPr>
                <w:rFonts w:ascii="Times New Roman" w:hAnsi="Times New Roman"/>
                <w:sz w:val="20"/>
                <w:szCs w:val="20"/>
              </w:rPr>
              <w:t>14.9.2015</w:t>
            </w:r>
            <w:proofErr w:type="gramEnd"/>
            <w:r w:rsidRPr="00D40B8E">
              <w:rPr>
                <w:rFonts w:ascii="Times New Roman" w:hAnsi="Times New Roman"/>
                <w:sz w:val="20"/>
                <w:szCs w:val="20"/>
              </w:rPr>
              <w:t xml:space="preserve"> v rozsahu ½ strany barevně.</w:t>
            </w:r>
          </w:p>
        </w:tc>
      </w:tr>
      <w:tr w:rsidR="00ED7992" w:rsidRPr="005002C4" w:rsidTr="005846CD">
        <w:trPr>
          <w:trHeight w:val="640"/>
        </w:trPr>
        <w:tc>
          <w:tcPr>
            <w:tcW w:w="565" w:type="pct"/>
            <w:shd w:val="clear" w:color="auto" w:fill="DCE6F1"/>
            <w:vAlign w:val="center"/>
          </w:tcPr>
          <w:p w:rsidR="00ED7992" w:rsidRPr="005B0140" w:rsidRDefault="00ED7992" w:rsidP="005846CD">
            <w:r w:rsidRPr="005B0140">
              <w:t>MV</w:t>
            </w:r>
          </w:p>
        </w:tc>
        <w:tc>
          <w:tcPr>
            <w:tcW w:w="1061" w:type="pct"/>
            <w:shd w:val="clear" w:color="auto" w:fill="DCE6F1"/>
            <w:vAlign w:val="center"/>
          </w:tcPr>
          <w:p w:rsidR="00ED7992" w:rsidRPr="005B0140" w:rsidRDefault="00ED7992" w:rsidP="005846CD">
            <w:r w:rsidRPr="005B0140">
              <w:t>Webové stránky www.osf-mvcr.cz</w:t>
            </w:r>
          </w:p>
        </w:tc>
        <w:tc>
          <w:tcPr>
            <w:tcW w:w="906" w:type="pct"/>
            <w:shd w:val="clear" w:color="auto" w:fill="DCE6F1"/>
            <w:vAlign w:val="center"/>
          </w:tcPr>
          <w:p w:rsidR="00ED7992" w:rsidRPr="005B0140" w:rsidRDefault="00ED7992" w:rsidP="005846CD">
            <w:r w:rsidRPr="005B0140">
              <w:t xml:space="preserve">Průběžné uveřejňování </w:t>
            </w:r>
            <w:r>
              <w:t xml:space="preserve">informací </w:t>
            </w:r>
            <w:r w:rsidRPr="005B0140">
              <w:t>a aktualizace stránek</w:t>
            </w:r>
          </w:p>
        </w:tc>
        <w:tc>
          <w:tcPr>
            <w:tcW w:w="847" w:type="pct"/>
            <w:shd w:val="clear" w:color="auto" w:fill="DCE6F1"/>
            <w:vAlign w:val="center"/>
          </w:tcPr>
          <w:p w:rsidR="00ED7992" w:rsidRPr="005B0140" w:rsidRDefault="00ED7992" w:rsidP="005846CD">
            <w:r w:rsidRPr="005B0140">
              <w:t>Žadatelé a příjemci,</w:t>
            </w:r>
          </w:p>
          <w:p w:rsidR="00ED7992" w:rsidRPr="005B0140" w:rsidRDefault="00ED7992" w:rsidP="005846CD">
            <w:r w:rsidRPr="005B0140">
              <w:t>veřejnost, hodnotitelé, subjekty implementace,</w:t>
            </w:r>
          </w:p>
          <w:p w:rsidR="00ED7992" w:rsidRPr="005B0140" w:rsidRDefault="00ED7992" w:rsidP="005846CD">
            <w:r w:rsidRPr="005B0140">
              <w:t>sdělovací prostředky</w:t>
            </w:r>
          </w:p>
        </w:tc>
        <w:tc>
          <w:tcPr>
            <w:tcW w:w="727" w:type="pct"/>
            <w:shd w:val="clear" w:color="auto" w:fill="DCE6F1"/>
            <w:vAlign w:val="center"/>
          </w:tcPr>
          <w:p w:rsidR="00ED7992" w:rsidRPr="005B0140" w:rsidRDefault="00ED7992" w:rsidP="005846CD">
            <w:r w:rsidRPr="005B0140">
              <w:t>0</w:t>
            </w:r>
            <w:r>
              <w:t>,- Kč</w:t>
            </w:r>
          </w:p>
        </w:tc>
        <w:tc>
          <w:tcPr>
            <w:tcW w:w="894" w:type="pct"/>
            <w:shd w:val="clear" w:color="auto" w:fill="DCE6F1"/>
            <w:vAlign w:val="center"/>
          </w:tcPr>
          <w:p w:rsidR="00ED7992" w:rsidRPr="005B0140" w:rsidRDefault="00ED7992" w:rsidP="005846CD">
            <w:r w:rsidRPr="005B0140">
              <w:t>Aktualizace stránek probíhá po celý rok</w:t>
            </w:r>
            <w:r>
              <w:t>.</w:t>
            </w:r>
          </w:p>
        </w:tc>
      </w:tr>
      <w:tr w:rsidR="00ED7992" w:rsidRPr="005002C4" w:rsidTr="005846CD">
        <w:trPr>
          <w:trHeight w:val="144"/>
        </w:trPr>
        <w:tc>
          <w:tcPr>
            <w:tcW w:w="565" w:type="pct"/>
            <w:shd w:val="clear" w:color="auto" w:fill="DCE6F1"/>
            <w:vAlign w:val="center"/>
          </w:tcPr>
          <w:p w:rsidR="00ED7992" w:rsidRPr="005B0140" w:rsidRDefault="00ED7992" w:rsidP="005846CD">
            <w:r w:rsidRPr="005B0140">
              <w:t>MV</w:t>
            </w:r>
          </w:p>
        </w:tc>
        <w:tc>
          <w:tcPr>
            <w:tcW w:w="1061" w:type="pct"/>
            <w:shd w:val="clear" w:color="auto" w:fill="DCE6F1"/>
            <w:vAlign w:val="center"/>
          </w:tcPr>
          <w:p w:rsidR="00ED7992" w:rsidRPr="005B0140" w:rsidRDefault="00ED7992" w:rsidP="005846CD">
            <w:r w:rsidRPr="005B0140">
              <w:t>Webové stránky</w:t>
            </w:r>
          </w:p>
          <w:p w:rsidR="00ED7992" w:rsidRPr="005B0140" w:rsidRDefault="00ED7992" w:rsidP="005846CD">
            <w:r w:rsidRPr="005B0140">
              <w:t>projekty.osf-mvcr.cz</w:t>
            </w:r>
          </w:p>
        </w:tc>
        <w:tc>
          <w:tcPr>
            <w:tcW w:w="906" w:type="pct"/>
            <w:shd w:val="clear" w:color="auto" w:fill="DCE6F1"/>
            <w:vAlign w:val="center"/>
          </w:tcPr>
          <w:p w:rsidR="00ED7992" w:rsidRPr="005B0140" w:rsidRDefault="00ED7992" w:rsidP="005846CD">
            <w:r w:rsidRPr="005B0140">
              <w:t>Databáze prezentací úspěšných projektů</w:t>
            </w:r>
          </w:p>
        </w:tc>
        <w:tc>
          <w:tcPr>
            <w:tcW w:w="847" w:type="pct"/>
            <w:shd w:val="clear" w:color="auto" w:fill="DCE6F1"/>
            <w:vAlign w:val="center"/>
          </w:tcPr>
          <w:p w:rsidR="00ED7992" w:rsidRPr="005B0140" w:rsidRDefault="00ED7992" w:rsidP="005846CD">
            <w:r w:rsidRPr="005B0140">
              <w:t>Žadatelé a příjemci, veřejnost, sdělovací prostředky</w:t>
            </w:r>
          </w:p>
        </w:tc>
        <w:tc>
          <w:tcPr>
            <w:tcW w:w="727" w:type="pct"/>
            <w:shd w:val="clear" w:color="auto" w:fill="DCE6F1"/>
            <w:vAlign w:val="center"/>
          </w:tcPr>
          <w:p w:rsidR="00ED7992" w:rsidRPr="005B0140" w:rsidDel="00A23BDC" w:rsidRDefault="00ED7992" w:rsidP="005846CD">
            <w:r w:rsidRPr="005B0140">
              <w:t>27 398 Kč</w:t>
            </w:r>
          </w:p>
          <w:p w:rsidR="00ED7992" w:rsidRPr="005B0140" w:rsidRDefault="00ED7992" w:rsidP="005846CD">
            <w:r>
              <w:t>(</w:t>
            </w:r>
            <w:proofErr w:type="spellStart"/>
            <w:r>
              <w:t>hosting</w:t>
            </w:r>
            <w:proofErr w:type="spellEnd"/>
            <w:r>
              <w:t>)</w:t>
            </w:r>
          </w:p>
        </w:tc>
        <w:tc>
          <w:tcPr>
            <w:tcW w:w="894" w:type="pct"/>
            <w:shd w:val="clear" w:color="auto" w:fill="DCE6F1"/>
            <w:vAlign w:val="center"/>
          </w:tcPr>
          <w:p w:rsidR="00ED7992" w:rsidRPr="005B0140" w:rsidRDefault="00ED7992" w:rsidP="005846CD">
            <w:r w:rsidRPr="005B0140">
              <w:t>Aktualizace stránek probíhá po celý rok</w:t>
            </w:r>
            <w:r>
              <w:t>.</w:t>
            </w:r>
          </w:p>
        </w:tc>
      </w:tr>
      <w:tr w:rsidR="00ED7992" w:rsidRPr="005002C4" w:rsidTr="005846CD">
        <w:trPr>
          <w:trHeight w:val="144"/>
        </w:trPr>
        <w:tc>
          <w:tcPr>
            <w:tcW w:w="565" w:type="pct"/>
            <w:shd w:val="clear" w:color="auto" w:fill="DCE6F1"/>
            <w:vAlign w:val="center"/>
          </w:tcPr>
          <w:p w:rsidR="00ED7992" w:rsidRPr="005B0140" w:rsidRDefault="00ED7992" w:rsidP="005846CD">
            <w:r w:rsidRPr="005B0140">
              <w:t>MV</w:t>
            </w:r>
          </w:p>
        </w:tc>
        <w:tc>
          <w:tcPr>
            <w:tcW w:w="1061" w:type="pct"/>
            <w:shd w:val="clear" w:color="auto" w:fill="DCE6F1"/>
            <w:vAlign w:val="center"/>
          </w:tcPr>
          <w:p w:rsidR="00ED7992" w:rsidRPr="005B0140" w:rsidRDefault="00ED7992" w:rsidP="005846CD">
            <w:proofErr w:type="spellStart"/>
            <w:r w:rsidRPr="005B0140">
              <w:t>Twitter</w:t>
            </w:r>
            <w:proofErr w:type="spellEnd"/>
          </w:p>
        </w:tc>
        <w:tc>
          <w:tcPr>
            <w:tcW w:w="906" w:type="pct"/>
            <w:shd w:val="clear" w:color="auto" w:fill="DCE6F1"/>
            <w:vAlign w:val="center"/>
          </w:tcPr>
          <w:p w:rsidR="00ED7992" w:rsidRPr="005B0140" w:rsidRDefault="00ED7992" w:rsidP="005846CD">
            <w:r w:rsidRPr="005B0140">
              <w:t>Průběžné zveřejňování novinek z OSF</w:t>
            </w:r>
          </w:p>
        </w:tc>
        <w:tc>
          <w:tcPr>
            <w:tcW w:w="847" w:type="pct"/>
            <w:shd w:val="clear" w:color="auto" w:fill="DCE6F1"/>
            <w:vAlign w:val="center"/>
          </w:tcPr>
          <w:p w:rsidR="00ED7992" w:rsidRPr="005B0140" w:rsidRDefault="00ED7992" w:rsidP="005846CD">
            <w:r w:rsidRPr="005B0140">
              <w:t>Veřejnost,</w:t>
            </w:r>
          </w:p>
          <w:p w:rsidR="00ED7992" w:rsidRPr="005B0140" w:rsidRDefault="00ED7992" w:rsidP="005846CD">
            <w:r w:rsidRPr="005B0140">
              <w:t>sdělovací prostředky</w:t>
            </w:r>
          </w:p>
        </w:tc>
        <w:tc>
          <w:tcPr>
            <w:tcW w:w="727" w:type="pct"/>
            <w:shd w:val="clear" w:color="auto" w:fill="DCE6F1"/>
            <w:vAlign w:val="center"/>
          </w:tcPr>
          <w:p w:rsidR="00ED7992" w:rsidRPr="005B0140" w:rsidRDefault="00ED7992" w:rsidP="005846CD">
            <w:r w:rsidRPr="005B0140">
              <w:t>0</w:t>
            </w:r>
            <w:r>
              <w:t>,- Kč</w:t>
            </w:r>
          </w:p>
        </w:tc>
        <w:tc>
          <w:tcPr>
            <w:tcW w:w="894" w:type="pct"/>
            <w:shd w:val="clear" w:color="auto" w:fill="DCE6F1"/>
            <w:vAlign w:val="center"/>
          </w:tcPr>
          <w:p w:rsidR="00ED7992" w:rsidRPr="005B0140" w:rsidRDefault="00ED7992" w:rsidP="005846CD">
            <w:r>
              <w:t>A</w:t>
            </w:r>
            <w:r w:rsidRPr="005B0140">
              <w:t xml:space="preserve">ktuální počet </w:t>
            </w:r>
            <w:proofErr w:type="spellStart"/>
            <w:r w:rsidRPr="005B0140">
              <w:t>followers</w:t>
            </w:r>
            <w:proofErr w:type="spellEnd"/>
            <w:r w:rsidRPr="005B0140">
              <w:t>: 2</w:t>
            </w:r>
            <w:r>
              <w:t>41</w:t>
            </w:r>
          </w:p>
        </w:tc>
      </w:tr>
      <w:tr w:rsidR="00ED7992" w:rsidRPr="005002C4" w:rsidTr="005846CD">
        <w:trPr>
          <w:trHeight w:val="144"/>
        </w:trPr>
        <w:tc>
          <w:tcPr>
            <w:tcW w:w="565" w:type="pct"/>
            <w:shd w:val="clear" w:color="auto" w:fill="DCE6F1"/>
            <w:vAlign w:val="center"/>
          </w:tcPr>
          <w:p w:rsidR="00ED7992" w:rsidRPr="005B0140" w:rsidRDefault="00ED7992" w:rsidP="005846CD">
            <w:r w:rsidRPr="005B0140">
              <w:t>MV</w:t>
            </w:r>
          </w:p>
        </w:tc>
        <w:tc>
          <w:tcPr>
            <w:tcW w:w="1061" w:type="pct"/>
            <w:shd w:val="clear" w:color="auto" w:fill="DCE6F1"/>
            <w:vAlign w:val="center"/>
          </w:tcPr>
          <w:p w:rsidR="00ED7992" w:rsidRPr="005B0140" w:rsidRDefault="00ED7992" w:rsidP="005846CD">
            <w:r w:rsidRPr="005B0140">
              <w:t xml:space="preserve">Pravidelná tvorba </w:t>
            </w:r>
            <w:r w:rsidRPr="005B0140">
              <w:br/>
            </w:r>
            <w:r w:rsidRPr="005B0140">
              <w:lastRenderedPageBreak/>
              <w:t xml:space="preserve">a distribuce </w:t>
            </w:r>
            <w:proofErr w:type="spellStart"/>
            <w:r w:rsidRPr="005B0140">
              <w:t>newsletteru</w:t>
            </w:r>
            <w:proofErr w:type="spellEnd"/>
            <w:r>
              <w:t xml:space="preserve"> (NSL)</w:t>
            </w:r>
          </w:p>
        </w:tc>
        <w:tc>
          <w:tcPr>
            <w:tcW w:w="906" w:type="pct"/>
            <w:shd w:val="clear" w:color="auto" w:fill="DCE6F1"/>
            <w:vAlign w:val="center"/>
          </w:tcPr>
          <w:p w:rsidR="00ED7992" w:rsidRPr="005B0140" w:rsidRDefault="00ED7992" w:rsidP="005846CD">
            <w:r w:rsidRPr="005B0140">
              <w:lastRenderedPageBreak/>
              <w:t xml:space="preserve">Informování o činnosti OSF, </w:t>
            </w:r>
            <w:r w:rsidRPr="005B0140">
              <w:lastRenderedPageBreak/>
              <w:t>úspěšných projektech, statistiky</w:t>
            </w:r>
          </w:p>
        </w:tc>
        <w:tc>
          <w:tcPr>
            <w:tcW w:w="847" w:type="pct"/>
            <w:shd w:val="clear" w:color="auto" w:fill="DCE6F1"/>
            <w:vAlign w:val="center"/>
          </w:tcPr>
          <w:p w:rsidR="00ED7992" w:rsidRPr="005B0140" w:rsidRDefault="00ED7992" w:rsidP="005846CD">
            <w:r w:rsidRPr="005B0140">
              <w:lastRenderedPageBreak/>
              <w:t>Odborná veřejnost</w:t>
            </w:r>
          </w:p>
        </w:tc>
        <w:tc>
          <w:tcPr>
            <w:tcW w:w="727" w:type="pct"/>
            <w:shd w:val="clear" w:color="auto" w:fill="DCE6F1"/>
            <w:vAlign w:val="center"/>
          </w:tcPr>
          <w:p w:rsidR="00ED7992" w:rsidRPr="005B0140" w:rsidRDefault="00ED7992" w:rsidP="005846CD">
            <w:r w:rsidRPr="005B0140">
              <w:t>0</w:t>
            </w:r>
            <w:r>
              <w:t>,- Kč</w:t>
            </w:r>
          </w:p>
        </w:tc>
        <w:tc>
          <w:tcPr>
            <w:tcW w:w="894" w:type="pct"/>
            <w:shd w:val="clear" w:color="auto" w:fill="DCE6F1"/>
            <w:vAlign w:val="center"/>
          </w:tcPr>
          <w:p w:rsidR="00ED7992" w:rsidRPr="005B0140" w:rsidRDefault="00ED7992" w:rsidP="005846CD">
            <w:r>
              <w:t xml:space="preserve">Vydány 2 NSL -  č. </w:t>
            </w:r>
            <w:r>
              <w:lastRenderedPageBreak/>
              <w:t>1/2015,2/2015, e</w:t>
            </w:r>
            <w:r w:rsidRPr="005B0140">
              <w:t>lektronická forma, rozesílán na 1 14</w:t>
            </w:r>
            <w:r>
              <w:t>0</w:t>
            </w:r>
            <w:r w:rsidRPr="005B0140">
              <w:t xml:space="preserve"> </w:t>
            </w:r>
            <w:r>
              <w:br/>
            </w:r>
            <w:r w:rsidRPr="005B0140">
              <w:t>e-mailových adres, ke stažení na webu OSF</w:t>
            </w:r>
            <w:r>
              <w:t>.</w:t>
            </w:r>
          </w:p>
        </w:tc>
      </w:tr>
      <w:tr w:rsidR="00ED7992" w:rsidRPr="005002C4" w:rsidTr="005846CD">
        <w:trPr>
          <w:trHeight w:val="1272"/>
        </w:trPr>
        <w:tc>
          <w:tcPr>
            <w:tcW w:w="565" w:type="pct"/>
            <w:shd w:val="clear" w:color="auto" w:fill="DCE6F1"/>
            <w:vAlign w:val="center"/>
          </w:tcPr>
          <w:p w:rsidR="00ED7992" w:rsidRPr="005B0140" w:rsidRDefault="00ED7992" w:rsidP="005846CD">
            <w:r w:rsidRPr="005B0140">
              <w:lastRenderedPageBreak/>
              <w:t>MV</w:t>
            </w:r>
          </w:p>
        </w:tc>
        <w:tc>
          <w:tcPr>
            <w:tcW w:w="1061" w:type="pct"/>
            <w:shd w:val="clear" w:color="auto" w:fill="DCE6F1"/>
            <w:vAlign w:val="center"/>
          </w:tcPr>
          <w:p w:rsidR="00ED7992" w:rsidRPr="005B0140" w:rsidRDefault="00ED7992" w:rsidP="005846CD">
            <w:pPr>
              <w:pStyle w:val="Odstavecseseznamem"/>
              <w:ind w:left="0"/>
              <w:rPr>
                <w:rFonts w:ascii="Times New Roman" w:hAnsi="Times New Roman"/>
                <w:sz w:val="20"/>
                <w:szCs w:val="20"/>
              </w:rPr>
            </w:pPr>
            <w:r w:rsidRPr="005B0140">
              <w:rPr>
                <w:rFonts w:ascii="Times New Roman" w:hAnsi="Times New Roman"/>
                <w:sz w:val="20"/>
                <w:szCs w:val="20"/>
              </w:rPr>
              <w:t>PR články</w:t>
            </w:r>
          </w:p>
        </w:tc>
        <w:tc>
          <w:tcPr>
            <w:tcW w:w="906" w:type="pct"/>
            <w:shd w:val="clear" w:color="auto" w:fill="DCE6F1"/>
            <w:vAlign w:val="center"/>
          </w:tcPr>
          <w:p w:rsidR="00ED7992" w:rsidRPr="005B0140" w:rsidRDefault="00ED7992" w:rsidP="005846CD">
            <w:r>
              <w:t xml:space="preserve">Podpora </w:t>
            </w:r>
            <w:r w:rsidRPr="005B0140">
              <w:t xml:space="preserve">IOP </w:t>
            </w:r>
            <w:r>
              <w:br/>
            </w:r>
            <w:r w:rsidRPr="005B0140">
              <w:t>a úspěšných projektů</w:t>
            </w:r>
          </w:p>
        </w:tc>
        <w:tc>
          <w:tcPr>
            <w:tcW w:w="847" w:type="pct"/>
            <w:shd w:val="clear" w:color="auto" w:fill="DCE6F1"/>
            <w:vAlign w:val="center"/>
          </w:tcPr>
          <w:p w:rsidR="00ED7992" w:rsidRPr="005B0140" w:rsidRDefault="00ED7992" w:rsidP="005846CD">
            <w:r w:rsidRPr="005B0140">
              <w:t>Veřejnost,</w:t>
            </w:r>
          </w:p>
          <w:p w:rsidR="00ED7992" w:rsidRPr="005B0140" w:rsidRDefault="00ED7992" w:rsidP="005846CD">
            <w:r w:rsidRPr="005B0140">
              <w:t>sdělovací prostředky</w:t>
            </w:r>
          </w:p>
        </w:tc>
        <w:tc>
          <w:tcPr>
            <w:tcW w:w="727" w:type="pct"/>
            <w:shd w:val="clear" w:color="auto" w:fill="DCE6F1"/>
            <w:vAlign w:val="center"/>
          </w:tcPr>
          <w:p w:rsidR="00ED7992" w:rsidRPr="005B0140" w:rsidRDefault="00ED7992" w:rsidP="005846CD">
            <w:r w:rsidRPr="005B0140">
              <w:t>0</w:t>
            </w:r>
            <w:r>
              <w:t>,- Kč</w:t>
            </w:r>
          </w:p>
        </w:tc>
        <w:tc>
          <w:tcPr>
            <w:tcW w:w="894" w:type="pct"/>
            <w:shd w:val="clear" w:color="auto" w:fill="DCE6F1"/>
            <w:vAlign w:val="center"/>
          </w:tcPr>
          <w:p w:rsidR="00ED7992" w:rsidRPr="005B0140" w:rsidRDefault="00ED7992" w:rsidP="005846CD">
            <w:pPr>
              <w:pStyle w:val="Odstavecseseznamem"/>
              <w:ind w:left="0"/>
              <w:rPr>
                <w:rFonts w:ascii="Times New Roman" w:hAnsi="Times New Roman"/>
                <w:sz w:val="20"/>
                <w:szCs w:val="20"/>
              </w:rPr>
            </w:pPr>
            <w:r w:rsidRPr="005B0140">
              <w:rPr>
                <w:rFonts w:ascii="Times New Roman" w:hAnsi="Times New Roman"/>
                <w:sz w:val="20"/>
                <w:szCs w:val="20"/>
              </w:rPr>
              <w:t>Publikován</w:t>
            </w:r>
            <w:r>
              <w:rPr>
                <w:rFonts w:ascii="Times New Roman" w:hAnsi="Times New Roman"/>
                <w:sz w:val="20"/>
                <w:szCs w:val="20"/>
              </w:rPr>
              <w:t xml:space="preserve"> 1</w:t>
            </w:r>
            <w:r w:rsidRPr="005B0140">
              <w:rPr>
                <w:rFonts w:ascii="Times New Roman" w:hAnsi="Times New Roman"/>
                <w:sz w:val="20"/>
                <w:szCs w:val="20"/>
              </w:rPr>
              <w:t xml:space="preserve"> PR člán</w:t>
            </w:r>
            <w:r>
              <w:rPr>
                <w:rFonts w:ascii="Times New Roman" w:hAnsi="Times New Roman"/>
                <w:sz w:val="20"/>
                <w:szCs w:val="20"/>
              </w:rPr>
              <w:t>e</w:t>
            </w:r>
            <w:r w:rsidRPr="005B0140">
              <w:rPr>
                <w:rFonts w:ascii="Times New Roman" w:hAnsi="Times New Roman"/>
                <w:sz w:val="20"/>
                <w:szCs w:val="20"/>
              </w:rPr>
              <w:t>k na webu OSF</w:t>
            </w:r>
          </w:p>
          <w:p w:rsidR="00ED7992" w:rsidRPr="005B0140" w:rsidRDefault="00ED7992" w:rsidP="005846CD">
            <w:pPr>
              <w:pStyle w:val="Odstavecseseznamem"/>
              <w:ind w:left="0"/>
              <w:rPr>
                <w:rFonts w:ascii="Times New Roman" w:hAnsi="Times New Roman"/>
                <w:i/>
                <w:sz w:val="20"/>
                <w:szCs w:val="20"/>
              </w:rPr>
            </w:pPr>
            <w:r w:rsidRPr="005B0140">
              <w:rPr>
                <w:rFonts w:ascii="Times New Roman" w:hAnsi="Times New Roman"/>
                <w:sz w:val="20"/>
                <w:szCs w:val="20"/>
              </w:rPr>
              <w:t>http://www.osf-mvcr.cz/pr-clanky</w:t>
            </w:r>
          </w:p>
        </w:tc>
      </w:tr>
      <w:tr w:rsidR="00ED7992" w:rsidRPr="005002C4" w:rsidTr="005846CD">
        <w:trPr>
          <w:trHeight w:val="929"/>
        </w:trPr>
        <w:tc>
          <w:tcPr>
            <w:tcW w:w="565" w:type="pct"/>
            <w:shd w:val="clear" w:color="auto" w:fill="DCE6F1"/>
            <w:vAlign w:val="center"/>
          </w:tcPr>
          <w:p w:rsidR="00ED7992" w:rsidRPr="005B0140" w:rsidRDefault="00ED7992" w:rsidP="005846CD">
            <w:r w:rsidRPr="005B0140">
              <w:t>MV</w:t>
            </w:r>
          </w:p>
        </w:tc>
        <w:tc>
          <w:tcPr>
            <w:tcW w:w="1061" w:type="pct"/>
            <w:shd w:val="clear" w:color="auto" w:fill="DCE6F1"/>
            <w:vAlign w:val="center"/>
          </w:tcPr>
          <w:p w:rsidR="00ED7992" w:rsidRPr="005B0140" w:rsidRDefault="00ED7992" w:rsidP="005846CD">
            <w:r>
              <w:t>Ankety na webu OSF</w:t>
            </w:r>
          </w:p>
        </w:tc>
        <w:tc>
          <w:tcPr>
            <w:tcW w:w="906" w:type="pct"/>
            <w:shd w:val="clear" w:color="auto" w:fill="DCE6F1"/>
            <w:vAlign w:val="center"/>
          </w:tcPr>
          <w:p w:rsidR="00ED7992" w:rsidRDefault="00ED7992" w:rsidP="005846CD">
            <w:proofErr w:type="spellStart"/>
            <w:r>
              <w:t>eGovernment</w:t>
            </w:r>
            <w:proofErr w:type="spellEnd"/>
            <w:r>
              <w:t>,</w:t>
            </w:r>
          </w:p>
          <w:p w:rsidR="00ED7992" w:rsidRPr="005B0140" w:rsidRDefault="00ED7992" w:rsidP="005846CD">
            <w:r>
              <w:t>přínosy projektu pro fungování úřadu, publicitní opatření</w:t>
            </w:r>
          </w:p>
        </w:tc>
        <w:tc>
          <w:tcPr>
            <w:tcW w:w="847" w:type="pct"/>
            <w:shd w:val="clear" w:color="auto" w:fill="DCE6F1"/>
            <w:vAlign w:val="center"/>
          </w:tcPr>
          <w:p w:rsidR="00ED7992" w:rsidRPr="005B0140" w:rsidRDefault="00ED7992" w:rsidP="005846CD">
            <w:r>
              <w:t>P</w:t>
            </w:r>
            <w:r w:rsidRPr="005B0140">
              <w:t>říjemci,</w:t>
            </w:r>
          </w:p>
          <w:p w:rsidR="00ED7992" w:rsidRPr="005B0140" w:rsidRDefault="00ED7992" w:rsidP="005846CD">
            <w:r>
              <w:t xml:space="preserve">Široká </w:t>
            </w:r>
            <w:r w:rsidRPr="005B0140">
              <w:t>veřejnost,</w:t>
            </w:r>
          </w:p>
          <w:p w:rsidR="00ED7992" w:rsidRPr="005B0140" w:rsidRDefault="00ED7992" w:rsidP="005846CD"/>
        </w:tc>
        <w:tc>
          <w:tcPr>
            <w:tcW w:w="727" w:type="pct"/>
            <w:shd w:val="clear" w:color="auto" w:fill="DCE6F1"/>
            <w:vAlign w:val="center"/>
          </w:tcPr>
          <w:p w:rsidR="00ED7992" w:rsidRPr="005B0140" w:rsidRDefault="00ED7992" w:rsidP="005846CD">
            <w:r w:rsidRPr="005B0140">
              <w:t>0</w:t>
            </w:r>
            <w:r>
              <w:t>,- Kč</w:t>
            </w:r>
          </w:p>
        </w:tc>
        <w:tc>
          <w:tcPr>
            <w:tcW w:w="894" w:type="pct"/>
            <w:shd w:val="clear" w:color="auto" w:fill="DCE6F1"/>
            <w:vAlign w:val="center"/>
          </w:tcPr>
          <w:p w:rsidR="00ED7992" w:rsidRPr="005B0140" w:rsidRDefault="00ED7992" w:rsidP="005846CD">
            <w:r>
              <w:t xml:space="preserve">3 ankety umístěny na webu OSF: </w:t>
            </w:r>
            <w:r w:rsidRPr="00546DBE">
              <w:t>http://www.osf-mvcr.cz/</w:t>
            </w:r>
          </w:p>
        </w:tc>
      </w:tr>
      <w:tr w:rsidR="00ED7992" w:rsidRPr="005002C4" w:rsidTr="005846CD">
        <w:trPr>
          <w:trHeight w:val="689"/>
        </w:trPr>
        <w:tc>
          <w:tcPr>
            <w:tcW w:w="565" w:type="pct"/>
            <w:shd w:val="clear" w:color="auto" w:fill="auto"/>
            <w:vAlign w:val="center"/>
          </w:tcPr>
          <w:p w:rsidR="00ED7992" w:rsidRPr="005B0140" w:rsidRDefault="00ED7992" w:rsidP="005846CD">
            <w:proofErr w:type="spellStart"/>
            <w:r w:rsidRPr="005B0140">
              <w:t>MZd</w:t>
            </w:r>
            <w:proofErr w:type="spellEnd"/>
          </w:p>
        </w:tc>
        <w:tc>
          <w:tcPr>
            <w:tcW w:w="1061" w:type="pct"/>
            <w:shd w:val="clear" w:color="auto" w:fill="auto"/>
            <w:vAlign w:val="center"/>
          </w:tcPr>
          <w:p w:rsidR="00ED7992" w:rsidRPr="005B0140" w:rsidRDefault="00ED7992" w:rsidP="005846CD">
            <w:r w:rsidRPr="005B0140">
              <w:t>Webové stránky www.mzcr.cz</w:t>
            </w:r>
          </w:p>
        </w:tc>
        <w:tc>
          <w:tcPr>
            <w:tcW w:w="906" w:type="pct"/>
            <w:shd w:val="clear" w:color="auto" w:fill="auto"/>
            <w:vAlign w:val="center"/>
          </w:tcPr>
          <w:p w:rsidR="00ED7992" w:rsidRPr="005B0140" w:rsidRDefault="00ED7992" w:rsidP="005846CD">
            <w:r w:rsidRPr="005B0140">
              <w:t>Průběžné uveřejňování a aktualizace informací k oblasti intervence 3.2</w:t>
            </w:r>
          </w:p>
        </w:tc>
        <w:tc>
          <w:tcPr>
            <w:tcW w:w="847" w:type="pct"/>
            <w:shd w:val="clear" w:color="auto" w:fill="auto"/>
            <w:vAlign w:val="center"/>
          </w:tcPr>
          <w:p w:rsidR="00ED7992" w:rsidRPr="005B0140" w:rsidRDefault="00ED7992" w:rsidP="005846CD">
            <w:r w:rsidRPr="005B0140">
              <w:t>Žadatelé a příjemci, veřejnost</w:t>
            </w:r>
          </w:p>
        </w:tc>
        <w:tc>
          <w:tcPr>
            <w:tcW w:w="727" w:type="pct"/>
            <w:shd w:val="clear" w:color="auto" w:fill="auto"/>
            <w:vAlign w:val="center"/>
          </w:tcPr>
          <w:p w:rsidR="00ED7992" w:rsidRPr="005B0140" w:rsidRDefault="00ED7992" w:rsidP="005846CD">
            <w:r w:rsidRPr="005B0140">
              <w:t>0</w:t>
            </w:r>
            <w:r>
              <w:t>,- Kč</w:t>
            </w:r>
          </w:p>
        </w:tc>
        <w:tc>
          <w:tcPr>
            <w:tcW w:w="894" w:type="pct"/>
            <w:shd w:val="clear" w:color="auto" w:fill="auto"/>
            <w:vAlign w:val="center"/>
          </w:tcPr>
          <w:p w:rsidR="00ED7992" w:rsidRPr="005B0140" w:rsidRDefault="00ED7992" w:rsidP="005846CD">
            <w:r w:rsidRPr="005B0140">
              <w:t>Aktualizace stránek probíhá po celý rok.</w:t>
            </w:r>
          </w:p>
        </w:tc>
      </w:tr>
      <w:tr w:rsidR="00ED7992" w:rsidRPr="005002C4" w:rsidTr="005846CD">
        <w:trPr>
          <w:trHeight w:val="689"/>
        </w:trPr>
        <w:tc>
          <w:tcPr>
            <w:tcW w:w="565" w:type="pct"/>
            <w:shd w:val="clear" w:color="auto" w:fill="auto"/>
            <w:vAlign w:val="center"/>
          </w:tcPr>
          <w:p w:rsidR="00ED7992" w:rsidRPr="005B0140" w:rsidRDefault="00ED7992" w:rsidP="005846CD">
            <w:pPr>
              <w:rPr>
                <w:highlight w:val="yellow"/>
              </w:rPr>
            </w:pPr>
            <w:proofErr w:type="spellStart"/>
            <w:r w:rsidRPr="005B0140">
              <w:t>MZd</w:t>
            </w:r>
            <w:proofErr w:type="spellEnd"/>
          </w:p>
        </w:tc>
        <w:tc>
          <w:tcPr>
            <w:tcW w:w="1061" w:type="pct"/>
            <w:shd w:val="clear" w:color="auto" w:fill="auto"/>
            <w:vAlign w:val="center"/>
          </w:tcPr>
          <w:p w:rsidR="00ED7992" w:rsidRPr="005B0140" w:rsidRDefault="00ED7992" w:rsidP="005846CD">
            <w:r>
              <w:t>Mezinárodní setkání zástupců ČR a SR a jejich příjemců</w:t>
            </w:r>
          </w:p>
        </w:tc>
        <w:tc>
          <w:tcPr>
            <w:tcW w:w="906" w:type="pct"/>
            <w:shd w:val="clear" w:color="auto" w:fill="auto"/>
            <w:vAlign w:val="center"/>
          </w:tcPr>
          <w:p w:rsidR="00ED7992" w:rsidRPr="005B0140" w:rsidRDefault="00ED7992" w:rsidP="005846CD">
            <w:pPr>
              <w:rPr>
                <w:highlight w:val="yellow"/>
              </w:rPr>
            </w:pPr>
            <w:r>
              <w:t xml:space="preserve">Mezinárodní setkání se zástupci OP </w:t>
            </w:r>
            <w:proofErr w:type="spellStart"/>
            <w:r>
              <w:t>Zdravotníctvo</w:t>
            </w:r>
            <w:proofErr w:type="spellEnd"/>
            <w:r>
              <w:t xml:space="preserve"> (SR) a jejich příjemci – výměny implementačních zkušeností s čerpání z IOP</w:t>
            </w:r>
          </w:p>
        </w:tc>
        <w:tc>
          <w:tcPr>
            <w:tcW w:w="847" w:type="pct"/>
            <w:shd w:val="clear" w:color="auto" w:fill="auto"/>
            <w:vAlign w:val="center"/>
          </w:tcPr>
          <w:p w:rsidR="00ED7992" w:rsidRPr="005B0140" w:rsidRDefault="00ED7992" w:rsidP="005846CD">
            <w:pPr>
              <w:rPr>
                <w:highlight w:val="yellow"/>
              </w:rPr>
            </w:pPr>
            <w:r>
              <w:t>Příjemci dotací a zprostředkující subjekty ČR a SR</w:t>
            </w:r>
          </w:p>
        </w:tc>
        <w:tc>
          <w:tcPr>
            <w:tcW w:w="727" w:type="pct"/>
            <w:shd w:val="clear" w:color="auto" w:fill="auto"/>
          </w:tcPr>
          <w:p w:rsidR="00ED7992" w:rsidRPr="005B0140" w:rsidRDefault="00ED7992" w:rsidP="005846CD">
            <w:pPr>
              <w:jc w:val="right"/>
            </w:pPr>
            <w:r>
              <w:t>147 626,- Kč</w:t>
            </w:r>
          </w:p>
          <w:p w:rsidR="00ED7992" w:rsidRPr="005B0140" w:rsidRDefault="00ED7992" w:rsidP="005846CD">
            <w:pPr>
              <w:jc w:val="right"/>
              <w:rPr>
                <w:highlight w:val="yellow"/>
              </w:rPr>
            </w:pPr>
          </w:p>
        </w:tc>
        <w:tc>
          <w:tcPr>
            <w:tcW w:w="894" w:type="pct"/>
            <w:shd w:val="clear" w:color="auto" w:fill="auto"/>
            <w:vAlign w:val="center"/>
          </w:tcPr>
          <w:p w:rsidR="00ED7992" w:rsidRPr="005B0140" w:rsidRDefault="00ED7992" w:rsidP="005846CD">
            <w:pPr>
              <w:rPr>
                <w:highlight w:val="yellow"/>
              </w:rPr>
            </w:pPr>
            <w:r>
              <w:t>8 – 10. 9. 2015 Brno – Výměna zkušeností s implementací v rámci IOP, získání kontaktů, exkurze v Masarykově onkologickém ústavu a Fakultní nemocnici u sv. Anny.</w:t>
            </w:r>
          </w:p>
        </w:tc>
      </w:tr>
      <w:tr w:rsidR="00ED7992" w:rsidRPr="005002C4" w:rsidTr="005846CD">
        <w:trPr>
          <w:trHeight w:val="914"/>
        </w:trPr>
        <w:tc>
          <w:tcPr>
            <w:tcW w:w="565" w:type="pct"/>
            <w:shd w:val="clear" w:color="auto" w:fill="auto"/>
            <w:vAlign w:val="center"/>
          </w:tcPr>
          <w:p w:rsidR="00ED7992" w:rsidRPr="005B0140" w:rsidRDefault="00ED7992" w:rsidP="005846CD">
            <w:proofErr w:type="spellStart"/>
            <w:r w:rsidRPr="005B0140">
              <w:t>MZd</w:t>
            </w:r>
            <w:proofErr w:type="spellEnd"/>
          </w:p>
        </w:tc>
        <w:tc>
          <w:tcPr>
            <w:tcW w:w="1061" w:type="pct"/>
            <w:shd w:val="clear" w:color="auto" w:fill="auto"/>
            <w:vAlign w:val="center"/>
          </w:tcPr>
          <w:p w:rsidR="00ED7992" w:rsidRPr="005B0140" w:rsidRDefault="00ED7992" w:rsidP="005846CD">
            <w:pPr>
              <w:rPr>
                <w:highlight w:val="yellow"/>
              </w:rPr>
            </w:pPr>
            <w:r w:rsidRPr="005B0140">
              <w:t xml:space="preserve">Webové stránky </w:t>
            </w:r>
            <w:hyperlink r:id="rId57" w:history="1">
              <w:r w:rsidRPr="005B0140">
                <w:t>www.kvalitazivota.eu</w:t>
              </w:r>
            </w:hyperlink>
          </w:p>
        </w:tc>
        <w:tc>
          <w:tcPr>
            <w:tcW w:w="906" w:type="pct"/>
            <w:shd w:val="clear" w:color="auto" w:fill="auto"/>
            <w:vAlign w:val="center"/>
          </w:tcPr>
          <w:p w:rsidR="00ED7992" w:rsidRPr="005B0140" w:rsidRDefault="00ED7992" w:rsidP="005846CD">
            <w:r w:rsidRPr="005B0140">
              <w:t>Průběžné uveřejňování příkladů úspěšných projektů z oblasti 3.2</w:t>
            </w:r>
          </w:p>
        </w:tc>
        <w:tc>
          <w:tcPr>
            <w:tcW w:w="847" w:type="pct"/>
            <w:shd w:val="clear" w:color="auto" w:fill="auto"/>
            <w:vAlign w:val="center"/>
          </w:tcPr>
          <w:p w:rsidR="00ED7992" w:rsidRPr="005B0140" w:rsidRDefault="00ED7992" w:rsidP="005846CD">
            <w:r w:rsidRPr="005B0140">
              <w:t>Veřejnost</w:t>
            </w:r>
          </w:p>
        </w:tc>
        <w:tc>
          <w:tcPr>
            <w:tcW w:w="727" w:type="pct"/>
            <w:shd w:val="clear" w:color="auto" w:fill="auto"/>
            <w:vAlign w:val="center"/>
          </w:tcPr>
          <w:p w:rsidR="00ED7992" w:rsidRPr="005B0140" w:rsidRDefault="00ED7992" w:rsidP="005846CD">
            <w:r w:rsidRPr="005B0140">
              <w:t>0</w:t>
            </w:r>
            <w:r>
              <w:t>,- Kč</w:t>
            </w:r>
          </w:p>
        </w:tc>
        <w:tc>
          <w:tcPr>
            <w:tcW w:w="894" w:type="pct"/>
            <w:shd w:val="clear" w:color="auto" w:fill="auto"/>
            <w:vAlign w:val="center"/>
          </w:tcPr>
          <w:p w:rsidR="00ED7992" w:rsidRPr="005B0140" w:rsidRDefault="00ED7992" w:rsidP="005846CD">
            <w:r w:rsidRPr="005B0140">
              <w:t>Aktualizace stránek probíhá po celý rok.</w:t>
            </w:r>
          </w:p>
        </w:tc>
      </w:tr>
    </w:tbl>
    <w:p w:rsidR="007311AE" w:rsidRDefault="007311AE">
      <w:pPr>
        <w:sectPr w:rsidR="007311AE" w:rsidSect="006C1BAC">
          <w:pgSz w:w="16840" w:h="11907" w:orient="landscape" w:code="9"/>
          <w:pgMar w:top="1418" w:right="1418" w:bottom="1418" w:left="1418" w:header="709" w:footer="709" w:gutter="0"/>
          <w:cols w:space="708"/>
          <w:docGrid w:linePitch="360"/>
        </w:sectPr>
      </w:pPr>
    </w:p>
    <w:p w:rsidR="00B21151" w:rsidRPr="007311AE" w:rsidRDefault="00B21151" w:rsidP="007311AE">
      <w:pPr>
        <w:pStyle w:val="Nadpis2"/>
        <w:rPr>
          <w:rFonts w:ascii="Times New Roman" w:hAnsi="Times New Roman"/>
          <w:i w:val="0"/>
        </w:rPr>
      </w:pPr>
      <w:bookmarkStart w:id="172" w:name="_Toc433873536"/>
      <w:r w:rsidRPr="00555D3B">
        <w:rPr>
          <w:rFonts w:ascii="Times New Roman" w:hAnsi="Times New Roman"/>
          <w:i w:val="0"/>
        </w:rPr>
        <w:lastRenderedPageBreak/>
        <w:t xml:space="preserve">Příloha č. </w:t>
      </w:r>
      <w:r w:rsidR="00D721EF">
        <w:rPr>
          <w:rFonts w:ascii="Times New Roman" w:hAnsi="Times New Roman"/>
          <w:i w:val="0"/>
        </w:rPr>
        <w:t>2</w:t>
      </w:r>
      <w:r w:rsidRPr="00555D3B">
        <w:rPr>
          <w:rFonts w:ascii="Times New Roman" w:hAnsi="Times New Roman"/>
          <w:i w:val="0"/>
        </w:rPr>
        <w:t xml:space="preserve"> – </w:t>
      </w:r>
      <w:r>
        <w:rPr>
          <w:rFonts w:ascii="Times New Roman" w:hAnsi="Times New Roman"/>
          <w:i w:val="0"/>
        </w:rPr>
        <w:t>Krizový plán</w:t>
      </w:r>
      <w:r w:rsidR="00A3650B">
        <w:rPr>
          <w:rFonts w:ascii="Times New Roman" w:hAnsi="Times New Roman"/>
          <w:i w:val="0"/>
        </w:rPr>
        <w:t xml:space="preserve"> na rok 2015</w:t>
      </w:r>
      <w:bookmarkEnd w:id="172"/>
    </w:p>
    <w:tbl>
      <w:tblPr>
        <w:tblW w:w="5000" w:type="pct"/>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CellMar>
          <w:left w:w="70" w:type="dxa"/>
          <w:right w:w="70" w:type="dxa"/>
        </w:tblCellMar>
        <w:tblLook w:val="04A0" w:firstRow="1" w:lastRow="0" w:firstColumn="1" w:lastColumn="0" w:noHBand="0" w:noVBand="1"/>
      </w:tblPr>
      <w:tblGrid>
        <w:gridCol w:w="1321"/>
        <w:gridCol w:w="790"/>
        <w:gridCol w:w="1802"/>
        <w:gridCol w:w="834"/>
        <w:gridCol w:w="945"/>
        <w:gridCol w:w="1321"/>
        <w:gridCol w:w="2130"/>
        <w:gridCol w:w="2116"/>
        <w:gridCol w:w="2885"/>
      </w:tblGrid>
      <w:tr w:rsidR="00DE4C1E" w:rsidRPr="00D34016" w:rsidTr="00734522">
        <w:trPr>
          <w:trHeight w:val="300"/>
          <w:tblHeader/>
        </w:trPr>
        <w:tc>
          <w:tcPr>
            <w:tcW w:w="3980" w:type="pct"/>
            <w:gridSpan w:val="8"/>
            <w:shd w:val="clear" w:color="000000" w:fill="8DB4E2"/>
            <w:noWrap/>
            <w:vAlign w:val="center"/>
            <w:hideMark/>
          </w:tcPr>
          <w:p w:rsidR="00DE4C1E" w:rsidRPr="00D34016" w:rsidRDefault="00DE4C1E" w:rsidP="007B6DD5">
            <w:pPr>
              <w:rPr>
                <w:b/>
                <w:bCs/>
                <w:color w:val="000000"/>
                <w:sz w:val="18"/>
                <w:szCs w:val="18"/>
              </w:rPr>
            </w:pPr>
            <w:r w:rsidRPr="001E7A88">
              <w:rPr>
                <w:b/>
                <w:bCs/>
                <w:sz w:val="28"/>
                <w:szCs w:val="28"/>
              </w:rPr>
              <w:t>Krizový plán na rok 2015 Integrovaného operačního programu</w:t>
            </w:r>
            <w:r w:rsidRPr="00D34016">
              <w:rPr>
                <w:b/>
                <w:bCs/>
                <w:color w:val="000000"/>
                <w:sz w:val="18"/>
                <w:szCs w:val="18"/>
              </w:rPr>
              <w:t> </w:t>
            </w:r>
          </w:p>
        </w:tc>
        <w:tc>
          <w:tcPr>
            <w:tcW w:w="1020" w:type="pct"/>
            <w:shd w:val="clear" w:color="000000" w:fill="8DB4E2"/>
          </w:tcPr>
          <w:p w:rsidR="00DE4C1E" w:rsidRPr="001E7A88" w:rsidRDefault="00DE4C1E" w:rsidP="007B6DD5">
            <w:pPr>
              <w:rPr>
                <w:b/>
                <w:bCs/>
                <w:sz w:val="28"/>
                <w:szCs w:val="28"/>
              </w:rPr>
            </w:pPr>
          </w:p>
        </w:tc>
      </w:tr>
      <w:tr w:rsidR="00DE4C1E" w:rsidRPr="00D34016" w:rsidTr="00734522">
        <w:trPr>
          <w:trHeight w:val="570"/>
          <w:tblHeader/>
        </w:trPr>
        <w:tc>
          <w:tcPr>
            <w:tcW w:w="467" w:type="pct"/>
            <w:shd w:val="clear" w:color="000000" w:fill="B8CCE4"/>
            <w:vAlign w:val="center"/>
            <w:hideMark/>
          </w:tcPr>
          <w:p w:rsidR="00DE4C1E" w:rsidRPr="00D34016" w:rsidRDefault="00DE4C1E" w:rsidP="007B6DD5">
            <w:pPr>
              <w:jc w:val="center"/>
              <w:rPr>
                <w:b/>
                <w:bCs/>
                <w:color w:val="000000"/>
                <w:sz w:val="18"/>
                <w:szCs w:val="18"/>
              </w:rPr>
            </w:pPr>
            <w:r w:rsidRPr="00D34016">
              <w:rPr>
                <w:b/>
                <w:bCs/>
                <w:color w:val="000000"/>
                <w:sz w:val="18"/>
                <w:szCs w:val="18"/>
              </w:rPr>
              <w:t>Název rizika</w:t>
            </w:r>
          </w:p>
        </w:tc>
        <w:tc>
          <w:tcPr>
            <w:tcW w:w="279" w:type="pct"/>
            <w:shd w:val="clear" w:color="000000" w:fill="B8CCE4"/>
            <w:vAlign w:val="center"/>
            <w:hideMark/>
          </w:tcPr>
          <w:p w:rsidR="00DE4C1E" w:rsidRPr="00D34016" w:rsidRDefault="00DE4C1E" w:rsidP="007B6DD5">
            <w:pPr>
              <w:jc w:val="center"/>
              <w:rPr>
                <w:b/>
                <w:bCs/>
                <w:color w:val="000000"/>
                <w:sz w:val="18"/>
                <w:szCs w:val="18"/>
              </w:rPr>
            </w:pPr>
            <w:r w:rsidRPr="00D34016">
              <w:rPr>
                <w:b/>
                <w:bCs/>
                <w:color w:val="000000"/>
                <w:sz w:val="18"/>
                <w:szCs w:val="18"/>
              </w:rPr>
              <w:t>Číslo opatření</w:t>
            </w:r>
          </w:p>
        </w:tc>
        <w:tc>
          <w:tcPr>
            <w:tcW w:w="637" w:type="pct"/>
            <w:shd w:val="clear" w:color="000000" w:fill="B8CCE4"/>
            <w:vAlign w:val="center"/>
            <w:hideMark/>
          </w:tcPr>
          <w:p w:rsidR="00DE4C1E" w:rsidRPr="00D34016" w:rsidRDefault="00DE4C1E" w:rsidP="007B6DD5">
            <w:pPr>
              <w:jc w:val="center"/>
              <w:rPr>
                <w:b/>
                <w:bCs/>
                <w:color w:val="000000"/>
                <w:sz w:val="18"/>
                <w:szCs w:val="18"/>
              </w:rPr>
            </w:pPr>
            <w:r w:rsidRPr="00D34016">
              <w:rPr>
                <w:b/>
                <w:bCs/>
                <w:color w:val="000000"/>
                <w:sz w:val="18"/>
                <w:szCs w:val="18"/>
              </w:rPr>
              <w:t>Popis opatření</w:t>
            </w:r>
          </w:p>
        </w:tc>
        <w:tc>
          <w:tcPr>
            <w:tcW w:w="295" w:type="pct"/>
            <w:shd w:val="clear" w:color="000000" w:fill="B8CCE4"/>
            <w:vAlign w:val="center"/>
            <w:hideMark/>
          </w:tcPr>
          <w:p w:rsidR="00DE4C1E" w:rsidRPr="00D34016" w:rsidRDefault="00DE4C1E" w:rsidP="007B6DD5">
            <w:pPr>
              <w:jc w:val="center"/>
              <w:rPr>
                <w:b/>
                <w:bCs/>
                <w:color w:val="000000"/>
                <w:sz w:val="18"/>
                <w:szCs w:val="18"/>
              </w:rPr>
            </w:pPr>
            <w:r w:rsidRPr="00D34016">
              <w:rPr>
                <w:b/>
                <w:bCs/>
                <w:color w:val="000000"/>
                <w:sz w:val="18"/>
                <w:szCs w:val="18"/>
              </w:rPr>
              <w:t>Gestor</w:t>
            </w:r>
          </w:p>
        </w:tc>
        <w:tc>
          <w:tcPr>
            <w:tcW w:w="334" w:type="pct"/>
            <w:shd w:val="clear" w:color="000000" w:fill="B8CCE4"/>
            <w:vAlign w:val="center"/>
            <w:hideMark/>
          </w:tcPr>
          <w:p w:rsidR="00DE4C1E" w:rsidRPr="00D34016" w:rsidRDefault="00DE4C1E" w:rsidP="007B6DD5">
            <w:pPr>
              <w:jc w:val="center"/>
              <w:rPr>
                <w:b/>
                <w:bCs/>
                <w:color w:val="000000"/>
                <w:sz w:val="18"/>
                <w:szCs w:val="18"/>
              </w:rPr>
            </w:pPr>
            <w:r w:rsidRPr="00D34016">
              <w:rPr>
                <w:b/>
                <w:bCs/>
                <w:color w:val="000000"/>
                <w:sz w:val="18"/>
                <w:szCs w:val="18"/>
              </w:rPr>
              <w:t>Termín</w:t>
            </w:r>
          </w:p>
        </w:tc>
        <w:tc>
          <w:tcPr>
            <w:tcW w:w="467" w:type="pct"/>
            <w:shd w:val="clear" w:color="000000" w:fill="B8CCE4"/>
            <w:vAlign w:val="center"/>
            <w:hideMark/>
          </w:tcPr>
          <w:p w:rsidR="00DE4C1E" w:rsidRPr="00D34016" w:rsidRDefault="00DE4C1E" w:rsidP="007B6DD5">
            <w:pPr>
              <w:jc w:val="center"/>
              <w:rPr>
                <w:b/>
                <w:bCs/>
                <w:color w:val="000000"/>
                <w:sz w:val="18"/>
                <w:szCs w:val="18"/>
              </w:rPr>
            </w:pPr>
            <w:r w:rsidRPr="00D34016">
              <w:rPr>
                <w:b/>
                <w:bCs/>
                <w:color w:val="000000"/>
                <w:sz w:val="18"/>
                <w:szCs w:val="18"/>
              </w:rPr>
              <w:t>Způsob ověření plnění opatření</w:t>
            </w:r>
          </w:p>
        </w:tc>
        <w:tc>
          <w:tcPr>
            <w:tcW w:w="753" w:type="pct"/>
            <w:shd w:val="clear" w:color="000000" w:fill="B8CCE4"/>
            <w:vAlign w:val="center"/>
            <w:hideMark/>
          </w:tcPr>
          <w:p w:rsidR="00DE4C1E" w:rsidRPr="00D34016" w:rsidRDefault="00DE4C1E" w:rsidP="007B6DD5">
            <w:pPr>
              <w:jc w:val="center"/>
              <w:rPr>
                <w:b/>
                <w:bCs/>
                <w:color w:val="000000"/>
                <w:sz w:val="18"/>
                <w:szCs w:val="18"/>
              </w:rPr>
            </w:pPr>
            <w:r w:rsidRPr="00D34016">
              <w:rPr>
                <w:b/>
                <w:bCs/>
                <w:color w:val="000000"/>
                <w:sz w:val="18"/>
                <w:szCs w:val="18"/>
              </w:rPr>
              <w:t>Postup v plnění opatření k 28. 2. 2015</w:t>
            </w:r>
          </w:p>
        </w:tc>
        <w:tc>
          <w:tcPr>
            <w:tcW w:w="748" w:type="pct"/>
            <w:shd w:val="clear" w:color="000000" w:fill="B8CCE4"/>
            <w:vAlign w:val="center"/>
            <w:hideMark/>
          </w:tcPr>
          <w:p w:rsidR="00DE4C1E" w:rsidRPr="00D34016" w:rsidRDefault="00DE4C1E" w:rsidP="007B6DD5">
            <w:pPr>
              <w:jc w:val="center"/>
              <w:rPr>
                <w:b/>
                <w:bCs/>
                <w:color w:val="000000"/>
                <w:sz w:val="18"/>
                <w:szCs w:val="18"/>
              </w:rPr>
            </w:pPr>
            <w:r w:rsidRPr="00D34016">
              <w:rPr>
                <w:b/>
                <w:bCs/>
                <w:color w:val="000000"/>
                <w:sz w:val="18"/>
                <w:szCs w:val="18"/>
              </w:rPr>
              <w:t>Postup v plnění opatření k 31. 3. 2015</w:t>
            </w:r>
          </w:p>
        </w:tc>
        <w:tc>
          <w:tcPr>
            <w:tcW w:w="1020" w:type="pct"/>
            <w:shd w:val="clear" w:color="000000" w:fill="B8CCE4"/>
            <w:vAlign w:val="center"/>
          </w:tcPr>
          <w:p w:rsidR="00DE4C1E" w:rsidRPr="00D34016" w:rsidRDefault="00DE4C1E" w:rsidP="007B6DD5">
            <w:pPr>
              <w:jc w:val="center"/>
              <w:rPr>
                <w:b/>
                <w:bCs/>
                <w:color w:val="000000"/>
                <w:sz w:val="18"/>
                <w:szCs w:val="18"/>
              </w:rPr>
            </w:pPr>
            <w:r>
              <w:rPr>
                <w:b/>
                <w:bCs/>
                <w:color w:val="000000"/>
                <w:sz w:val="18"/>
                <w:szCs w:val="18"/>
              </w:rPr>
              <w:t>Postup v plnění opatření k 30. 9</w:t>
            </w:r>
            <w:r w:rsidRPr="00D34016">
              <w:rPr>
                <w:b/>
                <w:bCs/>
                <w:color w:val="000000"/>
                <w:sz w:val="18"/>
                <w:szCs w:val="18"/>
              </w:rPr>
              <w:t>. 2015</w:t>
            </w:r>
          </w:p>
        </w:tc>
      </w:tr>
      <w:tr w:rsidR="00DE4C1E" w:rsidRPr="00D34016" w:rsidTr="00DE4C1E">
        <w:trPr>
          <w:trHeight w:val="1500"/>
        </w:trPr>
        <w:tc>
          <w:tcPr>
            <w:tcW w:w="467" w:type="pct"/>
            <w:vMerge w:val="restart"/>
            <w:shd w:val="clear" w:color="000000" w:fill="FFFFFF"/>
            <w:vAlign w:val="center"/>
            <w:hideMark/>
          </w:tcPr>
          <w:p w:rsidR="00DE4C1E" w:rsidRPr="00D34016" w:rsidRDefault="00DE4C1E" w:rsidP="007B6DD5">
            <w:pPr>
              <w:rPr>
                <w:b/>
                <w:bCs/>
                <w:color w:val="000000"/>
                <w:sz w:val="18"/>
                <w:szCs w:val="18"/>
              </w:rPr>
            </w:pPr>
            <w:r w:rsidRPr="00D34016">
              <w:rPr>
                <w:b/>
                <w:bCs/>
                <w:color w:val="000000"/>
                <w:sz w:val="18"/>
                <w:szCs w:val="18"/>
              </w:rPr>
              <w:t>Nepokrytí disponibilní alokace</w:t>
            </w:r>
          </w:p>
        </w:tc>
        <w:tc>
          <w:tcPr>
            <w:tcW w:w="279" w:type="pct"/>
            <w:shd w:val="clear" w:color="000000" w:fill="FFFFFF"/>
            <w:vAlign w:val="center"/>
            <w:hideMark/>
          </w:tcPr>
          <w:p w:rsidR="00DE4C1E" w:rsidRPr="00D34016" w:rsidRDefault="00DE4C1E" w:rsidP="007B6DD5">
            <w:pPr>
              <w:jc w:val="center"/>
              <w:rPr>
                <w:color w:val="000000"/>
                <w:sz w:val="18"/>
                <w:szCs w:val="18"/>
              </w:rPr>
            </w:pPr>
            <w:r w:rsidRPr="00D34016">
              <w:rPr>
                <w:color w:val="000000"/>
                <w:sz w:val="18"/>
                <w:szCs w:val="18"/>
              </w:rPr>
              <w:t>1</w:t>
            </w:r>
          </w:p>
        </w:tc>
        <w:tc>
          <w:tcPr>
            <w:tcW w:w="637" w:type="pct"/>
            <w:shd w:val="clear" w:color="000000" w:fill="FFFFFF"/>
            <w:vAlign w:val="center"/>
            <w:hideMark/>
          </w:tcPr>
          <w:p w:rsidR="00DE4C1E" w:rsidRPr="00D34016" w:rsidRDefault="00DE4C1E" w:rsidP="007B6DD5">
            <w:pPr>
              <w:rPr>
                <w:color w:val="000000"/>
                <w:sz w:val="18"/>
                <w:szCs w:val="18"/>
              </w:rPr>
            </w:pPr>
            <w:r w:rsidRPr="00D34016">
              <w:rPr>
                <w:color w:val="000000"/>
                <w:sz w:val="18"/>
                <w:szCs w:val="18"/>
              </w:rPr>
              <w:t xml:space="preserve">V oblasti podpory 3.2 navýšit alokaci 19. výzvy o 350 mil. Kč. </w:t>
            </w:r>
          </w:p>
        </w:tc>
        <w:tc>
          <w:tcPr>
            <w:tcW w:w="295" w:type="pct"/>
            <w:shd w:val="clear" w:color="auto" w:fill="auto"/>
            <w:vAlign w:val="center"/>
            <w:hideMark/>
          </w:tcPr>
          <w:p w:rsidR="00DE4C1E" w:rsidRPr="00D34016" w:rsidRDefault="00DE4C1E" w:rsidP="007B6DD5">
            <w:pPr>
              <w:jc w:val="center"/>
              <w:rPr>
                <w:color w:val="000000"/>
                <w:sz w:val="18"/>
                <w:szCs w:val="18"/>
              </w:rPr>
            </w:pPr>
            <w:r w:rsidRPr="00D34016">
              <w:rPr>
                <w:color w:val="000000"/>
                <w:sz w:val="18"/>
                <w:szCs w:val="18"/>
              </w:rPr>
              <w:t xml:space="preserve">ZS </w:t>
            </w:r>
            <w:proofErr w:type="spellStart"/>
            <w:r w:rsidRPr="00D34016">
              <w:rPr>
                <w:color w:val="000000"/>
                <w:sz w:val="18"/>
                <w:szCs w:val="18"/>
              </w:rPr>
              <w:t>MZd</w:t>
            </w:r>
            <w:proofErr w:type="spellEnd"/>
          </w:p>
        </w:tc>
        <w:tc>
          <w:tcPr>
            <w:tcW w:w="334" w:type="pct"/>
            <w:shd w:val="clear" w:color="auto" w:fill="auto"/>
            <w:vAlign w:val="center"/>
            <w:hideMark/>
          </w:tcPr>
          <w:p w:rsidR="00DE4C1E" w:rsidRPr="00D34016" w:rsidRDefault="00DE4C1E" w:rsidP="007B6DD5">
            <w:pPr>
              <w:jc w:val="center"/>
              <w:rPr>
                <w:color w:val="000000"/>
                <w:sz w:val="18"/>
                <w:szCs w:val="18"/>
              </w:rPr>
            </w:pPr>
            <w:r w:rsidRPr="00D34016">
              <w:rPr>
                <w:color w:val="000000"/>
                <w:sz w:val="18"/>
                <w:szCs w:val="18"/>
              </w:rPr>
              <w:t>do 28. 2. 2015</w:t>
            </w:r>
          </w:p>
        </w:tc>
        <w:tc>
          <w:tcPr>
            <w:tcW w:w="467" w:type="pct"/>
            <w:shd w:val="clear" w:color="auto" w:fill="auto"/>
            <w:vAlign w:val="center"/>
            <w:hideMark/>
          </w:tcPr>
          <w:p w:rsidR="00DE4C1E" w:rsidRPr="00D34016" w:rsidRDefault="00DE4C1E" w:rsidP="00926C07">
            <w:pPr>
              <w:rPr>
                <w:color w:val="000000"/>
                <w:sz w:val="18"/>
                <w:szCs w:val="18"/>
              </w:rPr>
            </w:pPr>
            <w:r w:rsidRPr="00D34016">
              <w:rPr>
                <w:color w:val="000000"/>
                <w:sz w:val="18"/>
                <w:szCs w:val="18"/>
              </w:rPr>
              <w:t xml:space="preserve">MMR-NOK ověří </w:t>
            </w:r>
            <w:r w:rsidR="00926C07">
              <w:rPr>
                <w:color w:val="000000"/>
                <w:sz w:val="18"/>
                <w:szCs w:val="18"/>
              </w:rPr>
              <w:t>z</w:t>
            </w:r>
            <w:r w:rsidRPr="00D34016">
              <w:rPr>
                <w:color w:val="000000"/>
                <w:sz w:val="18"/>
                <w:szCs w:val="18"/>
              </w:rPr>
              <w:t>výšení alokace výzvy na internetových stránkách IOP.</w:t>
            </w:r>
          </w:p>
        </w:tc>
        <w:tc>
          <w:tcPr>
            <w:tcW w:w="753" w:type="pct"/>
            <w:shd w:val="clear" w:color="auto" w:fill="auto"/>
            <w:vAlign w:val="center"/>
            <w:hideMark/>
          </w:tcPr>
          <w:p w:rsidR="00DE4C1E" w:rsidRPr="00D34016" w:rsidRDefault="00DE4C1E" w:rsidP="007B6DD5">
            <w:pPr>
              <w:rPr>
                <w:color w:val="000000"/>
                <w:sz w:val="18"/>
                <w:szCs w:val="18"/>
              </w:rPr>
            </w:pPr>
            <w:r w:rsidRPr="00D34016">
              <w:rPr>
                <w:color w:val="000000"/>
                <w:sz w:val="18"/>
                <w:szCs w:val="18"/>
              </w:rPr>
              <w:t>Splněno. Alokace 19. výzvy byla v období leden-únor dvakrát navýšena, celkem o 400 mil. Kč na konečných 1,7 mld. Kč (ERDF). Při druhém navýšení výzvy bylo využito flexibility (50 mil. Kč)</w:t>
            </w:r>
          </w:p>
        </w:tc>
        <w:tc>
          <w:tcPr>
            <w:tcW w:w="748" w:type="pct"/>
            <w:shd w:val="clear" w:color="auto" w:fill="auto"/>
            <w:vAlign w:val="center"/>
            <w:hideMark/>
          </w:tcPr>
          <w:p w:rsidR="00DE4C1E" w:rsidRPr="00D34016" w:rsidRDefault="00DE4C1E" w:rsidP="007B6DD5">
            <w:pPr>
              <w:rPr>
                <w:color w:val="000000"/>
                <w:sz w:val="18"/>
                <w:szCs w:val="18"/>
              </w:rPr>
            </w:pPr>
            <w:r w:rsidRPr="00D34016">
              <w:rPr>
                <w:color w:val="000000"/>
                <w:sz w:val="18"/>
                <w:szCs w:val="18"/>
              </w:rPr>
              <w:t>Splněno</w:t>
            </w:r>
          </w:p>
        </w:tc>
        <w:tc>
          <w:tcPr>
            <w:tcW w:w="1020" w:type="pct"/>
            <w:vAlign w:val="center"/>
          </w:tcPr>
          <w:p w:rsidR="00DE4C1E" w:rsidRPr="0034246E" w:rsidRDefault="00DE4C1E" w:rsidP="00DE4C1E">
            <w:pPr>
              <w:jc w:val="center"/>
              <w:rPr>
                <w:color w:val="000000"/>
                <w:sz w:val="18"/>
                <w:szCs w:val="18"/>
              </w:rPr>
            </w:pPr>
            <w:r>
              <w:rPr>
                <w:color w:val="000000"/>
                <w:sz w:val="18"/>
                <w:szCs w:val="18"/>
              </w:rPr>
              <w:t>Splněno</w:t>
            </w:r>
          </w:p>
          <w:p w:rsidR="00DE4C1E" w:rsidRPr="00D34016" w:rsidRDefault="00DE4C1E" w:rsidP="00DE4C1E">
            <w:pPr>
              <w:jc w:val="center"/>
              <w:rPr>
                <w:color w:val="000000"/>
                <w:sz w:val="18"/>
                <w:szCs w:val="18"/>
              </w:rPr>
            </w:pPr>
          </w:p>
        </w:tc>
      </w:tr>
      <w:tr w:rsidR="00DE4C1E" w:rsidRPr="00D34016" w:rsidTr="007B6DD5">
        <w:trPr>
          <w:trHeight w:val="2085"/>
        </w:trPr>
        <w:tc>
          <w:tcPr>
            <w:tcW w:w="467" w:type="pct"/>
            <w:vMerge/>
            <w:vAlign w:val="center"/>
            <w:hideMark/>
          </w:tcPr>
          <w:p w:rsidR="00DE4C1E" w:rsidRPr="00D34016" w:rsidRDefault="00DE4C1E" w:rsidP="007B6DD5">
            <w:pPr>
              <w:rPr>
                <w:b/>
                <w:bCs/>
                <w:color w:val="000000"/>
                <w:sz w:val="18"/>
                <w:szCs w:val="18"/>
              </w:rPr>
            </w:pPr>
          </w:p>
        </w:tc>
        <w:tc>
          <w:tcPr>
            <w:tcW w:w="279" w:type="pct"/>
            <w:shd w:val="clear" w:color="000000" w:fill="FFFFFF"/>
            <w:vAlign w:val="center"/>
            <w:hideMark/>
          </w:tcPr>
          <w:p w:rsidR="00DE4C1E" w:rsidRPr="00D34016" w:rsidRDefault="00DE4C1E" w:rsidP="007B6DD5">
            <w:pPr>
              <w:jc w:val="center"/>
              <w:rPr>
                <w:color w:val="000000"/>
                <w:sz w:val="18"/>
                <w:szCs w:val="18"/>
              </w:rPr>
            </w:pPr>
            <w:r w:rsidRPr="00D34016">
              <w:rPr>
                <w:color w:val="000000"/>
                <w:sz w:val="18"/>
                <w:szCs w:val="18"/>
              </w:rPr>
              <w:t>2</w:t>
            </w:r>
          </w:p>
        </w:tc>
        <w:tc>
          <w:tcPr>
            <w:tcW w:w="637" w:type="pct"/>
            <w:shd w:val="clear" w:color="000000" w:fill="FFFFFF"/>
            <w:vAlign w:val="center"/>
            <w:hideMark/>
          </w:tcPr>
          <w:p w:rsidR="00DE4C1E" w:rsidRPr="00D34016" w:rsidRDefault="00DE4C1E" w:rsidP="007B6DD5">
            <w:pPr>
              <w:rPr>
                <w:color w:val="000000"/>
                <w:sz w:val="18"/>
                <w:szCs w:val="18"/>
              </w:rPr>
            </w:pPr>
            <w:r w:rsidRPr="00D34016">
              <w:rPr>
                <w:color w:val="000000"/>
                <w:sz w:val="18"/>
                <w:szCs w:val="18"/>
              </w:rPr>
              <w:t xml:space="preserve">Vyhlásit další výzvu v oblasti podpory 3.2. Prostředky na výzvu budou zajištěny realokací disponibilní alokace z nedočerpaných oblastí podpory. </w:t>
            </w:r>
          </w:p>
        </w:tc>
        <w:tc>
          <w:tcPr>
            <w:tcW w:w="295" w:type="pct"/>
            <w:shd w:val="clear" w:color="auto" w:fill="auto"/>
            <w:vAlign w:val="center"/>
            <w:hideMark/>
          </w:tcPr>
          <w:p w:rsidR="00DE4C1E" w:rsidRPr="00D34016" w:rsidRDefault="00DE4C1E" w:rsidP="007B6DD5">
            <w:pPr>
              <w:jc w:val="center"/>
              <w:rPr>
                <w:color w:val="000000"/>
                <w:sz w:val="18"/>
                <w:szCs w:val="18"/>
              </w:rPr>
            </w:pPr>
            <w:r w:rsidRPr="00D34016">
              <w:rPr>
                <w:color w:val="000000"/>
                <w:sz w:val="18"/>
                <w:szCs w:val="18"/>
              </w:rPr>
              <w:t xml:space="preserve">ZS </w:t>
            </w:r>
            <w:proofErr w:type="spellStart"/>
            <w:r w:rsidRPr="00D34016">
              <w:rPr>
                <w:color w:val="000000"/>
                <w:sz w:val="18"/>
                <w:szCs w:val="18"/>
              </w:rPr>
              <w:t>MZd</w:t>
            </w:r>
            <w:proofErr w:type="spellEnd"/>
          </w:p>
        </w:tc>
        <w:tc>
          <w:tcPr>
            <w:tcW w:w="334" w:type="pct"/>
            <w:shd w:val="clear" w:color="auto" w:fill="auto"/>
            <w:vAlign w:val="center"/>
            <w:hideMark/>
          </w:tcPr>
          <w:p w:rsidR="00DE4C1E" w:rsidRPr="00D34016" w:rsidRDefault="00DE4C1E" w:rsidP="007B6DD5">
            <w:pPr>
              <w:jc w:val="center"/>
              <w:rPr>
                <w:color w:val="000000"/>
                <w:sz w:val="18"/>
                <w:szCs w:val="18"/>
              </w:rPr>
            </w:pPr>
            <w:r w:rsidRPr="00D34016">
              <w:rPr>
                <w:color w:val="000000"/>
                <w:sz w:val="18"/>
                <w:szCs w:val="18"/>
              </w:rPr>
              <w:t>do 31. 3. 2015</w:t>
            </w:r>
          </w:p>
        </w:tc>
        <w:tc>
          <w:tcPr>
            <w:tcW w:w="467" w:type="pct"/>
            <w:shd w:val="clear" w:color="auto" w:fill="auto"/>
            <w:vAlign w:val="center"/>
            <w:hideMark/>
          </w:tcPr>
          <w:p w:rsidR="00DE4C1E" w:rsidRPr="00D34016" w:rsidRDefault="00DE4C1E" w:rsidP="007B6DD5">
            <w:pPr>
              <w:rPr>
                <w:color w:val="000000"/>
                <w:sz w:val="18"/>
                <w:szCs w:val="18"/>
              </w:rPr>
            </w:pPr>
            <w:r w:rsidRPr="00D34016">
              <w:rPr>
                <w:color w:val="000000"/>
                <w:sz w:val="18"/>
                <w:szCs w:val="18"/>
              </w:rPr>
              <w:t xml:space="preserve">MMR-NOK ověří vyhlášení výzev na internetových stránkách IOP a provedení realokace ověří na MV IOP. </w:t>
            </w:r>
          </w:p>
        </w:tc>
        <w:tc>
          <w:tcPr>
            <w:tcW w:w="753" w:type="pct"/>
            <w:shd w:val="clear" w:color="auto" w:fill="auto"/>
            <w:noWrap/>
            <w:vAlign w:val="center"/>
            <w:hideMark/>
          </w:tcPr>
          <w:p w:rsidR="00DE4C1E" w:rsidRPr="00D34016" w:rsidRDefault="00DE4C1E" w:rsidP="007B6DD5">
            <w:pPr>
              <w:jc w:val="center"/>
              <w:rPr>
                <w:color w:val="000000"/>
                <w:sz w:val="18"/>
                <w:szCs w:val="18"/>
              </w:rPr>
            </w:pPr>
            <w:r w:rsidRPr="00D34016">
              <w:rPr>
                <w:color w:val="000000"/>
                <w:sz w:val="18"/>
                <w:szCs w:val="18"/>
              </w:rPr>
              <w:t>NR</w:t>
            </w:r>
          </w:p>
        </w:tc>
        <w:tc>
          <w:tcPr>
            <w:tcW w:w="748" w:type="pct"/>
            <w:shd w:val="clear" w:color="auto" w:fill="auto"/>
            <w:vAlign w:val="center"/>
            <w:hideMark/>
          </w:tcPr>
          <w:p w:rsidR="00DE4C1E" w:rsidRPr="00D34016" w:rsidRDefault="00DE4C1E" w:rsidP="007B6DD5">
            <w:pPr>
              <w:rPr>
                <w:color w:val="000000"/>
                <w:sz w:val="18"/>
                <w:szCs w:val="18"/>
              </w:rPr>
            </w:pPr>
            <w:r w:rsidRPr="00D34016">
              <w:rPr>
                <w:color w:val="000000"/>
                <w:sz w:val="18"/>
                <w:szCs w:val="18"/>
              </w:rPr>
              <w:t>V současné době není v oblasti intervence 3.2 IOP volná disponibilní alokace. V rámci navýšení 19. výzvy byly plně využity zbylé prostředky nástroje flexibility. S ohledem na termín způsobilosti výdajů projektů není vyhlášení nové výzvy a realizace dalších projektů časově reálná.</w:t>
            </w:r>
          </w:p>
        </w:tc>
        <w:tc>
          <w:tcPr>
            <w:tcW w:w="1020" w:type="pct"/>
          </w:tcPr>
          <w:p w:rsidR="00DE4C1E" w:rsidRPr="0034246E" w:rsidRDefault="00DE4C1E" w:rsidP="007B6DD5">
            <w:pPr>
              <w:rPr>
                <w:color w:val="000000"/>
                <w:sz w:val="18"/>
                <w:szCs w:val="18"/>
              </w:rPr>
            </w:pPr>
            <w:r w:rsidRPr="0034246E">
              <w:rPr>
                <w:color w:val="000000"/>
                <w:sz w:val="18"/>
                <w:szCs w:val="18"/>
              </w:rPr>
              <w:t>Nerelevantní.                                                                     V rámci navýšení 19. výzvy byly plně využity zbylé prostředky nástroje flexibility. S ohledem na termín způsobilosti výdajů projektů nebylo vyhlášení nové výzvy a realizace dalších projektů časově reálná.</w:t>
            </w:r>
          </w:p>
          <w:p w:rsidR="00DE4C1E" w:rsidRPr="00D34016" w:rsidRDefault="00DE4C1E" w:rsidP="007B6DD5">
            <w:pPr>
              <w:rPr>
                <w:color w:val="000000"/>
                <w:sz w:val="18"/>
                <w:szCs w:val="18"/>
              </w:rPr>
            </w:pPr>
          </w:p>
        </w:tc>
      </w:tr>
      <w:tr w:rsidR="00DE4C1E" w:rsidRPr="00D34016" w:rsidTr="00DE4C1E">
        <w:trPr>
          <w:trHeight w:val="4365"/>
        </w:trPr>
        <w:tc>
          <w:tcPr>
            <w:tcW w:w="467" w:type="pct"/>
            <w:vMerge/>
            <w:vAlign w:val="center"/>
            <w:hideMark/>
          </w:tcPr>
          <w:p w:rsidR="00DE4C1E" w:rsidRPr="00D34016" w:rsidRDefault="00DE4C1E" w:rsidP="007B6DD5">
            <w:pPr>
              <w:rPr>
                <w:b/>
                <w:bCs/>
                <w:color w:val="000000"/>
                <w:sz w:val="18"/>
                <w:szCs w:val="18"/>
              </w:rPr>
            </w:pPr>
          </w:p>
        </w:tc>
        <w:tc>
          <w:tcPr>
            <w:tcW w:w="279" w:type="pct"/>
            <w:shd w:val="clear" w:color="000000" w:fill="FFFFFF"/>
            <w:vAlign w:val="center"/>
            <w:hideMark/>
          </w:tcPr>
          <w:p w:rsidR="00DE4C1E" w:rsidRPr="00D34016" w:rsidRDefault="00DE4C1E" w:rsidP="007B6DD5">
            <w:pPr>
              <w:jc w:val="center"/>
              <w:rPr>
                <w:color w:val="000000"/>
                <w:sz w:val="18"/>
                <w:szCs w:val="18"/>
              </w:rPr>
            </w:pPr>
            <w:r w:rsidRPr="00D34016">
              <w:rPr>
                <w:color w:val="000000"/>
                <w:sz w:val="18"/>
                <w:szCs w:val="18"/>
              </w:rPr>
              <w:t>3</w:t>
            </w:r>
          </w:p>
        </w:tc>
        <w:tc>
          <w:tcPr>
            <w:tcW w:w="637" w:type="pct"/>
            <w:shd w:val="clear" w:color="000000" w:fill="FFFFFF"/>
            <w:vAlign w:val="center"/>
            <w:hideMark/>
          </w:tcPr>
          <w:p w:rsidR="00DE4C1E" w:rsidRPr="00D34016" w:rsidRDefault="00DE4C1E" w:rsidP="007B6DD5">
            <w:pPr>
              <w:rPr>
                <w:color w:val="000000"/>
                <w:sz w:val="18"/>
                <w:szCs w:val="18"/>
              </w:rPr>
            </w:pPr>
            <w:r w:rsidRPr="00D34016">
              <w:rPr>
                <w:color w:val="000000"/>
                <w:sz w:val="18"/>
                <w:szCs w:val="18"/>
              </w:rPr>
              <w:t>Vydat Rozhodnutí o poskytnutí dotace na všechny projekty v připravovaném zásobníku v oblasti podpory 2.1 a v zásobníku v oblasti podpory 3.1.</w:t>
            </w:r>
          </w:p>
        </w:tc>
        <w:tc>
          <w:tcPr>
            <w:tcW w:w="295" w:type="pct"/>
            <w:shd w:val="clear" w:color="auto" w:fill="auto"/>
            <w:vAlign w:val="center"/>
            <w:hideMark/>
          </w:tcPr>
          <w:p w:rsidR="00DE4C1E" w:rsidRPr="00D34016" w:rsidRDefault="00DE4C1E" w:rsidP="007B6DD5">
            <w:pPr>
              <w:jc w:val="center"/>
              <w:rPr>
                <w:color w:val="000000"/>
                <w:sz w:val="18"/>
                <w:szCs w:val="18"/>
              </w:rPr>
            </w:pPr>
            <w:r w:rsidRPr="00D34016">
              <w:rPr>
                <w:color w:val="000000"/>
                <w:sz w:val="18"/>
                <w:szCs w:val="18"/>
              </w:rPr>
              <w:t>ŘO</w:t>
            </w:r>
            <w:r w:rsidRPr="00D34016">
              <w:rPr>
                <w:color w:val="000000"/>
                <w:sz w:val="18"/>
                <w:szCs w:val="18"/>
              </w:rPr>
              <w:br/>
              <w:t>ZS CRR</w:t>
            </w:r>
            <w:r w:rsidRPr="00D34016">
              <w:rPr>
                <w:color w:val="000000"/>
                <w:sz w:val="18"/>
                <w:szCs w:val="18"/>
              </w:rPr>
              <w:br/>
              <w:t>ZS MPSV</w:t>
            </w:r>
          </w:p>
        </w:tc>
        <w:tc>
          <w:tcPr>
            <w:tcW w:w="334" w:type="pct"/>
            <w:shd w:val="clear" w:color="auto" w:fill="auto"/>
            <w:vAlign w:val="center"/>
            <w:hideMark/>
          </w:tcPr>
          <w:p w:rsidR="00DE4C1E" w:rsidRPr="00D34016" w:rsidRDefault="00DE4C1E" w:rsidP="007B6DD5">
            <w:pPr>
              <w:jc w:val="center"/>
              <w:rPr>
                <w:color w:val="000000"/>
                <w:sz w:val="18"/>
                <w:szCs w:val="18"/>
              </w:rPr>
            </w:pPr>
            <w:r w:rsidRPr="00D34016">
              <w:rPr>
                <w:color w:val="000000"/>
                <w:sz w:val="18"/>
                <w:szCs w:val="18"/>
              </w:rPr>
              <w:t>do 28. 2. 2015</w:t>
            </w:r>
          </w:p>
        </w:tc>
        <w:tc>
          <w:tcPr>
            <w:tcW w:w="467" w:type="pct"/>
            <w:shd w:val="clear" w:color="000000" w:fill="FFFFFF"/>
            <w:vAlign w:val="center"/>
            <w:hideMark/>
          </w:tcPr>
          <w:p w:rsidR="00DE4C1E" w:rsidRPr="00D34016" w:rsidRDefault="00DE4C1E" w:rsidP="007B6DD5">
            <w:pPr>
              <w:rPr>
                <w:color w:val="000000"/>
                <w:sz w:val="18"/>
                <w:szCs w:val="18"/>
              </w:rPr>
            </w:pPr>
            <w:r w:rsidRPr="00D34016">
              <w:rPr>
                <w:color w:val="000000"/>
                <w:sz w:val="18"/>
                <w:szCs w:val="18"/>
              </w:rPr>
              <w:t>Řídící orgán IOP bude informovat MMR-NOK v rámci vykazování postupu plnění krizového plánu v intervalech daných usnesením vlády o počtu projektů v zásobníku a počtu projektů ze zásobníku s vydaným Rozhodnutím.</w:t>
            </w:r>
          </w:p>
        </w:tc>
        <w:tc>
          <w:tcPr>
            <w:tcW w:w="753" w:type="pct"/>
            <w:shd w:val="clear" w:color="000000" w:fill="FFFFFF"/>
            <w:vAlign w:val="center"/>
            <w:hideMark/>
          </w:tcPr>
          <w:p w:rsidR="00DE4C1E" w:rsidRPr="00D34016" w:rsidRDefault="00DE4C1E" w:rsidP="007B6DD5">
            <w:pPr>
              <w:rPr>
                <w:color w:val="000000"/>
                <w:sz w:val="18"/>
                <w:szCs w:val="18"/>
              </w:rPr>
            </w:pPr>
            <w:r w:rsidRPr="00D34016">
              <w:rPr>
                <w:color w:val="000000"/>
                <w:sz w:val="18"/>
                <w:szCs w:val="18"/>
              </w:rPr>
              <w:t xml:space="preserve">V rámci OI 3.1 splněno. Všem projektům v zásobníku bylo vydáno </w:t>
            </w:r>
            <w:proofErr w:type="spellStart"/>
            <w:r w:rsidRPr="00D34016">
              <w:rPr>
                <w:color w:val="000000"/>
                <w:sz w:val="18"/>
                <w:szCs w:val="18"/>
              </w:rPr>
              <w:t>RoD</w:t>
            </w:r>
            <w:proofErr w:type="spellEnd"/>
            <w:r w:rsidRPr="00D34016">
              <w:rPr>
                <w:color w:val="000000"/>
                <w:sz w:val="18"/>
                <w:szCs w:val="18"/>
              </w:rPr>
              <w:t>.</w:t>
            </w:r>
            <w:r w:rsidRPr="00D34016">
              <w:rPr>
                <w:color w:val="000000"/>
                <w:sz w:val="18"/>
                <w:szCs w:val="18"/>
              </w:rPr>
              <w:br/>
            </w:r>
            <w:r w:rsidRPr="00D34016">
              <w:rPr>
                <w:color w:val="000000"/>
                <w:sz w:val="18"/>
                <w:szCs w:val="18"/>
              </w:rPr>
              <w:br/>
              <w:t xml:space="preserve">V rámci OI 2.1 Splněno částečně. Z důvodů pozdržení 99 projektů bylo potřeba oslovit všechny potenciální příjemce, aby podali oznámení o změně. 4 projekty zbývají k hodnocení, ostatní projekty jsou v procesu hodnocení nebo už je vydáno rozhodnutí ministra (VRM). Vydání </w:t>
            </w:r>
            <w:proofErr w:type="spellStart"/>
            <w:r w:rsidRPr="00D34016">
              <w:rPr>
                <w:color w:val="000000"/>
                <w:sz w:val="18"/>
                <w:szCs w:val="18"/>
              </w:rPr>
              <w:t>RoD</w:t>
            </w:r>
            <w:proofErr w:type="spellEnd"/>
            <w:r w:rsidRPr="00D34016">
              <w:rPr>
                <w:color w:val="000000"/>
                <w:sz w:val="18"/>
                <w:szCs w:val="18"/>
              </w:rPr>
              <w:t xml:space="preserve"> zbývá cca u 30 projektů. Do konce března by mělo být vydáno </w:t>
            </w:r>
            <w:proofErr w:type="spellStart"/>
            <w:r w:rsidRPr="00D34016">
              <w:rPr>
                <w:color w:val="000000"/>
                <w:sz w:val="18"/>
                <w:szCs w:val="18"/>
              </w:rPr>
              <w:t>RoD</w:t>
            </w:r>
            <w:proofErr w:type="spellEnd"/>
            <w:r w:rsidRPr="00D34016">
              <w:rPr>
                <w:color w:val="000000"/>
                <w:sz w:val="18"/>
                <w:szCs w:val="18"/>
              </w:rPr>
              <w:t xml:space="preserve"> ke zbývajícím projektům.</w:t>
            </w:r>
          </w:p>
        </w:tc>
        <w:tc>
          <w:tcPr>
            <w:tcW w:w="748" w:type="pct"/>
            <w:shd w:val="clear" w:color="000000" w:fill="FFFFFF"/>
            <w:vAlign w:val="center"/>
            <w:hideMark/>
          </w:tcPr>
          <w:p w:rsidR="00DE4C1E" w:rsidRPr="00D34016" w:rsidRDefault="00DE4C1E" w:rsidP="007B6DD5">
            <w:pPr>
              <w:rPr>
                <w:color w:val="000000"/>
                <w:sz w:val="18"/>
                <w:szCs w:val="18"/>
              </w:rPr>
            </w:pPr>
            <w:r w:rsidRPr="00D34016">
              <w:rPr>
                <w:color w:val="000000"/>
                <w:sz w:val="18"/>
                <w:szCs w:val="18"/>
              </w:rPr>
              <w:t xml:space="preserve">V rámci OI 3.1 splněno. Všem projektům v zásobníku bylo vydáno </w:t>
            </w:r>
            <w:proofErr w:type="spellStart"/>
            <w:r w:rsidRPr="00D34016">
              <w:rPr>
                <w:color w:val="000000"/>
                <w:sz w:val="18"/>
                <w:szCs w:val="18"/>
              </w:rPr>
              <w:t>RoD</w:t>
            </w:r>
            <w:proofErr w:type="spellEnd"/>
            <w:r w:rsidRPr="00D34016">
              <w:rPr>
                <w:color w:val="000000"/>
                <w:sz w:val="18"/>
                <w:szCs w:val="18"/>
              </w:rPr>
              <w:t>.</w:t>
            </w:r>
            <w:r w:rsidRPr="00D34016">
              <w:rPr>
                <w:color w:val="000000"/>
                <w:sz w:val="18"/>
                <w:szCs w:val="18"/>
              </w:rPr>
              <w:br/>
            </w:r>
            <w:r w:rsidRPr="00D34016">
              <w:rPr>
                <w:color w:val="000000"/>
                <w:sz w:val="18"/>
                <w:szCs w:val="18"/>
              </w:rPr>
              <w:br/>
              <w:t xml:space="preserve">V rámci OI 2.1 Splněno částečně. Všechny projekty prošly hodnocením, k </w:t>
            </w:r>
            <w:proofErr w:type="spellStart"/>
            <w:proofErr w:type="gramStart"/>
            <w:r w:rsidRPr="00D34016">
              <w:rPr>
                <w:color w:val="000000"/>
                <w:sz w:val="18"/>
                <w:szCs w:val="18"/>
              </w:rPr>
              <w:t>RoD</w:t>
            </w:r>
            <w:proofErr w:type="spellEnd"/>
            <w:proofErr w:type="gramEnd"/>
            <w:r w:rsidRPr="00D34016">
              <w:rPr>
                <w:color w:val="000000"/>
                <w:sz w:val="18"/>
                <w:szCs w:val="18"/>
              </w:rPr>
              <w:t xml:space="preserve"> zbývá 10 projektů. Do konce dubna by mělo být vydáno </w:t>
            </w:r>
            <w:proofErr w:type="spellStart"/>
            <w:r w:rsidRPr="00D34016">
              <w:rPr>
                <w:color w:val="000000"/>
                <w:sz w:val="18"/>
                <w:szCs w:val="18"/>
              </w:rPr>
              <w:t>RoD</w:t>
            </w:r>
            <w:proofErr w:type="spellEnd"/>
            <w:r w:rsidRPr="00D34016">
              <w:rPr>
                <w:color w:val="000000"/>
                <w:sz w:val="18"/>
                <w:szCs w:val="18"/>
              </w:rPr>
              <w:t xml:space="preserve"> ke zbývajícím projektům.</w:t>
            </w:r>
          </w:p>
        </w:tc>
        <w:tc>
          <w:tcPr>
            <w:tcW w:w="1020" w:type="pct"/>
            <w:shd w:val="clear" w:color="000000" w:fill="FFFFFF"/>
            <w:vAlign w:val="center"/>
          </w:tcPr>
          <w:p w:rsidR="00DE4C1E" w:rsidRPr="0034246E" w:rsidRDefault="00DE4C1E" w:rsidP="00DE4C1E">
            <w:pPr>
              <w:jc w:val="center"/>
              <w:rPr>
                <w:color w:val="000000"/>
                <w:sz w:val="18"/>
                <w:szCs w:val="18"/>
              </w:rPr>
            </w:pPr>
            <w:r>
              <w:rPr>
                <w:color w:val="000000"/>
                <w:sz w:val="18"/>
                <w:szCs w:val="18"/>
              </w:rPr>
              <w:t>Splněno</w:t>
            </w:r>
          </w:p>
          <w:p w:rsidR="00DE4C1E" w:rsidRPr="00D34016" w:rsidRDefault="00DE4C1E" w:rsidP="00DE4C1E">
            <w:pPr>
              <w:jc w:val="center"/>
              <w:rPr>
                <w:color w:val="000000"/>
                <w:sz w:val="18"/>
                <w:szCs w:val="18"/>
              </w:rPr>
            </w:pPr>
          </w:p>
        </w:tc>
      </w:tr>
      <w:tr w:rsidR="00DE4C1E" w:rsidRPr="00D34016" w:rsidTr="00DE4C1E">
        <w:trPr>
          <w:trHeight w:val="2115"/>
        </w:trPr>
        <w:tc>
          <w:tcPr>
            <w:tcW w:w="467" w:type="pct"/>
            <w:vMerge/>
            <w:vAlign w:val="center"/>
            <w:hideMark/>
          </w:tcPr>
          <w:p w:rsidR="00DE4C1E" w:rsidRPr="00D34016" w:rsidRDefault="00DE4C1E" w:rsidP="007B6DD5">
            <w:pPr>
              <w:rPr>
                <w:b/>
                <w:bCs/>
                <w:color w:val="000000"/>
                <w:sz w:val="18"/>
                <w:szCs w:val="18"/>
              </w:rPr>
            </w:pPr>
          </w:p>
        </w:tc>
        <w:tc>
          <w:tcPr>
            <w:tcW w:w="279" w:type="pct"/>
            <w:shd w:val="clear" w:color="000000" w:fill="FFFFFF"/>
            <w:vAlign w:val="center"/>
            <w:hideMark/>
          </w:tcPr>
          <w:p w:rsidR="00DE4C1E" w:rsidRPr="00D34016" w:rsidRDefault="00DE4C1E" w:rsidP="007B6DD5">
            <w:pPr>
              <w:jc w:val="center"/>
              <w:rPr>
                <w:color w:val="000000"/>
                <w:sz w:val="18"/>
                <w:szCs w:val="18"/>
              </w:rPr>
            </w:pPr>
            <w:r w:rsidRPr="00D34016">
              <w:rPr>
                <w:color w:val="000000"/>
                <w:sz w:val="18"/>
                <w:szCs w:val="18"/>
              </w:rPr>
              <w:t>4.1</w:t>
            </w:r>
          </w:p>
        </w:tc>
        <w:tc>
          <w:tcPr>
            <w:tcW w:w="637" w:type="pct"/>
            <w:shd w:val="clear" w:color="000000" w:fill="FFFFFF"/>
            <w:vAlign w:val="center"/>
            <w:hideMark/>
          </w:tcPr>
          <w:p w:rsidR="00DE4C1E" w:rsidRPr="00D34016" w:rsidRDefault="00DE4C1E" w:rsidP="007B6DD5">
            <w:pPr>
              <w:rPr>
                <w:color w:val="000000"/>
                <w:sz w:val="18"/>
                <w:szCs w:val="18"/>
              </w:rPr>
            </w:pPr>
            <w:r w:rsidRPr="00D34016">
              <w:rPr>
                <w:color w:val="000000"/>
                <w:sz w:val="18"/>
                <w:szCs w:val="18"/>
              </w:rPr>
              <w:t>Provést mapování projektů podpořených z národních zdrojů, které by splňovaly podmínky programu. Zahrnout do mapování i projekty, které by splňovaly podmínky po revizi programu.</w:t>
            </w:r>
          </w:p>
        </w:tc>
        <w:tc>
          <w:tcPr>
            <w:tcW w:w="295" w:type="pct"/>
            <w:shd w:val="clear" w:color="auto" w:fill="auto"/>
            <w:vAlign w:val="center"/>
            <w:hideMark/>
          </w:tcPr>
          <w:p w:rsidR="00DE4C1E" w:rsidRPr="00D34016" w:rsidRDefault="00DE4C1E" w:rsidP="007B6DD5">
            <w:pPr>
              <w:jc w:val="center"/>
              <w:rPr>
                <w:color w:val="000000"/>
                <w:sz w:val="18"/>
                <w:szCs w:val="18"/>
              </w:rPr>
            </w:pPr>
            <w:r w:rsidRPr="00D34016">
              <w:rPr>
                <w:color w:val="000000"/>
                <w:sz w:val="18"/>
                <w:szCs w:val="18"/>
              </w:rPr>
              <w:t>ŘO</w:t>
            </w:r>
          </w:p>
        </w:tc>
        <w:tc>
          <w:tcPr>
            <w:tcW w:w="334" w:type="pct"/>
            <w:shd w:val="clear" w:color="auto" w:fill="auto"/>
            <w:vAlign w:val="center"/>
            <w:hideMark/>
          </w:tcPr>
          <w:p w:rsidR="00DE4C1E" w:rsidRPr="00D34016" w:rsidRDefault="00DE4C1E" w:rsidP="007B6DD5">
            <w:pPr>
              <w:jc w:val="center"/>
              <w:rPr>
                <w:color w:val="000000"/>
                <w:sz w:val="18"/>
                <w:szCs w:val="18"/>
              </w:rPr>
            </w:pPr>
            <w:r w:rsidRPr="00D34016">
              <w:rPr>
                <w:color w:val="000000"/>
                <w:sz w:val="18"/>
                <w:szCs w:val="18"/>
              </w:rPr>
              <w:t>do 28. 2. 2015</w:t>
            </w:r>
          </w:p>
        </w:tc>
        <w:tc>
          <w:tcPr>
            <w:tcW w:w="467" w:type="pct"/>
            <w:shd w:val="clear" w:color="auto" w:fill="auto"/>
            <w:vAlign w:val="center"/>
            <w:hideMark/>
          </w:tcPr>
          <w:p w:rsidR="00DE4C1E" w:rsidRPr="00D34016" w:rsidRDefault="00DE4C1E" w:rsidP="007B6DD5">
            <w:pPr>
              <w:rPr>
                <w:color w:val="000000"/>
                <w:sz w:val="18"/>
                <w:szCs w:val="18"/>
              </w:rPr>
            </w:pPr>
            <w:r w:rsidRPr="00D34016">
              <w:rPr>
                <w:color w:val="000000"/>
                <w:sz w:val="18"/>
                <w:szCs w:val="18"/>
              </w:rPr>
              <w:t xml:space="preserve">Řídící orgán IOP bude informovat MMR-NOK v rámci vykazování postupu plnění krizového plánu v intervalech daných usnesením vlády o počtu a objemu prostředků z ne/dokončených projektů podpořených z </w:t>
            </w:r>
            <w:r w:rsidRPr="00D34016">
              <w:rPr>
                <w:color w:val="000000"/>
                <w:sz w:val="18"/>
                <w:szCs w:val="18"/>
              </w:rPr>
              <w:lastRenderedPageBreak/>
              <w:t>národních zdrojů. U všech projektů vyznačí, zda je možné je podpořit z IOP. U projektů, které nesplňují podmínky IOP uvede návrhy na úpravy programového dokumentu IOP.</w:t>
            </w:r>
          </w:p>
        </w:tc>
        <w:tc>
          <w:tcPr>
            <w:tcW w:w="753" w:type="pct"/>
            <w:shd w:val="clear" w:color="000000" w:fill="FFFFFF"/>
            <w:vAlign w:val="center"/>
            <w:hideMark/>
          </w:tcPr>
          <w:p w:rsidR="00DE4C1E" w:rsidRPr="00D34016" w:rsidRDefault="00DE4C1E" w:rsidP="007B6DD5">
            <w:pPr>
              <w:rPr>
                <w:color w:val="000000"/>
                <w:sz w:val="18"/>
                <w:szCs w:val="18"/>
              </w:rPr>
            </w:pPr>
            <w:r w:rsidRPr="00D34016">
              <w:rPr>
                <w:color w:val="000000"/>
                <w:sz w:val="18"/>
                <w:szCs w:val="18"/>
              </w:rPr>
              <w:lastRenderedPageBreak/>
              <w:t>ŘO IOP provedl průzkum a nezjistil, že by takové projekty ve významnějších objemech existovaly.</w:t>
            </w:r>
          </w:p>
        </w:tc>
        <w:tc>
          <w:tcPr>
            <w:tcW w:w="748" w:type="pct"/>
            <w:shd w:val="clear" w:color="000000" w:fill="FFFFFF"/>
            <w:vAlign w:val="center"/>
            <w:hideMark/>
          </w:tcPr>
          <w:p w:rsidR="00DE4C1E" w:rsidRPr="00D34016" w:rsidRDefault="00DE4C1E" w:rsidP="007B6DD5">
            <w:pPr>
              <w:rPr>
                <w:color w:val="000000"/>
                <w:sz w:val="18"/>
                <w:szCs w:val="18"/>
              </w:rPr>
            </w:pPr>
            <w:r w:rsidRPr="00D34016">
              <w:rPr>
                <w:color w:val="000000"/>
                <w:sz w:val="18"/>
                <w:szCs w:val="18"/>
              </w:rPr>
              <w:t>ŘO IOP provedl průzkum a nezjistil, že by takové projekty ve významnějších objemech existovaly.</w:t>
            </w:r>
          </w:p>
        </w:tc>
        <w:tc>
          <w:tcPr>
            <w:tcW w:w="1020" w:type="pct"/>
            <w:shd w:val="clear" w:color="000000" w:fill="FFFFFF"/>
            <w:vAlign w:val="center"/>
          </w:tcPr>
          <w:p w:rsidR="00DE4C1E" w:rsidRPr="0034246E" w:rsidRDefault="00DE4C1E" w:rsidP="00DE4C1E">
            <w:pPr>
              <w:rPr>
                <w:color w:val="000000"/>
                <w:sz w:val="18"/>
                <w:szCs w:val="18"/>
              </w:rPr>
            </w:pPr>
            <w:r w:rsidRPr="0034246E">
              <w:rPr>
                <w:color w:val="000000"/>
                <w:sz w:val="18"/>
                <w:szCs w:val="18"/>
              </w:rPr>
              <w:t>Nerelevantní. ŘO IOP provedl průzkum a nezjistil, že by takové projekty ve významnějších objemech existovaly.</w:t>
            </w:r>
          </w:p>
          <w:p w:rsidR="00DE4C1E" w:rsidRPr="00D34016" w:rsidRDefault="00DE4C1E" w:rsidP="00DE4C1E">
            <w:pPr>
              <w:rPr>
                <w:color w:val="000000"/>
                <w:sz w:val="18"/>
                <w:szCs w:val="18"/>
              </w:rPr>
            </w:pPr>
          </w:p>
        </w:tc>
      </w:tr>
      <w:tr w:rsidR="00DE4C1E" w:rsidRPr="00D34016" w:rsidTr="00DE4C1E">
        <w:trPr>
          <w:trHeight w:val="885"/>
        </w:trPr>
        <w:tc>
          <w:tcPr>
            <w:tcW w:w="467" w:type="pct"/>
            <w:vMerge/>
            <w:vAlign w:val="center"/>
            <w:hideMark/>
          </w:tcPr>
          <w:p w:rsidR="00DE4C1E" w:rsidRPr="00D34016" w:rsidRDefault="00DE4C1E" w:rsidP="007B6DD5">
            <w:pPr>
              <w:rPr>
                <w:b/>
                <w:bCs/>
                <w:color w:val="000000"/>
                <w:sz w:val="18"/>
                <w:szCs w:val="18"/>
              </w:rPr>
            </w:pPr>
          </w:p>
        </w:tc>
        <w:tc>
          <w:tcPr>
            <w:tcW w:w="279" w:type="pct"/>
            <w:shd w:val="clear" w:color="000000" w:fill="FFFFFF"/>
            <w:vAlign w:val="center"/>
            <w:hideMark/>
          </w:tcPr>
          <w:p w:rsidR="00DE4C1E" w:rsidRPr="00D34016" w:rsidRDefault="00DE4C1E" w:rsidP="007B6DD5">
            <w:pPr>
              <w:jc w:val="center"/>
              <w:rPr>
                <w:color w:val="000000"/>
                <w:sz w:val="18"/>
                <w:szCs w:val="18"/>
              </w:rPr>
            </w:pPr>
            <w:r w:rsidRPr="00D34016">
              <w:rPr>
                <w:color w:val="000000"/>
                <w:sz w:val="18"/>
                <w:szCs w:val="18"/>
              </w:rPr>
              <w:t>4.2</w:t>
            </w:r>
          </w:p>
        </w:tc>
        <w:tc>
          <w:tcPr>
            <w:tcW w:w="637" w:type="pct"/>
            <w:shd w:val="clear" w:color="000000" w:fill="FFFFFF"/>
            <w:vAlign w:val="center"/>
            <w:hideMark/>
          </w:tcPr>
          <w:p w:rsidR="00DE4C1E" w:rsidRPr="00D34016" w:rsidRDefault="00DE4C1E" w:rsidP="007B6DD5">
            <w:pPr>
              <w:rPr>
                <w:sz w:val="18"/>
                <w:szCs w:val="18"/>
              </w:rPr>
            </w:pPr>
            <w:r w:rsidRPr="00D34016">
              <w:rPr>
                <w:sz w:val="18"/>
                <w:szCs w:val="18"/>
              </w:rPr>
              <w:t>Vyhlásit nové výzvy na projekty identifikované v rámci opatření 4.1.</w:t>
            </w:r>
          </w:p>
        </w:tc>
        <w:tc>
          <w:tcPr>
            <w:tcW w:w="295" w:type="pct"/>
            <w:shd w:val="clear" w:color="auto" w:fill="auto"/>
            <w:vAlign w:val="center"/>
            <w:hideMark/>
          </w:tcPr>
          <w:p w:rsidR="00DE4C1E" w:rsidRPr="00D34016" w:rsidRDefault="00DE4C1E" w:rsidP="007B6DD5">
            <w:pPr>
              <w:jc w:val="center"/>
              <w:rPr>
                <w:color w:val="000000"/>
                <w:sz w:val="18"/>
                <w:szCs w:val="18"/>
              </w:rPr>
            </w:pPr>
            <w:r w:rsidRPr="00D34016">
              <w:rPr>
                <w:color w:val="000000"/>
                <w:sz w:val="18"/>
                <w:szCs w:val="18"/>
              </w:rPr>
              <w:t>ŘO</w:t>
            </w:r>
            <w:r w:rsidRPr="00D34016">
              <w:rPr>
                <w:color w:val="000000"/>
                <w:sz w:val="18"/>
                <w:szCs w:val="18"/>
              </w:rPr>
              <w:br/>
              <w:t>ZS</w:t>
            </w:r>
          </w:p>
        </w:tc>
        <w:tc>
          <w:tcPr>
            <w:tcW w:w="334" w:type="pct"/>
            <w:shd w:val="clear" w:color="auto" w:fill="auto"/>
            <w:vAlign w:val="center"/>
            <w:hideMark/>
          </w:tcPr>
          <w:p w:rsidR="00DE4C1E" w:rsidRPr="00D34016" w:rsidRDefault="00DE4C1E" w:rsidP="007B6DD5">
            <w:pPr>
              <w:jc w:val="center"/>
              <w:rPr>
                <w:color w:val="000000"/>
                <w:sz w:val="18"/>
                <w:szCs w:val="18"/>
              </w:rPr>
            </w:pPr>
            <w:r w:rsidRPr="00D34016">
              <w:rPr>
                <w:color w:val="000000"/>
                <w:sz w:val="18"/>
                <w:szCs w:val="18"/>
              </w:rPr>
              <w:t>do 31. 3. 2015</w:t>
            </w:r>
          </w:p>
        </w:tc>
        <w:tc>
          <w:tcPr>
            <w:tcW w:w="467" w:type="pct"/>
            <w:shd w:val="clear" w:color="auto" w:fill="auto"/>
            <w:vAlign w:val="center"/>
            <w:hideMark/>
          </w:tcPr>
          <w:p w:rsidR="00DE4C1E" w:rsidRPr="00D34016" w:rsidRDefault="00DE4C1E" w:rsidP="007B6DD5">
            <w:pPr>
              <w:rPr>
                <w:color w:val="000000"/>
                <w:sz w:val="18"/>
                <w:szCs w:val="18"/>
              </w:rPr>
            </w:pPr>
            <w:r w:rsidRPr="00D34016">
              <w:rPr>
                <w:color w:val="000000"/>
                <w:sz w:val="18"/>
                <w:szCs w:val="18"/>
              </w:rPr>
              <w:t>MMR-NOK ověří vyhlášení výzev na internetových stránkách IOP.</w:t>
            </w:r>
          </w:p>
        </w:tc>
        <w:tc>
          <w:tcPr>
            <w:tcW w:w="753" w:type="pct"/>
            <w:shd w:val="clear" w:color="auto" w:fill="auto"/>
            <w:noWrap/>
            <w:vAlign w:val="center"/>
            <w:hideMark/>
          </w:tcPr>
          <w:p w:rsidR="00DE4C1E" w:rsidRPr="00D34016" w:rsidRDefault="00DE4C1E" w:rsidP="007B6DD5">
            <w:pPr>
              <w:jc w:val="center"/>
              <w:rPr>
                <w:color w:val="000000"/>
                <w:sz w:val="18"/>
                <w:szCs w:val="18"/>
              </w:rPr>
            </w:pPr>
            <w:r w:rsidRPr="00D34016">
              <w:rPr>
                <w:color w:val="000000"/>
                <w:sz w:val="18"/>
                <w:szCs w:val="18"/>
              </w:rPr>
              <w:t>NR</w:t>
            </w:r>
          </w:p>
        </w:tc>
        <w:tc>
          <w:tcPr>
            <w:tcW w:w="748" w:type="pct"/>
            <w:shd w:val="clear" w:color="auto" w:fill="auto"/>
            <w:vAlign w:val="center"/>
            <w:hideMark/>
          </w:tcPr>
          <w:p w:rsidR="00DE4C1E" w:rsidRPr="00D34016" w:rsidRDefault="00DE4C1E" w:rsidP="007B6DD5">
            <w:pPr>
              <w:rPr>
                <w:sz w:val="18"/>
                <w:szCs w:val="18"/>
              </w:rPr>
            </w:pPr>
            <w:r w:rsidRPr="00D34016">
              <w:rPr>
                <w:sz w:val="18"/>
                <w:szCs w:val="18"/>
              </w:rPr>
              <w:t xml:space="preserve">Vzhledem k výše uvedenému nebude toto opatření uplatněno. </w:t>
            </w:r>
          </w:p>
        </w:tc>
        <w:tc>
          <w:tcPr>
            <w:tcW w:w="1020" w:type="pct"/>
            <w:vAlign w:val="center"/>
          </w:tcPr>
          <w:p w:rsidR="00DE4C1E" w:rsidRPr="0034246E" w:rsidRDefault="00DE4C1E" w:rsidP="00DE4C1E">
            <w:pPr>
              <w:rPr>
                <w:color w:val="000000"/>
                <w:sz w:val="18"/>
                <w:szCs w:val="18"/>
              </w:rPr>
            </w:pPr>
            <w:r w:rsidRPr="0034246E">
              <w:rPr>
                <w:color w:val="000000"/>
                <w:sz w:val="18"/>
                <w:szCs w:val="18"/>
              </w:rPr>
              <w:t>Vzhledem k výše uvedenému nebude toto opatření uplatněno.</w:t>
            </w:r>
          </w:p>
        </w:tc>
      </w:tr>
      <w:tr w:rsidR="00DE4C1E" w:rsidRPr="00D34016" w:rsidTr="00DE4C1E">
        <w:trPr>
          <w:trHeight w:val="3300"/>
        </w:trPr>
        <w:tc>
          <w:tcPr>
            <w:tcW w:w="467" w:type="pct"/>
            <w:vMerge/>
            <w:vAlign w:val="center"/>
            <w:hideMark/>
          </w:tcPr>
          <w:p w:rsidR="00DE4C1E" w:rsidRPr="00D34016" w:rsidRDefault="00DE4C1E" w:rsidP="007B6DD5">
            <w:pPr>
              <w:rPr>
                <w:b/>
                <w:bCs/>
                <w:color w:val="000000"/>
                <w:sz w:val="18"/>
                <w:szCs w:val="18"/>
              </w:rPr>
            </w:pPr>
          </w:p>
        </w:tc>
        <w:tc>
          <w:tcPr>
            <w:tcW w:w="279" w:type="pct"/>
            <w:shd w:val="clear" w:color="000000" w:fill="FFFFFF"/>
            <w:vAlign w:val="center"/>
            <w:hideMark/>
          </w:tcPr>
          <w:p w:rsidR="00DE4C1E" w:rsidRPr="00D34016" w:rsidRDefault="00DE4C1E" w:rsidP="007B6DD5">
            <w:pPr>
              <w:jc w:val="center"/>
              <w:rPr>
                <w:color w:val="000000"/>
                <w:sz w:val="18"/>
                <w:szCs w:val="18"/>
              </w:rPr>
            </w:pPr>
            <w:r w:rsidRPr="00D34016">
              <w:rPr>
                <w:color w:val="000000"/>
                <w:sz w:val="18"/>
                <w:szCs w:val="18"/>
              </w:rPr>
              <w:t>5</w:t>
            </w:r>
          </w:p>
        </w:tc>
        <w:tc>
          <w:tcPr>
            <w:tcW w:w="637" w:type="pct"/>
            <w:shd w:val="clear" w:color="000000" w:fill="FFFFFF"/>
            <w:vAlign w:val="center"/>
            <w:hideMark/>
          </w:tcPr>
          <w:p w:rsidR="00DE4C1E" w:rsidRPr="00D34016" w:rsidRDefault="00DE4C1E" w:rsidP="007B6DD5">
            <w:pPr>
              <w:rPr>
                <w:color w:val="000000"/>
                <w:sz w:val="18"/>
                <w:szCs w:val="18"/>
              </w:rPr>
            </w:pPr>
            <w:r w:rsidRPr="00D34016">
              <w:rPr>
                <w:color w:val="000000"/>
                <w:sz w:val="18"/>
                <w:szCs w:val="18"/>
              </w:rPr>
              <w:t xml:space="preserve">Provést mapování možných nových aktivit v oblasti podpory 5.2. Na základě mapování navýšit alokaci na stávající Finanční nástroj JESSICA, případně vytvořit nový finanční nástroj dle platných pravidel. </w:t>
            </w:r>
          </w:p>
        </w:tc>
        <w:tc>
          <w:tcPr>
            <w:tcW w:w="295" w:type="pct"/>
            <w:shd w:val="clear" w:color="auto" w:fill="auto"/>
            <w:vAlign w:val="center"/>
            <w:hideMark/>
          </w:tcPr>
          <w:p w:rsidR="00DE4C1E" w:rsidRPr="00D34016" w:rsidRDefault="00DE4C1E" w:rsidP="007B6DD5">
            <w:pPr>
              <w:jc w:val="center"/>
              <w:rPr>
                <w:color w:val="000000"/>
                <w:sz w:val="18"/>
                <w:szCs w:val="18"/>
              </w:rPr>
            </w:pPr>
            <w:r w:rsidRPr="00D34016">
              <w:rPr>
                <w:color w:val="000000"/>
                <w:sz w:val="18"/>
                <w:szCs w:val="18"/>
              </w:rPr>
              <w:t>ŘO</w:t>
            </w:r>
          </w:p>
        </w:tc>
        <w:tc>
          <w:tcPr>
            <w:tcW w:w="334" w:type="pct"/>
            <w:shd w:val="clear" w:color="auto" w:fill="auto"/>
            <w:vAlign w:val="center"/>
            <w:hideMark/>
          </w:tcPr>
          <w:p w:rsidR="00DE4C1E" w:rsidRPr="00D34016" w:rsidRDefault="00DE4C1E" w:rsidP="007B6DD5">
            <w:pPr>
              <w:jc w:val="center"/>
              <w:rPr>
                <w:color w:val="000000"/>
                <w:sz w:val="18"/>
                <w:szCs w:val="18"/>
              </w:rPr>
            </w:pPr>
            <w:r w:rsidRPr="00D34016">
              <w:rPr>
                <w:color w:val="000000"/>
                <w:sz w:val="18"/>
                <w:szCs w:val="18"/>
              </w:rPr>
              <w:t>do 31. 3. 2015</w:t>
            </w:r>
          </w:p>
        </w:tc>
        <w:tc>
          <w:tcPr>
            <w:tcW w:w="467" w:type="pct"/>
            <w:shd w:val="clear" w:color="auto" w:fill="auto"/>
            <w:vAlign w:val="center"/>
            <w:hideMark/>
          </w:tcPr>
          <w:p w:rsidR="00DE4C1E" w:rsidRPr="00D34016" w:rsidRDefault="00DE4C1E" w:rsidP="007B6DD5">
            <w:pPr>
              <w:rPr>
                <w:color w:val="000000"/>
                <w:sz w:val="18"/>
                <w:szCs w:val="18"/>
              </w:rPr>
            </w:pPr>
            <w:r w:rsidRPr="00D34016">
              <w:rPr>
                <w:color w:val="000000"/>
                <w:sz w:val="18"/>
                <w:szCs w:val="18"/>
              </w:rPr>
              <w:t xml:space="preserve">Řídící orgán IOP bude informovat MMR-NOK v rámci vykazování postupu plnění krizového plánu v intervalech daných usnesením vlády o výsledcích mapování nových aktivit a návrhu dalšího řešení (navýšení alokace FN Jessica či </w:t>
            </w:r>
            <w:r w:rsidRPr="00D34016">
              <w:rPr>
                <w:color w:val="000000"/>
                <w:sz w:val="18"/>
                <w:szCs w:val="18"/>
              </w:rPr>
              <w:lastRenderedPageBreak/>
              <w:t xml:space="preserve">vytvoření nového FN), včetně harmonogramu kroků.  </w:t>
            </w:r>
          </w:p>
        </w:tc>
        <w:tc>
          <w:tcPr>
            <w:tcW w:w="753" w:type="pct"/>
            <w:shd w:val="clear" w:color="auto" w:fill="auto"/>
            <w:noWrap/>
            <w:vAlign w:val="center"/>
            <w:hideMark/>
          </w:tcPr>
          <w:p w:rsidR="00DE4C1E" w:rsidRPr="00D34016" w:rsidRDefault="00DE4C1E" w:rsidP="007B6DD5">
            <w:pPr>
              <w:jc w:val="center"/>
              <w:rPr>
                <w:color w:val="000000"/>
                <w:sz w:val="18"/>
                <w:szCs w:val="18"/>
              </w:rPr>
            </w:pPr>
            <w:r w:rsidRPr="00D34016">
              <w:rPr>
                <w:color w:val="000000"/>
                <w:sz w:val="18"/>
                <w:szCs w:val="18"/>
              </w:rPr>
              <w:lastRenderedPageBreak/>
              <w:t>NR</w:t>
            </w:r>
          </w:p>
        </w:tc>
        <w:tc>
          <w:tcPr>
            <w:tcW w:w="748" w:type="pct"/>
            <w:shd w:val="clear" w:color="auto" w:fill="auto"/>
            <w:vAlign w:val="center"/>
            <w:hideMark/>
          </w:tcPr>
          <w:p w:rsidR="00DE4C1E" w:rsidRPr="00D34016" w:rsidRDefault="00DE4C1E" w:rsidP="00926C07">
            <w:pPr>
              <w:rPr>
                <w:color w:val="000000"/>
                <w:sz w:val="18"/>
                <w:szCs w:val="18"/>
              </w:rPr>
            </w:pPr>
            <w:r w:rsidRPr="00D34016">
              <w:rPr>
                <w:color w:val="000000"/>
                <w:sz w:val="18"/>
                <w:szCs w:val="18"/>
              </w:rPr>
              <w:t xml:space="preserve">ŘO IOP provedl mapování absorpční kapacity </w:t>
            </w:r>
            <w:r w:rsidR="00926C07">
              <w:rPr>
                <w:color w:val="000000"/>
                <w:sz w:val="18"/>
                <w:szCs w:val="18"/>
              </w:rPr>
              <w:t>a</w:t>
            </w:r>
            <w:r w:rsidRPr="00D34016">
              <w:rPr>
                <w:color w:val="000000"/>
                <w:sz w:val="18"/>
                <w:szCs w:val="18"/>
              </w:rPr>
              <w:t xml:space="preserve"> zji</w:t>
            </w:r>
            <w:r w:rsidR="00926C07">
              <w:rPr>
                <w:color w:val="000000"/>
                <w:sz w:val="18"/>
                <w:szCs w:val="18"/>
              </w:rPr>
              <w:t>stil</w:t>
            </w:r>
            <w:r w:rsidRPr="00D34016">
              <w:rPr>
                <w:color w:val="000000"/>
                <w:sz w:val="18"/>
                <w:szCs w:val="18"/>
              </w:rPr>
              <w:t xml:space="preserve"> nízký zájem o další pokračování realizace FN JESSICA v zónách IPRM. Na základě Nařízení  EK není možné provádět investice do oblasti bydlení tam, kde probíhá intervence bydlení mimo integrovaný přístup. Proto by bylo nutné realizovat další kolo FN JESSICA pouze ve stávajících zónách IPRM, kde je již absorpční kapacita vyčerpána. </w:t>
            </w:r>
            <w:r w:rsidR="00926C07">
              <w:rPr>
                <w:color w:val="000000"/>
                <w:sz w:val="18"/>
                <w:szCs w:val="18"/>
              </w:rPr>
              <w:t xml:space="preserve">Proto </w:t>
            </w:r>
            <w:r w:rsidRPr="00D34016">
              <w:rPr>
                <w:color w:val="000000"/>
                <w:sz w:val="18"/>
                <w:szCs w:val="18"/>
              </w:rPr>
              <w:t>nebude toto opatření uplatněno.</w:t>
            </w:r>
          </w:p>
        </w:tc>
        <w:tc>
          <w:tcPr>
            <w:tcW w:w="1020" w:type="pct"/>
            <w:vAlign w:val="center"/>
          </w:tcPr>
          <w:p w:rsidR="00DE4C1E" w:rsidRPr="0034246E" w:rsidRDefault="00DE4C1E" w:rsidP="00DE4C1E">
            <w:pPr>
              <w:rPr>
                <w:color w:val="000000"/>
                <w:sz w:val="18"/>
                <w:szCs w:val="18"/>
              </w:rPr>
            </w:pPr>
            <w:r w:rsidRPr="0034246E">
              <w:rPr>
                <w:color w:val="000000"/>
                <w:sz w:val="18"/>
                <w:szCs w:val="18"/>
              </w:rPr>
              <w:t xml:space="preserve">Nerelevantní. ŘO IOP provedl mapování absorpční </w:t>
            </w:r>
            <w:proofErr w:type="gramStart"/>
            <w:r w:rsidRPr="0034246E">
              <w:rPr>
                <w:color w:val="000000"/>
                <w:sz w:val="18"/>
                <w:szCs w:val="18"/>
              </w:rPr>
              <w:t>kapacity</w:t>
            </w:r>
            <w:r w:rsidR="00926C07">
              <w:rPr>
                <w:color w:val="000000"/>
                <w:sz w:val="18"/>
                <w:szCs w:val="18"/>
              </w:rPr>
              <w:t xml:space="preserve"> </w:t>
            </w:r>
            <w:r w:rsidRPr="0034246E">
              <w:rPr>
                <w:color w:val="000000"/>
                <w:sz w:val="18"/>
                <w:szCs w:val="18"/>
              </w:rPr>
              <w:t xml:space="preserve"> </w:t>
            </w:r>
            <w:r w:rsidR="00926C07">
              <w:rPr>
                <w:color w:val="000000"/>
                <w:sz w:val="18"/>
                <w:szCs w:val="18"/>
              </w:rPr>
              <w:t xml:space="preserve">a </w:t>
            </w:r>
            <w:r w:rsidRPr="0034246E">
              <w:rPr>
                <w:color w:val="000000"/>
                <w:sz w:val="18"/>
                <w:szCs w:val="18"/>
              </w:rPr>
              <w:t>zji</w:t>
            </w:r>
            <w:r w:rsidR="00926C07">
              <w:rPr>
                <w:color w:val="000000"/>
                <w:sz w:val="18"/>
                <w:szCs w:val="18"/>
              </w:rPr>
              <w:t>s</w:t>
            </w:r>
            <w:r w:rsidRPr="0034246E">
              <w:rPr>
                <w:color w:val="000000"/>
                <w:sz w:val="18"/>
                <w:szCs w:val="18"/>
              </w:rPr>
              <w:t>t</w:t>
            </w:r>
            <w:r w:rsidR="00926C07">
              <w:rPr>
                <w:color w:val="000000"/>
                <w:sz w:val="18"/>
                <w:szCs w:val="18"/>
              </w:rPr>
              <w:t>il</w:t>
            </w:r>
            <w:proofErr w:type="gramEnd"/>
            <w:r w:rsidRPr="0034246E">
              <w:rPr>
                <w:color w:val="000000"/>
                <w:sz w:val="18"/>
                <w:szCs w:val="18"/>
              </w:rPr>
              <w:t xml:space="preserve"> nízký zájem o další pokračování realizace FN JESSICA v zónách IPRM. Na základě Nařízení  EK není možné provádět investice do oblasti bydlení tam, kde probíhá intervence bydlení mimo integrovaný přístup. Proto by bylo nutné realizovat další kolo FN JESSICA pouze ve stávajících zónách IPRM, kde je již absorpční kapacita vyčerpána. </w:t>
            </w:r>
            <w:r w:rsidR="00926C07">
              <w:rPr>
                <w:color w:val="000000"/>
                <w:sz w:val="18"/>
                <w:szCs w:val="18"/>
              </w:rPr>
              <w:t xml:space="preserve">Proto </w:t>
            </w:r>
            <w:r w:rsidRPr="0034246E">
              <w:rPr>
                <w:color w:val="000000"/>
                <w:sz w:val="18"/>
                <w:szCs w:val="18"/>
              </w:rPr>
              <w:t>nebude toto opatření uplatněno.</w:t>
            </w:r>
          </w:p>
          <w:p w:rsidR="00DE4C1E" w:rsidRPr="00D34016" w:rsidRDefault="00DE4C1E" w:rsidP="00DE4C1E">
            <w:pPr>
              <w:rPr>
                <w:color w:val="000000"/>
                <w:sz w:val="18"/>
                <w:szCs w:val="18"/>
              </w:rPr>
            </w:pPr>
          </w:p>
        </w:tc>
      </w:tr>
      <w:tr w:rsidR="00DE4C1E" w:rsidRPr="00D34016" w:rsidTr="00DE4C1E">
        <w:trPr>
          <w:trHeight w:val="2040"/>
        </w:trPr>
        <w:tc>
          <w:tcPr>
            <w:tcW w:w="467" w:type="pct"/>
            <w:vMerge/>
            <w:vAlign w:val="center"/>
            <w:hideMark/>
          </w:tcPr>
          <w:p w:rsidR="00DE4C1E" w:rsidRPr="00D34016" w:rsidRDefault="00DE4C1E" w:rsidP="007B6DD5">
            <w:pPr>
              <w:rPr>
                <w:b/>
                <w:bCs/>
                <w:color w:val="000000"/>
                <w:sz w:val="18"/>
                <w:szCs w:val="18"/>
              </w:rPr>
            </w:pPr>
          </w:p>
        </w:tc>
        <w:tc>
          <w:tcPr>
            <w:tcW w:w="279" w:type="pct"/>
            <w:shd w:val="clear" w:color="000000" w:fill="FFFFFF"/>
            <w:vAlign w:val="center"/>
            <w:hideMark/>
          </w:tcPr>
          <w:p w:rsidR="00DE4C1E" w:rsidRPr="00D34016" w:rsidRDefault="00DE4C1E" w:rsidP="007B6DD5">
            <w:pPr>
              <w:jc w:val="center"/>
              <w:rPr>
                <w:color w:val="000000"/>
                <w:sz w:val="18"/>
                <w:szCs w:val="18"/>
              </w:rPr>
            </w:pPr>
            <w:r w:rsidRPr="00D34016">
              <w:rPr>
                <w:color w:val="000000"/>
                <w:sz w:val="18"/>
                <w:szCs w:val="18"/>
              </w:rPr>
              <w:t>6</w:t>
            </w:r>
          </w:p>
        </w:tc>
        <w:tc>
          <w:tcPr>
            <w:tcW w:w="637" w:type="pct"/>
            <w:shd w:val="clear" w:color="000000" w:fill="FFFFFF"/>
            <w:vAlign w:val="center"/>
            <w:hideMark/>
          </w:tcPr>
          <w:p w:rsidR="00DE4C1E" w:rsidRPr="00D34016" w:rsidRDefault="00DE4C1E" w:rsidP="007B6DD5">
            <w:pPr>
              <w:rPr>
                <w:color w:val="000000"/>
                <w:sz w:val="18"/>
                <w:szCs w:val="18"/>
              </w:rPr>
            </w:pPr>
            <w:r w:rsidRPr="00D34016">
              <w:rPr>
                <w:color w:val="000000"/>
                <w:sz w:val="18"/>
                <w:szCs w:val="18"/>
              </w:rPr>
              <w:t>Prověřit možnost vyhlášení fázovacích výzev na aktivity, které je možné podpořit jak z IOP, tak Integrovaného regionálního operačního programu. Na základě prověření upravit řídící dokumentaci a vyhlásit výzvy.</w:t>
            </w:r>
          </w:p>
        </w:tc>
        <w:tc>
          <w:tcPr>
            <w:tcW w:w="295" w:type="pct"/>
            <w:shd w:val="clear" w:color="auto" w:fill="auto"/>
            <w:vAlign w:val="center"/>
            <w:hideMark/>
          </w:tcPr>
          <w:p w:rsidR="00DE4C1E" w:rsidRPr="00D34016" w:rsidRDefault="00DE4C1E" w:rsidP="007B6DD5">
            <w:pPr>
              <w:jc w:val="center"/>
              <w:rPr>
                <w:color w:val="000000"/>
                <w:sz w:val="18"/>
                <w:szCs w:val="18"/>
              </w:rPr>
            </w:pPr>
            <w:r w:rsidRPr="00D34016">
              <w:rPr>
                <w:color w:val="000000"/>
                <w:sz w:val="18"/>
                <w:szCs w:val="18"/>
              </w:rPr>
              <w:t>ŘO</w:t>
            </w:r>
          </w:p>
        </w:tc>
        <w:tc>
          <w:tcPr>
            <w:tcW w:w="334" w:type="pct"/>
            <w:shd w:val="clear" w:color="auto" w:fill="auto"/>
            <w:vAlign w:val="center"/>
            <w:hideMark/>
          </w:tcPr>
          <w:p w:rsidR="00DE4C1E" w:rsidRPr="00D34016" w:rsidRDefault="00DE4C1E" w:rsidP="007B6DD5">
            <w:pPr>
              <w:jc w:val="center"/>
              <w:rPr>
                <w:color w:val="000000"/>
                <w:sz w:val="18"/>
                <w:szCs w:val="18"/>
              </w:rPr>
            </w:pPr>
            <w:r w:rsidRPr="00D34016">
              <w:rPr>
                <w:color w:val="000000"/>
                <w:sz w:val="18"/>
                <w:szCs w:val="18"/>
              </w:rPr>
              <w:t>do 31. 3. 2015</w:t>
            </w:r>
          </w:p>
        </w:tc>
        <w:tc>
          <w:tcPr>
            <w:tcW w:w="467" w:type="pct"/>
            <w:shd w:val="clear" w:color="auto" w:fill="auto"/>
            <w:vAlign w:val="center"/>
            <w:hideMark/>
          </w:tcPr>
          <w:p w:rsidR="00DE4C1E" w:rsidRPr="00D34016" w:rsidRDefault="00DE4C1E" w:rsidP="007B6DD5">
            <w:pPr>
              <w:rPr>
                <w:color w:val="000000"/>
                <w:sz w:val="18"/>
                <w:szCs w:val="18"/>
              </w:rPr>
            </w:pPr>
            <w:r w:rsidRPr="00D34016">
              <w:rPr>
                <w:color w:val="000000"/>
                <w:sz w:val="18"/>
                <w:szCs w:val="18"/>
              </w:rPr>
              <w:t xml:space="preserve">Řídící orgán IOP bude informovat MMR-NOK v rámci vykazování postupu plnění krizového plánu v intervalech daných usnesením vlády o výsledku prověření možnosti vyhlášení fázovacích výzev. Řídící orgán dodá MMR-NOK seznam oblastí podpory, kde je </w:t>
            </w:r>
            <w:r w:rsidRPr="00D34016">
              <w:rPr>
                <w:color w:val="000000"/>
                <w:sz w:val="18"/>
                <w:szCs w:val="18"/>
              </w:rPr>
              <w:lastRenderedPageBreak/>
              <w:t>prostor pro vyhlášení fázovacích výzev, včetně uvedení podporovaných aktivit, dále vyčíslení objemu prostředků.</w:t>
            </w:r>
          </w:p>
        </w:tc>
        <w:tc>
          <w:tcPr>
            <w:tcW w:w="753" w:type="pct"/>
            <w:shd w:val="clear" w:color="auto" w:fill="auto"/>
            <w:noWrap/>
            <w:vAlign w:val="center"/>
            <w:hideMark/>
          </w:tcPr>
          <w:p w:rsidR="00DE4C1E" w:rsidRPr="00D34016" w:rsidRDefault="00DE4C1E" w:rsidP="007B6DD5">
            <w:pPr>
              <w:jc w:val="center"/>
              <w:rPr>
                <w:color w:val="000000"/>
                <w:sz w:val="18"/>
                <w:szCs w:val="18"/>
              </w:rPr>
            </w:pPr>
            <w:r w:rsidRPr="00D34016">
              <w:rPr>
                <w:color w:val="000000"/>
                <w:sz w:val="18"/>
                <w:szCs w:val="18"/>
              </w:rPr>
              <w:lastRenderedPageBreak/>
              <w:t>NR</w:t>
            </w:r>
          </w:p>
        </w:tc>
        <w:tc>
          <w:tcPr>
            <w:tcW w:w="748" w:type="pct"/>
            <w:shd w:val="clear" w:color="000000" w:fill="FFFFFF"/>
            <w:vAlign w:val="center"/>
            <w:hideMark/>
          </w:tcPr>
          <w:p w:rsidR="00DE4C1E" w:rsidRPr="00D34016" w:rsidRDefault="00DE4C1E" w:rsidP="00926C07">
            <w:pPr>
              <w:rPr>
                <w:sz w:val="18"/>
                <w:szCs w:val="18"/>
              </w:rPr>
            </w:pPr>
            <w:r w:rsidRPr="00D34016">
              <w:rPr>
                <w:sz w:val="18"/>
                <w:szCs w:val="18"/>
              </w:rPr>
              <w:t>ŘO IOP prověřil možnosti využití fázovacích výzev, kdy nebyly identifikovány oblasti vhodné k využití tohoto nástroje.</w:t>
            </w:r>
          </w:p>
        </w:tc>
        <w:tc>
          <w:tcPr>
            <w:tcW w:w="1020" w:type="pct"/>
            <w:shd w:val="clear" w:color="000000" w:fill="FFFFFF"/>
            <w:vAlign w:val="center"/>
          </w:tcPr>
          <w:p w:rsidR="00DE4C1E" w:rsidRPr="0034246E" w:rsidRDefault="00DE4C1E" w:rsidP="00DE4C1E">
            <w:pPr>
              <w:rPr>
                <w:color w:val="000000"/>
                <w:sz w:val="18"/>
                <w:szCs w:val="18"/>
              </w:rPr>
            </w:pPr>
            <w:r w:rsidRPr="0034246E">
              <w:rPr>
                <w:color w:val="000000"/>
                <w:sz w:val="18"/>
                <w:szCs w:val="18"/>
              </w:rPr>
              <w:t>Nerelevantní.</w:t>
            </w:r>
            <w:r>
              <w:rPr>
                <w:color w:val="000000"/>
                <w:sz w:val="18"/>
                <w:szCs w:val="18"/>
              </w:rPr>
              <w:t xml:space="preserve"> ŘO IOP prověřil možnosti využi</w:t>
            </w:r>
            <w:r w:rsidRPr="0034246E">
              <w:rPr>
                <w:color w:val="000000"/>
                <w:sz w:val="18"/>
                <w:szCs w:val="18"/>
              </w:rPr>
              <w:t>tí fázovacích výzev, kdy nebyly identifikovány oblasti vhodné k využití tohoto nástroje.</w:t>
            </w:r>
          </w:p>
          <w:p w:rsidR="00DE4C1E" w:rsidRPr="0034246E" w:rsidRDefault="00DE4C1E" w:rsidP="00DE4C1E">
            <w:pPr>
              <w:rPr>
                <w:color w:val="000000"/>
                <w:sz w:val="18"/>
                <w:szCs w:val="18"/>
              </w:rPr>
            </w:pPr>
          </w:p>
        </w:tc>
      </w:tr>
      <w:tr w:rsidR="00DE4C1E" w:rsidRPr="00D34016" w:rsidTr="00DE4C1E">
        <w:trPr>
          <w:trHeight w:val="1020"/>
        </w:trPr>
        <w:tc>
          <w:tcPr>
            <w:tcW w:w="467" w:type="pct"/>
            <w:vMerge w:val="restart"/>
            <w:shd w:val="clear" w:color="000000" w:fill="FFFFFF"/>
            <w:vAlign w:val="center"/>
            <w:hideMark/>
          </w:tcPr>
          <w:p w:rsidR="00DE4C1E" w:rsidRPr="00D34016" w:rsidRDefault="00DE4C1E" w:rsidP="007B6DD5">
            <w:pPr>
              <w:rPr>
                <w:b/>
                <w:bCs/>
                <w:color w:val="000000"/>
                <w:sz w:val="18"/>
                <w:szCs w:val="18"/>
              </w:rPr>
            </w:pPr>
            <w:r w:rsidRPr="00D34016">
              <w:rPr>
                <w:b/>
                <w:bCs/>
                <w:color w:val="000000"/>
                <w:sz w:val="18"/>
                <w:szCs w:val="18"/>
              </w:rPr>
              <w:lastRenderedPageBreak/>
              <w:t>Včasné nedokončení projektů</w:t>
            </w:r>
          </w:p>
        </w:tc>
        <w:tc>
          <w:tcPr>
            <w:tcW w:w="279" w:type="pct"/>
            <w:shd w:val="clear" w:color="000000" w:fill="FFFFFF"/>
            <w:vAlign w:val="center"/>
            <w:hideMark/>
          </w:tcPr>
          <w:p w:rsidR="00DE4C1E" w:rsidRPr="00D34016" w:rsidRDefault="00DE4C1E" w:rsidP="007B6DD5">
            <w:pPr>
              <w:jc w:val="center"/>
              <w:rPr>
                <w:color w:val="000000"/>
                <w:sz w:val="18"/>
                <w:szCs w:val="18"/>
              </w:rPr>
            </w:pPr>
            <w:r w:rsidRPr="00D34016">
              <w:rPr>
                <w:color w:val="000000"/>
                <w:sz w:val="18"/>
                <w:szCs w:val="18"/>
              </w:rPr>
              <w:t>7</w:t>
            </w:r>
          </w:p>
        </w:tc>
        <w:tc>
          <w:tcPr>
            <w:tcW w:w="637" w:type="pct"/>
            <w:shd w:val="clear" w:color="000000" w:fill="FFFFFF"/>
            <w:vAlign w:val="center"/>
            <w:hideMark/>
          </w:tcPr>
          <w:p w:rsidR="00DE4C1E" w:rsidRPr="00D34016" w:rsidRDefault="00DE4C1E" w:rsidP="007B6DD5">
            <w:pPr>
              <w:rPr>
                <w:color w:val="000000"/>
                <w:sz w:val="18"/>
                <w:szCs w:val="18"/>
              </w:rPr>
            </w:pPr>
            <w:r w:rsidRPr="00D34016">
              <w:rPr>
                <w:color w:val="000000"/>
                <w:sz w:val="18"/>
                <w:szCs w:val="18"/>
              </w:rPr>
              <w:t>Pokračovat v pravidelných jednáních s příjemcem velkého projektu s detailním sledováním plnění nastaveného harmonogramu.</w:t>
            </w:r>
          </w:p>
        </w:tc>
        <w:tc>
          <w:tcPr>
            <w:tcW w:w="295" w:type="pct"/>
            <w:shd w:val="clear" w:color="auto" w:fill="auto"/>
            <w:vAlign w:val="center"/>
            <w:hideMark/>
          </w:tcPr>
          <w:p w:rsidR="00DE4C1E" w:rsidRPr="00D34016" w:rsidRDefault="00DE4C1E" w:rsidP="007B6DD5">
            <w:pPr>
              <w:jc w:val="center"/>
              <w:rPr>
                <w:color w:val="000000"/>
                <w:sz w:val="18"/>
                <w:szCs w:val="18"/>
              </w:rPr>
            </w:pPr>
            <w:r w:rsidRPr="00D34016">
              <w:rPr>
                <w:color w:val="000000"/>
                <w:sz w:val="18"/>
                <w:szCs w:val="18"/>
              </w:rPr>
              <w:br/>
              <w:t xml:space="preserve"> MV</w:t>
            </w:r>
          </w:p>
        </w:tc>
        <w:tc>
          <w:tcPr>
            <w:tcW w:w="334" w:type="pct"/>
            <w:shd w:val="clear" w:color="auto" w:fill="auto"/>
            <w:vAlign w:val="center"/>
            <w:hideMark/>
          </w:tcPr>
          <w:p w:rsidR="00DE4C1E" w:rsidRPr="00D34016" w:rsidRDefault="00DE4C1E" w:rsidP="007B6DD5">
            <w:pPr>
              <w:jc w:val="center"/>
              <w:rPr>
                <w:color w:val="000000"/>
                <w:sz w:val="18"/>
                <w:szCs w:val="18"/>
              </w:rPr>
            </w:pPr>
            <w:r w:rsidRPr="00D34016">
              <w:rPr>
                <w:color w:val="000000"/>
                <w:sz w:val="18"/>
                <w:szCs w:val="18"/>
              </w:rPr>
              <w:t>minimálně 1x za 2 měsíce do 30. 11. 2015</w:t>
            </w:r>
          </w:p>
        </w:tc>
        <w:tc>
          <w:tcPr>
            <w:tcW w:w="467" w:type="pct"/>
            <w:shd w:val="clear" w:color="auto" w:fill="auto"/>
            <w:vAlign w:val="center"/>
            <w:hideMark/>
          </w:tcPr>
          <w:p w:rsidR="00DE4C1E" w:rsidRPr="00D34016" w:rsidRDefault="00DE4C1E" w:rsidP="007B6DD5">
            <w:pPr>
              <w:rPr>
                <w:color w:val="000000"/>
                <w:sz w:val="18"/>
                <w:szCs w:val="18"/>
              </w:rPr>
            </w:pPr>
            <w:r w:rsidRPr="00D34016">
              <w:rPr>
                <w:color w:val="000000"/>
                <w:sz w:val="18"/>
                <w:szCs w:val="18"/>
              </w:rPr>
              <w:t>Řídící orgán IOP bude MMR-NOK zasílat zápisy z jednání v rámci vykazování postupu plnění krizového plánu v intervalech daných usnesením vlády.</w:t>
            </w:r>
          </w:p>
        </w:tc>
        <w:tc>
          <w:tcPr>
            <w:tcW w:w="753" w:type="pct"/>
            <w:shd w:val="clear" w:color="auto" w:fill="auto"/>
            <w:vAlign w:val="center"/>
            <w:hideMark/>
          </w:tcPr>
          <w:p w:rsidR="00DE4C1E" w:rsidRPr="00D34016" w:rsidRDefault="00DE4C1E" w:rsidP="00926C07">
            <w:pPr>
              <w:rPr>
                <w:color w:val="000000"/>
                <w:sz w:val="18"/>
                <w:szCs w:val="18"/>
              </w:rPr>
            </w:pPr>
            <w:r w:rsidRPr="00D34016">
              <w:rPr>
                <w:color w:val="000000"/>
                <w:sz w:val="18"/>
                <w:szCs w:val="18"/>
              </w:rPr>
              <w:t>Průběžně plněno. Schůzka plánována na konec března, následně bude N</w:t>
            </w:r>
            <w:r w:rsidR="00926C07">
              <w:rPr>
                <w:color w:val="000000"/>
                <w:sz w:val="18"/>
                <w:szCs w:val="18"/>
              </w:rPr>
              <w:t>OK</w:t>
            </w:r>
            <w:r w:rsidRPr="00D34016">
              <w:rPr>
                <w:color w:val="000000"/>
                <w:sz w:val="18"/>
                <w:szCs w:val="18"/>
              </w:rPr>
              <w:t xml:space="preserve"> zaslán zápis.</w:t>
            </w:r>
          </w:p>
        </w:tc>
        <w:tc>
          <w:tcPr>
            <w:tcW w:w="748" w:type="pct"/>
            <w:shd w:val="clear" w:color="auto" w:fill="auto"/>
            <w:vAlign w:val="center"/>
            <w:hideMark/>
          </w:tcPr>
          <w:p w:rsidR="00DE4C1E" w:rsidRPr="00D34016" w:rsidRDefault="00DE4C1E" w:rsidP="007B6DD5">
            <w:pPr>
              <w:rPr>
                <w:color w:val="000000"/>
                <w:sz w:val="18"/>
                <w:szCs w:val="18"/>
              </w:rPr>
            </w:pPr>
            <w:r w:rsidRPr="00D34016">
              <w:rPr>
                <w:color w:val="000000"/>
                <w:sz w:val="18"/>
                <w:szCs w:val="18"/>
              </w:rPr>
              <w:t xml:space="preserve">Průběžně plněno. Jednání se uskutečnilo 30. 3. 2015, další je plánováno na konec 5/2015. </w:t>
            </w:r>
          </w:p>
        </w:tc>
        <w:tc>
          <w:tcPr>
            <w:tcW w:w="1020" w:type="pct"/>
            <w:vAlign w:val="center"/>
          </w:tcPr>
          <w:p w:rsidR="00DE4C1E" w:rsidRPr="0034246E" w:rsidRDefault="00DE4C1E" w:rsidP="00DE4C1E">
            <w:pPr>
              <w:rPr>
                <w:color w:val="000000"/>
                <w:sz w:val="18"/>
                <w:szCs w:val="18"/>
              </w:rPr>
            </w:pPr>
            <w:r w:rsidRPr="0034246E">
              <w:rPr>
                <w:color w:val="000000"/>
                <w:sz w:val="18"/>
                <w:szCs w:val="18"/>
              </w:rPr>
              <w:t xml:space="preserve">Průběžně plněno. Poslední jednání se uskutečnilo dne 29. 9. 2015, další je plánováno na konec 11/2015. </w:t>
            </w:r>
          </w:p>
          <w:p w:rsidR="00DE4C1E" w:rsidRPr="00D34016" w:rsidRDefault="00DE4C1E" w:rsidP="00DE4C1E">
            <w:pPr>
              <w:rPr>
                <w:color w:val="000000"/>
                <w:sz w:val="18"/>
                <w:szCs w:val="18"/>
              </w:rPr>
            </w:pPr>
          </w:p>
        </w:tc>
      </w:tr>
      <w:tr w:rsidR="00DE4C1E" w:rsidRPr="00D34016" w:rsidTr="00DE4C1E">
        <w:trPr>
          <w:trHeight w:val="3420"/>
        </w:trPr>
        <w:tc>
          <w:tcPr>
            <w:tcW w:w="467" w:type="pct"/>
            <w:vMerge/>
            <w:vAlign w:val="center"/>
            <w:hideMark/>
          </w:tcPr>
          <w:p w:rsidR="00DE4C1E" w:rsidRPr="00D34016" w:rsidRDefault="00DE4C1E" w:rsidP="007B6DD5">
            <w:pPr>
              <w:rPr>
                <w:b/>
                <w:bCs/>
                <w:color w:val="000000"/>
                <w:sz w:val="18"/>
                <w:szCs w:val="18"/>
              </w:rPr>
            </w:pPr>
          </w:p>
        </w:tc>
        <w:tc>
          <w:tcPr>
            <w:tcW w:w="279" w:type="pct"/>
            <w:shd w:val="clear" w:color="000000" w:fill="FFFFFF"/>
            <w:vAlign w:val="center"/>
            <w:hideMark/>
          </w:tcPr>
          <w:p w:rsidR="00DE4C1E" w:rsidRPr="00D34016" w:rsidRDefault="00DE4C1E" w:rsidP="007B6DD5">
            <w:pPr>
              <w:jc w:val="center"/>
              <w:rPr>
                <w:color w:val="000000"/>
                <w:sz w:val="18"/>
                <w:szCs w:val="18"/>
              </w:rPr>
            </w:pPr>
            <w:r w:rsidRPr="00D34016">
              <w:rPr>
                <w:color w:val="000000"/>
                <w:sz w:val="18"/>
                <w:szCs w:val="18"/>
              </w:rPr>
              <w:t>8</w:t>
            </w:r>
          </w:p>
        </w:tc>
        <w:tc>
          <w:tcPr>
            <w:tcW w:w="637" w:type="pct"/>
            <w:shd w:val="clear" w:color="000000" w:fill="FFFFFF"/>
            <w:vAlign w:val="center"/>
            <w:hideMark/>
          </w:tcPr>
          <w:p w:rsidR="00DE4C1E" w:rsidRPr="00D34016" w:rsidRDefault="00DE4C1E" w:rsidP="007B6DD5">
            <w:pPr>
              <w:rPr>
                <w:color w:val="000000"/>
                <w:sz w:val="18"/>
                <w:szCs w:val="18"/>
              </w:rPr>
            </w:pPr>
            <w:r w:rsidRPr="00D34016">
              <w:rPr>
                <w:color w:val="000000"/>
                <w:sz w:val="18"/>
                <w:szCs w:val="18"/>
              </w:rPr>
              <w:t xml:space="preserve">Příjemce projektu "Národní informační systém IZS" za 528 mil. Kč, "Zajištění infrastruktury pro operační střediska základních složek IZS" za 300 mil. Kč a "Centrální místo služeb" za 610 mil. Kč, ve kterých je generálním dodavatelem významných dodávek Česká pošta - Odštěpný závod ICT, </w:t>
            </w:r>
            <w:r w:rsidRPr="00D34016">
              <w:rPr>
                <w:color w:val="000000"/>
                <w:sz w:val="18"/>
                <w:szCs w:val="18"/>
              </w:rPr>
              <w:lastRenderedPageBreak/>
              <w:t>bude informovat vládu ČR o postupu v realizaci daných projektů (zejména plnění harmonogramu projektů) a způsobu řešení příp. problémů, které ohrožují realizaci těchto projektů.</w:t>
            </w:r>
          </w:p>
        </w:tc>
        <w:tc>
          <w:tcPr>
            <w:tcW w:w="295" w:type="pct"/>
            <w:shd w:val="clear" w:color="auto" w:fill="auto"/>
            <w:vAlign w:val="center"/>
            <w:hideMark/>
          </w:tcPr>
          <w:p w:rsidR="00DE4C1E" w:rsidRPr="00D34016" w:rsidRDefault="00DE4C1E" w:rsidP="007B6DD5">
            <w:pPr>
              <w:jc w:val="center"/>
              <w:rPr>
                <w:color w:val="000000"/>
                <w:sz w:val="18"/>
                <w:szCs w:val="18"/>
              </w:rPr>
            </w:pPr>
            <w:r w:rsidRPr="00D34016">
              <w:rPr>
                <w:color w:val="000000"/>
                <w:sz w:val="18"/>
                <w:szCs w:val="18"/>
              </w:rPr>
              <w:lastRenderedPageBreak/>
              <w:t>MV</w:t>
            </w:r>
          </w:p>
        </w:tc>
        <w:tc>
          <w:tcPr>
            <w:tcW w:w="334" w:type="pct"/>
            <w:shd w:val="clear" w:color="auto" w:fill="auto"/>
            <w:vAlign w:val="center"/>
            <w:hideMark/>
          </w:tcPr>
          <w:p w:rsidR="00DE4C1E" w:rsidRPr="00D34016" w:rsidRDefault="00DE4C1E" w:rsidP="007B6DD5">
            <w:pPr>
              <w:jc w:val="center"/>
              <w:rPr>
                <w:color w:val="000000"/>
                <w:sz w:val="18"/>
                <w:szCs w:val="18"/>
              </w:rPr>
            </w:pPr>
            <w:r w:rsidRPr="00D34016">
              <w:rPr>
                <w:color w:val="000000"/>
                <w:sz w:val="18"/>
                <w:szCs w:val="18"/>
              </w:rPr>
              <w:t>měsíčně do doby ukončení projektů:</w:t>
            </w:r>
            <w:r w:rsidRPr="00D34016">
              <w:rPr>
                <w:color w:val="000000"/>
                <w:sz w:val="18"/>
                <w:szCs w:val="18"/>
              </w:rPr>
              <w:br/>
              <w:t>IS NIS do 30. 11. 2015</w:t>
            </w:r>
            <w:r w:rsidRPr="00D34016">
              <w:rPr>
                <w:color w:val="000000"/>
                <w:sz w:val="18"/>
                <w:szCs w:val="18"/>
              </w:rPr>
              <w:br/>
              <w:t>ITS NG do 30. 6. 2015</w:t>
            </w:r>
            <w:r w:rsidRPr="00D34016">
              <w:rPr>
                <w:color w:val="000000"/>
                <w:sz w:val="18"/>
                <w:szCs w:val="18"/>
              </w:rPr>
              <w:br/>
              <w:t>CMS do 30. 11. 2015</w:t>
            </w:r>
          </w:p>
        </w:tc>
        <w:tc>
          <w:tcPr>
            <w:tcW w:w="467" w:type="pct"/>
            <w:shd w:val="clear" w:color="auto" w:fill="auto"/>
            <w:vAlign w:val="center"/>
            <w:hideMark/>
          </w:tcPr>
          <w:p w:rsidR="00DE4C1E" w:rsidRPr="00D34016" w:rsidRDefault="00DE4C1E" w:rsidP="007B6DD5">
            <w:pPr>
              <w:rPr>
                <w:sz w:val="18"/>
                <w:szCs w:val="18"/>
              </w:rPr>
            </w:pPr>
            <w:r w:rsidRPr="00D34016">
              <w:rPr>
                <w:sz w:val="18"/>
                <w:szCs w:val="18"/>
              </w:rPr>
              <w:t>MMR-NOK ověří plnění v rámci kontroly podkladů na jednání vlády ČR.</w:t>
            </w:r>
          </w:p>
        </w:tc>
        <w:tc>
          <w:tcPr>
            <w:tcW w:w="753" w:type="pct"/>
            <w:shd w:val="clear" w:color="000000" w:fill="FFFFFF"/>
            <w:vAlign w:val="center"/>
            <w:hideMark/>
          </w:tcPr>
          <w:p w:rsidR="00DE4C1E" w:rsidRPr="00D34016" w:rsidRDefault="00DE4C1E" w:rsidP="007B6DD5">
            <w:pPr>
              <w:rPr>
                <w:sz w:val="18"/>
                <w:szCs w:val="18"/>
              </w:rPr>
            </w:pPr>
            <w:r w:rsidRPr="00D34016">
              <w:rPr>
                <w:sz w:val="18"/>
                <w:szCs w:val="18"/>
              </w:rPr>
              <w:t>Plnění úkolu bude koordinováno za celý resort MV (týká se i projektu NIS, který je v kompetenci jiného ZS) a předkládáno na vládu dle požadavku. Informace k vývoji v projektech CMS a ITS jsou ŘO IOP reportovány na měsíční bázi v rámci Měsíční zprávy IOP.</w:t>
            </w:r>
          </w:p>
        </w:tc>
        <w:tc>
          <w:tcPr>
            <w:tcW w:w="748" w:type="pct"/>
            <w:shd w:val="clear" w:color="000000" w:fill="FFFFFF"/>
            <w:vAlign w:val="center"/>
            <w:hideMark/>
          </w:tcPr>
          <w:p w:rsidR="00DE4C1E" w:rsidRPr="00D34016" w:rsidRDefault="00DE4C1E" w:rsidP="007B6DD5">
            <w:pPr>
              <w:rPr>
                <w:color w:val="000000"/>
                <w:sz w:val="18"/>
                <w:szCs w:val="18"/>
              </w:rPr>
            </w:pPr>
            <w:r w:rsidRPr="00D34016">
              <w:rPr>
                <w:color w:val="000000"/>
                <w:sz w:val="18"/>
                <w:szCs w:val="18"/>
              </w:rPr>
              <w:t xml:space="preserve">Probíhá. MV informovalo ministryni MMR o stavu předmětných projektů dopisem ministra z 9. 4. 2015. Informace bude rovněž předložena v průběhu dubna na jednání Vlády ČR.      </w:t>
            </w:r>
          </w:p>
        </w:tc>
        <w:tc>
          <w:tcPr>
            <w:tcW w:w="1020" w:type="pct"/>
            <w:shd w:val="clear" w:color="000000" w:fill="FFFFFF"/>
            <w:vAlign w:val="center"/>
          </w:tcPr>
          <w:p w:rsidR="00DE4C1E" w:rsidRPr="0034246E" w:rsidRDefault="00DE4C1E" w:rsidP="00DE4C1E">
            <w:pPr>
              <w:rPr>
                <w:color w:val="000000"/>
                <w:sz w:val="18"/>
                <w:szCs w:val="18"/>
              </w:rPr>
            </w:pPr>
            <w:r w:rsidRPr="0034246E">
              <w:rPr>
                <w:color w:val="000000"/>
                <w:sz w:val="18"/>
                <w:szCs w:val="18"/>
              </w:rPr>
              <w:t xml:space="preserve">Průběžně plněno. Informace pro vládu k 31. 7. 2015 prošla jednáním vlády na konci srpna, aktualizace </w:t>
            </w:r>
            <w:r>
              <w:rPr>
                <w:color w:val="000000"/>
                <w:sz w:val="18"/>
                <w:szCs w:val="18"/>
              </w:rPr>
              <w:br/>
            </w:r>
            <w:r w:rsidRPr="0034246E">
              <w:rPr>
                <w:color w:val="000000"/>
                <w:sz w:val="18"/>
                <w:szCs w:val="18"/>
              </w:rPr>
              <w:t xml:space="preserve">k 31. 8. 2015 byla připravena, </w:t>
            </w:r>
            <w:r>
              <w:rPr>
                <w:color w:val="000000"/>
                <w:sz w:val="18"/>
                <w:szCs w:val="18"/>
              </w:rPr>
              <w:br/>
            </w:r>
            <w:r w:rsidRPr="0034246E">
              <w:rPr>
                <w:color w:val="000000"/>
                <w:sz w:val="18"/>
                <w:szCs w:val="18"/>
              </w:rPr>
              <w:t xml:space="preserve">v současnosti je vypořádáváno interní připomínkové řízení, následně bude předložena do vlády. </w:t>
            </w:r>
            <w:r w:rsidRPr="000C2E5C">
              <w:rPr>
                <w:color w:val="000000"/>
                <w:sz w:val="18"/>
                <w:szCs w:val="18"/>
              </w:rPr>
              <w:t>Aktualizace materiálu k 30. 9. 2015 je připravována.</w:t>
            </w:r>
          </w:p>
          <w:p w:rsidR="00DE4C1E" w:rsidRPr="00D34016" w:rsidRDefault="00DE4C1E" w:rsidP="00DE4C1E">
            <w:pPr>
              <w:rPr>
                <w:color w:val="000000"/>
                <w:sz w:val="18"/>
                <w:szCs w:val="18"/>
              </w:rPr>
            </w:pPr>
          </w:p>
        </w:tc>
      </w:tr>
      <w:tr w:rsidR="00DE4C1E" w:rsidRPr="00D34016" w:rsidTr="007B6DD5">
        <w:trPr>
          <w:trHeight w:val="1365"/>
        </w:trPr>
        <w:tc>
          <w:tcPr>
            <w:tcW w:w="467" w:type="pct"/>
            <w:vMerge/>
            <w:vAlign w:val="center"/>
            <w:hideMark/>
          </w:tcPr>
          <w:p w:rsidR="00DE4C1E" w:rsidRPr="00D34016" w:rsidRDefault="00DE4C1E" w:rsidP="007B6DD5">
            <w:pPr>
              <w:rPr>
                <w:b/>
                <w:bCs/>
                <w:color w:val="000000"/>
                <w:sz w:val="18"/>
                <w:szCs w:val="18"/>
              </w:rPr>
            </w:pPr>
          </w:p>
        </w:tc>
        <w:tc>
          <w:tcPr>
            <w:tcW w:w="279" w:type="pct"/>
            <w:shd w:val="clear" w:color="000000" w:fill="FFFFFF"/>
            <w:vAlign w:val="center"/>
            <w:hideMark/>
          </w:tcPr>
          <w:p w:rsidR="00DE4C1E" w:rsidRPr="00D34016" w:rsidRDefault="00DE4C1E" w:rsidP="007B6DD5">
            <w:pPr>
              <w:jc w:val="center"/>
              <w:rPr>
                <w:color w:val="000000"/>
                <w:sz w:val="18"/>
                <w:szCs w:val="18"/>
              </w:rPr>
            </w:pPr>
            <w:r w:rsidRPr="00D34016">
              <w:rPr>
                <w:color w:val="000000"/>
                <w:sz w:val="18"/>
                <w:szCs w:val="18"/>
              </w:rPr>
              <w:t>9</w:t>
            </w:r>
          </w:p>
        </w:tc>
        <w:tc>
          <w:tcPr>
            <w:tcW w:w="637" w:type="pct"/>
            <w:shd w:val="clear" w:color="000000" w:fill="FFFFFF"/>
            <w:vAlign w:val="center"/>
            <w:hideMark/>
          </w:tcPr>
          <w:p w:rsidR="00DE4C1E" w:rsidRPr="00D34016" w:rsidRDefault="00DE4C1E" w:rsidP="007B6DD5">
            <w:pPr>
              <w:rPr>
                <w:color w:val="000000"/>
                <w:sz w:val="18"/>
                <w:szCs w:val="18"/>
              </w:rPr>
            </w:pPr>
            <w:r w:rsidRPr="00D34016">
              <w:rPr>
                <w:color w:val="000000"/>
                <w:sz w:val="18"/>
                <w:szCs w:val="18"/>
              </w:rPr>
              <w:t xml:space="preserve">Nadále pokračovat v zesíleném dohledu nad spícími, vysoce rizikovými a rizikovými projekty a pravidelně informovat vládu ČR. </w:t>
            </w:r>
            <w:r w:rsidRPr="00D34016">
              <w:rPr>
                <w:color w:val="000000"/>
                <w:sz w:val="18"/>
                <w:szCs w:val="18"/>
              </w:rPr>
              <w:br/>
              <w:t xml:space="preserve">Informaci propojit se </w:t>
            </w:r>
            <w:proofErr w:type="spellStart"/>
            <w:r w:rsidRPr="00D34016">
              <w:rPr>
                <w:color w:val="000000"/>
                <w:sz w:val="18"/>
                <w:szCs w:val="18"/>
              </w:rPr>
              <w:t>screeningem</w:t>
            </w:r>
            <w:proofErr w:type="spellEnd"/>
            <w:r w:rsidRPr="00D34016">
              <w:rPr>
                <w:color w:val="000000"/>
                <w:sz w:val="18"/>
                <w:szCs w:val="18"/>
              </w:rPr>
              <w:t xml:space="preserve"> nedokončených projektů a informovat o projektech, které budou pokračovat v režimu nedokončených projektů.</w:t>
            </w:r>
          </w:p>
        </w:tc>
        <w:tc>
          <w:tcPr>
            <w:tcW w:w="295" w:type="pct"/>
            <w:shd w:val="clear" w:color="auto" w:fill="auto"/>
            <w:vAlign w:val="center"/>
            <w:hideMark/>
          </w:tcPr>
          <w:p w:rsidR="00DE4C1E" w:rsidRPr="00D34016" w:rsidRDefault="00DE4C1E" w:rsidP="007B6DD5">
            <w:pPr>
              <w:jc w:val="center"/>
              <w:rPr>
                <w:color w:val="000000"/>
                <w:sz w:val="18"/>
                <w:szCs w:val="18"/>
              </w:rPr>
            </w:pPr>
            <w:r w:rsidRPr="00D34016">
              <w:rPr>
                <w:color w:val="000000"/>
                <w:sz w:val="18"/>
                <w:szCs w:val="18"/>
              </w:rPr>
              <w:t>ŘO</w:t>
            </w:r>
          </w:p>
        </w:tc>
        <w:tc>
          <w:tcPr>
            <w:tcW w:w="334" w:type="pct"/>
            <w:shd w:val="clear" w:color="auto" w:fill="auto"/>
            <w:vAlign w:val="center"/>
            <w:hideMark/>
          </w:tcPr>
          <w:p w:rsidR="00DE4C1E" w:rsidRPr="00D34016" w:rsidRDefault="00DE4C1E" w:rsidP="007B6DD5">
            <w:pPr>
              <w:jc w:val="center"/>
              <w:rPr>
                <w:color w:val="000000"/>
                <w:sz w:val="18"/>
                <w:szCs w:val="18"/>
              </w:rPr>
            </w:pPr>
            <w:r w:rsidRPr="00D34016">
              <w:rPr>
                <w:color w:val="000000"/>
                <w:sz w:val="18"/>
                <w:szCs w:val="18"/>
              </w:rPr>
              <w:t>čtvrtletně do 31. 1. 2016</w:t>
            </w:r>
          </w:p>
        </w:tc>
        <w:tc>
          <w:tcPr>
            <w:tcW w:w="467" w:type="pct"/>
            <w:shd w:val="clear" w:color="auto" w:fill="auto"/>
            <w:vAlign w:val="center"/>
            <w:hideMark/>
          </w:tcPr>
          <w:p w:rsidR="00DE4C1E" w:rsidRPr="00D34016" w:rsidRDefault="00DE4C1E" w:rsidP="007B6DD5">
            <w:pPr>
              <w:rPr>
                <w:color w:val="000000"/>
                <w:sz w:val="18"/>
                <w:szCs w:val="18"/>
              </w:rPr>
            </w:pPr>
            <w:r w:rsidRPr="00D34016">
              <w:rPr>
                <w:color w:val="000000"/>
                <w:sz w:val="18"/>
                <w:szCs w:val="18"/>
              </w:rPr>
              <w:t>Plnění opatření bude ověřeno v rámci analýzy podkladů na poradu ministryně MMR.</w:t>
            </w:r>
          </w:p>
        </w:tc>
        <w:tc>
          <w:tcPr>
            <w:tcW w:w="753" w:type="pct"/>
            <w:shd w:val="clear" w:color="auto" w:fill="auto"/>
            <w:vAlign w:val="center"/>
            <w:hideMark/>
          </w:tcPr>
          <w:p w:rsidR="00DE4C1E" w:rsidRPr="00D34016" w:rsidRDefault="00DE4C1E" w:rsidP="007B6DD5">
            <w:pPr>
              <w:rPr>
                <w:color w:val="000000"/>
                <w:sz w:val="18"/>
                <w:szCs w:val="18"/>
              </w:rPr>
            </w:pPr>
            <w:r w:rsidRPr="00D34016">
              <w:rPr>
                <w:color w:val="000000"/>
                <w:sz w:val="18"/>
                <w:szCs w:val="18"/>
              </w:rPr>
              <w:t xml:space="preserve">ŘO IOP připravuje aktualizaci problémových projektů.  </w:t>
            </w:r>
          </w:p>
        </w:tc>
        <w:tc>
          <w:tcPr>
            <w:tcW w:w="748" w:type="pct"/>
            <w:shd w:val="clear" w:color="auto" w:fill="auto"/>
            <w:vAlign w:val="center"/>
            <w:hideMark/>
          </w:tcPr>
          <w:p w:rsidR="00DE4C1E" w:rsidRPr="00D34016" w:rsidRDefault="00DE4C1E" w:rsidP="007B6DD5">
            <w:pPr>
              <w:rPr>
                <w:color w:val="000000"/>
                <w:sz w:val="18"/>
                <w:szCs w:val="18"/>
              </w:rPr>
            </w:pPr>
            <w:r w:rsidRPr="00D34016">
              <w:rPr>
                <w:color w:val="000000"/>
                <w:sz w:val="18"/>
                <w:szCs w:val="18"/>
              </w:rPr>
              <w:t xml:space="preserve">Probíhá. ŘO IOP připravuje aktualizaci problémových projektů. Předpokládaný termín předložení materiálu na poradu ministryně je konec 4/2015.  </w:t>
            </w:r>
          </w:p>
        </w:tc>
        <w:tc>
          <w:tcPr>
            <w:tcW w:w="1020" w:type="pct"/>
          </w:tcPr>
          <w:p w:rsidR="00DE4C1E" w:rsidRPr="0034246E" w:rsidRDefault="00DE4C1E" w:rsidP="007B6DD5">
            <w:pPr>
              <w:rPr>
                <w:color w:val="000000"/>
                <w:sz w:val="18"/>
                <w:szCs w:val="18"/>
              </w:rPr>
            </w:pPr>
            <w:r w:rsidRPr="0034246E">
              <w:rPr>
                <w:color w:val="000000"/>
                <w:sz w:val="18"/>
                <w:szCs w:val="18"/>
              </w:rPr>
              <w:t xml:space="preserve">Průběžně plněno. ŘO IOP provedl aktualizaci problémových projektů </w:t>
            </w:r>
            <w:r>
              <w:rPr>
                <w:color w:val="000000"/>
                <w:sz w:val="18"/>
                <w:szCs w:val="18"/>
              </w:rPr>
              <w:br/>
            </w:r>
            <w:r w:rsidRPr="0034246E">
              <w:rPr>
                <w:color w:val="000000"/>
                <w:sz w:val="18"/>
                <w:szCs w:val="18"/>
              </w:rPr>
              <w:t xml:space="preserve">k 1. 7. Materiál "Informace </w:t>
            </w:r>
            <w:r>
              <w:rPr>
                <w:color w:val="000000"/>
                <w:sz w:val="18"/>
                <w:szCs w:val="18"/>
              </w:rPr>
              <w:br/>
            </w:r>
            <w:r w:rsidRPr="0034246E">
              <w:rPr>
                <w:color w:val="000000"/>
                <w:sz w:val="18"/>
                <w:szCs w:val="18"/>
              </w:rPr>
              <w:t xml:space="preserve">o problémových projektech </w:t>
            </w:r>
            <w:r>
              <w:rPr>
                <w:color w:val="000000"/>
                <w:sz w:val="18"/>
                <w:szCs w:val="18"/>
              </w:rPr>
              <w:br/>
            </w:r>
            <w:r w:rsidRPr="0034246E">
              <w:rPr>
                <w:color w:val="000000"/>
                <w:sz w:val="18"/>
                <w:szCs w:val="18"/>
              </w:rPr>
              <w:t xml:space="preserve">v Integrovaném operačním programu" byl předložen na poradu ministryně dne 21. 9. 2015 a byl vzat na vědomí.  Dne 1. 10. 2015 byl materiál zadán do EKLEP  a bude předložen pro informaci na jednání Vlády ČR. Na základě rozhodnutí ministryně byl odeslán dopis na MV, MK, </w:t>
            </w:r>
            <w:proofErr w:type="spellStart"/>
            <w:r w:rsidRPr="0034246E">
              <w:rPr>
                <w:color w:val="000000"/>
                <w:sz w:val="18"/>
                <w:szCs w:val="18"/>
              </w:rPr>
              <w:t>MZdr</w:t>
            </w:r>
            <w:proofErr w:type="spellEnd"/>
            <w:r w:rsidRPr="0034246E">
              <w:rPr>
                <w:color w:val="000000"/>
                <w:sz w:val="18"/>
                <w:szCs w:val="18"/>
              </w:rPr>
              <w:t xml:space="preserve"> a MPSV (Úřady práce) </w:t>
            </w:r>
            <w:r>
              <w:rPr>
                <w:color w:val="000000"/>
                <w:sz w:val="18"/>
                <w:szCs w:val="18"/>
              </w:rPr>
              <w:br/>
            </w:r>
            <w:r w:rsidRPr="0034246E">
              <w:rPr>
                <w:color w:val="000000"/>
                <w:sz w:val="18"/>
                <w:szCs w:val="18"/>
              </w:rPr>
              <w:t>s upozorněním na rizikovost projektů.</w:t>
            </w:r>
          </w:p>
          <w:p w:rsidR="00DE4C1E" w:rsidRPr="00D34016" w:rsidRDefault="00DE4C1E" w:rsidP="007B6DD5">
            <w:pPr>
              <w:rPr>
                <w:color w:val="000000"/>
                <w:sz w:val="18"/>
                <w:szCs w:val="18"/>
              </w:rPr>
            </w:pPr>
          </w:p>
        </w:tc>
      </w:tr>
      <w:tr w:rsidR="00DE4C1E" w:rsidRPr="00D34016" w:rsidTr="00DE4C1E">
        <w:trPr>
          <w:trHeight w:val="4005"/>
        </w:trPr>
        <w:tc>
          <w:tcPr>
            <w:tcW w:w="467" w:type="pct"/>
            <w:shd w:val="clear" w:color="000000" w:fill="FFFFFF"/>
            <w:vAlign w:val="center"/>
            <w:hideMark/>
          </w:tcPr>
          <w:p w:rsidR="00DE4C1E" w:rsidRPr="00D34016" w:rsidRDefault="00DE4C1E" w:rsidP="007B6DD5">
            <w:pPr>
              <w:rPr>
                <w:b/>
                <w:bCs/>
                <w:color w:val="000000"/>
                <w:sz w:val="18"/>
                <w:szCs w:val="18"/>
              </w:rPr>
            </w:pPr>
            <w:r w:rsidRPr="00D34016">
              <w:rPr>
                <w:b/>
                <w:bCs/>
                <w:color w:val="000000"/>
                <w:sz w:val="18"/>
                <w:szCs w:val="18"/>
              </w:rPr>
              <w:lastRenderedPageBreak/>
              <w:t>Nedodržení smluv o delegování úkolů řídícího orgánu IOP na zprostředkující subjekty</w:t>
            </w:r>
          </w:p>
        </w:tc>
        <w:tc>
          <w:tcPr>
            <w:tcW w:w="279" w:type="pct"/>
            <w:shd w:val="clear" w:color="000000" w:fill="FFFFFF"/>
            <w:vAlign w:val="center"/>
            <w:hideMark/>
          </w:tcPr>
          <w:p w:rsidR="00DE4C1E" w:rsidRPr="00D34016" w:rsidRDefault="00DE4C1E" w:rsidP="007B6DD5">
            <w:pPr>
              <w:jc w:val="center"/>
              <w:rPr>
                <w:color w:val="000000"/>
                <w:sz w:val="18"/>
                <w:szCs w:val="18"/>
              </w:rPr>
            </w:pPr>
            <w:r w:rsidRPr="00D34016">
              <w:rPr>
                <w:color w:val="000000"/>
                <w:sz w:val="18"/>
                <w:szCs w:val="18"/>
              </w:rPr>
              <w:t>10</w:t>
            </w:r>
          </w:p>
        </w:tc>
        <w:tc>
          <w:tcPr>
            <w:tcW w:w="637" w:type="pct"/>
            <w:shd w:val="clear" w:color="000000" w:fill="FFFFFF"/>
            <w:vAlign w:val="center"/>
            <w:hideMark/>
          </w:tcPr>
          <w:p w:rsidR="00DE4C1E" w:rsidRPr="00D34016" w:rsidRDefault="00DE4C1E" w:rsidP="007B6DD5">
            <w:pPr>
              <w:rPr>
                <w:sz w:val="18"/>
                <w:szCs w:val="18"/>
              </w:rPr>
            </w:pPr>
            <w:r w:rsidRPr="00D34016">
              <w:rPr>
                <w:sz w:val="18"/>
                <w:szCs w:val="18"/>
              </w:rPr>
              <w:t>Zajistit prostředky v rozpočtech na pokrytí činností zprostředkujících subjektů  IOP v době ukončování programu v souladu se smlouvami o delegování úkolů řídícího orgánu IOP na zprostředkující subjekty. Ve stanoveném termínu informovat dopisem ministryni pro místní rozvoj o dostatečném zajištění kapacit (finančních i personálních).</w:t>
            </w:r>
          </w:p>
        </w:tc>
        <w:tc>
          <w:tcPr>
            <w:tcW w:w="295" w:type="pct"/>
            <w:shd w:val="clear" w:color="auto" w:fill="auto"/>
            <w:vAlign w:val="center"/>
            <w:hideMark/>
          </w:tcPr>
          <w:p w:rsidR="00DE4C1E" w:rsidRPr="00D34016" w:rsidRDefault="00DE4C1E" w:rsidP="007B6DD5">
            <w:pPr>
              <w:jc w:val="center"/>
              <w:rPr>
                <w:color w:val="000000"/>
                <w:sz w:val="18"/>
                <w:szCs w:val="18"/>
              </w:rPr>
            </w:pPr>
            <w:r w:rsidRPr="00D34016">
              <w:rPr>
                <w:color w:val="000000"/>
                <w:sz w:val="18"/>
                <w:szCs w:val="18"/>
              </w:rPr>
              <w:t>MPSV</w:t>
            </w:r>
            <w:r w:rsidRPr="00D34016">
              <w:rPr>
                <w:color w:val="000000"/>
                <w:sz w:val="18"/>
                <w:szCs w:val="18"/>
              </w:rPr>
              <w:br/>
              <w:t>MV</w:t>
            </w:r>
            <w:r w:rsidRPr="00D34016">
              <w:rPr>
                <w:color w:val="000000"/>
                <w:sz w:val="18"/>
                <w:szCs w:val="18"/>
              </w:rPr>
              <w:br/>
            </w:r>
            <w:proofErr w:type="spellStart"/>
            <w:r w:rsidRPr="00D34016">
              <w:rPr>
                <w:color w:val="000000"/>
                <w:sz w:val="18"/>
                <w:szCs w:val="18"/>
              </w:rPr>
              <w:t>MZd</w:t>
            </w:r>
            <w:proofErr w:type="spellEnd"/>
          </w:p>
        </w:tc>
        <w:tc>
          <w:tcPr>
            <w:tcW w:w="334" w:type="pct"/>
            <w:shd w:val="clear" w:color="auto" w:fill="auto"/>
            <w:vAlign w:val="center"/>
            <w:hideMark/>
          </w:tcPr>
          <w:p w:rsidR="00DE4C1E" w:rsidRPr="00D34016" w:rsidRDefault="00DE4C1E" w:rsidP="007B6DD5">
            <w:pPr>
              <w:jc w:val="center"/>
              <w:rPr>
                <w:color w:val="000000"/>
                <w:sz w:val="18"/>
                <w:szCs w:val="18"/>
              </w:rPr>
            </w:pPr>
            <w:r w:rsidRPr="00D34016">
              <w:rPr>
                <w:color w:val="000000"/>
                <w:sz w:val="18"/>
                <w:szCs w:val="18"/>
              </w:rPr>
              <w:t>do 30. 6. 2015</w:t>
            </w:r>
          </w:p>
        </w:tc>
        <w:tc>
          <w:tcPr>
            <w:tcW w:w="467" w:type="pct"/>
            <w:shd w:val="clear" w:color="auto" w:fill="auto"/>
            <w:vAlign w:val="center"/>
            <w:hideMark/>
          </w:tcPr>
          <w:p w:rsidR="00DE4C1E" w:rsidRPr="00D34016" w:rsidRDefault="00DE4C1E" w:rsidP="007B6DD5">
            <w:pPr>
              <w:rPr>
                <w:color w:val="000000"/>
                <w:sz w:val="18"/>
                <w:szCs w:val="18"/>
              </w:rPr>
            </w:pPr>
            <w:r w:rsidRPr="00D34016">
              <w:rPr>
                <w:color w:val="000000"/>
                <w:sz w:val="18"/>
                <w:szCs w:val="18"/>
              </w:rPr>
              <w:t>MMR-NOK ověří splnění úkolu v dopisech pro ministryni pro místní rozvoj.</w:t>
            </w:r>
          </w:p>
        </w:tc>
        <w:tc>
          <w:tcPr>
            <w:tcW w:w="753" w:type="pct"/>
            <w:shd w:val="clear" w:color="auto" w:fill="auto"/>
            <w:vAlign w:val="center"/>
            <w:hideMark/>
          </w:tcPr>
          <w:p w:rsidR="00DE4C1E" w:rsidRPr="00D34016" w:rsidRDefault="00DE4C1E" w:rsidP="007B6DD5">
            <w:pPr>
              <w:jc w:val="center"/>
              <w:rPr>
                <w:color w:val="000000"/>
                <w:sz w:val="18"/>
                <w:szCs w:val="18"/>
              </w:rPr>
            </w:pPr>
            <w:r w:rsidRPr="00D34016">
              <w:rPr>
                <w:color w:val="000000"/>
                <w:sz w:val="18"/>
                <w:szCs w:val="18"/>
              </w:rPr>
              <w:t>NR</w:t>
            </w:r>
          </w:p>
        </w:tc>
        <w:tc>
          <w:tcPr>
            <w:tcW w:w="748" w:type="pct"/>
            <w:shd w:val="clear" w:color="000000" w:fill="FFFFFF"/>
            <w:vAlign w:val="center"/>
            <w:hideMark/>
          </w:tcPr>
          <w:p w:rsidR="00DE4C1E" w:rsidRPr="00D34016" w:rsidRDefault="00DE4C1E" w:rsidP="007B6DD5">
            <w:pPr>
              <w:rPr>
                <w:color w:val="000000"/>
                <w:sz w:val="18"/>
                <w:szCs w:val="18"/>
              </w:rPr>
            </w:pPr>
            <w:r w:rsidRPr="00D34016">
              <w:rPr>
                <w:color w:val="000000"/>
                <w:sz w:val="18"/>
                <w:szCs w:val="18"/>
              </w:rPr>
              <w:t xml:space="preserve">V řešení. ŘO IOP vypracoval materiál „Informace o nezbytných podmínkách pro řádné dokončení Integrovaného operačního programu“, který reflektuje potřeby ZS IOP na zajištění dostatečných administrativních kapacit a zdrojů pro jejich financování pro řádné ukončování programu. Materiál byl dne 24. 3. 2015 rozeslán do vnitřního připomínkového řízení. Veškeré připomínky byly vypořádány. V rámci dalšího postupu bude materiál předložen do MPŘ a následně Vládě ČR k projednání.  </w:t>
            </w:r>
          </w:p>
        </w:tc>
        <w:tc>
          <w:tcPr>
            <w:tcW w:w="1020" w:type="pct"/>
            <w:shd w:val="clear" w:color="000000" w:fill="FFFFFF"/>
            <w:vAlign w:val="center"/>
          </w:tcPr>
          <w:p w:rsidR="00DE4C1E" w:rsidRPr="0034246E" w:rsidRDefault="00DE4C1E" w:rsidP="00DE4C1E">
            <w:pPr>
              <w:rPr>
                <w:color w:val="000000"/>
                <w:sz w:val="18"/>
                <w:szCs w:val="18"/>
              </w:rPr>
            </w:pPr>
            <w:r w:rsidRPr="0034246E">
              <w:rPr>
                <w:color w:val="000000"/>
                <w:sz w:val="18"/>
                <w:szCs w:val="18"/>
              </w:rPr>
              <w:t>Probíhá. ŘO IOP vypracoval materiál „Informace o nezbytných podmínkách pro řádné dokončení Integrovaného operačního programu“, který reflektuje potřeby ZS IOP na zajištění dostatečných administrativních kapacit a zdrojů financování pro řádné ukončování programu. Materiál v červenci schvál</w:t>
            </w:r>
            <w:r w:rsidR="00865393">
              <w:rPr>
                <w:color w:val="000000"/>
                <w:sz w:val="18"/>
                <w:szCs w:val="18"/>
              </w:rPr>
              <w:t>ila</w:t>
            </w:r>
            <w:r w:rsidRPr="0034246E">
              <w:rPr>
                <w:color w:val="000000"/>
                <w:sz w:val="18"/>
                <w:szCs w:val="18"/>
              </w:rPr>
              <w:t xml:space="preserve"> Vlád</w:t>
            </w:r>
            <w:r w:rsidR="00865393">
              <w:rPr>
                <w:color w:val="000000"/>
                <w:sz w:val="18"/>
                <w:szCs w:val="18"/>
              </w:rPr>
              <w:t>a</w:t>
            </w:r>
            <w:r w:rsidRPr="0034246E">
              <w:rPr>
                <w:color w:val="000000"/>
                <w:sz w:val="18"/>
                <w:szCs w:val="18"/>
              </w:rPr>
              <w:t xml:space="preserve"> ČR.</w:t>
            </w:r>
          </w:p>
          <w:p w:rsidR="00DE4C1E" w:rsidRPr="00D34016" w:rsidRDefault="00DE4C1E" w:rsidP="00DE4C1E">
            <w:pPr>
              <w:rPr>
                <w:color w:val="000000"/>
                <w:sz w:val="18"/>
                <w:szCs w:val="18"/>
              </w:rPr>
            </w:pPr>
          </w:p>
        </w:tc>
      </w:tr>
    </w:tbl>
    <w:p w:rsidR="00714564" w:rsidRDefault="00714564">
      <w:r>
        <w:br w:type="page"/>
      </w:r>
    </w:p>
    <w:p w:rsidR="001207C9" w:rsidRDefault="001207C9" w:rsidP="00714564">
      <w:pPr>
        <w:pStyle w:val="Nadpis2"/>
        <w:rPr>
          <w:rFonts w:ascii="Times New Roman" w:hAnsi="Times New Roman"/>
          <w:i w:val="0"/>
        </w:rPr>
      </w:pPr>
      <w:bookmarkStart w:id="173" w:name="_Toc433873537"/>
      <w:r w:rsidRPr="00DB19BE">
        <w:rPr>
          <w:rFonts w:ascii="Times New Roman" w:hAnsi="Times New Roman"/>
          <w:i w:val="0"/>
        </w:rPr>
        <w:lastRenderedPageBreak/>
        <w:t xml:space="preserve">Příloha č. </w:t>
      </w:r>
      <w:r w:rsidR="00D721EF">
        <w:rPr>
          <w:rFonts w:ascii="Times New Roman" w:hAnsi="Times New Roman"/>
          <w:i w:val="0"/>
        </w:rPr>
        <w:t>3</w:t>
      </w:r>
      <w:r w:rsidRPr="00DB19BE">
        <w:rPr>
          <w:rFonts w:ascii="Times New Roman" w:hAnsi="Times New Roman"/>
          <w:i w:val="0"/>
        </w:rPr>
        <w:t xml:space="preserve"> – </w:t>
      </w:r>
      <w:r w:rsidR="00E64065" w:rsidRPr="00DB19BE">
        <w:rPr>
          <w:rFonts w:ascii="Times New Roman" w:hAnsi="Times New Roman"/>
          <w:i w:val="0"/>
        </w:rPr>
        <w:t>Přehled opatření přijatých k závěrům z</w:t>
      </w:r>
      <w:r w:rsidR="00DF7F46" w:rsidRPr="00DB19BE">
        <w:rPr>
          <w:rFonts w:ascii="Times New Roman" w:hAnsi="Times New Roman"/>
          <w:i w:val="0"/>
        </w:rPr>
        <w:t> 1</w:t>
      </w:r>
      <w:r w:rsidR="008E4096">
        <w:rPr>
          <w:rFonts w:ascii="Times New Roman" w:hAnsi="Times New Roman"/>
          <w:i w:val="0"/>
        </w:rPr>
        <w:t>5</w:t>
      </w:r>
      <w:r w:rsidR="00BA4A53" w:rsidRPr="00DB19BE">
        <w:rPr>
          <w:rFonts w:ascii="Times New Roman" w:hAnsi="Times New Roman"/>
          <w:i w:val="0"/>
        </w:rPr>
        <w:t>.</w:t>
      </w:r>
      <w:r w:rsidR="00E64065" w:rsidRPr="00DB19BE">
        <w:rPr>
          <w:rFonts w:ascii="Times New Roman" w:hAnsi="Times New Roman"/>
          <w:i w:val="0"/>
        </w:rPr>
        <w:t xml:space="preserve"> jednání </w:t>
      </w:r>
      <w:proofErr w:type="spellStart"/>
      <w:r w:rsidR="00E64065" w:rsidRPr="00DB19BE">
        <w:rPr>
          <w:rFonts w:ascii="Times New Roman" w:hAnsi="Times New Roman"/>
          <w:i w:val="0"/>
        </w:rPr>
        <w:t>MoV</w:t>
      </w:r>
      <w:proofErr w:type="spellEnd"/>
      <w:r w:rsidR="00E64065" w:rsidRPr="00DB19BE">
        <w:rPr>
          <w:rFonts w:ascii="Times New Roman" w:hAnsi="Times New Roman"/>
          <w:i w:val="0"/>
        </w:rPr>
        <w:t xml:space="preserve"> IOP</w:t>
      </w:r>
      <w:bookmarkEnd w:id="173"/>
    </w:p>
    <w:p w:rsidR="005C6CE3" w:rsidRPr="005C6CE3" w:rsidRDefault="005C6CE3" w:rsidP="005C6CE3"/>
    <w:p w:rsidR="00E10F59" w:rsidRPr="00524392" w:rsidRDefault="00E10F59" w:rsidP="00524392">
      <w:pPr>
        <w:shd w:val="clear" w:color="auto" w:fill="FFFFFF" w:themeFill="background1"/>
        <w:rPr>
          <w:b/>
          <w:color w:val="365F91" w:themeColor="accent1" w:themeShade="BF"/>
          <w:sz w:val="24"/>
          <w:szCs w:val="24"/>
        </w:rPr>
      </w:pPr>
      <w:r w:rsidRPr="00524392">
        <w:rPr>
          <w:b/>
          <w:color w:val="365F91" w:themeColor="accent1" w:themeShade="BF"/>
          <w:sz w:val="24"/>
          <w:szCs w:val="24"/>
        </w:rPr>
        <w:t>Rozpracované závěry z 1</w:t>
      </w:r>
      <w:r w:rsidR="008E4096" w:rsidRPr="00524392">
        <w:rPr>
          <w:b/>
          <w:color w:val="365F91" w:themeColor="accent1" w:themeShade="BF"/>
          <w:sz w:val="24"/>
          <w:szCs w:val="24"/>
        </w:rPr>
        <w:t>5</w:t>
      </w:r>
      <w:r w:rsidRPr="00524392">
        <w:rPr>
          <w:b/>
          <w:color w:val="365F91" w:themeColor="accent1" w:themeShade="BF"/>
          <w:sz w:val="24"/>
          <w:szCs w:val="24"/>
        </w:rPr>
        <w:t xml:space="preserve">. zasedání Monitorovacího výboru IOP ze dne </w:t>
      </w:r>
      <w:r w:rsidR="005A1ACB" w:rsidRPr="00524392">
        <w:rPr>
          <w:b/>
          <w:color w:val="365F91" w:themeColor="accent1" w:themeShade="BF"/>
          <w:sz w:val="24"/>
          <w:szCs w:val="24"/>
        </w:rPr>
        <w:t>16. 6. 2015</w:t>
      </w:r>
    </w:p>
    <w:p w:rsidR="005C6CE3" w:rsidRPr="005C6CE3" w:rsidRDefault="005C6CE3" w:rsidP="005C6CE3">
      <w:pPr>
        <w:rPr>
          <w:b/>
          <w:color w:val="4F81BD" w:themeColor="accent1"/>
          <w:sz w:val="24"/>
          <w:szCs w:val="24"/>
        </w:rPr>
      </w:pPr>
    </w:p>
    <w:tbl>
      <w:tblPr>
        <w:tblW w:w="14283" w:type="dxa"/>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Look w:val="01E0" w:firstRow="1" w:lastRow="1" w:firstColumn="1" w:lastColumn="1" w:noHBand="0" w:noVBand="0"/>
      </w:tblPr>
      <w:tblGrid>
        <w:gridCol w:w="1668"/>
        <w:gridCol w:w="6520"/>
        <w:gridCol w:w="2268"/>
        <w:gridCol w:w="3827"/>
      </w:tblGrid>
      <w:tr w:rsidR="008E4096" w:rsidRPr="00D07ED9" w:rsidTr="008E4096">
        <w:trPr>
          <w:trHeight w:val="1038"/>
        </w:trPr>
        <w:tc>
          <w:tcPr>
            <w:tcW w:w="1668" w:type="dxa"/>
            <w:shd w:val="clear" w:color="auto" w:fill="B8CCE4" w:themeFill="accent1" w:themeFillTint="66"/>
            <w:vAlign w:val="center"/>
          </w:tcPr>
          <w:p w:rsidR="008E4096" w:rsidRPr="00E10F59" w:rsidRDefault="008E4096" w:rsidP="008E4096">
            <w:pPr>
              <w:spacing w:before="100" w:beforeAutospacing="1" w:after="100" w:afterAutospacing="1"/>
              <w:jc w:val="center"/>
              <w:rPr>
                <w:b/>
                <w:bCs/>
                <w:sz w:val="28"/>
                <w:szCs w:val="22"/>
              </w:rPr>
            </w:pPr>
            <w:r w:rsidRPr="00E10F59">
              <w:rPr>
                <w:b/>
                <w:bCs/>
                <w:sz w:val="28"/>
                <w:szCs w:val="22"/>
              </w:rPr>
              <w:t>Úkol uložen</w:t>
            </w:r>
          </w:p>
        </w:tc>
        <w:tc>
          <w:tcPr>
            <w:tcW w:w="6520" w:type="dxa"/>
            <w:shd w:val="clear" w:color="auto" w:fill="B8CCE4" w:themeFill="accent1" w:themeFillTint="66"/>
            <w:vAlign w:val="center"/>
          </w:tcPr>
          <w:p w:rsidR="008E4096" w:rsidRPr="00E10F59" w:rsidRDefault="008E4096" w:rsidP="008E4096">
            <w:pPr>
              <w:spacing w:before="100" w:beforeAutospacing="1" w:after="100" w:afterAutospacing="1"/>
              <w:jc w:val="center"/>
              <w:rPr>
                <w:b/>
                <w:bCs/>
                <w:sz w:val="28"/>
                <w:szCs w:val="22"/>
              </w:rPr>
            </w:pPr>
            <w:r w:rsidRPr="00E10F59">
              <w:rPr>
                <w:b/>
                <w:bCs/>
                <w:sz w:val="28"/>
                <w:szCs w:val="22"/>
              </w:rPr>
              <w:t>Číslo závěrů / úkolu</w:t>
            </w:r>
          </w:p>
        </w:tc>
        <w:tc>
          <w:tcPr>
            <w:tcW w:w="2268" w:type="dxa"/>
            <w:shd w:val="clear" w:color="auto" w:fill="B8CCE4" w:themeFill="accent1" w:themeFillTint="66"/>
            <w:vAlign w:val="center"/>
          </w:tcPr>
          <w:p w:rsidR="008E4096" w:rsidRPr="00E10F59" w:rsidRDefault="008E4096" w:rsidP="008E4096">
            <w:pPr>
              <w:spacing w:before="100" w:beforeAutospacing="1" w:after="100" w:afterAutospacing="1"/>
              <w:jc w:val="center"/>
              <w:rPr>
                <w:b/>
                <w:bCs/>
                <w:sz w:val="28"/>
                <w:szCs w:val="22"/>
              </w:rPr>
            </w:pPr>
            <w:r w:rsidRPr="00E10F59">
              <w:rPr>
                <w:b/>
                <w:bCs/>
                <w:sz w:val="28"/>
                <w:szCs w:val="22"/>
              </w:rPr>
              <w:t>Termín splnění</w:t>
            </w:r>
          </w:p>
        </w:tc>
        <w:tc>
          <w:tcPr>
            <w:tcW w:w="3827" w:type="dxa"/>
            <w:shd w:val="clear" w:color="auto" w:fill="B8CCE4" w:themeFill="accent1" w:themeFillTint="66"/>
            <w:vAlign w:val="center"/>
          </w:tcPr>
          <w:p w:rsidR="008E4096" w:rsidRPr="00E10F59" w:rsidRDefault="008E4096" w:rsidP="008E4096">
            <w:pPr>
              <w:spacing w:before="100" w:beforeAutospacing="1" w:after="100" w:afterAutospacing="1"/>
              <w:jc w:val="center"/>
              <w:rPr>
                <w:b/>
                <w:bCs/>
                <w:sz w:val="28"/>
                <w:szCs w:val="22"/>
              </w:rPr>
            </w:pPr>
            <w:r w:rsidRPr="00E10F59">
              <w:rPr>
                <w:b/>
                <w:bCs/>
                <w:sz w:val="28"/>
                <w:szCs w:val="22"/>
              </w:rPr>
              <w:t>Způsob splnění úkolu</w:t>
            </w:r>
          </w:p>
        </w:tc>
      </w:tr>
      <w:tr w:rsidR="008E4096" w:rsidRPr="00A47427" w:rsidTr="008E4096">
        <w:trPr>
          <w:trHeight w:val="1126"/>
        </w:trPr>
        <w:tc>
          <w:tcPr>
            <w:tcW w:w="1668" w:type="dxa"/>
            <w:vAlign w:val="center"/>
          </w:tcPr>
          <w:p w:rsidR="008E4096" w:rsidRPr="00E63D3F" w:rsidRDefault="008E4096" w:rsidP="008E4096">
            <w:pPr>
              <w:spacing w:before="100" w:beforeAutospacing="1" w:after="100" w:afterAutospacing="1"/>
              <w:rPr>
                <w:b/>
                <w:bCs/>
                <w:sz w:val="22"/>
                <w:szCs w:val="22"/>
              </w:rPr>
            </w:pPr>
            <w:r w:rsidRPr="00E63D3F">
              <w:rPr>
                <w:b/>
                <w:bCs/>
                <w:sz w:val="22"/>
                <w:szCs w:val="22"/>
              </w:rPr>
              <w:t>ŘO IOP</w:t>
            </w:r>
          </w:p>
        </w:tc>
        <w:tc>
          <w:tcPr>
            <w:tcW w:w="6520" w:type="dxa"/>
            <w:vAlign w:val="center"/>
          </w:tcPr>
          <w:p w:rsidR="008E4096" w:rsidRPr="00E63D3F" w:rsidRDefault="008E4096" w:rsidP="008E4096">
            <w:pPr>
              <w:pStyle w:val="Odstavecseseznamem1"/>
              <w:spacing w:before="360" w:after="0" w:line="240" w:lineRule="auto"/>
              <w:ind w:left="0"/>
              <w:rPr>
                <w:rFonts w:ascii="Times New Roman" w:hAnsi="Times New Roman" w:cs="Times New Roman"/>
              </w:rPr>
            </w:pPr>
            <w:r w:rsidRPr="00E63D3F">
              <w:rPr>
                <w:rFonts w:ascii="Times New Roman" w:hAnsi="Times New Roman" w:cs="Times New Roman"/>
                <w:bCs/>
              </w:rPr>
              <w:t>C/1 ŘO IOP opravit formální chybu ve VZ za rok 2014 na str. 103 před odesláním zprávy EK</w:t>
            </w:r>
          </w:p>
        </w:tc>
        <w:tc>
          <w:tcPr>
            <w:tcW w:w="2268" w:type="dxa"/>
            <w:vAlign w:val="center"/>
          </w:tcPr>
          <w:p w:rsidR="008E4096" w:rsidRPr="00E63D3F" w:rsidRDefault="008E4096" w:rsidP="008E4096">
            <w:pPr>
              <w:spacing w:before="100" w:beforeAutospacing="1" w:after="100" w:afterAutospacing="1"/>
              <w:jc w:val="center"/>
              <w:rPr>
                <w:bCs/>
                <w:sz w:val="22"/>
                <w:szCs w:val="22"/>
              </w:rPr>
            </w:pPr>
            <w:r w:rsidRPr="00E63D3F">
              <w:rPr>
                <w:bCs/>
                <w:sz w:val="22"/>
                <w:szCs w:val="22"/>
              </w:rPr>
              <w:t xml:space="preserve">ihned po jednání MV </w:t>
            </w:r>
          </w:p>
        </w:tc>
        <w:tc>
          <w:tcPr>
            <w:tcW w:w="3827" w:type="dxa"/>
            <w:vAlign w:val="center"/>
          </w:tcPr>
          <w:p w:rsidR="008E4096" w:rsidRPr="00E63D3F" w:rsidRDefault="008E4096" w:rsidP="008E4096">
            <w:pPr>
              <w:spacing w:before="100" w:beforeAutospacing="1" w:after="100" w:afterAutospacing="1"/>
              <w:rPr>
                <w:bCs/>
                <w:sz w:val="22"/>
                <w:szCs w:val="22"/>
              </w:rPr>
            </w:pPr>
            <w:r w:rsidRPr="00E63D3F">
              <w:rPr>
                <w:bCs/>
                <w:sz w:val="22"/>
                <w:szCs w:val="22"/>
              </w:rPr>
              <w:t xml:space="preserve">Formální chyba byla opravena </w:t>
            </w:r>
            <w:r w:rsidR="00E63D3F" w:rsidRPr="00E63D3F">
              <w:rPr>
                <w:bCs/>
                <w:sz w:val="22"/>
                <w:szCs w:val="22"/>
              </w:rPr>
              <w:t xml:space="preserve">dne </w:t>
            </w:r>
            <w:r w:rsidR="00FA15CE">
              <w:rPr>
                <w:bCs/>
                <w:sz w:val="22"/>
                <w:szCs w:val="22"/>
              </w:rPr>
              <w:br/>
            </w:r>
            <w:r w:rsidR="00E63D3F" w:rsidRPr="00E63D3F">
              <w:rPr>
                <w:bCs/>
                <w:sz w:val="22"/>
                <w:szCs w:val="22"/>
              </w:rPr>
              <w:t>16. 6. 2015</w:t>
            </w:r>
          </w:p>
        </w:tc>
      </w:tr>
      <w:tr w:rsidR="008E4096" w:rsidRPr="00A47427" w:rsidTr="008E4096">
        <w:trPr>
          <w:trHeight w:val="1695"/>
        </w:trPr>
        <w:tc>
          <w:tcPr>
            <w:tcW w:w="1668" w:type="dxa"/>
            <w:vAlign w:val="center"/>
          </w:tcPr>
          <w:p w:rsidR="008E4096" w:rsidRPr="00E63D3F" w:rsidRDefault="008E4096" w:rsidP="008E4096">
            <w:pPr>
              <w:spacing w:before="100" w:beforeAutospacing="1" w:after="100" w:afterAutospacing="1"/>
              <w:rPr>
                <w:b/>
                <w:bCs/>
                <w:sz w:val="22"/>
                <w:szCs w:val="22"/>
              </w:rPr>
            </w:pPr>
            <w:r w:rsidRPr="00E63D3F">
              <w:rPr>
                <w:b/>
                <w:bCs/>
                <w:sz w:val="22"/>
                <w:szCs w:val="22"/>
              </w:rPr>
              <w:t>ŘO IOP</w:t>
            </w:r>
          </w:p>
        </w:tc>
        <w:tc>
          <w:tcPr>
            <w:tcW w:w="6520" w:type="dxa"/>
            <w:vAlign w:val="center"/>
          </w:tcPr>
          <w:p w:rsidR="008E4096" w:rsidRPr="00E63D3F" w:rsidRDefault="008E4096" w:rsidP="008E4096">
            <w:pPr>
              <w:pStyle w:val="Odstavecseseznamem1"/>
              <w:spacing w:before="360" w:after="0" w:line="240" w:lineRule="auto"/>
              <w:ind w:left="0"/>
              <w:jc w:val="both"/>
              <w:rPr>
                <w:rFonts w:ascii="Times New Roman" w:hAnsi="Times New Roman" w:cs="Times New Roman"/>
                <w:bCs/>
              </w:rPr>
            </w:pPr>
            <w:r w:rsidRPr="00E63D3F">
              <w:rPr>
                <w:rFonts w:ascii="Times New Roman" w:hAnsi="Times New Roman" w:cs="Times New Roman"/>
                <w:bCs/>
              </w:rPr>
              <w:t>C/2 ŘO IOP zaslat členům seznam problémových projektů IOP k 31. 3. 2015 a vyznačit, které z nich souvisí s Českou poštou OZ ICT</w:t>
            </w:r>
          </w:p>
        </w:tc>
        <w:tc>
          <w:tcPr>
            <w:tcW w:w="2268" w:type="dxa"/>
            <w:vAlign w:val="center"/>
          </w:tcPr>
          <w:p w:rsidR="008E4096" w:rsidRPr="00E63D3F" w:rsidRDefault="008E4096" w:rsidP="008E4096">
            <w:pPr>
              <w:spacing w:before="100" w:beforeAutospacing="1" w:after="100" w:afterAutospacing="1"/>
              <w:jc w:val="center"/>
              <w:rPr>
                <w:bCs/>
                <w:sz w:val="22"/>
                <w:szCs w:val="22"/>
              </w:rPr>
            </w:pPr>
            <w:r w:rsidRPr="00E63D3F">
              <w:rPr>
                <w:bCs/>
                <w:sz w:val="22"/>
                <w:szCs w:val="22"/>
              </w:rPr>
              <w:t>do 30. 6. 2015</w:t>
            </w:r>
          </w:p>
        </w:tc>
        <w:tc>
          <w:tcPr>
            <w:tcW w:w="3827" w:type="dxa"/>
            <w:vAlign w:val="center"/>
          </w:tcPr>
          <w:p w:rsidR="008E4096" w:rsidRPr="00E63D3F" w:rsidRDefault="008E4096" w:rsidP="008E4096">
            <w:pPr>
              <w:rPr>
                <w:bCs/>
                <w:sz w:val="22"/>
                <w:szCs w:val="22"/>
              </w:rPr>
            </w:pPr>
            <w:r w:rsidRPr="00E63D3F">
              <w:rPr>
                <w:bCs/>
                <w:sz w:val="22"/>
                <w:szCs w:val="22"/>
              </w:rPr>
              <w:t xml:space="preserve">Podklady zaslány členům </w:t>
            </w:r>
            <w:proofErr w:type="spellStart"/>
            <w:r w:rsidRPr="00E63D3F">
              <w:rPr>
                <w:bCs/>
                <w:sz w:val="22"/>
                <w:szCs w:val="22"/>
              </w:rPr>
              <w:t>MoV</w:t>
            </w:r>
            <w:proofErr w:type="spellEnd"/>
            <w:r w:rsidRPr="00E63D3F">
              <w:rPr>
                <w:bCs/>
                <w:sz w:val="22"/>
                <w:szCs w:val="22"/>
              </w:rPr>
              <w:t xml:space="preserve"> IOP e-mailem dne 23. 6. 2015.</w:t>
            </w:r>
          </w:p>
          <w:p w:rsidR="008E4096" w:rsidRPr="00E63D3F" w:rsidRDefault="008E4096" w:rsidP="008E4096">
            <w:pPr>
              <w:pStyle w:val="Odstavecseseznamem"/>
              <w:numPr>
                <w:ilvl w:val="0"/>
                <w:numId w:val="38"/>
              </w:numPr>
              <w:spacing w:after="0" w:line="240" w:lineRule="auto"/>
              <w:rPr>
                <w:rFonts w:ascii="Times New Roman" w:hAnsi="Times New Roman"/>
                <w:bCs/>
              </w:rPr>
            </w:pPr>
            <w:r w:rsidRPr="00E63D3F">
              <w:rPr>
                <w:rFonts w:ascii="Times New Roman" w:hAnsi="Times New Roman"/>
                <w:bCs/>
              </w:rPr>
              <w:t xml:space="preserve">Problémové projekty v IOP – česká pošta </w:t>
            </w:r>
          </w:p>
          <w:p w:rsidR="008E4096" w:rsidRPr="00E63D3F" w:rsidRDefault="008E4096" w:rsidP="008E4096">
            <w:pPr>
              <w:pStyle w:val="Odstavecseseznamem"/>
              <w:numPr>
                <w:ilvl w:val="0"/>
                <w:numId w:val="38"/>
              </w:numPr>
              <w:spacing w:after="0" w:line="240" w:lineRule="auto"/>
              <w:rPr>
                <w:rFonts w:ascii="Times New Roman" w:hAnsi="Times New Roman"/>
                <w:bCs/>
              </w:rPr>
            </w:pPr>
            <w:r w:rsidRPr="00E63D3F">
              <w:rPr>
                <w:rFonts w:ascii="Times New Roman" w:hAnsi="Times New Roman"/>
                <w:bCs/>
              </w:rPr>
              <w:t>Informace o problémových projektech v IOP aktualizována k červnu 2015</w:t>
            </w:r>
          </w:p>
        </w:tc>
      </w:tr>
      <w:tr w:rsidR="008E4096" w:rsidRPr="00A47427" w:rsidTr="008E4096">
        <w:trPr>
          <w:trHeight w:val="786"/>
        </w:trPr>
        <w:tc>
          <w:tcPr>
            <w:tcW w:w="1668" w:type="dxa"/>
            <w:vAlign w:val="center"/>
          </w:tcPr>
          <w:p w:rsidR="008E4096" w:rsidRPr="00E63D3F" w:rsidRDefault="008E4096" w:rsidP="008E4096">
            <w:pPr>
              <w:spacing w:before="100" w:beforeAutospacing="1" w:after="100" w:afterAutospacing="1"/>
              <w:rPr>
                <w:b/>
                <w:bCs/>
                <w:sz w:val="22"/>
                <w:szCs w:val="22"/>
              </w:rPr>
            </w:pPr>
            <w:r w:rsidRPr="00E63D3F">
              <w:rPr>
                <w:b/>
                <w:bCs/>
                <w:sz w:val="22"/>
                <w:szCs w:val="22"/>
              </w:rPr>
              <w:t>ŘO IOP</w:t>
            </w:r>
          </w:p>
        </w:tc>
        <w:tc>
          <w:tcPr>
            <w:tcW w:w="6520" w:type="dxa"/>
            <w:vAlign w:val="center"/>
          </w:tcPr>
          <w:p w:rsidR="008E4096" w:rsidRPr="00E63D3F" w:rsidRDefault="008E4096" w:rsidP="008E4096">
            <w:pPr>
              <w:jc w:val="both"/>
              <w:rPr>
                <w:bCs/>
                <w:sz w:val="22"/>
                <w:szCs w:val="22"/>
              </w:rPr>
            </w:pPr>
          </w:p>
          <w:p w:rsidR="008E4096" w:rsidRPr="00E63D3F" w:rsidRDefault="008E4096" w:rsidP="008E4096">
            <w:pPr>
              <w:jc w:val="both"/>
              <w:rPr>
                <w:bCs/>
                <w:sz w:val="22"/>
                <w:szCs w:val="22"/>
              </w:rPr>
            </w:pPr>
            <w:r w:rsidRPr="00E63D3F">
              <w:rPr>
                <w:bCs/>
                <w:sz w:val="22"/>
                <w:szCs w:val="22"/>
              </w:rPr>
              <w:t>C/3 ŘO IOP zaslat ve spolupráci s MPVS Asociaci krajů seznam projektů v 3.1</w:t>
            </w:r>
          </w:p>
        </w:tc>
        <w:tc>
          <w:tcPr>
            <w:tcW w:w="2268" w:type="dxa"/>
            <w:vAlign w:val="center"/>
          </w:tcPr>
          <w:p w:rsidR="008E4096" w:rsidRPr="00E63D3F" w:rsidRDefault="008E4096" w:rsidP="008E4096">
            <w:pPr>
              <w:spacing w:before="100" w:beforeAutospacing="1" w:after="100" w:afterAutospacing="1"/>
              <w:jc w:val="center"/>
              <w:rPr>
                <w:bCs/>
                <w:sz w:val="22"/>
                <w:szCs w:val="22"/>
              </w:rPr>
            </w:pPr>
            <w:r w:rsidRPr="00E63D3F">
              <w:rPr>
                <w:bCs/>
                <w:sz w:val="22"/>
                <w:szCs w:val="22"/>
              </w:rPr>
              <w:t>do 30. 6. 2015</w:t>
            </w:r>
          </w:p>
        </w:tc>
        <w:tc>
          <w:tcPr>
            <w:tcW w:w="3827" w:type="dxa"/>
            <w:vAlign w:val="center"/>
          </w:tcPr>
          <w:p w:rsidR="008E4096" w:rsidRPr="00E63D3F" w:rsidRDefault="008E4096" w:rsidP="008E4096">
            <w:pPr>
              <w:spacing w:before="100" w:beforeAutospacing="1" w:after="100" w:afterAutospacing="1"/>
              <w:rPr>
                <w:bCs/>
                <w:sz w:val="22"/>
                <w:szCs w:val="22"/>
              </w:rPr>
            </w:pPr>
            <w:r w:rsidRPr="00E63D3F">
              <w:rPr>
                <w:bCs/>
                <w:sz w:val="22"/>
                <w:szCs w:val="22"/>
              </w:rPr>
              <w:t xml:space="preserve">Seznam projektů OI 3.1a IOP zaslán e-mailem na Asociaci krajů </w:t>
            </w:r>
            <w:r w:rsidR="005A1ACB" w:rsidRPr="00E63D3F">
              <w:rPr>
                <w:bCs/>
                <w:sz w:val="22"/>
                <w:szCs w:val="22"/>
              </w:rPr>
              <w:t xml:space="preserve">dne </w:t>
            </w:r>
            <w:r w:rsidR="005A1ACB">
              <w:rPr>
                <w:bCs/>
                <w:sz w:val="22"/>
                <w:szCs w:val="22"/>
              </w:rPr>
              <w:br/>
            </w:r>
            <w:r w:rsidR="005A1ACB" w:rsidRPr="00E63D3F">
              <w:rPr>
                <w:bCs/>
                <w:sz w:val="22"/>
                <w:szCs w:val="22"/>
              </w:rPr>
              <w:t>22</w:t>
            </w:r>
            <w:r w:rsidRPr="00E63D3F">
              <w:rPr>
                <w:bCs/>
                <w:sz w:val="22"/>
                <w:szCs w:val="22"/>
              </w:rPr>
              <w:t>. 6. 2015.</w:t>
            </w:r>
          </w:p>
        </w:tc>
      </w:tr>
      <w:tr w:rsidR="008E4096" w:rsidRPr="00A47427" w:rsidTr="008E4096">
        <w:trPr>
          <w:trHeight w:val="785"/>
        </w:trPr>
        <w:tc>
          <w:tcPr>
            <w:tcW w:w="1668" w:type="dxa"/>
            <w:vAlign w:val="center"/>
          </w:tcPr>
          <w:p w:rsidR="008E4096" w:rsidRPr="00E63D3F" w:rsidRDefault="008E4096" w:rsidP="008E4096">
            <w:pPr>
              <w:spacing w:before="100" w:beforeAutospacing="1" w:after="100" w:afterAutospacing="1"/>
              <w:rPr>
                <w:b/>
                <w:bCs/>
                <w:sz w:val="22"/>
                <w:szCs w:val="22"/>
              </w:rPr>
            </w:pPr>
            <w:r w:rsidRPr="00E63D3F">
              <w:rPr>
                <w:b/>
                <w:bCs/>
                <w:sz w:val="22"/>
                <w:szCs w:val="22"/>
              </w:rPr>
              <w:t>ŘO IOP</w:t>
            </w:r>
          </w:p>
        </w:tc>
        <w:tc>
          <w:tcPr>
            <w:tcW w:w="6520" w:type="dxa"/>
            <w:vAlign w:val="center"/>
          </w:tcPr>
          <w:p w:rsidR="008E4096" w:rsidRPr="00E63D3F" w:rsidRDefault="008E4096" w:rsidP="008E4096">
            <w:pPr>
              <w:jc w:val="both"/>
              <w:rPr>
                <w:bCs/>
                <w:sz w:val="22"/>
                <w:szCs w:val="22"/>
              </w:rPr>
            </w:pPr>
          </w:p>
          <w:p w:rsidR="008E4096" w:rsidRPr="00E63D3F" w:rsidRDefault="008E4096" w:rsidP="008E4096">
            <w:pPr>
              <w:jc w:val="both"/>
              <w:rPr>
                <w:bCs/>
                <w:sz w:val="22"/>
                <w:szCs w:val="22"/>
              </w:rPr>
            </w:pPr>
            <w:r w:rsidRPr="00E63D3F">
              <w:rPr>
                <w:bCs/>
                <w:sz w:val="22"/>
                <w:szCs w:val="22"/>
              </w:rPr>
              <w:t>C/4 ŘO IOP předložit změnu Programového dokumentu IOP Evropské komisi</w:t>
            </w:r>
          </w:p>
        </w:tc>
        <w:tc>
          <w:tcPr>
            <w:tcW w:w="2268" w:type="dxa"/>
            <w:vAlign w:val="center"/>
          </w:tcPr>
          <w:p w:rsidR="008E4096" w:rsidRPr="00E63D3F" w:rsidRDefault="00882C10" w:rsidP="008E4096">
            <w:pPr>
              <w:spacing w:before="100" w:beforeAutospacing="1" w:after="100" w:afterAutospacing="1"/>
              <w:jc w:val="center"/>
              <w:rPr>
                <w:bCs/>
                <w:sz w:val="22"/>
                <w:szCs w:val="22"/>
              </w:rPr>
            </w:pPr>
            <w:r>
              <w:rPr>
                <w:bCs/>
                <w:sz w:val="22"/>
                <w:szCs w:val="22"/>
              </w:rPr>
              <w:t>do 30. 9. 2015</w:t>
            </w:r>
          </w:p>
        </w:tc>
        <w:tc>
          <w:tcPr>
            <w:tcW w:w="3827" w:type="dxa"/>
            <w:vAlign w:val="center"/>
          </w:tcPr>
          <w:p w:rsidR="008E4096" w:rsidRPr="00E63D3F" w:rsidRDefault="001A5176" w:rsidP="008E4096">
            <w:pPr>
              <w:spacing w:before="100" w:beforeAutospacing="1" w:after="100" w:afterAutospacing="1"/>
              <w:rPr>
                <w:bCs/>
                <w:sz w:val="22"/>
                <w:szCs w:val="22"/>
              </w:rPr>
            </w:pPr>
            <w:r>
              <w:rPr>
                <w:bCs/>
                <w:sz w:val="22"/>
                <w:szCs w:val="22"/>
              </w:rPr>
              <w:t xml:space="preserve">Změna Programového dokumentu IOP byla předložena dne </w:t>
            </w:r>
            <w:r w:rsidR="0015024C">
              <w:rPr>
                <w:bCs/>
                <w:sz w:val="22"/>
                <w:szCs w:val="22"/>
              </w:rPr>
              <w:t>3. 9. 2015</w:t>
            </w:r>
          </w:p>
        </w:tc>
      </w:tr>
    </w:tbl>
    <w:p w:rsidR="00E10F59" w:rsidRDefault="00E10F59" w:rsidP="00E10F59"/>
    <w:p w:rsidR="00892BAB" w:rsidRDefault="00892BAB" w:rsidP="00804A00"/>
    <w:p w:rsidR="00892BAB" w:rsidRDefault="00892BAB" w:rsidP="00804A00"/>
    <w:p w:rsidR="00892BAB" w:rsidRDefault="00892BAB" w:rsidP="00804A00"/>
    <w:p w:rsidR="00D13E71" w:rsidRDefault="00D13E71" w:rsidP="00AE13FD"/>
    <w:p w:rsidR="0009702B" w:rsidRDefault="0009702B" w:rsidP="00AE13FD"/>
    <w:p w:rsidR="0009702B" w:rsidRDefault="0009702B" w:rsidP="00AE13FD"/>
    <w:p w:rsidR="0009702B" w:rsidRDefault="0009702B" w:rsidP="00AE13FD"/>
    <w:p w:rsidR="0009702B" w:rsidRDefault="0009702B" w:rsidP="00AE13FD"/>
    <w:p w:rsidR="0009702B" w:rsidRDefault="0009702B" w:rsidP="0009702B">
      <w:pPr>
        <w:pStyle w:val="Nadpis2"/>
        <w:rPr>
          <w:rFonts w:ascii="Times New Roman" w:hAnsi="Times New Roman"/>
          <w:i w:val="0"/>
        </w:rPr>
      </w:pPr>
      <w:bookmarkStart w:id="174" w:name="_Toc433873538"/>
      <w:r w:rsidRPr="00DB19BE">
        <w:rPr>
          <w:rFonts w:ascii="Times New Roman" w:hAnsi="Times New Roman"/>
          <w:i w:val="0"/>
        </w:rPr>
        <w:lastRenderedPageBreak/>
        <w:t xml:space="preserve">Příloha č. </w:t>
      </w:r>
      <w:r>
        <w:rPr>
          <w:rFonts w:ascii="Times New Roman" w:hAnsi="Times New Roman"/>
          <w:i w:val="0"/>
        </w:rPr>
        <w:t>4</w:t>
      </w:r>
      <w:r w:rsidRPr="00DB19BE">
        <w:rPr>
          <w:rFonts w:ascii="Times New Roman" w:hAnsi="Times New Roman"/>
          <w:i w:val="0"/>
        </w:rPr>
        <w:t xml:space="preserve"> – </w:t>
      </w:r>
      <w:r>
        <w:rPr>
          <w:rFonts w:ascii="Times New Roman" w:hAnsi="Times New Roman"/>
          <w:i w:val="0"/>
        </w:rPr>
        <w:t>Seznam velkých projektů</w:t>
      </w:r>
      <w:bookmarkEnd w:id="174"/>
      <w:r>
        <w:rPr>
          <w:rFonts w:ascii="Times New Roman" w:hAnsi="Times New Roman"/>
          <w:i w:val="0"/>
        </w:rPr>
        <w:t xml:space="preserve"> </w:t>
      </w:r>
    </w:p>
    <w:tbl>
      <w:tblPr>
        <w:tblW w:w="5000" w:type="pct"/>
        <w:tblLayout w:type="fixed"/>
        <w:tblCellMar>
          <w:left w:w="70" w:type="dxa"/>
          <w:right w:w="70" w:type="dxa"/>
        </w:tblCellMar>
        <w:tblLook w:val="04A0" w:firstRow="1" w:lastRow="0" w:firstColumn="1" w:lastColumn="0" w:noHBand="0" w:noVBand="1"/>
      </w:tblPr>
      <w:tblGrid>
        <w:gridCol w:w="494"/>
        <w:gridCol w:w="990"/>
        <w:gridCol w:w="993"/>
        <w:gridCol w:w="993"/>
        <w:gridCol w:w="849"/>
        <w:gridCol w:w="993"/>
        <w:gridCol w:w="996"/>
        <w:gridCol w:w="1700"/>
        <w:gridCol w:w="996"/>
        <w:gridCol w:w="1137"/>
        <w:gridCol w:w="702"/>
        <w:gridCol w:w="851"/>
        <w:gridCol w:w="710"/>
        <w:gridCol w:w="707"/>
        <w:gridCol w:w="1033"/>
      </w:tblGrid>
      <w:tr w:rsidR="000A6A17" w:rsidRPr="00501A6E" w:rsidTr="000D3924">
        <w:trPr>
          <w:trHeight w:val="300"/>
          <w:tblHeader/>
        </w:trPr>
        <w:tc>
          <w:tcPr>
            <w:tcW w:w="2230" w:type="pct"/>
            <w:gridSpan w:val="7"/>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0A6A17" w:rsidRPr="00501A6E" w:rsidRDefault="000A6A17" w:rsidP="000A6A17">
            <w:pPr>
              <w:jc w:val="center"/>
              <w:rPr>
                <w:b/>
                <w:bCs/>
                <w:color w:val="000000"/>
                <w:sz w:val="15"/>
                <w:szCs w:val="15"/>
              </w:rPr>
            </w:pPr>
            <w:r w:rsidRPr="00501A6E">
              <w:rPr>
                <w:b/>
                <w:bCs/>
                <w:color w:val="000000"/>
                <w:sz w:val="15"/>
                <w:szCs w:val="15"/>
              </w:rPr>
              <w:t>Projekt</w:t>
            </w:r>
          </w:p>
        </w:tc>
        <w:tc>
          <w:tcPr>
            <w:tcW w:w="1904" w:type="pct"/>
            <w:gridSpan w:val="5"/>
            <w:tcBorders>
              <w:top w:val="single" w:sz="4" w:space="0" w:color="auto"/>
              <w:left w:val="nil"/>
              <w:bottom w:val="single" w:sz="4" w:space="0" w:color="auto"/>
              <w:right w:val="single" w:sz="4" w:space="0" w:color="auto"/>
            </w:tcBorders>
            <w:shd w:val="clear" w:color="000000" w:fill="C5D9F1"/>
            <w:noWrap/>
            <w:vAlign w:val="bottom"/>
            <w:hideMark/>
          </w:tcPr>
          <w:p w:rsidR="000A6A17" w:rsidRPr="00501A6E" w:rsidRDefault="000A6A17" w:rsidP="000A6A17">
            <w:pPr>
              <w:jc w:val="center"/>
              <w:rPr>
                <w:b/>
                <w:bCs/>
                <w:color w:val="000000"/>
                <w:sz w:val="15"/>
                <w:szCs w:val="15"/>
              </w:rPr>
            </w:pPr>
            <w:r w:rsidRPr="00501A6E">
              <w:rPr>
                <w:b/>
                <w:bCs/>
                <w:color w:val="000000"/>
                <w:sz w:val="15"/>
                <w:szCs w:val="15"/>
              </w:rPr>
              <w:t xml:space="preserve">Výběrová řízení </w:t>
            </w:r>
          </w:p>
        </w:tc>
        <w:tc>
          <w:tcPr>
            <w:tcW w:w="866" w:type="pct"/>
            <w:gridSpan w:val="3"/>
            <w:tcBorders>
              <w:top w:val="single" w:sz="4" w:space="0" w:color="auto"/>
              <w:left w:val="nil"/>
              <w:bottom w:val="single" w:sz="4" w:space="0" w:color="auto"/>
              <w:right w:val="single" w:sz="4" w:space="0" w:color="auto"/>
            </w:tcBorders>
            <w:shd w:val="clear" w:color="000000" w:fill="C5D9F1"/>
            <w:noWrap/>
            <w:vAlign w:val="center"/>
            <w:hideMark/>
          </w:tcPr>
          <w:p w:rsidR="000A6A17" w:rsidRPr="00501A6E" w:rsidRDefault="000A6A17" w:rsidP="000A6A17">
            <w:pPr>
              <w:jc w:val="center"/>
              <w:rPr>
                <w:b/>
                <w:bCs/>
                <w:color w:val="000000"/>
                <w:sz w:val="15"/>
                <w:szCs w:val="15"/>
              </w:rPr>
            </w:pPr>
            <w:r w:rsidRPr="00501A6E">
              <w:rPr>
                <w:b/>
                <w:bCs/>
                <w:color w:val="000000"/>
                <w:sz w:val="15"/>
                <w:szCs w:val="15"/>
              </w:rPr>
              <w:t>Pokrok</w:t>
            </w:r>
          </w:p>
        </w:tc>
      </w:tr>
      <w:tr w:rsidR="000D3924" w:rsidRPr="00501A6E" w:rsidTr="000D3924">
        <w:trPr>
          <w:trHeight w:val="1545"/>
          <w:tblHeader/>
        </w:trPr>
        <w:tc>
          <w:tcPr>
            <w:tcW w:w="175" w:type="pct"/>
            <w:tcBorders>
              <w:top w:val="nil"/>
              <w:left w:val="single" w:sz="4" w:space="0" w:color="auto"/>
              <w:bottom w:val="single" w:sz="4" w:space="0" w:color="auto"/>
              <w:right w:val="single" w:sz="4" w:space="0" w:color="auto"/>
            </w:tcBorders>
            <w:shd w:val="clear" w:color="000000" w:fill="C5D9F1"/>
            <w:vAlign w:val="center"/>
            <w:hideMark/>
          </w:tcPr>
          <w:p w:rsidR="000A6A17" w:rsidRPr="00501A6E" w:rsidRDefault="000A6A17" w:rsidP="000A6A17">
            <w:pPr>
              <w:jc w:val="center"/>
              <w:rPr>
                <w:b/>
                <w:bCs/>
                <w:color w:val="000000"/>
                <w:sz w:val="15"/>
                <w:szCs w:val="15"/>
              </w:rPr>
            </w:pPr>
            <w:r w:rsidRPr="00501A6E">
              <w:rPr>
                <w:b/>
                <w:bCs/>
                <w:color w:val="000000"/>
                <w:sz w:val="15"/>
                <w:szCs w:val="15"/>
              </w:rPr>
              <w:t>OP/PO</w:t>
            </w:r>
          </w:p>
        </w:tc>
        <w:tc>
          <w:tcPr>
            <w:tcW w:w="350" w:type="pct"/>
            <w:tcBorders>
              <w:top w:val="nil"/>
              <w:left w:val="nil"/>
              <w:bottom w:val="single" w:sz="4" w:space="0" w:color="auto"/>
              <w:right w:val="single" w:sz="4" w:space="0" w:color="auto"/>
            </w:tcBorders>
            <w:shd w:val="clear" w:color="000000" w:fill="C5D9F1"/>
            <w:noWrap/>
            <w:vAlign w:val="center"/>
            <w:hideMark/>
          </w:tcPr>
          <w:p w:rsidR="000A6A17" w:rsidRPr="00501A6E" w:rsidRDefault="000A6A17" w:rsidP="000A6A17">
            <w:pPr>
              <w:jc w:val="center"/>
              <w:rPr>
                <w:b/>
                <w:bCs/>
                <w:color w:val="000000"/>
                <w:sz w:val="15"/>
                <w:szCs w:val="15"/>
              </w:rPr>
            </w:pPr>
            <w:r w:rsidRPr="00501A6E">
              <w:rPr>
                <w:b/>
                <w:bCs/>
                <w:color w:val="000000"/>
                <w:sz w:val="15"/>
                <w:szCs w:val="15"/>
              </w:rPr>
              <w:t xml:space="preserve">Název projektu </w:t>
            </w:r>
          </w:p>
        </w:tc>
        <w:tc>
          <w:tcPr>
            <w:tcW w:w="351" w:type="pct"/>
            <w:tcBorders>
              <w:top w:val="nil"/>
              <w:left w:val="nil"/>
              <w:bottom w:val="single" w:sz="4" w:space="0" w:color="auto"/>
              <w:right w:val="single" w:sz="4" w:space="0" w:color="auto"/>
            </w:tcBorders>
            <w:shd w:val="clear" w:color="000000" w:fill="C5D9F1"/>
            <w:vAlign w:val="center"/>
            <w:hideMark/>
          </w:tcPr>
          <w:p w:rsidR="000A6A17" w:rsidRPr="00501A6E" w:rsidRDefault="000A6A17" w:rsidP="000A6A17">
            <w:pPr>
              <w:jc w:val="center"/>
              <w:rPr>
                <w:b/>
                <w:bCs/>
                <w:color w:val="000000"/>
                <w:sz w:val="15"/>
                <w:szCs w:val="15"/>
              </w:rPr>
            </w:pPr>
            <w:r w:rsidRPr="00501A6E">
              <w:rPr>
                <w:b/>
                <w:bCs/>
                <w:color w:val="000000"/>
                <w:sz w:val="15"/>
                <w:szCs w:val="15"/>
              </w:rPr>
              <w:t>Schváleno na úrovni ŘO (datum vydání Rozhodnutí o poskytnutí dotace)</w:t>
            </w:r>
          </w:p>
        </w:tc>
        <w:tc>
          <w:tcPr>
            <w:tcW w:w="351" w:type="pct"/>
            <w:tcBorders>
              <w:top w:val="nil"/>
              <w:left w:val="nil"/>
              <w:bottom w:val="single" w:sz="4" w:space="0" w:color="auto"/>
              <w:right w:val="single" w:sz="4" w:space="0" w:color="auto"/>
            </w:tcBorders>
            <w:shd w:val="clear" w:color="000000" w:fill="C5D9F1"/>
            <w:vAlign w:val="center"/>
            <w:hideMark/>
          </w:tcPr>
          <w:p w:rsidR="000A6A17" w:rsidRPr="00501A6E" w:rsidRDefault="000A6A17" w:rsidP="000A6A17">
            <w:pPr>
              <w:jc w:val="center"/>
              <w:rPr>
                <w:b/>
                <w:bCs/>
                <w:color w:val="000000"/>
                <w:sz w:val="15"/>
                <w:szCs w:val="15"/>
              </w:rPr>
            </w:pPr>
            <w:r w:rsidRPr="00501A6E">
              <w:rPr>
                <w:b/>
                <w:bCs/>
                <w:color w:val="000000"/>
                <w:sz w:val="15"/>
                <w:szCs w:val="15"/>
              </w:rPr>
              <w:t xml:space="preserve">Předpokládané/skutečné datum ukončení projektu </w:t>
            </w:r>
          </w:p>
        </w:tc>
        <w:tc>
          <w:tcPr>
            <w:tcW w:w="300" w:type="pct"/>
            <w:tcBorders>
              <w:top w:val="nil"/>
              <w:left w:val="nil"/>
              <w:bottom w:val="single" w:sz="4" w:space="0" w:color="auto"/>
              <w:right w:val="single" w:sz="4" w:space="0" w:color="auto"/>
            </w:tcBorders>
            <w:shd w:val="clear" w:color="000000" w:fill="C5D9F1"/>
            <w:vAlign w:val="center"/>
            <w:hideMark/>
          </w:tcPr>
          <w:p w:rsidR="000A6A17" w:rsidRPr="00501A6E" w:rsidRDefault="000A6A17" w:rsidP="000A6A17">
            <w:pPr>
              <w:jc w:val="center"/>
              <w:rPr>
                <w:b/>
                <w:bCs/>
                <w:color w:val="000000"/>
                <w:sz w:val="15"/>
                <w:szCs w:val="15"/>
              </w:rPr>
            </w:pPr>
            <w:r w:rsidRPr="00501A6E">
              <w:rPr>
                <w:b/>
                <w:bCs/>
                <w:color w:val="000000"/>
                <w:sz w:val="15"/>
                <w:szCs w:val="15"/>
              </w:rPr>
              <w:t xml:space="preserve">Schváleno na úrovni EK </w:t>
            </w:r>
          </w:p>
        </w:tc>
        <w:tc>
          <w:tcPr>
            <w:tcW w:w="351" w:type="pct"/>
            <w:tcBorders>
              <w:top w:val="nil"/>
              <w:left w:val="nil"/>
              <w:bottom w:val="single" w:sz="4" w:space="0" w:color="auto"/>
              <w:right w:val="single" w:sz="4" w:space="0" w:color="auto"/>
            </w:tcBorders>
            <w:shd w:val="clear" w:color="000000" w:fill="C5D9F1"/>
            <w:vAlign w:val="center"/>
            <w:hideMark/>
          </w:tcPr>
          <w:p w:rsidR="000A6A17" w:rsidRPr="00501A6E" w:rsidRDefault="000A6A17" w:rsidP="000A6A17">
            <w:pPr>
              <w:jc w:val="center"/>
              <w:rPr>
                <w:b/>
                <w:bCs/>
                <w:color w:val="000000"/>
                <w:sz w:val="15"/>
                <w:szCs w:val="15"/>
              </w:rPr>
            </w:pPr>
            <w:proofErr w:type="spellStart"/>
            <w:r w:rsidRPr="00501A6E">
              <w:rPr>
                <w:b/>
                <w:bCs/>
                <w:color w:val="000000"/>
                <w:sz w:val="15"/>
                <w:szCs w:val="15"/>
              </w:rPr>
              <w:t>Degressivity</w:t>
            </w:r>
            <w:proofErr w:type="spellEnd"/>
            <w:r w:rsidRPr="00501A6E">
              <w:rPr>
                <w:b/>
                <w:bCs/>
                <w:color w:val="000000"/>
                <w:sz w:val="15"/>
                <w:szCs w:val="15"/>
              </w:rPr>
              <w:t xml:space="preserve"> </w:t>
            </w:r>
            <w:proofErr w:type="spellStart"/>
            <w:r w:rsidRPr="00501A6E">
              <w:rPr>
                <w:b/>
                <w:bCs/>
                <w:color w:val="000000"/>
                <w:sz w:val="15"/>
                <w:szCs w:val="15"/>
              </w:rPr>
              <w:t>rate</w:t>
            </w:r>
            <w:proofErr w:type="spellEnd"/>
            <w:r w:rsidRPr="00501A6E">
              <w:rPr>
                <w:b/>
                <w:bCs/>
                <w:color w:val="000000"/>
                <w:sz w:val="15"/>
                <w:szCs w:val="15"/>
              </w:rPr>
              <w:t xml:space="preserve"> (</w:t>
            </w:r>
            <w:proofErr w:type="spellStart"/>
            <w:r w:rsidRPr="00501A6E">
              <w:rPr>
                <w:b/>
                <w:bCs/>
                <w:color w:val="000000"/>
                <w:sz w:val="15"/>
                <w:szCs w:val="15"/>
              </w:rPr>
              <w:t>only</w:t>
            </w:r>
            <w:proofErr w:type="spellEnd"/>
            <w:r w:rsidRPr="00501A6E">
              <w:rPr>
                <w:b/>
                <w:bCs/>
                <w:color w:val="000000"/>
                <w:sz w:val="15"/>
                <w:szCs w:val="15"/>
              </w:rPr>
              <w:t xml:space="preserve"> ENV)</w:t>
            </w:r>
          </w:p>
        </w:tc>
        <w:tc>
          <w:tcPr>
            <w:tcW w:w="351" w:type="pct"/>
            <w:tcBorders>
              <w:top w:val="nil"/>
              <w:left w:val="nil"/>
              <w:bottom w:val="single" w:sz="4" w:space="0" w:color="auto"/>
              <w:right w:val="single" w:sz="4" w:space="0" w:color="auto"/>
            </w:tcBorders>
            <w:shd w:val="clear" w:color="000000" w:fill="C5D9F1"/>
            <w:vAlign w:val="center"/>
            <w:hideMark/>
          </w:tcPr>
          <w:p w:rsidR="000A6A17" w:rsidRPr="00501A6E" w:rsidRDefault="000A6A17" w:rsidP="000A6A17">
            <w:pPr>
              <w:jc w:val="center"/>
              <w:rPr>
                <w:b/>
                <w:bCs/>
                <w:color w:val="000000"/>
                <w:sz w:val="15"/>
                <w:szCs w:val="15"/>
              </w:rPr>
            </w:pPr>
            <w:r w:rsidRPr="00501A6E">
              <w:rPr>
                <w:b/>
                <w:bCs/>
                <w:color w:val="000000"/>
                <w:sz w:val="15"/>
                <w:szCs w:val="15"/>
              </w:rPr>
              <w:t>Příspěvek Společenství (SF/ERDF</w:t>
            </w:r>
          </w:p>
        </w:tc>
        <w:tc>
          <w:tcPr>
            <w:tcW w:w="601" w:type="pct"/>
            <w:tcBorders>
              <w:top w:val="nil"/>
              <w:left w:val="nil"/>
              <w:bottom w:val="single" w:sz="4" w:space="0" w:color="auto"/>
              <w:right w:val="single" w:sz="4" w:space="0" w:color="auto"/>
            </w:tcBorders>
            <w:shd w:val="clear" w:color="000000" w:fill="C5D9F1"/>
            <w:vAlign w:val="center"/>
            <w:hideMark/>
          </w:tcPr>
          <w:p w:rsidR="000A6A17" w:rsidRPr="00501A6E" w:rsidRDefault="000A6A17" w:rsidP="000A6A17">
            <w:pPr>
              <w:jc w:val="center"/>
              <w:rPr>
                <w:b/>
                <w:bCs/>
                <w:color w:val="000000"/>
                <w:sz w:val="15"/>
                <w:szCs w:val="15"/>
              </w:rPr>
            </w:pPr>
            <w:r w:rsidRPr="00501A6E">
              <w:rPr>
                <w:b/>
                <w:bCs/>
                <w:color w:val="000000"/>
                <w:sz w:val="15"/>
                <w:szCs w:val="15"/>
              </w:rPr>
              <w:t xml:space="preserve">Výběrová řízení </w:t>
            </w:r>
          </w:p>
        </w:tc>
        <w:tc>
          <w:tcPr>
            <w:tcW w:w="352" w:type="pct"/>
            <w:tcBorders>
              <w:top w:val="nil"/>
              <w:left w:val="nil"/>
              <w:bottom w:val="single" w:sz="4" w:space="0" w:color="auto"/>
              <w:right w:val="single" w:sz="4" w:space="0" w:color="auto"/>
            </w:tcBorders>
            <w:shd w:val="clear" w:color="000000" w:fill="C5D9F1"/>
            <w:vAlign w:val="center"/>
            <w:hideMark/>
          </w:tcPr>
          <w:p w:rsidR="000A6A17" w:rsidRPr="00501A6E" w:rsidRDefault="000A6A17" w:rsidP="000A6A17">
            <w:pPr>
              <w:jc w:val="center"/>
              <w:rPr>
                <w:b/>
                <w:bCs/>
                <w:color w:val="000000"/>
                <w:sz w:val="15"/>
                <w:szCs w:val="15"/>
              </w:rPr>
            </w:pPr>
            <w:r w:rsidRPr="00501A6E">
              <w:rPr>
                <w:b/>
                <w:bCs/>
                <w:color w:val="000000"/>
                <w:sz w:val="15"/>
                <w:szCs w:val="15"/>
              </w:rPr>
              <w:t xml:space="preserve">Smlouva na VŘ podepsána </w:t>
            </w:r>
          </w:p>
        </w:tc>
        <w:tc>
          <w:tcPr>
            <w:tcW w:w="402" w:type="pct"/>
            <w:tcBorders>
              <w:top w:val="nil"/>
              <w:left w:val="nil"/>
              <w:bottom w:val="single" w:sz="4" w:space="0" w:color="auto"/>
              <w:right w:val="single" w:sz="4" w:space="0" w:color="auto"/>
            </w:tcBorders>
            <w:shd w:val="clear" w:color="000000" w:fill="C5D9F1"/>
            <w:vAlign w:val="center"/>
            <w:hideMark/>
          </w:tcPr>
          <w:p w:rsidR="000A6A17" w:rsidRPr="00501A6E" w:rsidRDefault="000A6A17" w:rsidP="000A6A17">
            <w:pPr>
              <w:jc w:val="center"/>
              <w:rPr>
                <w:b/>
                <w:bCs/>
                <w:color w:val="000000"/>
                <w:sz w:val="15"/>
                <w:szCs w:val="15"/>
              </w:rPr>
            </w:pPr>
            <w:r w:rsidRPr="00501A6E">
              <w:rPr>
                <w:b/>
                <w:bCs/>
                <w:color w:val="000000"/>
                <w:sz w:val="15"/>
                <w:szCs w:val="15"/>
              </w:rPr>
              <w:t xml:space="preserve">Objem výběrového řízení </w:t>
            </w:r>
          </w:p>
        </w:tc>
        <w:tc>
          <w:tcPr>
            <w:tcW w:w="248" w:type="pct"/>
            <w:tcBorders>
              <w:top w:val="nil"/>
              <w:left w:val="nil"/>
              <w:bottom w:val="single" w:sz="4" w:space="0" w:color="auto"/>
              <w:right w:val="single" w:sz="4" w:space="0" w:color="auto"/>
            </w:tcBorders>
            <w:shd w:val="clear" w:color="000000" w:fill="C5D9F1"/>
            <w:vAlign w:val="center"/>
            <w:hideMark/>
          </w:tcPr>
          <w:p w:rsidR="000A6A17" w:rsidRPr="00501A6E" w:rsidRDefault="000A6A17" w:rsidP="000A6A17">
            <w:pPr>
              <w:jc w:val="center"/>
              <w:rPr>
                <w:b/>
                <w:bCs/>
                <w:color w:val="000000"/>
                <w:sz w:val="15"/>
                <w:szCs w:val="15"/>
              </w:rPr>
            </w:pPr>
            <w:r w:rsidRPr="00501A6E">
              <w:rPr>
                <w:b/>
                <w:bCs/>
                <w:color w:val="000000"/>
                <w:sz w:val="15"/>
                <w:szCs w:val="15"/>
              </w:rPr>
              <w:t>Směnný kurz</w:t>
            </w:r>
          </w:p>
        </w:tc>
        <w:tc>
          <w:tcPr>
            <w:tcW w:w="301" w:type="pct"/>
            <w:tcBorders>
              <w:top w:val="nil"/>
              <w:left w:val="nil"/>
              <w:bottom w:val="single" w:sz="4" w:space="0" w:color="auto"/>
              <w:right w:val="single" w:sz="4" w:space="0" w:color="auto"/>
            </w:tcBorders>
            <w:shd w:val="clear" w:color="000000" w:fill="C5D9F1"/>
            <w:vAlign w:val="center"/>
            <w:hideMark/>
          </w:tcPr>
          <w:p w:rsidR="000A6A17" w:rsidRPr="00501A6E" w:rsidRDefault="000A6A17" w:rsidP="000A6A17">
            <w:pPr>
              <w:jc w:val="center"/>
              <w:rPr>
                <w:b/>
                <w:bCs/>
                <w:color w:val="000000"/>
                <w:sz w:val="15"/>
                <w:szCs w:val="15"/>
              </w:rPr>
            </w:pPr>
            <w:r w:rsidRPr="00501A6E">
              <w:rPr>
                <w:b/>
                <w:bCs/>
                <w:color w:val="000000"/>
                <w:sz w:val="15"/>
                <w:szCs w:val="15"/>
              </w:rPr>
              <w:t xml:space="preserve">Objem </w:t>
            </w:r>
            <w:r w:rsidR="00501A6E" w:rsidRPr="00501A6E">
              <w:rPr>
                <w:b/>
                <w:bCs/>
                <w:color w:val="000000"/>
                <w:sz w:val="15"/>
                <w:szCs w:val="15"/>
              </w:rPr>
              <w:t>výběrového</w:t>
            </w:r>
            <w:r w:rsidRPr="00501A6E">
              <w:rPr>
                <w:b/>
                <w:bCs/>
                <w:color w:val="000000"/>
                <w:sz w:val="15"/>
                <w:szCs w:val="15"/>
              </w:rPr>
              <w:t xml:space="preserve"> řízení </w:t>
            </w:r>
          </w:p>
        </w:tc>
        <w:tc>
          <w:tcPr>
            <w:tcW w:w="501" w:type="pct"/>
            <w:gridSpan w:val="2"/>
            <w:tcBorders>
              <w:top w:val="single" w:sz="4" w:space="0" w:color="auto"/>
              <w:left w:val="nil"/>
              <w:bottom w:val="single" w:sz="4" w:space="0" w:color="auto"/>
              <w:right w:val="single" w:sz="4" w:space="0" w:color="auto"/>
            </w:tcBorders>
            <w:shd w:val="clear" w:color="000000" w:fill="C5D9F1"/>
            <w:vAlign w:val="center"/>
            <w:hideMark/>
          </w:tcPr>
          <w:p w:rsidR="000A6A17" w:rsidRPr="00501A6E" w:rsidRDefault="000A6A17" w:rsidP="000A6A17">
            <w:pPr>
              <w:jc w:val="center"/>
              <w:rPr>
                <w:b/>
                <w:bCs/>
                <w:color w:val="000000"/>
                <w:sz w:val="15"/>
                <w:szCs w:val="15"/>
              </w:rPr>
            </w:pPr>
            <w:r w:rsidRPr="00501A6E">
              <w:rPr>
                <w:b/>
                <w:bCs/>
                <w:color w:val="000000"/>
                <w:sz w:val="15"/>
                <w:szCs w:val="15"/>
              </w:rPr>
              <w:t>Proplacené prostředky příjemcům (vyúčtované)</w:t>
            </w:r>
          </w:p>
        </w:tc>
        <w:tc>
          <w:tcPr>
            <w:tcW w:w="365" w:type="pct"/>
            <w:tcBorders>
              <w:top w:val="nil"/>
              <w:left w:val="nil"/>
              <w:bottom w:val="single" w:sz="4" w:space="0" w:color="auto"/>
              <w:right w:val="single" w:sz="4" w:space="0" w:color="auto"/>
            </w:tcBorders>
            <w:shd w:val="clear" w:color="000000" w:fill="C5D9F1"/>
            <w:vAlign w:val="center"/>
            <w:hideMark/>
          </w:tcPr>
          <w:p w:rsidR="000A6A17" w:rsidRPr="00501A6E" w:rsidRDefault="000A6A17" w:rsidP="000A6A17">
            <w:pPr>
              <w:jc w:val="center"/>
              <w:rPr>
                <w:b/>
                <w:bCs/>
                <w:color w:val="000000"/>
                <w:sz w:val="15"/>
                <w:szCs w:val="15"/>
              </w:rPr>
            </w:pPr>
            <w:r w:rsidRPr="00501A6E">
              <w:rPr>
                <w:b/>
                <w:bCs/>
                <w:color w:val="000000"/>
                <w:sz w:val="15"/>
                <w:szCs w:val="15"/>
              </w:rPr>
              <w:t xml:space="preserve">Komentář ke stavu realizace projektu </w:t>
            </w:r>
          </w:p>
        </w:tc>
      </w:tr>
      <w:tr w:rsidR="000D3924" w:rsidRPr="00501A6E" w:rsidTr="000D3924">
        <w:trPr>
          <w:trHeight w:val="525"/>
          <w:tblHeader/>
        </w:trPr>
        <w:tc>
          <w:tcPr>
            <w:tcW w:w="175" w:type="pct"/>
            <w:tcBorders>
              <w:top w:val="nil"/>
              <w:left w:val="single" w:sz="4" w:space="0" w:color="auto"/>
              <w:bottom w:val="single" w:sz="4" w:space="0" w:color="auto"/>
              <w:right w:val="single" w:sz="4" w:space="0" w:color="auto"/>
            </w:tcBorders>
            <w:shd w:val="clear" w:color="000000" w:fill="C5D9F1"/>
            <w:noWrap/>
            <w:vAlign w:val="center"/>
            <w:hideMark/>
          </w:tcPr>
          <w:p w:rsidR="000A6A17" w:rsidRPr="00501A6E" w:rsidRDefault="000A6A17" w:rsidP="000A6A17">
            <w:pPr>
              <w:jc w:val="center"/>
              <w:rPr>
                <w:b/>
                <w:bCs/>
                <w:color w:val="000000"/>
                <w:sz w:val="15"/>
                <w:szCs w:val="15"/>
              </w:rPr>
            </w:pPr>
            <w:r w:rsidRPr="00501A6E">
              <w:rPr>
                <w:b/>
                <w:bCs/>
                <w:color w:val="000000"/>
                <w:sz w:val="15"/>
                <w:szCs w:val="15"/>
              </w:rPr>
              <w:t> </w:t>
            </w:r>
          </w:p>
        </w:tc>
        <w:tc>
          <w:tcPr>
            <w:tcW w:w="350" w:type="pct"/>
            <w:tcBorders>
              <w:top w:val="nil"/>
              <w:left w:val="nil"/>
              <w:bottom w:val="single" w:sz="4" w:space="0" w:color="auto"/>
              <w:right w:val="single" w:sz="4" w:space="0" w:color="auto"/>
            </w:tcBorders>
            <w:shd w:val="clear" w:color="000000" w:fill="C5D9F1"/>
            <w:noWrap/>
            <w:vAlign w:val="center"/>
            <w:hideMark/>
          </w:tcPr>
          <w:p w:rsidR="000A6A17" w:rsidRPr="00501A6E" w:rsidRDefault="000A6A17" w:rsidP="000A6A17">
            <w:pPr>
              <w:jc w:val="center"/>
              <w:rPr>
                <w:b/>
                <w:bCs/>
                <w:color w:val="000000"/>
                <w:sz w:val="15"/>
                <w:szCs w:val="15"/>
              </w:rPr>
            </w:pPr>
            <w:r w:rsidRPr="00501A6E">
              <w:rPr>
                <w:b/>
                <w:bCs/>
                <w:color w:val="000000"/>
                <w:sz w:val="15"/>
                <w:szCs w:val="15"/>
              </w:rPr>
              <w:t> </w:t>
            </w:r>
          </w:p>
        </w:tc>
        <w:tc>
          <w:tcPr>
            <w:tcW w:w="351" w:type="pct"/>
            <w:tcBorders>
              <w:top w:val="nil"/>
              <w:left w:val="nil"/>
              <w:bottom w:val="single" w:sz="4" w:space="0" w:color="auto"/>
              <w:right w:val="single" w:sz="4" w:space="0" w:color="auto"/>
            </w:tcBorders>
            <w:shd w:val="clear" w:color="000000" w:fill="C5D9F1"/>
            <w:vAlign w:val="center"/>
            <w:hideMark/>
          </w:tcPr>
          <w:p w:rsidR="000A6A17" w:rsidRPr="00501A6E" w:rsidRDefault="000A6A17" w:rsidP="000A6A17">
            <w:pPr>
              <w:jc w:val="center"/>
              <w:rPr>
                <w:b/>
                <w:bCs/>
                <w:color w:val="000000"/>
                <w:sz w:val="15"/>
                <w:szCs w:val="15"/>
              </w:rPr>
            </w:pPr>
            <w:r w:rsidRPr="00501A6E">
              <w:rPr>
                <w:b/>
                <w:bCs/>
                <w:color w:val="000000"/>
                <w:sz w:val="15"/>
                <w:szCs w:val="15"/>
              </w:rPr>
              <w:t xml:space="preserve">datum </w:t>
            </w:r>
          </w:p>
        </w:tc>
        <w:tc>
          <w:tcPr>
            <w:tcW w:w="351" w:type="pct"/>
            <w:tcBorders>
              <w:top w:val="nil"/>
              <w:left w:val="nil"/>
              <w:bottom w:val="single" w:sz="4" w:space="0" w:color="auto"/>
              <w:right w:val="single" w:sz="4" w:space="0" w:color="auto"/>
            </w:tcBorders>
            <w:shd w:val="clear" w:color="000000" w:fill="C5D9F1"/>
            <w:vAlign w:val="center"/>
            <w:hideMark/>
          </w:tcPr>
          <w:p w:rsidR="000A6A17" w:rsidRPr="00501A6E" w:rsidRDefault="000A6A17" w:rsidP="000A6A17">
            <w:pPr>
              <w:jc w:val="center"/>
              <w:rPr>
                <w:b/>
                <w:bCs/>
                <w:color w:val="000000"/>
                <w:sz w:val="15"/>
                <w:szCs w:val="15"/>
              </w:rPr>
            </w:pPr>
            <w:r w:rsidRPr="00501A6E">
              <w:rPr>
                <w:b/>
                <w:bCs/>
                <w:color w:val="000000"/>
                <w:sz w:val="15"/>
                <w:szCs w:val="15"/>
              </w:rPr>
              <w:t xml:space="preserve">datum </w:t>
            </w:r>
          </w:p>
        </w:tc>
        <w:tc>
          <w:tcPr>
            <w:tcW w:w="300" w:type="pct"/>
            <w:tcBorders>
              <w:top w:val="nil"/>
              <w:left w:val="nil"/>
              <w:bottom w:val="single" w:sz="4" w:space="0" w:color="auto"/>
              <w:right w:val="single" w:sz="4" w:space="0" w:color="auto"/>
            </w:tcBorders>
            <w:shd w:val="clear" w:color="000000" w:fill="C5D9F1"/>
            <w:vAlign w:val="center"/>
            <w:hideMark/>
          </w:tcPr>
          <w:p w:rsidR="000A6A17" w:rsidRPr="00501A6E" w:rsidRDefault="000A6A17" w:rsidP="000A6A17">
            <w:pPr>
              <w:jc w:val="center"/>
              <w:rPr>
                <w:b/>
                <w:bCs/>
                <w:color w:val="000000"/>
                <w:sz w:val="15"/>
                <w:szCs w:val="15"/>
              </w:rPr>
            </w:pPr>
            <w:r w:rsidRPr="00501A6E">
              <w:rPr>
                <w:b/>
                <w:bCs/>
                <w:color w:val="000000"/>
                <w:sz w:val="15"/>
                <w:szCs w:val="15"/>
              </w:rPr>
              <w:t xml:space="preserve">datum </w:t>
            </w:r>
          </w:p>
        </w:tc>
        <w:tc>
          <w:tcPr>
            <w:tcW w:w="351" w:type="pct"/>
            <w:tcBorders>
              <w:top w:val="nil"/>
              <w:left w:val="nil"/>
              <w:bottom w:val="single" w:sz="4" w:space="0" w:color="auto"/>
              <w:right w:val="single" w:sz="4" w:space="0" w:color="auto"/>
            </w:tcBorders>
            <w:shd w:val="clear" w:color="000000" w:fill="C5D9F1"/>
            <w:vAlign w:val="center"/>
            <w:hideMark/>
          </w:tcPr>
          <w:p w:rsidR="000A6A17" w:rsidRPr="00501A6E" w:rsidRDefault="000A6A17" w:rsidP="000A6A17">
            <w:pPr>
              <w:jc w:val="center"/>
              <w:rPr>
                <w:b/>
                <w:bCs/>
                <w:color w:val="000000"/>
                <w:sz w:val="15"/>
                <w:szCs w:val="15"/>
              </w:rPr>
            </w:pPr>
            <w:r w:rsidRPr="00501A6E">
              <w:rPr>
                <w:b/>
                <w:bCs/>
                <w:color w:val="000000"/>
                <w:sz w:val="15"/>
                <w:szCs w:val="15"/>
              </w:rPr>
              <w:t> </w:t>
            </w:r>
          </w:p>
        </w:tc>
        <w:tc>
          <w:tcPr>
            <w:tcW w:w="351" w:type="pct"/>
            <w:tcBorders>
              <w:top w:val="nil"/>
              <w:left w:val="nil"/>
              <w:bottom w:val="single" w:sz="4" w:space="0" w:color="auto"/>
              <w:right w:val="single" w:sz="4" w:space="0" w:color="auto"/>
            </w:tcBorders>
            <w:shd w:val="clear" w:color="000000" w:fill="C5D9F1"/>
            <w:noWrap/>
            <w:vAlign w:val="center"/>
            <w:hideMark/>
          </w:tcPr>
          <w:p w:rsidR="000A6A17" w:rsidRPr="00501A6E" w:rsidRDefault="000A6A17" w:rsidP="000A6A17">
            <w:pPr>
              <w:jc w:val="center"/>
              <w:rPr>
                <w:b/>
                <w:bCs/>
                <w:color w:val="000000"/>
                <w:sz w:val="15"/>
                <w:szCs w:val="15"/>
              </w:rPr>
            </w:pPr>
            <w:r w:rsidRPr="00501A6E">
              <w:rPr>
                <w:b/>
                <w:bCs/>
                <w:color w:val="000000"/>
                <w:sz w:val="15"/>
                <w:szCs w:val="15"/>
              </w:rPr>
              <w:t>EUR</w:t>
            </w:r>
          </w:p>
        </w:tc>
        <w:tc>
          <w:tcPr>
            <w:tcW w:w="601" w:type="pct"/>
            <w:tcBorders>
              <w:top w:val="nil"/>
              <w:left w:val="nil"/>
              <w:bottom w:val="single" w:sz="4" w:space="0" w:color="auto"/>
              <w:right w:val="single" w:sz="4" w:space="0" w:color="auto"/>
            </w:tcBorders>
            <w:shd w:val="clear" w:color="000000" w:fill="C5D9F1"/>
            <w:noWrap/>
            <w:vAlign w:val="center"/>
            <w:hideMark/>
          </w:tcPr>
          <w:p w:rsidR="000A6A17" w:rsidRPr="00501A6E" w:rsidRDefault="000A6A17" w:rsidP="000A6A17">
            <w:pPr>
              <w:jc w:val="center"/>
              <w:rPr>
                <w:b/>
                <w:bCs/>
                <w:color w:val="000000"/>
                <w:sz w:val="15"/>
                <w:szCs w:val="15"/>
              </w:rPr>
            </w:pPr>
            <w:r w:rsidRPr="00501A6E">
              <w:rPr>
                <w:b/>
                <w:bCs/>
                <w:color w:val="000000"/>
                <w:sz w:val="15"/>
                <w:szCs w:val="15"/>
              </w:rPr>
              <w:t> </w:t>
            </w:r>
          </w:p>
        </w:tc>
        <w:tc>
          <w:tcPr>
            <w:tcW w:w="352" w:type="pct"/>
            <w:tcBorders>
              <w:top w:val="nil"/>
              <w:left w:val="nil"/>
              <w:bottom w:val="single" w:sz="4" w:space="0" w:color="auto"/>
              <w:right w:val="single" w:sz="4" w:space="0" w:color="auto"/>
            </w:tcBorders>
            <w:shd w:val="clear" w:color="000000" w:fill="C5D9F1"/>
            <w:noWrap/>
            <w:vAlign w:val="center"/>
            <w:hideMark/>
          </w:tcPr>
          <w:p w:rsidR="000A6A17" w:rsidRPr="00501A6E" w:rsidRDefault="000A6A17" w:rsidP="000A6A17">
            <w:pPr>
              <w:jc w:val="center"/>
              <w:rPr>
                <w:b/>
                <w:bCs/>
                <w:color w:val="000000"/>
                <w:sz w:val="15"/>
                <w:szCs w:val="15"/>
              </w:rPr>
            </w:pPr>
            <w:r w:rsidRPr="00501A6E">
              <w:rPr>
                <w:b/>
                <w:bCs/>
                <w:color w:val="000000"/>
                <w:sz w:val="15"/>
                <w:szCs w:val="15"/>
              </w:rPr>
              <w:t xml:space="preserve">datum </w:t>
            </w:r>
          </w:p>
        </w:tc>
        <w:tc>
          <w:tcPr>
            <w:tcW w:w="402" w:type="pct"/>
            <w:tcBorders>
              <w:top w:val="nil"/>
              <w:left w:val="nil"/>
              <w:bottom w:val="single" w:sz="4" w:space="0" w:color="auto"/>
              <w:right w:val="single" w:sz="4" w:space="0" w:color="auto"/>
            </w:tcBorders>
            <w:shd w:val="clear" w:color="000000" w:fill="C5D9F1"/>
            <w:noWrap/>
            <w:vAlign w:val="center"/>
            <w:hideMark/>
          </w:tcPr>
          <w:p w:rsidR="000A6A17" w:rsidRPr="00501A6E" w:rsidRDefault="000A6A17" w:rsidP="000A6A17">
            <w:pPr>
              <w:jc w:val="center"/>
              <w:rPr>
                <w:b/>
                <w:bCs/>
                <w:color w:val="000000"/>
                <w:sz w:val="15"/>
                <w:szCs w:val="15"/>
              </w:rPr>
            </w:pPr>
            <w:r w:rsidRPr="00501A6E">
              <w:rPr>
                <w:b/>
                <w:bCs/>
                <w:color w:val="000000"/>
                <w:sz w:val="15"/>
                <w:szCs w:val="15"/>
              </w:rPr>
              <w:t>CZK</w:t>
            </w:r>
          </w:p>
        </w:tc>
        <w:tc>
          <w:tcPr>
            <w:tcW w:w="248" w:type="pct"/>
            <w:tcBorders>
              <w:top w:val="nil"/>
              <w:left w:val="nil"/>
              <w:bottom w:val="single" w:sz="4" w:space="0" w:color="auto"/>
              <w:right w:val="single" w:sz="4" w:space="0" w:color="auto"/>
            </w:tcBorders>
            <w:shd w:val="clear" w:color="000000" w:fill="C5D9F1"/>
            <w:noWrap/>
            <w:vAlign w:val="center"/>
            <w:hideMark/>
          </w:tcPr>
          <w:p w:rsidR="000A6A17" w:rsidRPr="00501A6E" w:rsidRDefault="000A6A17" w:rsidP="000A6A17">
            <w:pPr>
              <w:jc w:val="center"/>
              <w:rPr>
                <w:b/>
                <w:bCs/>
                <w:color w:val="000000"/>
                <w:sz w:val="15"/>
                <w:szCs w:val="15"/>
              </w:rPr>
            </w:pPr>
            <w:r w:rsidRPr="00501A6E">
              <w:rPr>
                <w:b/>
                <w:bCs/>
                <w:color w:val="000000"/>
                <w:sz w:val="15"/>
                <w:szCs w:val="15"/>
              </w:rPr>
              <w:t> </w:t>
            </w:r>
          </w:p>
        </w:tc>
        <w:tc>
          <w:tcPr>
            <w:tcW w:w="301" w:type="pct"/>
            <w:tcBorders>
              <w:top w:val="nil"/>
              <w:left w:val="nil"/>
              <w:bottom w:val="single" w:sz="4" w:space="0" w:color="auto"/>
              <w:right w:val="single" w:sz="4" w:space="0" w:color="auto"/>
            </w:tcBorders>
            <w:shd w:val="clear" w:color="000000" w:fill="C5D9F1"/>
            <w:noWrap/>
            <w:vAlign w:val="center"/>
            <w:hideMark/>
          </w:tcPr>
          <w:p w:rsidR="000A6A17" w:rsidRPr="00501A6E" w:rsidRDefault="000A6A17" w:rsidP="000A6A17">
            <w:pPr>
              <w:jc w:val="center"/>
              <w:rPr>
                <w:b/>
                <w:bCs/>
                <w:color w:val="000000"/>
                <w:sz w:val="15"/>
                <w:szCs w:val="15"/>
              </w:rPr>
            </w:pPr>
            <w:r w:rsidRPr="00501A6E">
              <w:rPr>
                <w:b/>
                <w:bCs/>
                <w:color w:val="000000"/>
                <w:sz w:val="15"/>
                <w:szCs w:val="15"/>
              </w:rPr>
              <w:t xml:space="preserve">EUR </w:t>
            </w:r>
          </w:p>
        </w:tc>
        <w:tc>
          <w:tcPr>
            <w:tcW w:w="251" w:type="pct"/>
            <w:tcBorders>
              <w:top w:val="nil"/>
              <w:left w:val="nil"/>
              <w:bottom w:val="single" w:sz="4" w:space="0" w:color="auto"/>
              <w:right w:val="single" w:sz="4" w:space="0" w:color="auto"/>
            </w:tcBorders>
            <w:shd w:val="clear" w:color="000000" w:fill="C5D9F1"/>
            <w:vAlign w:val="bottom"/>
            <w:hideMark/>
          </w:tcPr>
          <w:p w:rsidR="000A6A17" w:rsidRPr="00501A6E" w:rsidRDefault="000A6A17" w:rsidP="000A6A17">
            <w:pPr>
              <w:jc w:val="center"/>
              <w:rPr>
                <w:b/>
                <w:bCs/>
                <w:color w:val="000000"/>
                <w:sz w:val="15"/>
                <w:szCs w:val="15"/>
              </w:rPr>
            </w:pPr>
            <w:r w:rsidRPr="00501A6E">
              <w:rPr>
                <w:b/>
                <w:bCs/>
                <w:color w:val="000000"/>
                <w:sz w:val="15"/>
                <w:szCs w:val="15"/>
              </w:rPr>
              <w:t>předchozí MV</w:t>
            </w:r>
          </w:p>
        </w:tc>
        <w:tc>
          <w:tcPr>
            <w:tcW w:w="250" w:type="pct"/>
            <w:tcBorders>
              <w:top w:val="nil"/>
              <w:left w:val="nil"/>
              <w:bottom w:val="single" w:sz="4" w:space="0" w:color="auto"/>
              <w:right w:val="single" w:sz="4" w:space="0" w:color="auto"/>
            </w:tcBorders>
            <w:shd w:val="clear" w:color="000000" w:fill="C5D9F1"/>
            <w:vAlign w:val="bottom"/>
            <w:hideMark/>
          </w:tcPr>
          <w:p w:rsidR="000A6A17" w:rsidRPr="00501A6E" w:rsidRDefault="000A6A17" w:rsidP="000A6A17">
            <w:pPr>
              <w:jc w:val="center"/>
              <w:rPr>
                <w:b/>
                <w:bCs/>
                <w:color w:val="000000"/>
                <w:sz w:val="15"/>
                <w:szCs w:val="15"/>
              </w:rPr>
            </w:pPr>
            <w:r w:rsidRPr="00501A6E">
              <w:rPr>
                <w:b/>
                <w:bCs/>
                <w:color w:val="000000"/>
                <w:sz w:val="15"/>
                <w:szCs w:val="15"/>
              </w:rPr>
              <w:t xml:space="preserve">aktuální MV </w:t>
            </w:r>
          </w:p>
        </w:tc>
        <w:tc>
          <w:tcPr>
            <w:tcW w:w="365" w:type="pct"/>
            <w:tcBorders>
              <w:top w:val="nil"/>
              <w:left w:val="nil"/>
              <w:bottom w:val="single" w:sz="4" w:space="0" w:color="auto"/>
              <w:right w:val="single" w:sz="4" w:space="0" w:color="auto"/>
            </w:tcBorders>
            <w:shd w:val="clear" w:color="000000" w:fill="C5D9F1"/>
            <w:noWrap/>
            <w:vAlign w:val="bottom"/>
            <w:hideMark/>
          </w:tcPr>
          <w:p w:rsidR="000A6A17" w:rsidRPr="00501A6E" w:rsidRDefault="000A6A17" w:rsidP="000A6A17">
            <w:pPr>
              <w:jc w:val="center"/>
              <w:rPr>
                <w:b/>
                <w:bCs/>
                <w:color w:val="000000"/>
                <w:sz w:val="15"/>
                <w:szCs w:val="15"/>
              </w:rPr>
            </w:pPr>
            <w:r w:rsidRPr="00501A6E">
              <w:rPr>
                <w:b/>
                <w:bCs/>
                <w:color w:val="000000"/>
                <w:sz w:val="15"/>
                <w:szCs w:val="15"/>
              </w:rPr>
              <w:t> </w:t>
            </w:r>
          </w:p>
        </w:tc>
      </w:tr>
      <w:tr w:rsidR="000D3924" w:rsidRPr="00501A6E" w:rsidTr="000D3924">
        <w:trPr>
          <w:trHeight w:val="1350"/>
        </w:trPr>
        <w:tc>
          <w:tcPr>
            <w:tcW w:w="175" w:type="pct"/>
            <w:tcBorders>
              <w:top w:val="nil"/>
              <w:left w:val="single" w:sz="4" w:space="0" w:color="auto"/>
              <w:bottom w:val="single" w:sz="4" w:space="0" w:color="auto"/>
              <w:right w:val="single" w:sz="4" w:space="0" w:color="auto"/>
            </w:tcBorders>
            <w:shd w:val="clear" w:color="auto" w:fill="auto"/>
            <w:noWrap/>
            <w:vAlign w:val="center"/>
            <w:hideMark/>
          </w:tcPr>
          <w:p w:rsidR="000A6A17" w:rsidRPr="00501A6E" w:rsidRDefault="000A6A17" w:rsidP="00F71014">
            <w:pPr>
              <w:jc w:val="center"/>
              <w:rPr>
                <w:color w:val="000000"/>
                <w:sz w:val="15"/>
                <w:szCs w:val="15"/>
              </w:rPr>
            </w:pPr>
            <w:r w:rsidRPr="00501A6E">
              <w:rPr>
                <w:color w:val="000000"/>
                <w:sz w:val="15"/>
                <w:szCs w:val="15"/>
              </w:rPr>
              <w:t>IOP</w:t>
            </w:r>
          </w:p>
        </w:tc>
        <w:tc>
          <w:tcPr>
            <w:tcW w:w="350" w:type="pct"/>
            <w:tcBorders>
              <w:top w:val="nil"/>
              <w:left w:val="nil"/>
              <w:bottom w:val="single" w:sz="4" w:space="0" w:color="auto"/>
              <w:right w:val="single" w:sz="4" w:space="0" w:color="auto"/>
            </w:tcBorders>
            <w:shd w:val="clear" w:color="auto" w:fill="auto"/>
            <w:vAlign w:val="center"/>
            <w:hideMark/>
          </w:tcPr>
          <w:p w:rsidR="000A6A17" w:rsidRPr="00501A6E" w:rsidRDefault="000A6A17" w:rsidP="00F71014">
            <w:pPr>
              <w:rPr>
                <w:color w:val="000000"/>
                <w:sz w:val="15"/>
                <w:szCs w:val="15"/>
              </w:rPr>
            </w:pPr>
            <w:r w:rsidRPr="00501A6E">
              <w:rPr>
                <w:color w:val="000000"/>
                <w:sz w:val="15"/>
                <w:szCs w:val="15"/>
              </w:rPr>
              <w:t>Připravenost Hasičského záchranného sboru České republiky k řešení povodní</w:t>
            </w:r>
          </w:p>
        </w:tc>
        <w:tc>
          <w:tcPr>
            <w:tcW w:w="351" w:type="pct"/>
            <w:tcBorders>
              <w:top w:val="nil"/>
              <w:left w:val="nil"/>
              <w:bottom w:val="single" w:sz="4" w:space="0" w:color="auto"/>
              <w:right w:val="single" w:sz="4" w:space="0" w:color="auto"/>
            </w:tcBorders>
            <w:shd w:val="clear" w:color="auto" w:fill="auto"/>
            <w:noWrap/>
            <w:vAlign w:val="center"/>
            <w:hideMark/>
          </w:tcPr>
          <w:p w:rsidR="000A6A17" w:rsidRPr="00501A6E" w:rsidRDefault="00F71014" w:rsidP="00F71014">
            <w:pPr>
              <w:jc w:val="center"/>
              <w:rPr>
                <w:color w:val="000000"/>
                <w:sz w:val="15"/>
                <w:szCs w:val="15"/>
              </w:rPr>
            </w:pPr>
            <w:r w:rsidRPr="00501A6E">
              <w:rPr>
                <w:color w:val="000000"/>
                <w:sz w:val="15"/>
                <w:szCs w:val="15"/>
              </w:rPr>
              <w:t>19. 8. 2014</w:t>
            </w:r>
          </w:p>
        </w:tc>
        <w:tc>
          <w:tcPr>
            <w:tcW w:w="351" w:type="pct"/>
            <w:tcBorders>
              <w:top w:val="nil"/>
              <w:left w:val="nil"/>
              <w:bottom w:val="single" w:sz="4" w:space="0" w:color="auto"/>
              <w:right w:val="single" w:sz="4" w:space="0" w:color="auto"/>
            </w:tcBorders>
            <w:shd w:val="clear" w:color="auto" w:fill="auto"/>
            <w:noWrap/>
            <w:vAlign w:val="center"/>
            <w:hideMark/>
          </w:tcPr>
          <w:p w:rsidR="000A6A17" w:rsidRPr="00501A6E" w:rsidRDefault="00F71014" w:rsidP="00F71014">
            <w:pPr>
              <w:jc w:val="center"/>
              <w:rPr>
                <w:color w:val="000000"/>
                <w:sz w:val="15"/>
                <w:szCs w:val="15"/>
              </w:rPr>
            </w:pPr>
            <w:r w:rsidRPr="00501A6E">
              <w:rPr>
                <w:color w:val="000000"/>
                <w:sz w:val="15"/>
                <w:szCs w:val="15"/>
              </w:rPr>
              <w:t>30. 11. 2015</w:t>
            </w:r>
          </w:p>
        </w:tc>
        <w:tc>
          <w:tcPr>
            <w:tcW w:w="300" w:type="pct"/>
            <w:tcBorders>
              <w:top w:val="nil"/>
              <w:left w:val="nil"/>
              <w:bottom w:val="single" w:sz="4" w:space="0" w:color="auto"/>
              <w:right w:val="single" w:sz="4" w:space="0" w:color="auto"/>
            </w:tcBorders>
            <w:shd w:val="clear" w:color="auto" w:fill="auto"/>
            <w:noWrap/>
            <w:vAlign w:val="center"/>
            <w:hideMark/>
          </w:tcPr>
          <w:p w:rsidR="000A6A17" w:rsidRPr="00501A6E" w:rsidRDefault="00F71014" w:rsidP="00F71014">
            <w:pPr>
              <w:jc w:val="center"/>
              <w:rPr>
                <w:color w:val="000000"/>
                <w:sz w:val="15"/>
                <w:szCs w:val="15"/>
              </w:rPr>
            </w:pPr>
            <w:r w:rsidRPr="00501A6E">
              <w:rPr>
                <w:color w:val="000000"/>
                <w:sz w:val="15"/>
                <w:szCs w:val="15"/>
              </w:rPr>
              <w:t>14. 8. 2014</w:t>
            </w:r>
          </w:p>
        </w:tc>
        <w:tc>
          <w:tcPr>
            <w:tcW w:w="351" w:type="pct"/>
            <w:tcBorders>
              <w:top w:val="nil"/>
              <w:left w:val="nil"/>
              <w:bottom w:val="single" w:sz="4" w:space="0" w:color="auto"/>
              <w:right w:val="single" w:sz="4" w:space="0" w:color="auto"/>
            </w:tcBorders>
            <w:shd w:val="clear" w:color="auto" w:fill="auto"/>
            <w:noWrap/>
            <w:vAlign w:val="center"/>
            <w:hideMark/>
          </w:tcPr>
          <w:p w:rsidR="000A6A17" w:rsidRPr="00501A6E" w:rsidRDefault="000A6A17" w:rsidP="00F71014">
            <w:pPr>
              <w:jc w:val="center"/>
              <w:rPr>
                <w:color w:val="000000"/>
                <w:sz w:val="15"/>
                <w:szCs w:val="15"/>
              </w:rPr>
            </w:pPr>
          </w:p>
        </w:tc>
        <w:tc>
          <w:tcPr>
            <w:tcW w:w="351" w:type="pct"/>
            <w:tcBorders>
              <w:top w:val="nil"/>
              <w:left w:val="nil"/>
              <w:bottom w:val="single" w:sz="4" w:space="0" w:color="auto"/>
              <w:right w:val="single" w:sz="4" w:space="0" w:color="auto"/>
            </w:tcBorders>
            <w:shd w:val="clear" w:color="auto" w:fill="auto"/>
            <w:noWrap/>
            <w:vAlign w:val="center"/>
            <w:hideMark/>
          </w:tcPr>
          <w:p w:rsidR="000A6A17" w:rsidRPr="00501A6E" w:rsidRDefault="000A6A17" w:rsidP="00F71014">
            <w:pPr>
              <w:jc w:val="center"/>
              <w:rPr>
                <w:color w:val="000000"/>
                <w:sz w:val="15"/>
                <w:szCs w:val="15"/>
              </w:rPr>
            </w:pPr>
            <w:r w:rsidRPr="00501A6E">
              <w:rPr>
                <w:color w:val="000000"/>
                <w:sz w:val="15"/>
                <w:szCs w:val="15"/>
              </w:rPr>
              <w:t>49 621 057</w:t>
            </w:r>
          </w:p>
        </w:tc>
        <w:tc>
          <w:tcPr>
            <w:tcW w:w="601" w:type="pct"/>
            <w:tcBorders>
              <w:top w:val="nil"/>
              <w:left w:val="nil"/>
              <w:bottom w:val="single" w:sz="4" w:space="0" w:color="auto"/>
              <w:right w:val="single" w:sz="4" w:space="0" w:color="auto"/>
            </w:tcBorders>
            <w:shd w:val="clear" w:color="auto" w:fill="auto"/>
            <w:noWrap/>
            <w:vAlign w:val="center"/>
            <w:hideMark/>
          </w:tcPr>
          <w:p w:rsidR="000A6A17" w:rsidRPr="00501A6E" w:rsidRDefault="000A6A17" w:rsidP="00F71014">
            <w:pPr>
              <w:jc w:val="center"/>
              <w:rPr>
                <w:color w:val="000000"/>
                <w:sz w:val="15"/>
                <w:szCs w:val="15"/>
              </w:rPr>
            </w:pPr>
          </w:p>
        </w:tc>
        <w:tc>
          <w:tcPr>
            <w:tcW w:w="352" w:type="pct"/>
            <w:tcBorders>
              <w:top w:val="nil"/>
              <w:left w:val="nil"/>
              <w:bottom w:val="single" w:sz="4" w:space="0" w:color="auto"/>
              <w:right w:val="single" w:sz="4" w:space="0" w:color="auto"/>
            </w:tcBorders>
            <w:shd w:val="clear" w:color="auto" w:fill="auto"/>
            <w:noWrap/>
            <w:vAlign w:val="center"/>
            <w:hideMark/>
          </w:tcPr>
          <w:p w:rsidR="000A6A17" w:rsidRPr="00501A6E" w:rsidRDefault="000A6A17" w:rsidP="00F71014">
            <w:pPr>
              <w:jc w:val="center"/>
              <w:rPr>
                <w:color w:val="000000"/>
                <w:sz w:val="15"/>
                <w:szCs w:val="15"/>
              </w:rPr>
            </w:pPr>
          </w:p>
        </w:tc>
        <w:tc>
          <w:tcPr>
            <w:tcW w:w="402" w:type="pct"/>
            <w:tcBorders>
              <w:top w:val="nil"/>
              <w:left w:val="nil"/>
              <w:bottom w:val="single" w:sz="4" w:space="0" w:color="auto"/>
              <w:right w:val="single" w:sz="4" w:space="0" w:color="auto"/>
            </w:tcBorders>
            <w:shd w:val="clear" w:color="auto" w:fill="auto"/>
            <w:noWrap/>
            <w:vAlign w:val="center"/>
            <w:hideMark/>
          </w:tcPr>
          <w:p w:rsidR="000A6A17" w:rsidRPr="00501A6E" w:rsidRDefault="000A6A17" w:rsidP="00F71014">
            <w:pPr>
              <w:jc w:val="center"/>
              <w:rPr>
                <w:color w:val="000000"/>
                <w:sz w:val="15"/>
                <w:szCs w:val="15"/>
              </w:rPr>
            </w:pPr>
            <w:r w:rsidRPr="00501A6E">
              <w:rPr>
                <w:color w:val="000000"/>
                <w:sz w:val="15"/>
                <w:szCs w:val="15"/>
              </w:rPr>
              <w:t>1 192 595 839</w:t>
            </w:r>
          </w:p>
        </w:tc>
        <w:tc>
          <w:tcPr>
            <w:tcW w:w="248" w:type="pct"/>
            <w:tcBorders>
              <w:top w:val="nil"/>
              <w:left w:val="nil"/>
              <w:bottom w:val="single" w:sz="4" w:space="0" w:color="auto"/>
              <w:right w:val="single" w:sz="4" w:space="0" w:color="auto"/>
            </w:tcBorders>
            <w:shd w:val="clear" w:color="auto" w:fill="auto"/>
            <w:noWrap/>
            <w:vAlign w:val="center"/>
            <w:hideMark/>
          </w:tcPr>
          <w:p w:rsidR="000A6A17" w:rsidRPr="00501A6E" w:rsidRDefault="000A6A17" w:rsidP="00F71014">
            <w:pPr>
              <w:jc w:val="center"/>
              <w:rPr>
                <w:color w:val="000000"/>
                <w:sz w:val="15"/>
                <w:szCs w:val="15"/>
              </w:rPr>
            </w:pPr>
          </w:p>
        </w:tc>
        <w:tc>
          <w:tcPr>
            <w:tcW w:w="301" w:type="pct"/>
            <w:tcBorders>
              <w:top w:val="nil"/>
              <w:left w:val="nil"/>
              <w:bottom w:val="single" w:sz="4" w:space="0" w:color="auto"/>
              <w:right w:val="single" w:sz="4" w:space="0" w:color="auto"/>
            </w:tcBorders>
            <w:shd w:val="clear" w:color="auto" w:fill="auto"/>
            <w:noWrap/>
            <w:vAlign w:val="center"/>
            <w:hideMark/>
          </w:tcPr>
          <w:p w:rsidR="000A6A17" w:rsidRPr="00501A6E" w:rsidRDefault="000A6A17" w:rsidP="00F71014">
            <w:pPr>
              <w:jc w:val="center"/>
              <w:rPr>
                <w:color w:val="000000"/>
                <w:sz w:val="15"/>
                <w:szCs w:val="15"/>
              </w:rPr>
            </w:pPr>
            <w:r w:rsidRPr="00501A6E">
              <w:rPr>
                <w:color w:val="000000"/>
                <w:sz w:val="15"/>
                <w:szCs w:val="15"/>
              </w:rPr>
              <w:t>34 968 581</w:t>
            </w:r>
          </w:p>
        </w:tc>
        <w:tc>
          <w:tcPr>
            <w:tcW w:w="251" w:type="pct"/>
            <w:tcBorders>
              <w:top w:val="nil"/>
              <w:left w:val="nil"/>
              <w:bottom w:val="single" w:sz="4" w:space="0" w:color="auto"/>
              <w:right w:val="single" w:sz="4" w:space="0" w:color="auto"/>
            </w:tcBorders>
            <w:shd w:val="clear" w:color="auto" w:fill="auto"/>
            <w:noWrap/>
            <w:vAlign w:val="center"/>
            <w:hideMark/>
          </w:tcPr>
          <w:p w:rsidR="000A6A17" w:rsidRPr="00501A6E" w:rsidRDefault="000A6A17" w:rsidP="00F71014">
            <w:pPr>
              <w:jc w:val="center"/>
              <w:rPr>
                <w:color w:val="000000"/>
                <w:sz w:val="15"/>
                <w:szCs w:val="15"/>
              </w:rPr>
            </w:pPr>
          </w:p>
        </w:tc>
        <w:tc>
          <w:tcPr>
            <w:tcW w:w="250" w:type="pct"/>
            <w:tcBorders>
              <w:top w:val="nil"/>
              <w:left w:val="nil"/>
              <w:bottom w:val="single" w:sz="4" w:space="0" w:color="auto"/>
              <w:right w:val="single" w:sz="4" w:space="0" w:color="auto"/>
            </w:tcBorders>
            <w:shd w:val="clear" w:color="auto" w:fill="auto"/>
            <w:noWrap/>
            <w:vAlign w:val="center"/>
            <w:hideMark/>
          </w:tcPr>
          <w:p w:rsidR="000A6A17" w:rsidRPr="00501A6E" w:rsidRDefault="000A6A17" w:rsidP="00F71014">
            <w:pPr>
              <w:jc w:val="center"/>
              <w:rPr>
                <w:color w:val="000000"/>
                <w:sz w:val="15"/>
                <w:szCs w:val="15"/>
              </w:rPr>
            </w:pPr>
          </w:p>
        </w:tc>
        <w:tc>
          <w:tcPr>
            <w:tcW w:w="365" w:type="pct"/>
            <w:tcBorders>
              <w:top w:val="nil"/>
              <w:left w:val="nil"/>
              <w:bottom w:val="single" w:sz="4" w:space="0" w:color="auto"/>
              <w:right w:val="single" w:sz="4" w:space="0" w:color="auto"/>
            </w:tcBorders>
            <w:shd w:val="clear" w:color="auto" w:fill="auto"/>
            <w:vAlign w:val="center"/>
            <w:hideMark/>
          </w:tcPr>
          <w:p w:rsidR="000A6A17" w:rsidRPr="00501A6E" w:rsidRDefault="000A6A17" w:rsidP="008967E2">
            <w:pPr>
              <w:rPr>
                <w:color w:val="000000"/>
                <w:sz w:val="15"/>
                <w:szCs w:val="15"/>
              </w:rPr>
            </w:pPr>
            <w:r w:rsidRPr="00501A6E">
              <w:rPr>
                <w:color w:val="000000"/>
                <w:sz w:val="15"/>
                <w:szCs w:val="15"/>
              </w:rPr>
              <w:t xml:space="preserve">K datu </w:t>
            </w:r>
            <w:r w:rsidR="00501A6E" w:rsidRPr="00501A6E">
              <w:rPr>
                <w:color w:val="000000"/>
                <w:sz w:val="15"/>
                <w:szCs w:val="15"/>
              </w:rPr>
              <w:t>30. 9. 1015</w:t>
            </w:r>
            <w:r w:rsidRPr="00501A6E">
              <w:rPr>
                <w:color w:val="000000"/>
                <w:sz w:val="15"/>
                <w:szCs w:val="15"/>
              </w:rPr>
              <w:t xml:space="preserve"> bylo ukončeno 21 výběrových řízení, 3 výběrová řízení jsou zahájena</w:t>
            </w:r>
            <w:r w:rsidRPr="00501A6E">
              <w:rPr>
                <w:color w:val="000000"/>
                <w:sz w:val="15"/>
                <w:szCs w:val="15"/>
              </w:rPr>
              <w:br/>
              <w:t>a 1 je plánováno.</w:t>
            </w:r>
          </w:p>
        </w:tc>
      </w:tr>
      <w:tr w:rsidR="000D3924" w:rsidRPr="00501A6E" w:rsidTr="000D3924">
        <w:trPr>
          <w:trHeight w:val="690"/>
        </w:trPr>
        <w:tc>
          <w:tcPr>
            <w:tcW w:w="175" w:type="pct"/>
            <w:tcBorders>
              <w:top w:val="nil"/>
              <w:left w:val="single" w:sz="4" w:space="0" w:color="auto"/>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 </w:t>
            </w:r>
          </w:p>
        </w:tc>
        <w:tc>
          <w:tcPr>
            <w:tcW w:w="350" w:type="pct"/>
            <w:tcBorders>
              <w:top w:val="nil"/>
              <w:left w:val="nil"/>
              <w:bottom w:val="single" w:sz="4" w:space="0" w:color="auto"/>
              <w:right w:val="single" w:sz="4" w:space="0" w:color="auto"/>
            </w:tcBorders>
            <w:shd w:val="clear" w:color="auto" w:fill="auto"/>
            <w:vAlign w:val="center"/>
            <w:hideMark/>
          </w:tcPr>
          <w:p w:rsidR="000A6A17" w:rsidRPr="00501A6E" w:rsidRDefault="000A6A17" w:rsidP="000A6A17">
            <w:pP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jc w:val="cente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jc w:val="center"/>
              <w:rPr>
                <w:color w:val="000000"/>
                <w:sz w:val="15"/>
                <w:szCs w:val="15"/>
              </w:rPr>
            </w:pPr>
            <w:r w:rsidRPr="00501A6E">
              <w:rPr>
                <w:color w:val="000000"/>
                <w:sz w:val="15"/>
                <w:szCs w:val="15"/>
              </w:rPr>
              <w:t> </w:t>
            </w:r>
          </w:p>
        </w:tc>
        <w:tc>
          <w:tcPr>
            <w:tcW w:w="300"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jc w:val="cente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601" w:type="pct"/>
            <w:tcBorders>
              <w:top w:val="nil"/>
              <w:left w:val="nil"/>
              <w:bottom w:val="single" w:sz="4" w:space="0" w:color="auto"/>
              <w:right w:val="single" w:sz="4" w:space="0" w:color="auto"/>
            </w:tcBorders>
            <w:shd w:val="clear" w:color="auto" w:fill="auto"/>
            <w:vAlign w:val="bottom"/>
            <w:hideMark/>
          </w:tcPr>
          <w:p w:rsidR="000A6A17" w:rsidRPr="00501A6E" w:rsidRDefault="000A6A17" w:rsidP="000A6A17">
            <w:pPr>
              <w:rPr>
                <w:color w:val="000000"/>
                <w:sz w:val="15"/>
                <w:szCs w:val="15"/>
              </w:rPr>
            </w:pPr>
            <w:r w:rsidRPr="00501A6E">
              <w:rPr>
                <w:color w:val="000000"/>
                <w:sz w:val="15"/>
                <w:szCs w:val="15"/>
              </w:rPr>
              <w:t>Kontejnery spolufinancované z Integrovaného operačního programu</w:t>
            </w:r>
          </w:p>
        </w:tc>
        <w:tc>
          <w:tcPr>
            <w:tcW w:w="352" w:type="pct"/>
            <w:tcBorders>
              <w:top w:val="nil"/>
              <w:left w:val="nil"/>
              <w:bottom w:val="single" w:sz="4" w:space="0" w:color="auto"/>
              <w:right w:val="single" w:sz="4" w:space="0" w:color="auto"/>
            </w:tcBorders>
            <w:shd w:val="clear" w:color="auto" w:fill="auto"/>
            <w:noWrap/>
            <w:vAlign w:val="center"/>
            <w:hideMark/>
          </w:tcPr>
          <w:p w:rsidR="000A6A17" w:rsidRPr="00501A6E" w:rsidRDefault="00501A6E" w:rsidP="000A6A17">
            <w:pPr>
              <w:jc w:val="center"/>
              <w:rPr>
                <w:color w:val="000000"/>
                <w:sz w:val="15"/>
                <w:szCs w:val="15"/>
              </w:rPr>
            </w:pPr>
            <w:r w:rsidRPr="00501A6E">
              <w:rPr>
                <w:color w:val="000000"/>
                <w:sz w:val="15"/>
                <w:szCs w:val="15"/>
              </w:rPr>
              <w:t>26. 3. 2015</w:t>
            </w:r>
          </w:p>
        </w:tc>
        <w:tc>
          <w:tcPr>
            <w:tcW w:w="402" w:type="pct"/>
            <w:tcBorders>
              <w:top w:val="nil"/>
              <w:left w:val="nil"/>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23 966 942</w:t>
            </w:r>
          </w:p>
        </w:tc>
        <w:tc>
          <w:tcPr>
            <w:tcW w:w="248" w:type="pct"/>
            <w:tcBorders>
              <w:top w:val="nil"/>
              <w:left w:val="nil"/>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27,515</w:t>
            </w:r>
          </w:p>
        </w:tc>
        <w:tc>
          <w:tcPr>
            <w:tcW w:w="301" w:type="pct"/>
            <w:tcBorders>
              <w:top w:val="nil"/>
              <w:left w:val="nil"/>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871 050</w:t>
            </w:r>
          </w:p>
        </w:tc>
        <w:tc>
          <w:tcPr>
            <w:tcW w:w="2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250"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365" w:type="pct"/>
            <w:tcBorders>
              <w:top w:val="nil"/>
              <w:left w:val="nil"/>
              <w:bottom w:val="single" w:sz="4" w:space="0" w:color="auto"/>
              <w:right w:val="single" w:sz="4" w:space="0" w:color="auto"/>
            </w:tcBorders>
            <w:shd w:val="clear" w:color="auto" w:fill="auto"/>
            <w:vAlign w:val="center"/>
            <w:hideMark/>
          </w:tcPr>
          <w:p w:rsidR="000A6A17" w:rsidRPr="00501A6E" w:rsidRDefault="000A6A17" w:rsidP="000A6A17">
            <w:pPr>
              <w:rPr>
                <w:color w:val="000000"/>
                <w:sz w:val="15"/>
                <w:szCs w:val="15"/>
              </w:rPr>
            </w:pPr>
            <w:r w:rsidRPr="00501A6E">
              <w:rPr>
                <w:color w:val="000000"/>
                <w:sz w:val="15"/>
                <w:szCs w:val="15"/>
              </w:rPr>
              <w:t> </w:t>
            </w:r>
          </w:p>
        </w:tc>
      </w:tr>
      <w:tr w:rsidR="000D3924" w:rsidRPr="00501A6E" w:rsidTr="000D3924">
        <w:trPr>
          <w:trHeight w:val="915"/>
        </w:trPr>
        <w:tc>
          <w:tcPr>
            <w:tcW w:w="175" w:type="pct"/>
            <w:tcBorders>
              <w:top w:val="nil"/>
              <w:left w:val="single" w:sz="4" w:space="0" w:color="auto"/>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 </w:t>
            </w:r>
          </w:p>
        </w:tc>
        <w:tc>
          <w:tcPr>
            <w:tcW w:w="350" w:type="pct"/>
            <w:tcBorders>
              <w:top w:val="nil"/>
              <w:left w:val="nil"/>
              <w:bottom w:val="single" w:sz="4" w:space="0" w:color="auto"/>
              <w:right w:val="single" w:sz="4" w:space="0" w:color="auto"/>
            </w:tcBorders>
            <w:shd w:val="clear" w:color="auto" w:fill="auto"/>
            <w:vAlign w:val="center"/>
            <w:hideMark/>
          </w:tcPr>
          <w:p w:rsidR="000A6A17" w:rsidRPr="00501A6E" w:rsidRDefault="000A6A17" w:rsidP="000A6A17">
            <w:pP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jc w:val="cente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jc w:val="center"/>
              <w:rPr>
                <w:color w:val="000000"/>
                <w:sz w:val="15"/>
                <w:szCs w:val="15"/>
              </w:rPr>
            </w:pPr>
            <w:r w:rsidRPr="00501A6E">
              <w:rPr>
                <w:color w:val="000000"/>
                <w:sz w:val="15"/>
                <w:szCs w:val="15"/>
              </w:rPr>
              <w:t> </w:t>
            </w:r>
          </w:p>
        </w:tc>
        <w:tc>
          <w:tcPr>
            <w:tcW w:w="300"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jc w:val="cente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601" w:type="pct"/>
            <w:tcBorders>
              <w:top w:val="nil"/>
              <w:left w:val="nil"/>
              <w:bottom w:val="single" w:sz="4" w:space="0" w:color="auto"/>
              <w:right w:val="single" w:sz="4" w:space="0" w:color="auto"/>
            </w:tcBorders>
            <w:shd w:val="clear" w:color="auto" w:fill="auto"/>
            <w:vAlign w:val="bottom"/>
            <w:hideMark/>
          </w:tcPr>
          <w:p w:rsidR="000A6A17" w:rsidRPr="00501A6E" w:rsidRDefault="000A6A17" w:rsidP="000A6A17">
            <w:pPr>
              <w:rPr>
                <w:color w:val="000000"/>
                <w:sz w:val="15"/>
                <w:szCs w:val="15"/>
              </w:rPr>
            </w:pPr>
            <w:r w:rsidRPr="00501A6E">
              <w:rPr>
                <w:color w:val="000000"/>
                <w:sz w:val="15"/>
                <w:szCs w:val="15"/>
              </w:rPr>
              <w:t>Celokovová plavidla spolufinancovaná z Integrovaného operačního programu</w:t>
            </w:r>
          </w:p>
        </w:tc>
        <w:tc>
          <w:tcPr>
            <w:tcW w:w="352" w:type="pct"/>
            <w:tcBorders>
              <w:top w:val="nil"/>
              <w:left w:val="nil"/>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 </w:t>
            </w:r>
          </w:p>
        </w:tc>
        <w:tc>
          <w:tcPr>
            <w:tcW w:w="402" w:type="pct"/>
            <w:tcBorders>
              <w:top w:val="nil"/>
              <w:left w:val="nil"/>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1 074 380</w:t>
            </w:r>
          </w:p>
        </w:tc>
        <w:tc>
          <w:tcPr>
            <w:tcW w:w="248" w:type="pct"/>
            <w:tcBorders>
              <w:top w:val="nil"/>
              <w:left w:val="nil"/>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 </w:t>
            </w:r>
          </w:p>
        </w:tc>
        <w:tc>
          <w:tcPr>
            <w:tcW w:w="301" w:type="pct"/>
            <w:tcBorders>
              <w:top w:val="nil"/>
              <w:left w:val="nil"/>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 </w:t>
            </w:r>
          </w:p>
        </w:tc>
        <w:tc>
          <w:tcPr>
            <w:tcW w:w="2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250"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365" w:type="pct"/>
            <w:tcBorders>
              <w:top w:val="nil"/>
              <w:left w:val="nil"/>
              <w:bottom w:val="single" w:sz="4" w:space="0" w:color="auto"/>
              <w:right w:val="single" w:sz="4" w:space="0" w:color="auto"/>
            </w:tcBorders>
            <w:shd w:val="clear" w:color="auto" w:fill="auto"/>
            <w:vAlign w:val="center"/>
            <w:hideMark/>
          </w:tcPr>
          <w:p w:rsidR="000A6A17" w:rsidRPr="00501A6E" w:rsidRDefault="000A6A17" w:rsidP="000A6A17">
            <w:pPr>
              <w:rPr>
                <w:color w:val="000000"/>
                <w:sz w:val="15"/>
                <w:szCs w:val="15"/>
              </w:rPr>
            </w:pPr>
            <w:r w:rsidRPr="00501A6E">
              <w:rPr>
                <w:color w:val="000000"/>
                <w:sz w:val="15"/>
                <w:szCs w:val="15"/>
              </w:rPr>
              <w:t> </w:t>
            </w:r>
          </w:p>
        </w:tc>
      </w:tr>
      <w:tr w:rsidR="000D3924" w:rsidRPr="00501A6E" w:rsidTr="000D3924">
        <w:trPr>
          <w:trHeight w:val="915"/>
        </w:trPr>
        <w:tc>
          <w:tcPr>
            <w:tcW w:w="175" w:type="pct"/>
            <w:tcBorders>
              <w:top w:val="nil"/>
              <w:left w:val="single" w:sz="4" w:space="0" w:color="auto"/>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 </w:t>
            </w:r>
          </w:p>
        </w:tc>
        <w:tc>
          <w:tcPr>
            <w:tcW w:w="350" w:type="pct"/>
            <w:tcBorders>
              <w:top w:val="nil"/>
              <w:left w:val="nil"/>
              <w:bottom w:val="single" w:sz="4" w:space="0" w:color="auto"/>
              <w:right w:val="single" w:sz="4" w:space="0" w:color="auto"/>
            </w:tcBorders>
            <w:shd w:val="clear" w:color="auto" w:fill="auto"/>
            <w:vAlign w:val="center"/>
            <w:hideMark/>
          </w:tcPr>
          <w:p w:rsidR="000A6A17" w:rsidRPr="00501A6E" w:rsidRDefault="000A6A17" w:rsidP="000A6A17">
            <w:pP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jc w:val="cente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jc w:val="center"/>
              <w:rPr>
                <w:color w:val="000000"/>
                <w:sz w:val="15"/>
                <w:szCs w:val="15"/>
              </w:rPr>
            </w:pPr>
            <w:r w:rsidRPr="00501A6E">
              <w:rPr>
                <w:color w:val="000000"/>
                <w:sz w:val="15"/>
                <w:szCs w:val="15"/>
              </w:rPr>
              <w:t> </w:t>
            </w:r>
          </w:p>
        </w:tc>
        <w:tc>
          <w:tcPr>
            <w:tcW w:w="300"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jc w:val="cente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601" w:type="pct"/>
            <w:tcBorders>
              <w:top w:val="nil"/>
              <w:left w:val="nil"/>
              <w:bottom w:val="single" w:sz="4" w:space="0" w:color="auto"/>
              <w:right w:val="single" w:sz="4" w:space="0" w:color="auto"/>
            </w:tcBorders>
            <w:shd w:val="clear" w:color="auto" w:fill="auto"/>
            <w:vAlign w:val="bottom"/>
            <w:hideMark/>
          </w:tcPr>
          <w:p w:rsidR="000A6A17" w:rsidRPr="00501A6E" w:rsidRDefault="000A6A17" w:rsidP="000A6A17">
            <w:pPr>
              <w:rPr>
                <w:color w:val="000000"/>
                <w:sz w:val="15"/>
                <w:szCs w:val="15"/>
              </w:rPr>
            </w:pPr>
            <w:r w:rsidRPr="00501A6E">
              <w:rPr>
                <w:color w:val="000000"/>
                <w:sz w:val="15"/>
                <w:szCs w:val="15"/>
              </w:rPr>
              <w:t xml:space="preserve">Nafukovací plavidla </w:t>
            </w:r>
            <w:proofErr w:type="spellStart"/>
            <w:r w:rsidRPr="00501A6E">
              <w:rPr>
                <w:color w:val="000000"/>
                <w:sz w:val="15"/>
                <w:szCs w:val="15"/>
              </w:rPr>
              <w:t>spolufinacovaná</w:t>
            </w:r>
            <w:proofErr w:type="spellEnd"/>
            <w:r w:rsidRPr="00501A6E">
              <w:rPr>
                <w:color w:val="000000"/>
                <w:sz w:val="15"/>
                <w:szCs w:val="15"/>
              </w:rPr>
              <w:t xml:space="preserve"> z Integrovaného operačního programu</w:t>
            </w:r>
          </w:p>
        </w:tc>
        <w:tc>
          <w:tcPr>
            <w:tcW w:w="352" w:type="pct"/>
            <w:tcBorders>
              <w:top w:val="nil"/>
              <w:left w:val="nil"/>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 </w:t>
            </w:r>
          </w:p>
        </w:tc>
        <w:tc>
          <w:tcPr>
            <w:tcW w:w="402" w:type="pct"/>
            <w:tcBorders>
              <w:top w:val="nil"/>
              <w:left w:val="nil"/>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5 495 868</w:t>
            </w:r>
          </w:p>
        </w:tc>
        <w:tc>
          <w:tcPr>
            <w:tcW w:w="248" w:type="pct"/>
            <w:tcBorders>
              <w:top w:val="nil"/>
              <w:left w:val="nil"/>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 </w:t>
            </w:r>
          </w:p>
        </w:tc>
        <w:tc>
          <w:tcPr>
            <w:tcW w:w="301" w:type="pct"/>
            <w:tcBorders>
              <w:top w:val="nil"/>
              <w:left w:val="nil"/>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 </w:t>
            </w:r>
          </w:p>
        </w:tc>
        <w:tc>
          <w:tcPr>
            <w:tcW w:w="2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250"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365" w:type="pct"/>
            <w:tcBorders>
              <w:top w:val="nil"/>
              <w:left w:val="nil"/>
              <w:bottom w:val="single" w:sz="4" w:space="0" w:color="auto"/>
              <w:right w:val="single" w:sz="4" w:space="0" w:color="auto"/>
            </w:tcBorders>
            <w:shd w:val="clear" w:color="auto" w:fill="auto"/>
            <w:vAlign w:val="center"/>
            <w:hideMark/>
          </w:tcPr>
          <w:p w:rsidR="000A6A17" w:rsidRPr="00501A6E" w:rsidRDefault="000A6A17" w:rsidP="000A6A17">
            <w:pPr>
              <w:rPr>
                <w:color w:val="000000"/>
                <w:sz w:val="15"/>
                <w:szCs w:val="15"/>
              </w:rPr>
            </w:pPr>
            <w:r w:rsidRPr="00501A6E">
              <w:rPr>
                <w:color w:val="000000"/>
                <w:sz w:val="15"/>
                <w:szCs w:val="15"/>
              </w:rPr>
              <w:t> </w:t>
            </w:r>
          </w:p>
        </w:tc>
      </w:tr>
      <w:tr w:rsidR="000D3924" w:rsidRPr="00501A6E" w:rsidTr="000D3924">
        <w:trPr>
          <w:trHeight w:val="1140"/>
        </w:trPr>
        <w:tc>
          <w:tcPr>
            <w:tcW w:w="175" w:type="pct"/>
            <w:tcBorders>
              <w:top w:val="nil"/>
              <w:left w:val="single" w:sz="4" w:space="0" w:color="auto"/>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 </w:t>
            </w:r>
          </w:p>
        </w:tc>
        <w:tc>
          <w:tcPr>
            <w:tcW w:w="350" w:type="pct"/>
            <w:tcBorders>
              <w:top w:val="nil"/>
              <w:left w:val="nil"/>
              <w:bottom w:val="single" w:sz="4" w:space="0" w:color="auto"/>
              <w:right w:val="single" w:sz="4" w:space="0" w:color="auto"/>
            </w:tcBorders>
            <w:shd w:val="clear" w:color="auto" w:fill="auto"/>
            <w:vAlign w:val="center"/>
            <w:hideMark/>
          </w:tcPr>
          <w:p w:rsidR="000A6A17" w:rsidRPr="00501A6E" w:rsidRDefault="000A6A17" w:rsidP="000A6A17">
            <w:pP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jc w:val="cente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jc w:val="center"/>
              <w:rPr>
                <w:color w:val="000000"/>
                <w:sz w:val="15"/>
                <w:szCs w:val="15"/>
              </w:rPr>
            </w:pPr>
            <w:r w:rsidRPr="00501A6E">
              <w:rPr>
                <w:color w:val="000000"/>
                <w:sz w:val="15"/>
                <w:szCs w:val="15"/>
              </w:rPr>
              <w:t> </w:t>
            </w:r>
          </w:p>
        </w:tc>
        <w:tc>
          <w:tcPr>
            <w:tcW w:w="300"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jc w:val="cente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601" w:type="pct"/>
            <w:tcBorders>
              <w:top w:val="nil"/>
              <w:left w:val="nil"/>
              <w:bottom w:val="single" w:sz="4" w:space="0" w:color="auto"/>
              <w:right w:val="single" w:sz="4" w:space="0" w:color="auto"/>
            </w:tcBorders>
            <w:shd w:val="clear" w:color="auto" w:fill="auto"/>
            <w:vAlign w:val="bottom"/>
            <w:hideMark/>
          </w:tcPr>
          <w:p w:rsidR="000A6A17" w:rsidRPr="00501A6E" w:rsidRDefault="000A6A17" w:rsidP="000A6A17">
            <w:pPr>
              <w:rPr>
                <w:color w:val="000000"/>
                <w:sz w:val="15"/>
                <w:szCs w:val="15"/>
              </w:rPr>
            </w:pPr>
            <w:r w:rsidRPr="00501A6E">
              <w:rPr>
                <w:color w:val="000000"/>
                <w:sz w:val="15"/>
                <w:szCs w:val="15"/>
              </w:rPr>
              <w:t>Cisternové automobilové stříkačky (vodní paprsek) spolufinancované z Integrovaného operačního programu</w:t>
            </w:r>
          </w:p>
        </w:tc>
        <w:tc>
          <w:tcPr>
            <w:tcW w:w="352" w:type="pct"/>
            <w:tcBorders>
              <w:top w:val="nil"/>
              <w:left w:val="nil"/>
              <w:bottom w:val="single" w:sz="4" w:space="0" w:color="auto"/>
              <w:right w:val="single" w:sz="4" w:space="0" w:color="auto"/>
            </w:tcBorders>
            <w:shd w:val="clear" w:color="auto" w:fill="auto"/>
            <w:noWrap/>
            <w:vAlign w:val="center"/>
            <w:hideMark/>
          </w:tcPr>
          <w:p w:rsidR="000A6A17" w:rsidRPr="00501A6E" w:rsidRDefault="00501A6E" w:rsidP="000A6A17">
            <w:pPr>
              <w:jc w:val="center"/>
              <w:rPr>
                <w:color w:val="000000"/>
                <w:sz w:val="15"/>
                <w:szCs w:val="15"/>
              </w:rPr>
            </w:pPr>
            <w:r w:rsidRPr="00501A6E">
              <w:rPr>
                <w:color w:val="000000"/>
                <w:sz w:val="15"/>
                <w:szCs w:val="15"/>
              </w:rPr>
              <w:t>24. 2. 2015</w:t>
            </w:r>
          </w:p>
        </w:tc>
        <w:tc>
          <w:tcPr>
            <w:tcW w:w="402" w:type="pct"/>
            <w:tcBorders>
              <w:top w:val="nil"/>
              <w:left w:val="nil"/>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210 743 802</w:t>
            </w:r>
          </w:p>
        </w:tc>
        <w:tc>
          <w:tcPr>
            <w:tcW w:w="248" w:type="pct"/>
            <w:tcBorders>
              <w:top w:val="nil"/>
              <w:left w:val="nil"/>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27,792</w:t>
            </w:r>
          </w:p>
        </w:tc>
        <w:tc>
          <w:tcPr>
            <w:tcW w:w="301" w:type="pct"/>
            <w:tcBorders>
              <w:top w:val="nil"/>
              <w:left w:val="nil"/>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7 582 894</w:t>
            </w:r>
          </w:p>
        </w:tc>
        <w:tc>
          <w:tcPr>
            <w:tcW w:w="2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250"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365" w:type="pct"/>
            <w:tcBorders>
              <w:top w:val="nil"/>
              <w:left w:val="nil"/>
              <w:bottom w:val="single" w:sz="4" w:space="0" w:color="auto"/>
              <w:right w:val="single" w:sz="4" w:space="0" w:color="auto"/>
            </w:tcBorders>
            <w:shd w:val="clear" w:color="auto" w:fill="auto"/>
            <w:vAlign w:val="center"/>
            <w:hideMark/>
          </w:tcPr>
          <w:p w:rsidR="000A6A17" w:rsidRPr="00501A6E" w:rsidRDefault="000A6A17" w:rsidP="000A6A17">
            <w:pPr>
              <w:rPr>
                <w:color w:val="000000"/>
                <w:sz w:val="15"/>
                <w:szCs w:val="15"/>
              </w:rPr>
            </w:pPr>
            <w:r w:rsidRPr="00501A6E">
              <w:rPr>
                <w:color w:val="000000"/>
                <w:sz w:val="15"/>
                <w:szCs w:val="15"/>
              </w:rPr>
              <w:t> </w:t>
            </w:r>
          </w:p>
        </w:tc>
      </w:tr>
      <w:tr w:rsidR="000D3924" w:rsidRPr="00501A6E" w:rsidTr="000D3924">
        <w:trPr>
          <w:trHeight w:val="915"/>
        </w:trPr>
        <w:tc>
          <w:tcPr>
            <w:tcW w:w="175" w:type="pct"/>
            <w:tcBorders>
              <w:top w:val="nil"/>
              <w:left w:val="single" w:sz="4" w:space="0" w:color="auto"/>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lastRenderedPageBreak/>
              <w:t> </w:t>
            </w:r>
          </w:p>
        </w:tc>
        <w:tc>
          <w:tcPr>
            <w:tcW w:w="350" w:type="pct"/>
            <w:tcBorders>
              <w:top w:val="nil"/>
              <w:left w:val="nil"/>
              <w:bottom w:val="single" w:sz="4" w:space="0" w:color="auto"/>
              <w:right w:val="single" w:sz="4" w:space="0" w:color="auto"/>
            </w:tcBorders>
            <w:shd w:val="clear" w:color="auto" w:fill="auto"/>
            <w:vAlign w:val="center"/>
            <w:hideMark/>
          </w:tcPr>
          <w:p w:rsidR="000A6A17" w:rsidRPr="00501A6E" w:rsidRDefault="000A6A17" w:rsidP="000A6A17">
            <w:pP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jc w:val="cente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jc w:val="center"/>
              <w:rPr>
                <w:color w:val="000000"/>
                <w:sz w:val="15"/>
                <w:szCs w:val="15"/>
              </w:rPr>
            </w:pPr>
            <w:r w:rsidRPr="00501A6E">
              <w:rPr>
                <w:color w:val="000000"/>
                <w:sz w:val="15"/>
                <w:szCs w:val="15"/>
              </w:rPr>
              <w:t> </w:t>
            </w:r>
          </w:p>
        </w:tc>
        <w:tc>
          <w:tcPr>
            <w:tcW w:w="300"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jc w:val="cente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601" w:type="pct"/>
            <w:tcBorders>
              <w:top w:val="nil"/>
              <w:left w:val="nil"/>
              <w:bottom w:val="single" w:sz="4" w:space="0" w:color="auto"/>
              <w:right w:val="single" w:sz="4" w:space="0" w:color="auto"/>
            </w:tcBorders>
            <w:shd w:val="clear" w:color="auto" w:fill="auto"/>
            <w:vAlign w:val="bottom"/>
            <w:hideMark/>
          </w:tcPr>
          <w:p w:rsidR="000A6A17" w:rsidRPr="00501A6E" w:rsidRDefault="000A6A17" w:rsidP="000A6A17">
            <w:pPr>
              <w:rPr>
                <w:color w:val="000000"/>
                <w:sz w:val="15"/>
                <w:szCs w:val="15"/>
              </w:rPr>
            </w:pPr>
            <w:r w:rsidRPr="00501A6E">
              <w:rPr>
                <w:color w:val="000000"/>
                <w:sz w:val="15"/>
                <w:szCs w:val="15"/>
              </w:rPr>
              <w:t>CAS velkokapacitní spolufinancované z Integrovaného operačního programu</w:t>
            </w:r>
          </w:p>
        </w:tc>
        <w:tc>
          <w:tcPr>
            <w:tcW w:w="352" w:type="pct"/>
            <w:tcBorders>
              <w:top w:val="nil"/>
              <w:left w:val="nil"/>
              <w:bottom w:val="single" w:sz="4" w:space="0" w:color="auto"/>
              <w:right w:val="single" w:sz="4" w:space="0" w:color="auto"/>
            </w:tcBorders>
            <w:shd w:val="clear" w:color="auto" w:fill="auto"/>
            <w:noWrap/>
            <w:vAlign w:val="center"/>
            <w:hideMark/>
          </w:tcPr>
          <w:p w:rsidR="000A6A17" w:rsidRPr="00501A6E" w:rsidRDefault="003E4074" w:rsidP="000A6A17">
            <w:pPr>
              <w:jc w:val="center"/>
              <w:rPr>
                <w:color w:val="000000"/>
                <w:sz w:val="15"/>
                <w:szCs w:val="15"/>
              </w:rPr>
            </w:pPr>
            <w:r w:rsidRPr="00501A6E">
              <w:rPr>
                <w:color w:val="000000"/>
                <w:sz w:val="15"/>
                <w:szCs w:val="15"/>
              </w:rPr>
              <w:t>24. 2. 2015</w:t>
            </w:r>
          </w:p>
        </w:tc>
        <w:tc>
          <w:tcPr>
            <w:tcW w:w="402" w:type="pct"/>
            <w:tcBorders>
              <w:top w:val="nil"/>
              <w:left w:val="nil"/>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191 720 662</w:t>
            </w:r>
          </w:p>
        </w:tc>
        <w:tc>
          <w:tcPr>
            <w:tcW w:w="248" w:type="pct"/>
            <w:tcBorders>
              <w:top w:val="nil"/>
              <w:left w:val="nil"/>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27,792</w:t>
            </w:r>
          </w:p>
        </w:tc>
        <w:tc>
          <w:tcPr>
            <w:tcW w:w="301" w:type="pct"/>
            <w:tcBorders>
              <w:top w:val="nil"/>
              <w:left w:val="nil"/>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6 898 412</w:t>
            </w:r>
          </w:p>
        </w:tc>
        <w:tc>
          <w:tcPr>
            <w:tcW w:w="2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250"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365" w:type="pct"/>
            <w:tcBorders>
              <w:top w:val="nil"/>
              <w:left w:val="nil"/>
              <w:bottom w:val="single" w:sz="4" w:space="0" w:color="auto"/>
              <w:right w:val="single" w:sz="4" w:space="0" w:color="auto"/>
            </w:tcBorders>
            <w:shd w:val="clear" w:color="auto" w:fill="auto"/>
            <w:vAlign w:val="center"/>
            <w:hideMark/>
          </w:tcPr>
          <w:p w:rsidR="000A6A17" w:rsidRPr="00501A6E" w:rsidRDefault="000A6A17" w:rsidP="000A6A17">
            <w:pPr>
              <w:rPr>
                <w:color w:val="000000"/>
                <w:sz w:val="15"/>
                <w:szCs w:val="15"/>
              </w:rPr>
            </w:pPr>
            <w:r w:rsidRPr="00501A6E">
              <w:rPr>
                <w:color w:val="000000"/>
                <w:sz w:val="15"/>
                <w:szCs w:val="15"/>
              </w:rPr>
              <w:t> </w:t>
            </w:r>
          </w:p>
        </w:tc>
      </w:tr>
      <w:tr w:rsidR="000D3924" w:rsidRPr="00501A6E" w:rsidTr="000D3924">
        <w:trPr>
          <w:trHeight w:val="915"/>
        </w:trPr>
        <w:tc>
          <w:tcPr>
            <w:tcW w:w="175" w:type="pct"/>
            <w:tcBorders>
              <w:top w:val="nil"/>
              <w:left w:val="single" w:sz="4" w:space="0" w:color="auto"/>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 </w:t>
            </w:r>
          </w:p>
        </w:tc>
        <w:tc>
          <w:tcPr>
            <w:tcW w:w="350" w:type="pct"/>
            <w:tcBorders>
              <w:top w:val="nil"/>
              <w:left w:val="nil"/>
              <w:bottom w:val="single" w:sz="4" w:space="0" w:color="auto"/>
              <w:right w:val="single" w:sz="4" w:space="0" w:color="auto"/>
            </w:tcBorders>
            <w:shd w:val="clear" w:color="auto" w:fill="auto"/>
            <w:vAlign w:val="center"/>
            <w:hideMark/>
          </w:tcPr>
          <w:p w:rsidR="000A6A17" w:rsidRPr="00501A6E" w:rsidRDefault="000A6A17" w:rsidP="000A6A17">
            <w:pP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jc w:val="cente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jc w:val="center"/>
              <w:rPr>
                <w:color w:val="000000"/>
                <w:sz w:val="15"/>
                <w:szCs w:val="15"/>
              </w:rPr>
            </w:pPr>
            <w:r w:rsidRPr="00501A6E">
              <w:rPr>
                <w:color w:val="000000"/>
                <w:sz w:val="15"/>
                <w:szCs w:val="15"/>
              </w:rPr>
              <w:t> </w:t>
            </w:r>
          </w:p>
        </w:tc>
        <w:tc>
          <w:tcPr>
            <w:tcW w:w="300"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jc w:val="cente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601" w:type="pct"/>
            <w:tcBorders>
              <w:top w:val="nil"/>
              <w:left w:val="nil"/>
              <w:bottom w:val="single" w:sz="4" w:space="0" w:color="auto"/>
              <w:right w:val="single" w:sz="4" w:space="0" w:color="auto"/>
            </w:tcBorders>
            <w:shd w:val="clear" w:color="auto" w:fill="auto"/>
            <w:vAlign w:val="bottom"/>
            <w:hideMark/>
          </w:tcPr>
          <w:p w:rsidR="000A6A17" w:rsidRPr="00501A6E" w:rsidRDefault="000A6A17" w:rsidP="000A6A17">
            <w:pPr>
              <w:rPr>
                <w:color w:val="000000"/>
                <w:sz w:val="15"/>
                <w:szCs w:val="15"/>
              </w:rPr>
            </w:pPr>
            <w:r w:rsidRPr="00501A6E">
              <w:rPr>
                <w:color w:val="000000"/>
                <w:sz w:val="15"/>
                <w:szCs w:val="15"/>
              </w:rPr>
              <w:t>Kalová čerpadla přenosná s příslušenstvím spolufinancovaná z Integrovaného operačního programu</w:t>
            </w:r>
          </w:p>
        </w:tc>
        <w:tc>
          <w:tcPr>
            <w:tcW w:w="352" w:type="pct"/>
            <w:tcBorders>
              <w:top w:val="nil"/>
              <w:left w:val="nil"/>
              <w:bottom w:val="single" w:sz="4" w:space="0" w:color="auto"/>
              <w:right w:val="single" w:sz="4" w:space="0" w:color="auto"/>
            </w:tcBorders>
            <w:shd w:val="clear" w:color="auto" w:fill="auto"/>
            <w:noWrap/>
            <w:vAlign w:val="center"/>
            <w:hideMark/>
          </w:tcPr>
          <w:p w:rsidR="000A6A17" w:rsidRPr="00501A6E" w:rsidRDefault="003E4074" w:rsidP="000A6A17">
            <w:pPr>
              <w:jc w:val="center"/>
              <w:rPr>
                <w:color w:val="000000"/>
                <w:sz w:val="15"/>
                <w:szCs w:val="15"/>
              </w:rPr>
            </w:pPr>
            <w:r w:rsidRPr="00501A6E">
              <w:rPr>
                <w:color w:val="000000"/>
                <w:sz w:val="15"/>
                <w:szCs w:val="15"/>
              </w:rPr>
              <w:t>13. 2. 2015</w:t>
            </w:r>
          </w:p>
        </w:tc>
        <w:tc>
          <w:tcPr>
            <w:tcW w:w="402" w:type="pct"/>
            <w:tcBorders>
              <w:top w:val="nil"/>
              <w:left w:val="nil"/>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4 457 851</w:t>
            </w:r>
          </w:p>
        </w:tc>
        <w:tc>
          <w:tcPr>
            <w:tcW w:w="248" w:type="pct"/>
            <w:tcBorders>
              <w:top w:val="nil"/>
              <w:left w:val="nil"/>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27,792</w:t>
            </w:r>
          </w:p>
        </w:tc>
        <w:tc>
          <w:tcPr>
            <w:tcW w:w="301" w:type="pct"/>
            <w:tcBorders>
              <w:top w:val="nil"/>
              <w:left w:val="nil"/>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160 401</w:t>
            </w:r>
          </w:p>
        </w:tc>
        <w:tc>
          <w:tcPr>
            <w:tcW w:w="2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250"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365" w:type="pct"/>
            <w:tcBorders>
              <w:top w:val="nil"/>
              <w:left w:val="nil"/>
              <w:bottom w:val="single" w:sz="4" w:space="0" w:color="auto"/>
              <w:right w:val="single" w:sz="4" w:space="0" w:color="auto"/>
            </w:tcBorders>
            <w:shd w:val="clear" w:color="auto" w:fill="auto"/>
            <w:vAlign w:val="center"/>
            <w:hideMark/>
          </w:tcPr>
          <w:p w:rsidR="000A6A17" w:rsidRPr="00501A6E" w:rsidRDefault="000A6A17" w:rsidP="000A6A17">
            <w:pPr>
              <w:rPr>
                <w:color w:val="000000"/>
                <w:sz w:val="15"/>
                <w:szCs w:val="15"/>
              </w:rPr>
            </w:pPr>
            <w:r w:rsidRPr="00501A6E">
              <w:rPr>
                <w:color w:val="000000"/>
                <w:sz w:val="15"/>
                <w:szCs w:val="15"/>
              </w:rPr>
              <w:t> </w:t>
            </w:r>
          </w:p>
        </w:tc>
      </w:tr>
      <w:tr w:rsidR="000D3924" w:rsidRPr="00501A6E" w:rsidTr="000D3924">
        <w:trPr>
          <w:trHeight w:val="915"/>
        </w:trPr>
        <w:tc>
          <w:tcPr>
            <w:tcW w:w="175" w:type="pct"/>
            <w:tcBorders>
              <w:top w:val="nil"/>
              <w:left w:val="single" w:sz="4" w:space="0" w:color="auto"/>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 </w:t>
            </w:r>
          </w:p>
        </w:tc>
        <w:tc>
          <w:tcPr>
            <w:tcW w:w="350" w:type="pct"/>
            <w:tcBorders>
              <w:top w:val="nil"/>
              <w:left w:val="nil"/>
              <w:bottom w:val="single" w:sz="4" w:space="0" w:color="auto"/>
              <w:right w:val="single" w:sz="4" w:space="0" w:color="auto"/>
            </w:tcBorders>
            <w:shd w:val="clear" w:color="auto" w:fill="auto"/>
            <w:vAlign w:val="center"/>
            <w:hideMark/>
          </w:tcPr>
          <w:p w:rsidR="000A6A17" w:rsidRPr="00501A6E" w:rsidRDefault="000A6A17" w:rsidP="000A6A17">
            <w:pP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jc w:val="cente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jc w:val="center"/>
              <w:rPr>
                <w:color w:val="000000"/>
                <w:sz w:val="15"/>
                <w:szCs w:val="15"/>
              </w:rPr>
            </w:pPr>
            <w:r w:rsidRPr="00501A6E">
              <w:rPr>
                <w:color w:val="000000"/>
                <w:sz w:val="15"/>
                <w:szCs w:val="15"/>
              </w:rPr>
              <w:t> </w:t>
            </w:r>
          </w:p>
        </w:tc>
        <w:tc>
          <w:tcPr>
            <w:tcW w:w="300"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jc w:val="cente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601" w:type="pct"/>
            <w:tcBorders>
              <w:top w:val="nil"/>
              <w:left w:val="nil"/>
              <w:bottom w:val="single" w:sz="4" w:space="0" w:color="auto"/>
              <w:right w:val="single" w:sz="4" w:space="0" w:color="auto"/>
            </w:tcBorders>
            <w:shd w:val="clear" w:color="auto" w:fill="auto"/>
            <w:vAlign w:val="bottom"/>
            <w:hideMark/>
          </w:tcPr>
          <w:p w:rsidR="000A6A17" w:rsidRPr="00501A6E" w:rsidRDefault="000A6A17" w:rsidP="000A6A17">
            <w:pPr>
              <w:rPr>
                <w:color w:val="000000"/>
                <w:sz w:val="15"/>
                <w:szCs w:val="15"/>
              </w:rPr>
            </w:pPr>
            <w:r w:rsidRPr="00501A6E">
              <w:rPr>
                <w:color w:val="000000"/>
                <w:sz w:val="15"/>
                <w:szCs w:val="15"/>
              </w:rPr>
              <w:t>Vyprošťovací automobily spolufinancované z Integrovaného operačního programu</w:t>
            </w:r>
          </w:p>
        </w:tc>
        <w:tc>
          <w:tcPr>
            <w:tcW w:w="352" w:type="pct"/>
            <w:tcBorders>
              <w:top w:val="nil"/>
              <w:left w:val="nil"/>
              <w:bottom w:val="single" w:sz="4" w:space="0" w:color="auto"/>
              <w:right w:val="single" w:sz="4" w:space="0" w:color="auto"/>
            </w:tcBorders>
            <w:shd w:val="clear" w:color="auto" w:fill="auto"/>
            <w:noWrap/>
            <w:vAlign w:val="center"/>
            <w:hideMark/>
          </w:tcPr>
          <w:p w:rsidR="000A6A17" w:rsidRPr="00501A6E" w:rsidRDefault="003E4074" w:rsidP="003E4074">
            <w:pPr>
              <w:jc w:val="center"/>
              <w:rPr>
                <w:color w:val="000000"/>
                <w:sz w:val="15"/>
                <w:szCs w:val="15"/>
              </w:rPr>
            </w:pPr>
            <w:r w:rsidRPr="00501A6E">
              <w:rPr>
                <w:color w:val="000000"/>
                <w:sz w:val="15"/>
                <w:szCs w:val="15"/>
              </w:rPr>
              <w:t>11. 12. 2014</w:t>
            </w:r>
          </w:p>
        </w:tc>
        <w:tc>
          <w:tcPr>
            <w:tcW w:w="402" w:type="pct"/>
            <w:tcBorders>
              <w:top w:val="nil"/>
              <w:left w:val="nil"/>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55 717 355</w:t>
            </w:r>
          </w:p>
        </w:tc>
        <w:tc>
          <w:tcPr>
            <w:tcW w:w="248" w:type="pct"/>
            <w:tcBorders>
              <w:top w:val="nil"/>
              <w:left w:val="nil"/>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27,609</w:t>
            </w:r>
          </w:p>
        </w:tc>
        <w:tc>
          <w:tcPr>
            <w:tcW w:w="301" w:type="pct"/>
            <w:tcBorders>
              <w:top w:val="nil"/>
              <w:left w:val="nil"/>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2 018 087</w:t>
            </w:r>
          </w:p>
        </w:tc>
        <w:tc>
          <w:tcPr>
            <w:tcW w:w="2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250"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365" w:type="pct"/>
            <w:tcBorders>
              <w:top w:val="nil"/>
              <w:left w:val="nil"/>
              <w:bottom w:val="single" w:sz="4" w:space="0" w:color="auto"/>
              <w:right w:val="single" w:sz="4" w:space="0" w:color="auto"/>
            </w:tcBorders>
            <w:shd w:val="clear" w:color="auto" w:fill="auto"/>
            <w:vAlign w:val="center"/>
            <w:hideMark/>
          </w:tcPr>
          <w:p w:rsidR="000A6A17" w:rsidRPr="00501A6E" w:rsidRDefault="000A6A17" w:rsidP="000A6A17">
            <w:pPr>
              <w:rPr>
                <w:color w:val="000000"/>
                <w:sz w:val="15"/>
                <w:szCs w:val="15"/>
              </w:rPr>
            </w:pPr>
            <w:r w:rsidRPr="00501A6E">
              <w:rPr>
                <w:color w:val="000000"/>
                <w:sz w:val="15"/>
                <w:szCs w:val="15"/>
              </w:rPr>
              <w:t> </w:t>
            </w:r>
          </w:p>
        </w:tc>
      </w:tr>
      <w:tr w:rsidR="000D3924" w:rsidRPr="00501A6E" w:rsidTr="000D3924">
        <w:trPr>
          <w:trHeight w:val="1140"/>
        </w:trPr>
        <w:tc>
          <w:tcPr>
            <w:tcW w:w="175" w:type="pct"/>
            <w:tcBorders>
              <w:top w:val="nil"/>
              <w:left w:val="single" w:sz="4" w:space="0" w:color="auto"/>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 </w:t>
            </w:r>
          </w:p>
        </w:tc>
        <w:tc>
          <w:tcPr>
            <w:tcW w:w="350" w:type="pct"/>
            <w:tcBorders>
              <w:top w:val="nil"/>
              <w:left w:val="nil"/>
              <w:bottom w:val="single" w:sz="4" w:space="0" w:color="auto"/>
              <w:right w:val="single" w:sz="4" w:space="0" w:color="auto"/>
            </w:tcBorders>
            <w:shd w:val="clear" w:color="auto" w:fill="auto"/>
            <w:vAlign w:val="center"/>
            <w:hideMark/>
          </w:tcPr>
          <w:p w:rsidR="000A6A17" w:rsidRPr="00501A6E" w:rsidRDefault="000A6A17" w:rsidP="000A6A17">
            <w:pP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jc w:val="cente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jc w:val="center"/>
              <w:rPr>
                <w:color w:val="000000"/>
                <w:sz w:val="15"/>
                <w:szCs w:val="15"/>
              </w:rPr>
            </w:pPr>
            <w:r w:rsidRPr="00501A6E">
              <w:rPr>
                <w:color w:val="000000"/>
                <w:sz w:val="15"/>
                <w:szCs w:val="15"/>
              </w:rPr>
              <w:t> </w:t>
            </w:r>
          </w:p>
        </w:tc>
        <w:tc>
          <w:tcPr>
            <w:tcW w:w="300"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jc w:val="cente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601" w:type="pct"/>
            <w:tcBorders>
              <w:top w:val="nil"/>
              <w:left w:val="nil"/>
              <w:bottom w:val="single" w:sz="4" w:space="0" w:color="auto"/>
              <w:right w:val="single" w:sz="4" w:space="0" w:color="auto"/>
            </w:tcBorders>
            <w:shd w:val="clear" w:color="auto" w:fill="auto"/>
            <w:vAlign w:val="bottom"/>
            <w:hideMark/>
          </w:tcPr>
          <w:p w:rsidR="000A6A17" w:rsidRPr="00501A6E" w:rsidRDefault="000A6A17" w:rsidP="000A6A17">
            <w:pPr>
              <w:rPr>
                <w:color w:val="000000"/>
                <w:sz w:val="15"/>
                <w:szCs w:val="15"/>
              </w:rPr>
            </w:pPr>
            <w:proofErr w:type="spellStart"/>
            <w:r w:rsidRPr="00501A6E">
              <w:rPr>
                <w:color w:val="000000"/>
                <w:sz w:val="15"/>
                <w:szCs w:val="15"/>
              </w:rPr>
              <w:t>Požarní</w:t>
            </w:r>
            <w:proofErr w:type="spellEnd"/>
            <w:r w:rsidRPr="00501A6E">
              <w:rPr>
                <w:color w:val="000000"/>
                <w:sz w:val="15"/>
                <w:szCs w:val="15"/>
              </w:rPr>
              <w:t xml:space="preserve"> záchranné automobilové plošiny spolufinancované z Integrovaného operačního programu</w:t>
            </w:r>
          </w:p>
        </w:tc>
        <w:tc>
          <w:tcPr>
            <w:tcW w:w="352" w:type="pct"/>
            <w:tcBorders>
              <w:top w:val="nil"/>
              <w:left w:val="nil"/>
              <w:bottom w:val="single" w:sz="4" w:space="0" w:color="auto"/>
              <w:right w:val="single" w:sz="4" w:space="0" w:color="auto"/>
            </w:tcBorders>
            <w:shd w:val="clear" w:color="auto" w:fill="auto"/>
            <w:noWrap/>
            <w:vAlign w:val="center"/>
            <w:hideMark/>
          </w:tcPr>
          <w:p w:rsidR="000A6A17" w:rsidRPr="00501A6E" w:rsidRDefault="003E4074" w:rsidP="000A6A17">
            <w:pPr>
              <w:jc w:val="center"/>
              <w:rPr>
                <w:color w:val="000000"/>
                <w:sz w:val="15"/>
                <w:szCs w:val="15"/>
              </w:rPr>
            </w:pPr>
            <w:r w:rsidRPr="00501A6E">
              <w:rPr>
                <w:color w:val="000000"/>
                <w:sz w:val="15"/>
                <w:szCs w:val="15"/>
              </w:rPr>
              <w:t>6. 3. 2015</w:t>
            </w:r>
          </w:p>
        </w:tc>
        <w:tc>
          <w:tcPr>
            <w:tcW w:w="402" w:type="pct"/>
            <w:tcBorders>
              <w:top w:val="nil"/>
              <w:left w:val="nil"/>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223 140 496</w:t>
            </w:r>
          </w:p>
        </w:tc>
        <w:tc>
          <w:tcPr>
            <w:tcW w:w="248" w:type="pct"/>
            <w:tcBorders>
              <w:top w:val="nil"/>
              <w:left w:val="nil"/>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27,515</w:t>
            </w:r>
          </w:p>
        </w:tc>
        <w:tc>
          <w:tcPr>
            <w:tcW w:w="301" w:type="pct"/>
            <w:tcBorders>
              <w:top w:val="nil"/>
              <w:left w:val="nil"/>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8 109 776</w:t>
            </w:r>
          </w:p>
        </w:tc>
        <w:tc>
          <w:tcPr>
            <w:tcW w:w="2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250"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365" w:type="pct"/>
            <w:tcBorders>
              <w:top w:val="nil"/>
              <w:left w:val="nil"/>
              <w:bottom w:val="single" w:sz="4" w:space="0" w:color="auto"/>
              <w:right w:val="single" w:sz="4" w:space="0" w:color="auto"/>
            </w:tcBorders>
            <w:shd w:val="clear" w:color="auto" w:fill="auto"/>
            <w:vAlign w:val="center"/>
            <w:hideMark/>
          </w:tcPr>
          <w:p w:rsidR="000A6A17" w:rsidRPr="00501A6E" w:rsidRDefault="000A6A17" w:rsidP="000A6A17">
            <w:pPr>
              <w:rPr>
                <w:color w:val="000000"/>
                <w:sz w:val="15"/>
                <w:szCs w:val="15"/>
              </w:rPr>
            </w:pPr>
            <w:r w:rsidRPr="00501A6E">
              <w:rPr>
                <w:color w:val="000000"/>
                <w:sz w:val="15"/>
                <w:szCs w:val="15"/>
              </w:rPr>
              <w:t> </w:t>
            </w:r>
          </w:p>
        </w:tc>
      </w:tr>
      <w:tr w:rsidR="000D3924" w:rsidRPr="00501A6E" w:rsidTr="000D3924">
        <w:trPr>
          <w:trHeight w:val="915"/>
        </w:trPr>
        <w:tc>
          <w:tcPr>
            <w:tcW w:w="175" w:type="pct"/>
            <w:tcBorders>
              <w:top w:val="nil"/>
              <w:left w:val="single" w:sz="4" w:space="0" w:color="auto"/>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 </w:t>
            </w:r>
          </w:p>
        </w:tc>
        <w:tc>
          <w:tcPr>
            <w:tcW w:w="350" w:type="pct"/>
            <w:tcBorders>
              <w:top w:val="nil"/>
              <w:left w:val="nil"/>
              <w:bottom w:val="single" w:sz="4" w:space="0" w:color="auto"/>
              <w:right w:val="single" w:sz="4" w:space="0" w:color="auto"/>
            </w:tcBorders>
            <w:shd w:val="clear" w:color="auto" w:fill="auto"/>
            <w:vAlign w:val="center"/>
            <w:hideMark/>
          </w:tcPr>
          <w:p w:rsidR="000A6A17" w:rsidRPr="00501A6E" w:rsidRDefault="000A6A17" w:rsidP="000A6A17">
            <w:pP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jc w:val="cente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jc w:val="center"/>
              <w:rPr>
                <w:color w:val="000000"/>
                <w:sz w:val="15"/>
                <w:szCs w:val="15"/>
              </w:rPr>
            </w:pPr>
            <w:r w:rsidRPr="00501A6E">
              <w:rPr>
                <w:color w:val="000000"/>
                <w:sz w:val="15"/>
                <w:szCs w:val="15"/>
              </w:rPr>
              <w:t> </w:t>
            </w:r>
          </w:p>
        </w:tc>
        <w:tc>
          <w:tcPr>
            <w:tcW w:w="300"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jc w:val="cente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601" w:type="pct"/>
            <w:tcBorders>
              <w:top w:val="nil"/>
              <w:left w:val="nil"/>
              <w:bottom w:val="single" w:sz="4" w:space="0" w:color="auto"/>
              <w:right w:val="single" w:sz="4" w:space="0" w:color="auto"/>
            </w:tcBorders>
            <w:shd w:val="clear" w:color="auto" w:fill="auto"/>
            <w:vAlign w:val="bottom"/>
            <w:hideMark/>
          </w:tcPr>
          <w:p w:rsidR="000A6A17" w:rsidRPr="00501A6E" w:rsidRDefault="000A6A17" w:rsidP="000A6A17">
            <w:pPr>
              <w:rPr>
                <w:color w:val="000000"/>
                <w:sz w:val="15"/>
                <w:szCs w:val="15"/>
              </w:rPr>
            </w:pPr>
            <w:r w:rsidRPr="00501A6E">
              <w:rPr>
                <w:color w:val="000000"/>
                <w:sz w:val="15"/>
                <w:szCs w:val="15"/>
              </w:rPr>
              <w:t>Automobily nákladní spolufinancované z Integrovaného operačního programu</w:t>
            </w:r>
          </w:p>
        </w:tc>
        <w:tc>
          <w:tcPr>
            <w:tcW w:w="352" w:type="pct"/>
            <w:tcBorders>
              <w:top w:val="nil"/>
              <w:left w:val="nil"/>
              <w:bottom w:val="single" w:sz="4" w:space="0" w:color="auto"/>
              <w:right w:val="single" w:sz="4" w:space="0" w:color="auto"/>
            </w:tcBorders>
            <w:shd w:val="clear" w:color="auto" w:fill="auto"/>
            <w:noWrap/>
            <w:vAlign w:val="center"/>
            <w:hideMark/>
          </w:tcPr>
          <w:p w:rsidR="000A6A17" w:rsidRPr="00501A6E" w:rsidRDefault="003E4074" w:rsidP="000A6A17">
            <w:pPr>
              <w:jc w:val="center"/>
              <w:rPr>
                <w:color w:val="000000"/>
                <w:sz w:val="15"/>
                <w:szCs w:val="15"/>
              </w:rPr>
            </w:pPr>
            <w:r w:rsidRPr="00501A6E">
              <w:rPr>
                <w:color w:val="000000"/>
                <w:sz w:val="15"/>
                <w:szCs w:val="15"/>
              </w:rPr>
              <w:t>27. 5. 2015</w:t>
            </w:r>
          </w:p>
        </w:tc>
        <w:tc>
          <w:tcPr>
            <w:tcW w:w="402" w:type="pct"/>
            <w:tcBorders>
              <w:top w:val="nil"/>
              <w:left w:val="nil"/>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24 132 231</w:t>
            </w:r>
          </w:p>
        </w:tc>
        <w:tc>
          <w:tcPr>
            <w:tcW w:w="248" w:type="pct"/>
            <w:tcBorders>
              <w:top w:val="nil"/>
              <w:left w:val="nil"/>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27,435</w:t>
            </w:r>
          </w:p>
        </w:tc>
        <w:tc>
          <w:tcPr>
            <w:tcW w:w="301" w:type="pct"/>
            <w:tcBorders>
              <w:top w:val="nil"/>
              <w:left w:val="nil"/>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879 615</w:t>
            </w:r>
          </w:p>
        </w:tc>
        <w:tc>
          <w:tcPr>
            <w:tcW w:w="2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250"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365" w:type="pct"/>
            <w:tcBorders>
              <w:top w:val="nil"/>
              <w:left w:val="nil"/>
              <w:bottom w:val="single" w:sz="4" w:space="0" w:color="auto"/>
              <w:right w:val="single" w:sz="4" w:space="0" w:color="auto"/>
            </w:tcBorders>
            <w:shd w:val="clear" w:color="auto" w:fill="auto"/>
            <w:vAlign w:val="center"/>
            <w:hideMark/>
          </w:tcPr>
          <w:p w:rsidR="000A6A17" w:rsidRPr="00501A6E" w:rsidRDefault="000A6A17" w:rsidP="000A6A17">
            <w:pPr>
              <w:rPr>
                <w:color w:val="000000"/>
                <w:sz w:val="15"/>
                <w:szCs w:val="15"/>
              </w:rPr>
            </w:pPr>
            <w:r w:rsidRPr="00501A6E">
              <w:rPr>
                <w:color w:val="000000"/>
                <w:sz w:val="15"/>
                <w:szCs w:val="15"/>
              </w:rPr>
              <w:t> </w:t>
            </w:r>
          </w:p>
        </w:tc>
      </w:tr>
      <w:tr w:rsidR="000D3924" w:rsidRPr="00501A6E" w:rsidTr="000D3924">
        <w:trPr>
          <w:trHeight w:val="915"/>
        </w:trPr>
        <w:tc>
          <w:tcPr>
            <w:tcW w:w="175" w:type="pct"/>
            <w:tcBorders>
              <w:top w:val="nil"/>
              <w:left w:val="single" w:sz="4" w:space="0" w:color="auto"/>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 </w:t>
            </w:r>
          </w:p>
        </w:tc>
        <w:tc>
          <w:tcPr>
            <w:tcW w:w="350" w:type="pct"/>
            <w:tcBorders>
              <w:top w:val="nil"/>
              <w:left w:val="nil"/>
              <w:bottom w:val="single" w:sz="4" w:space="0" w:color="auto"/>
              <w:right w:val="single" w:sz="4" w:space="0" w:color="auto"/>
            </w:tcBorders>
            <w:shd w:val="clear" w:color="auto" w:fill="auto"/>
            <w:vAlign w:val="center"/>
            <w:hideMark/>
          </w:tcPr>
          <w:p w:rsidR="000A6A17" w:rsidRPr="00501A6E" w:rsidRDefault="000A6A17" w:rsidP="000A6A17">
            <w:pP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jc w:val="cente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jc w:val="center"/>
              <w:rPr>
                <w:color w:val="000000"/>
                <w:sz w:val="15"/>
                <w:szCs w:val="15"/>
              </w:rPr>
            </w:pPr>
            <w:r w:rsidRPr="00501A6E">
              <w:rPr>
                <w:color w:val="000000"/>
                <w:sz w:val="15"/>
                <w:szCs w:val="15"/>
              </w:rPr>
              <w:t> </w:t>
            </w:r>
          </w:p>
        </w:tc>
        <w:tc>
          <w:tcPr>
            <w:tcW w:w="300"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jc w:val="cente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601" w:type="pct"/>
            <w:tcBorders>
              <w:top w:val="nil"/>
              <w:left w:val="nil"/>
              <w:bottom w:val="single" w:sz="4" w:space="0" w:color="auto"/>
              <w:right w:val="single" w:sz="4" w:space="0" w:color="auto"/>
            </w:tcBorders>
            <w:shd w:val="clear" w:color="auto" w:fill="auto"/>
            <w:vAlign w:val="bottom"/>
            <w:hideMark/>
          </w:tcPr>
          <w:p w:rsidR="000A6A17" w:rsidRPr="00501A6E" w:rsidRDefault="000A6A17" w:rsidP="000A6A17">
            <w:pPr>
              <w:rPr>
                <w:color w:val="000000"/>
                <w:sz w:val="15"/>
                <w:szCs w:val="15"/>
              </w:rPr>
            </w:pPr>
            <w:r w:rsidRPr="00501A6E">
              <w:rPr>
                <w:color w:val="000000"/>
                <w:sz w:val="15"/>
                <w:szCs w:val="15"/>
              </w:rPr>
              <w:t>Kontejnery ISO spolufinancované z Integrovaného operačního programu</w:t>
            </w:r>
          </w:p>
        </w:tc>
        <w:tc>
          <w:tcPr>
            <w:tcW w:w="352" w:type="pct"/>
            <w:tcBorders>
              <w:top w:val="nil"/>
              <w:left w:val="nil"/>
              <w:bottom w:val="single" w:sz="4" w:space="0" w:color="auto"/>
              <w:right w:val="single" w:sz="4" w:space="0" w:color="auto"/>
            </w:tcBorders>
            <w:shd w:val="clear" w:color="auto" w:fill="auto"/>
            <w:noWrap/>
            <w:vAlign w:val="center"/>
            <w:hideMark/>
          </w:tcPr>
          <w:p w:rsidR="000A6A17" w:rsidRPr="00501A6E" w:rsidRDefault="003E4074" w:rsidP="000A6A17">
            <w:pPr>
              <w:jc w:val="center"/>
              <w:rPr>
                <w:color w:val="000000"/>
                <w:sz w:val="15"/>
                <w:szCs w:val="15"/>
              </w:rPr>
            </w:pPr>
            <w:r w:rsidRPr="00501A6E">
              <w:rPr>
                <w:color w:val="000000"/>
                <w:sz w:val="15"/>
                <w:szCs w:val="15"/>
              </w:rPr>
              <w:t>25. 2. 2015</w:t>
            </w:r>
          </w:p>
        </w:tc>
        <w:tc>
          <w:tcPr>
            <w:tcW w:w="402" w:type="pct"/>
            <w:tcBorders>
              <w:top w:val="nil"/>
              <w:left w:val="nil"/>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9 256 198</w:t>
            </w:r>
          </w:p>
        </w:tc>
        <w:tc>
          <w:tcPr>
            <w:tcW w:w="248" w:type="pct"/>
            <w:tcBorders>
              <w:top w:val="nil"/>
              <w:left w:val="nil"/>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27,792</w:t>
            </w:r>
          </w:p>
        </w:tc>
        <w:tc>
          <w:tcPr>
            <w:tcW w:w="301" w:type="pct"/>
            <w:tcBorders>
              <w:top w:val="nil"/>
              <w:left w:val="nil"/>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333 053</w:t>
            </w:r>
          </w:p>
        </w:tc>
        <w:tc>
          <w:tcPr>
            <w:tcW w:w="2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250"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365" w:type="pct"/>
            <w:tcBorders>
              <w:top w:val="nil"/>
              <w:left w:val="nil"/>
              <w:bottom w:val="single" w:sz="4" w:space="0" w:color="auto"/>
              <w:right w:val="single" w:sz="4" w:space="0" w:color="auto"/>
            </w:tcBorders>
            <w:shd w:val="clear" w:color="auto" w:fill="auto"/>
            <w:vAlign w:val="center"/>
            <w:hideMark/>
          </w:tcPr>
          <w:p w:rsidR="000A6A17" w:rsidRPr="00501A6E" w:rsidRDefault="000A6A17" w:rsidP="000A6A17">
            <w:pPr>
              <w:rPr>
                <w:color w:val="000000"/>
                <w:sz w:val="15"/>
                <w:szCs w:val="15"/>
              </w:rPr>
            </w:pPr>
            <w:r w:rsidRPr="00501A6E">
              <w:rPr>
                <w:color w:val="000000"/>
                <w:sz w:val="15"/>
                <w:szCs w:val="15"/>
              </w:rPr>
              <w:t> </w:t>
            </w:r>
          </w:p>
        </w:tc>
      </w:tr>
      <w:tr w:rsidR="000D3924" w:rsidRPr="00501A6E" w:rsidTr="000D3924">
        <w:trPr>
          <w:trHeight w:val="915"/>
        </w:trPr>
        <w:tc>
          <w:tcPr>
            <w:tcW w:w="175" w:type="pct"/>
            <w:tcBorders>
              <w:top w:val="nil"/>
              <w:left w:val="single" w:sz="4" w:space="0" w:color="auto"/>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lastRenderedPageBreak/>
              <w:t> </w:t>
            </w:r>
          </w:p>
        </w:tc>
        <w:tc>
          <w:tcPr>
            <w:tcW w:w="350" w:type="pct"/>
            <w:tcBorders>
              <w:top w:val="nil"/>
              <w:left w:val="nil"/>
              <w:bottom w:val="single" w:sz="4" w:space="0" w:color="auto"/>
              <w:right w:val="single" w:sz="4" w:space="0" w:color="auto"/>
            </w:tcBorders>
            <w:shd w:val="clear" w:color="auto" w:fill="auto"/>
            <w:vAlign w:val="center"/>
            <w:hideMark/>
          </w:tcPr>
          <w:p w:rsidR="000A6A17" w:rsidRPr="00501A6E" w:rsidRDefault="000A6A17" w:rsidP="000A6A17">
            <w:pP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jc w:val="cente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jc w:val="center"/>
              <w:rPr>
                <w:color w:val="000000"/>
                <w:sz w:val="15"/>
                <w:szCs w:val="15"/>
              </w:rPr>
            </w:pPr>
            <w:r w:rsidRPr="00501A6E">
              <w:rPr>
                <w:color w:val="000000"/>
                <w:sz w:val="15"/>
                <w:szCs w:val="15"/>
              </w:rPr>
              <w:t> </w:t>
            </w:r>
          </w:p>
        </w:tc>
        <w:tc>
          <w:tcPr>
            <w:tcW w:w="300"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jc w:val="cente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601" w:type="pct"/>
            <w:tcBorders>
              <w:top w:val="nil"/>
              <w:left w:val="nil"/>
              <w:bottom w:val="single" w:sz="4" w:space="0" w:color="auto"/>
              <w:right w:val="single" w:sz="4" w:space="0" w:color="auto"/>
            </w:tcBorders>
            <w:shd w:val="clear" w:color="auto" w:fill="auto"/>
            <w:vAlign w:val="bottom"/>
            <w:hideMark/>
          </w:tcPr>
          <w:p w:rsidR="000A6A17" w:rsidRPr="00501A6E" w:rsidRDefault="000A6A17" w:rsidP="000A6A17">
            <w:pPr>
              <w:rPr>
                <w:color w:val="000000"/>
                <w:sz w:val="15"/>
                <w:szCs w:val="15"/>
              </w:rPr>
            </w:pPr>
            <w:r w:rsidRPr="00501A6E">
              <w:rPr>
                <w:color w:val="000000"/>
                <w:sz w:val="15"/>
                <w:szCs w:val="15"/>
              </w:rPr>
              <w:t>Skladové zařízení spolufinancované z Integrovaného operačního programu</w:t>
            </w:r>
          </w:p>
        </w:tc>
        <w:tc>
          <w:tcPr>
            <w:tcW w:w="352" w:type="pct"/>
            <w:tcBorders>
              <w:top w:val="nil"/>
              <w:left w:val="nil"/>
              <w:bottom w:val="single" w:sz="4" w:space="0" w:color="auto"/>
              <w:right w:val="single" w:sz="4" w:space="0" w:color="auto"/>
            </w:tcBorders>
            <w:shd w:val="clear" w:color="auto" w:fill="auto"/>
            <w:noWrap/>
            <w:vAlign w:val="center"/>
            <w:hideMark/>
          </w:tcPr>
          <w:p w:rsidR="000A6A17" w:rsidRPr="00501A6E" w:rsidRDefault="00F71014" w:rsidP="000A6A17">
            <w:pPr>
              <w:jc w:val="center"/>
              <w:rPr>
                <w:color w:val="000000"/>
                <w:sz w:val="15"/>
                <w:szCs w:val="15"/>
              </w:rPr>
            </w:pPr>
            <w:r w:rsidRPr="00501A6E">
              <w:rPr>
                <w:color w:val="000000"/>
                <w:sz w:val="15"/>
                <w:szCs w:val="15"/>
              </w:rPr>
              <w:t>5. 5. 2015</w:t>
            </w:r>
          </w:p>
        </w:tc>
        <w:tc>
          <w:tcPr>
            <w:tcW w:w="402" w:type="pct"/>
            <w:tcBorders>
              <w:top w:val="nil"/>
              <w:left w:val="nil"/>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1 452 066</w:t>
            </w:r>
          </w:p>
        </w:tc>
        <w:tc>
          <w:tcPr>
            <w:tcW w:w="248" w:type="pct"/>
            <w:tcBorders>
              <w:top w:val="nil"/>
              <w:left w:val="nil"/>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27,435</w:t>
            </w:r>
          </w:p>
        </w:tc>
        <w:tc>
          <w:tcPr>
            <w:tcW w:w="301" w:type="pct"/>
            <w:tcBorders>
              <w:top w:val="nil"/>
              <w:left w:val="nil"/>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52 928</w:t>
            </w:r>
          </w:p>
        </w:tc>
        <w:tc>
          <w:tcPr>
            <w:tcW w:w="2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250"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365" w:type="pct"/>
            <w:tcBorders>
              <w:top w:val="nil"/>
              <w:left w:val="nil"/>
              <w:bottom w:val="single" w:sz="4" w:space="0" w:color="auto"/>
              <w:right w:val="single" w:sz="4" w:space="0" w:color="auto"/>
            </w:tcBorders>
            <w:shd w:val="clear" w:color="auto" w:fill="auto"/>
            <w:vAlign w:val="center"/>
            <w:hideMark/>
          </w:tcPr>
          <w:p w:rsidR="000A6A17" w:rsidRPr="00501A6E" w:rsidRDefault="000A6A17" w:rsidP="000A6A17">
            <w:pPr>
              <w:rPr>
                <w:color w:val="000000"/>
                <w:sz w:val="15"/>
                <w:szCs w:val="15"/>
              </w:rPr>
            </w:pPr>
            <w:r w:rsidRPr="00501A6E">
              <w:rPr>
                <w:color w:val="000000"/>
                <w:sz w:val="15"/>
                <w:szCs w:val="15"/>
              </w:rPr>
              <w:t> </w:t>
            </w:r>
          </w:p>
        </w:tc>
      </w:tr>
      <w:tr w:rsidR="000D3924" w:rsidRPr="00501A6E" w:rsidTr="000D3924">
        <w:trPr>
          <w:trHeight w:val="915"/>
        </w:trPr>
        <w:tc>
          <w:tcPr>
            <w:tcW w:w="175" w:type="pct"/>
            <w:tcBorders>
              <w:top w:val="nil"/>
              <w:left w:val="single" w:sz="4" w:space="0" w:color="auto"/>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 </w:t>
            </w:r>
          </w:p>
        </w:tc>
        <w:tc>
          <w:tcPr>
            <w:tcW w:w="350" w:type="pct"/>
            <w:tcBorders>
              <w:top w:val="nil"/>
              <w:left w:val="nil"/>
              <w:bottom w:val="single" w:sz="4" w:space="0" w:color="auto"/>
              <w:right w:val="single" w:sz="4" w:space="0" w:color="auto"/>
            </w:tcBorders>
            <w:shd w:val="clear" w:color="auto" w:fill="auto"/>
            <w:vAlign w:val="center"/>
            <w:hideMark/>
          </w:tcPr>
          <w:p w:rsidR="000A6A17" w:rsidRPr="00501A6E" w:rsidRDefault="000A6A17" w:rsidP="000A6A17">
            <w:pP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jc w:val="cente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jc w:val="center"/>
              <w:rPr>
                <w:color w:val="000000"/>
                <w:sz w:val="15"/>
                <w:szCs w:val="15"/>
              </w:rPr>
            </w:pPr>
            <w:r w:rsidRPr="00501A6E">
              <w:rPr>
                <w:color w:val="000000"/>
                <w:sz w:val="15"/>
                <w:szCs w:val="15"/>
              </w:rPr>
              <w:t> </w:t>
            </w:r>
          </w:p>
        </w:tc>
        <w:tc>
          <w:tcPr>
            <w:tcW w:w="300"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jc w:val="cente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601" w:type="pct"/>
            <w:tcBorders>
              <w:top w:val="nil"/>
              <w:left w:val="nil"/>
              <w:bottom w:val="single" w:sz="4" w:space="0" w:color="auto"/>
              <w:right w:val="single" w:sz="4" w:space="0" w:color="auto"/>
            </w:tcBorders>
            <w:shd w:val="clear" w:color="auto" w:fill="auto"/>
            <w:vAlign w:val="bottom"/>
            <w:hideMark/>
          </w:tcPr>
          <w:p w:rsidR="000A6A17" w:rsidRPr="00501A6E" w:rsidRDefault="000A6A17" w:rsidP="000A6A17">
            <w:pPr>
              <w:rPr>
                <w:color w:val="000000"/>
                <w:sz w:val="15"/>
                <w:szCs w:val="15"/>
              </w:rPr>
            </w:pPr>
            <w:r w:rsidRPr="00501A6E">
              <w:rPr>
                <w:color w:val="000000"/>
                <w:sz w:val="15"/>
                <w:szCs w:val="15"/>
              </w:rPr>
              <w:t>Rekonstrukce budov spolufinancovaná z Integrovaného operačního programu</w:t>
            </w:r>
          </w:p>
        </w:tc>
        <w:tc>
          <w:tcPr>
            <w:tcW w:w="352" w:type="pct"/>
            <w:tcBorders>
              <w:top w:val="nil"/>
              <w:left w:val="nil"/>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 </w:t>
            </w:r>
          </w:p>
        </w:tc>
        <w:tc>
          <w:tcPr>
            <w:tcW w:w="402" w:type="pct"/>
            <w:tcBorders>
              <w:top w:val="nil"/>
              <w:left w:val="nil"/>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43 686 812</w:t>
            </w:r>
          </w:p>
        </w:tc>
        <w:tc>
          <w:tcPr>
            <w:tcW w:w="248" w:type="pct"/>
            <w:tcBorders>
              <w:top w:val="nil"/>
              <w:left w:val="nil"/>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 </w:t>
            </w:r>
          </w:p>
        </w:tc>
        <w:tc>
          <w:tcPr>
            <w:tcW w:w="301" w:type="pct"/>
            <w:tcBorders>
              <w:top w:val="nil"/>
              <w:left w:val="nil"/>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 </w:t>
            </w:r>
          </w:p>
        </w:tc>
        <w:tc>
          <w:tcPr>
            <w:tcW w:w="2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250"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365" w:type="pct"/>
            <w:tcBorders>
              <w:top w:val="nil"/>
              <w:left w:val="nil"/>
              <w:bottom w:val="single" w:sz="4" w:space="0" w:color="auto"/>
              <w:right w:val="single" w:sz="4" w:space="0" w:color="auto"/>
            </w:tcBorders>
            <w:shd w:val="clear" w:color="auto" w:fill="auto"/>
            <w:vAlign w:val="center"/>
            <w:hideMark/>
          </w:tcPr>
          <w:p w:rsidR="000A6A17" w:rsidRPr="00501A6E" w:rsidRDefault="000A6A17" w:rsidP="000A6A17">
            <w:pPr>
              <w:rPr>
                <w:color w:val="000000"/>
                <w:sz w:val="15"/>
                <w:szCs w:val="15"/>
              </w:rPr>
            </w:pPr>
            <w:r w:rsidRPr="00501A6E">
              <w:rPr>
                <w:color w:val="000000"/>
                <w:sz w:val="15"/>
                <w:szCs w:val="15"/>
              </w:rPr>
              <w:t> </w:t>
            </w:r>
          </w:p>
        </w:tc>
      </w:tr>
      <w:tr w:rsidR="000D3924" w:rsidRPr="00501A6E" w:rsidTr="000D3924">
        <w:trPr>
          <w:trHeight w:val="915"/>
        </w:trPr>
        <w:tc>
          <w:tcPr>
            <w:tcW w:w="175" w:type="pct"/>
            <w:tcBorders>
              <w:top w:val="nil"/>
              <w:left w:val="single" w:sz="4" w:space="0" w:color="auto"/>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 </w:t>
            </w:r>
          </w:p>
        </w:tc>
        <w:tc>
          <w:tcPr>
            <w:tcW w:w="350" w:type="pct"/>
            <w:tcBorders>
              <w:top w:val="nil"/>
              <w:left w:val="nil"/>
              <w:bottom w:val="single" w:sz="4" w:space="0" w:color="auto"/>
              <w:right w:val="single" w:sz="4" w:space="0" w:color="auto"/>
            </w:tcBorders>
            <w:shd w:val="clear" w:color="auto" w:fill="auto"/>
            <w:vAlign w:val="center"/>
            <w:hideMark/>
          </w:tcPr>
          <w:p w:rsidR="000A6A17" w:rsidRPr="00501A6E" w:rsidRDefault="000A6A17" w:rsidP="000A6A17">
            <w:pP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jc w:val="cente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jc w:val="center"/>
              <w:rPr>
                <w:color w:val="000000"/>
                <w:sz w:val="15"/>
                <w:szCs w:val="15"/>
              </w:rPr>
            </w:pPr>
            <w:r w:rsidRPr="00501A6E">
              <w:rPr>
                <w:color w:val="000000"/>
                <w:sz w:val="15"/>
                <w:szCs w:val="15"/>
              </w:rPr>
              <w:t> </w:t>
            </w:r>
          </w:p>
        </w:tc>
        <w:tc>
          <w:tcPr>
            <w:tcW w:w="300"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jc w:val="cente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601" w:type="pct"/>
            <w:tcBorders>
              <w:top w:val="nil"/>
              <w:left w:val="nil"/>
              <w:bottom w:val="single" w:sz="4" w:space="0" w:color="auto"/>
              <w:right w:val="single" w:sz="4" w:space="0" w:color="auto"/>
            </w:tcBorders>
            <w:shd w:val="clear" w:color="auto" w:fill="auto"/>
            <w:vAlign w:val="bottom"/>
            <w:hideMark/>
          </w:tcPr>
          <w:p w:rsidR="000A6A17" w:rsidRPr="00501A6E" w:rsidRDefault="000A6A17" w:rsidP="000A6A17">
            <w:pPr>
              <w:rPr>
                <w:color w:val="000000"/>
                <w:sz w:val="15"/>
                <w:szCs w:val="15"/>
              </w:rPr>
            </w:pPr>
            <w:r w:rsidRPr="00501A6E">
              <w:rPr>
                <w:color w:val="000000"/>
                <w:sz w:val="15"/>
                <w:szCs w:val="15"/>
              </w:rPr>
              <w:t>Nová výstavba spolufinancovaná z Integrovaného operačního programu</w:t>
            </w:r>
          </w:p>
        </w:tc>
        <w:tc>
          <w:tcPr>
            <w:tcW w:w="352" w:type="pct"/>
            <w:tcBorders>
              <w:top w:val="nil"/>
              <w:left w:val="nil"/>
              <w:bottom w:val="single" w:sz="4" w:space="0" w:color="auto"/>
              <w:right w:val="single" w:sz="4" w:space="0" w:color="auto"/>
            </w:tcBorders>
            <w:shd w:val="clear" w:color="auto" w:fill="auto"/>
            <w:noWrap/>
            <w:vAlign w:val="center"/>
            <w:hideMark/>
          </w:tcPr>
          <w:p w:rsidR="000A6A17" w:rsidRPr="00501A6E" w:rsidRDefault="003E4074" w:rsidP="000A6A17">
            <w:pPr>
              <w:jc w:val="center"/>
              <w:rPr>
                <w:color w:val="000000"/>
                <w:sz w:val="15"/>
                <w:szCs w:val="15"/>
              </w:rPr>
            </w:pPr>
            <w:r w:rsidRPr="00501A6E">
              <w:rPr>
                <w:color w:val="000000"/>
                <w:sz w:val="15"/>
                <w:szCs w:val="15"/>
              </w:rPr>
              <w:t>24. 4. 2015</w:t>
            </w:r>
          </w:p>
        </w:tc>
        <w:tc>
          <w:tcPr>
            <w:tcW w:w="402" w:type="pct"/>
            <w:tcBorders>
              <w:top w:val="nil"/>
              <w:left w:val="nil"/>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59 589 545</w:t>
            </w:r>
          </w:p>
        </w:tc>
        <w:tc>
          <w:tcPr>
            <w:tcW w:w="248" w:type="pct"/>
            <w:tcBorders>
              <w:top w:val="nil"/>
              <w:left w:val="nil"/>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27,473</w:t>
            </w:r>
          </w:p>
        </w:tc>
        <w:tc>
          <w:tcPr>
            <w:tcW w:w="301" w:type="pct"/>
            <w:tcBorders>
              <w:top w:val="nil"/>
              <w:left w:val="nil"/>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2 169 022</w:t>
            </w:r>
          </w:p>
        </w:tc>
        <w:tc>
          <w:tcPr>
            <w:tcW w:w="2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250"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365" w:type="pct"/>
            <w:tcBorders>
              <w:top w:val="nil"/>
              <w:left w:val="nil"/>
              <w:bottom w:val="single" w:sz="4" w:space="0" w:color="auto"/>
              <w:right w:val="single" w:sz="4" w:space="0" w:color="auto"/>
            </w:tcBorders>
            <w:shd w:val="clear" w:color="auto" w:fill="auto"/>
            <w:vAlign w:val="center"/>
            <w:hideMark/>
          </w:tcPr>
          <w:p w:rsidR="000A6A17" w:rsidRPr="00501A6E" w:rsidRDefault="000A6A17" w:rsidP="000A6A17">
            <w:pPr>
              <w:rPr>
                <w:color w:val="000000"/>
                <w:sz w:val="15"/>
                <w:szCs w:val="15"/>
              </w:rPr>
            </w:pPr>
            <w:r w:rsidRPr="00501A6E">
              <w:rPr>
                <w:color w:val="000000"/>
                <w:sz w:val="15"/>
                <w:szCs w:val="15"/>
              </w:rPr>
              <w:t> </w:t>
            </w:r>
          </w:p>
        </w:tc>
      </w:tr>
      <w:tr w:rsidR="000D3924" w:rsidRPr="00501A6E" w:rsidTr="000D3924">
        <w:trPr>
          <w:trHeight w:val="915"/>
        </w:trPr>
        <w:tc>
          <w:tcPr>
            <w:tcW w:w="175" w:type="pct"/>
            <w:tcBorders>
              <w:top w:val="nil"/>
              <w:left w:val="single" w:sz="4" w:space="0" w:color="auto"/>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 </w:t>
            </w:r>
          </w:p>
        </w:tc>
        <w:tc>
          <w:tcPr>
            <w:tcW w:w="350" w:type="pct"/>
            <w:tcBorders>
              <w:top w:val="nil"/>
              <w:left w:val="nil"/>
              <w:bottom w:val="single" w:sz="4" w:space="0" w:color="auto"/>
              <w:right w:val="single" w:sz="4" w:space="0" w:color="auto"/>
            </w:tcBorders>
            <w:shd w:val="clear" w:color="auto" w:fill="auto"/>
            <w:vAlign w:val="center"/>
            <w:hideMark/>
          </w:tcPr>
          <w:p w:rsidR="000A6A17" w:rsidRPr="00501A6E" w:rsidRDefault="000A6A17" w:rsidP="000A6A17">
            <w:pP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jc w:val="cente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jc w:val="center"/>
              <w:rPr>
                <w:color w:val="000000"/>
                <w:sz w:val="15"/>
                <w:szCs w:val="15"/>
              </w:rPr>
            </w:pPr>
            <w:r w:rsidRPr="00501A6E">
              <w:rPr>
                <w:color w:val="000000"/>
                <w:sz w:val="15"/>
                <w:szCs w:val="15"/>
              </w:rPr>
              <w:t> </w:t>
            </w:r>
          </w:p>
        </w:tc>
        <w:tc>
          <w:tcPr>
            <w:tcW w:w="300"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jc w:val="cente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601" w:type="pct"/>
            <w:tcBorders>
              <w:top w:val="nil"/>
              <w:left w:val="nil"/>
              <w:bottom w:val="single" w:sz="4" w:space="0" w:color="auto"/>
              <w:right w:val="single" w:sz="4" w:space="0" w:color="auto"/>
            </w:tcBorders>
            <w:shd w:val="clear" w:color="auto" w:fill="auto"/>
            <w:vAlign w:val="bottom"/>
            <w:hideMark/>
          </w:tcPr>
          <w:p w:rsidR="000A6A17" w:rsidRPr="00501A6E" w:rsidRDefault="000A6A17" w:rsidP="000A6A17">
            <w:pPr>
              <w:rPr>
                <w:color w:val="000000"/>
                <w:sz w:val="15"/>
                <w:szCs w:val="15"/>
              </w:rPr>
            </w:pPr>
            <w:r w:rsidRPr="00501A6E">
              <w:rPr>
                <w:color w:val="000000"/>
                <w:sz w:val="15"/>
                <w:szCs w:val="15"/>
              </w:rPr>
              <w:t>Polygon pro zkoušky jízdy v klidné vodě spolufinancovaný z Integrovaného operačního programu</w:t>
            </w:r>
          </w:p>
        </w:tc>
        <w:tc>
          <w:tcPr>
            <w:tcW w:w="352" w:type="pct"/>
            <w:tcBorders>
              <w:top w:val="nil"/>
              <w:left w:val="nil"/>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 </w:t>
            </w:r>
          </w:p>
        </w:tc>
        <w:tc>
          <w:tcPr>
            <w:tcW w:w="402" w:type="pct"/>
            <w:tcBorders>
              <w:top w:val="nil"/>
              <w:left w:val="nil"/>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18 240 145</w:t>
            </w:r>
          </w:p>
        </w:tc>
        <w:tc>
          <w:tcPr>
            <w:tcW w:w="248" w:type="pct"/>
            <w:tcBorders>
              <w:top w:val="nil"/>
              <w:left w:val="nil"/>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 </w:t>
            </w:r>
          </w:p>
        </w:tc>
        <w:tc>
          <w:tcPr>
            <w:tcW w:w="301" w:type="pct"/>
            <w:tcBorders>
              <w:top w:val="nil"/>
              <w:left w:val="nil"/>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 </w:t>
            </w:r>
          </w:p>
        </w:tc>
        <w:tc>
          <w:tcPr>
            <w:tcW w:w="2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250"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365" w:type="pct"/>
            <w:tcBorders>
              <w:top w:val="nil"/>
              <w:left w:val="nil"/>
              <w:bottom w:val="single" w:sz="4" w:space="0" w:color="auto"/>
              <w:right w:val="single" w:sz="4" w:space="0" w:color="auto"/>
            </w:tcBorders>
            <w:shd w:val="clear" w:color="auto" w:fill="auto"/>
            <w:vAlign w:val="center"/>
            <w:hideMark/>
          </w:tcPr>
          <w:p w:rsidR="000A6A17" w:rsidRPr="00501A6E" w:rsidRDefault="000A6A17" w:rsidP="000A6A17">
            <w:pPr>
              <w:rPr>
                <w:color w:val="000000"/>
                <w:sz w:val="15"/>
                <w:szCs w:val="15"/>
              </w:rPr>
            </w:pPr>
            <w:r w:rsidRPr="00501A6E">
              <w:rPr>
                <w:color w:val="000000"/>
                <w:sz w:val="15"/>
                <w:szCs w:val="15"/>
              </w:rPr>
              <w:t> </w:t>
            </w:r>
          </w:p>
        </w:tc>
      </w:tr>
      <w:tr w:rsidR="000D3924" w:rsidRPr="00501A6E" w:rsidTr="000D3924">
        <w:trPr>
          <w:trHeight w:val="915"/>
        </w:trPr>
        <w:tc>
          <w:tcPr>
            <w:tcW w:w="175" w:type="pct"/>
            <w:tcBorders>
              <w:top w:val="nil"/>
              <w:left w:val="single" w:sz="4" w:space="0" w:color="auto"/>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 </w:t>
            </w:r>
          </w:p>
        </w:tc>
        <w:tc>
          <w:tcPr>
            <w:tcW w:w="350" w:type="pct"/>
            <w:tcBorders>
              <w:top w:val="nil"/>
              <w:left w:val="nil"/>
              <w:bottom w:val="single" w:sz="4" w:space="0" w:color="auto"/>
              <w:right w:val="single" w:sz="4" w:space="0" w:color="auto"/>
            </w:tcBorders>
            <w:shd w:val="clear" w:color="auto" w:fill="auto"/>
            <w:vAlign w:val="center"/>
            <w:hideMark/>
          </w:tcPr>
          <w:p w:rsidR="000A6A17" w:rsidRPr="00501A6E" w:rsidRDefault="000A6A17" w:rsidP="000A6A17">
            <w:pP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jc w:val="cente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jc w:val="center"/>
              <w:rPr>
                <w:color w:val="000000"/>
                <w:sz w:val="15"/>
                <w:szCs w:val="15"/>
              </w:rPr>
            </w:pPr>
            <w:r w:rsidRPr="00501A6E">
              <w:rPr>
                <w:color w:val="000000"/>
                <w:sz w:val="15"/>
                <w:szCs w:val="15"/>
              </w:rPr>
              <w:t> </w:t>
            </w:r>
          </w:p>
        </w:tc>
        <w:tc>
          <w:tcPr>
            <w:tcW w:w="300"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jc w:val="cente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601" w:type="pct"/>
            <w:tcBorders>
              <w:top w:val="nil"/>
              <w:left w:val="nil"/>
              <w:bottom w:val="single" w:sz="4" w:space="0" w:color="auto"/>
              <w:right w:val="single" w:sz="4" w:space="0" w:color="auto"/>
            </w:tcBorders>
            <w:shd w:val="clear" w:color="auto" w:fill="auto"/>
            <w:vAlign w:val="bottom"/>
            <w:hideMark/>
          </w:tcPr>
          <w:p w:rsidR="000A6A17" w:rsidRPr="00501A6E" w:rsidRDefault="000A6A17" w:rsidP="000A6A17">
            <w:pPr>
              <w:rPr>
                <w:color w:val="000000"/>
                <w:sz w:val="15"/>
                <w:szCs w:val="15"/>
              </w:rPr>
            </w:pPr>
            <w:r w:rsidRPr="00501A6E">
              <w:rPr>
                <w:color w:val="000000"/>
                <w:sz w:val="15"/>
                <w:szCs w:val="15"/>
              </w:rPr>
              <w:t>Povinná publicita spolufinancovaná z Integrovaného operačního programu</w:t>
            </w:r>
          </w:p>
        </w:tc>
        <w:tc>
          <w:tcPr>
            <w:tcW w:w="352" w:type="pct"/>
            <w:tcBorders>
              <w:top w:val="nil"/>
              <w:left w:val="nil"/>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 </w:t>
            </w:r>
          </w:p>
        </w:tc>
        <w:tc>
          <w:tcPr>
            <w:tcW w:w="402" w:type="pct"/>
            <w:tcBorders>
              <w:top w:val="nil"/>
              <w:left w:val="nil"/>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581 818</w:t>
            </w:r>
          </w:p>
        </w:tc>
        <w:tc>
          <w:tcPr>
            <w:tcW w:w="248" w:type="pct"/>
            <w:tcBorders>
              <w:top w:val="nil"/>
              <w:left w:val="nil"/>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 </w:t>
            </w:r>
          </w:p>
        </w:tc>
        <w:tc>
          <w:tcPr>
            <w:tcW w:w="301" w:type="pct"/>
            <w:tcBorders>
              <w:top w:val="nil"/>
              <w:left w:val="nil"/>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 </w:t>
            </w:r>
          </w:p>
        </w:tc>
        <w:tc>
          <w:tcPr>
            <w:tcW w:w="2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250"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365" w:type="pct"/>
            <w:tcBorders>
              <w:top w:val="nil"/>
              <w:left w:val="nil"/>
              <w:bottom w:val="single" w:sz="4" w:space="0" w:color="auto"/>
              <w:right w:val="single" w:sz="4" w:space="0" w:color="auto"/>
            </w:tcBorders>
            <w:shd w:val="clear" w:color="auto" w:fill="auto"/>
            <w:vAlign w:val="center"/>
            <w:hideMark/>
          </w:tcPr>
          <w:p w:rsidR="000A6A17" w:rsidRPr="00501A6E" w:rsidRDefault="000A6A17" w:rsidP="000A6A17">
            <w:pPr>
              <w:rPr>
                <w:color w:val="000000"/>
                <w:sz w:val="15"/>
                <w:szCs w:val="15"/>
              </w:rPr>
            </w:pPr>
            <w:r w:rsidRPr="00501A6E">
              <w:rPr>
                <w:color w:val="000000"/>
                <w:sz w:val="15"/>
                <w:szCs w:val="15"/>
              </w:rPr>
              <w:t> </w:t>
            </w:r>
          </w:p>
        </w:tc>
      </w:tr>
      <w:tr w:rsidR="000D3924" w:rsidRPr="00501A6E" w:rsidTr="000D3924">
        <w:trPr>
          <w:trHeight w:val="1140"/>
        </w:trPr>
        <w:tc>
          <w:tcPr>
            <w:tcW w:w="175" w:type="pct"/>
            <w:tcBorders>
              <w:top w:val="nil"/>
              <w:left w:val="single" w:sz="4" w:space="0" w:color="auto"/>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 </w:t>
            </w:r>
          </w:p>
        </w:tc>
        <w:tc>
          <w:tcPr>
            <w:tcW w:w="350" w:type="pct"/>
            <w:tcBorders>
              <w:top w:val="nil"/>
              <w:left w:val="nil"/>
              <w:bottom w:val="single" w:sz="4" w:space="0" w:color="auto"/>
              <w:right w:val="single" w:sz="4" w:space="0" w:color="auto"/>
            </w:tcBorders>
            <w:shd w:val="clear" w:color="auto" w:fill="auto"/>
            <w:vAlign w:val="center"/>
            <w:hideMark/>
          </w:tcPr>
          <w:p w:rsidR="000A6A17" w:rsidRPr="00501A6E" w:rsidRDefault="000A6A17" w:rsidP="000A6A17">
            <w:pP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jc w:val="cente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jc w:val="center"/>
              <w:rPr>
                <w:color w:val="000000"/>
                <w:sz w:val="15"/>
                <w:szCs w:val="15"/>
              </w:rPr>
            </w:pPr>
            <w:r w:rsidRPr="00501A6E">
              <w:rPr>
                <w:color w:val="000000"/>
                <w:sz w:val="15"/>
                <w:szCs w:val="15"/>
              </w:rPr>
              <w:t> </w:t>
            </w:r>
          </w:p>
        </w:tc>
        <w:tc>
          <w:tcPr>
            <w:tcW w:w="300"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jc w:val="cente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601" w:type="pct"/>
            <w:tcBorders>
              <w:top w:val="nil"/>
              <w:left w:val="nil"/>
              <w:bottom w:val="single" w:sz="4" w:space="0" w:color="auto"/>
              <w:right w:val="single" w:sz="4" w:space="0" w:color="auto"/>
            </w:tcBorders>
            <w:shd w:val="clear" w:color="auto" w:fill="auto"/>
            <w:vAlign w:val="bottom"/>
            <w:hideMark/>
          </w:tcPr>
          <w:p w:rsidR="000A6A17" w:rsidRPr="00501A6E" w:rsidRDefault="000A6A17" w:rsidP="000A6A17">
            <w:pPr>
              <w:rPr>
                <w:color w:val="000000"/>
                <w:sz w:val="15"/>
                <w:szCs w:val="15"/>
              </w:rPr>
            </w:pPr>
            <w:r w:rsidRPr="00501A6E">
              <w:rPr>
                <w:color w:val="000000"/>
                <w:sz w:val="15"/>
                <w:szCs w:val="15"/>
              </w:rPr>
              <w:t>Zemní technika spolufinancovaná z Integrovaného operačního programu - opakované vyhlášení</w:t>
            </w:r>
          </w:p>
        </w:tc>
        <w:tc>
          <w:tcPr>
            <w:tcW w:w="352" w:type="pct"/>
            <w:tcBorders>
              <w:top w:val="nil"/>
              <w:left w:val="nil"/>
              <w:bottom w:val="single" w:sz="4" w:space="0" w:color="auto"/>
              <w:right w:val="single" w:sz="4" w:space="0" w:color="auto"/>
            </w:tcBorders>
            <w:shd w:val="clear" w:color="auto" w:fill="auto"/>
            <w:noWrap/>
            <w:vAlign w:val="center"/>
            <w:hideMark/>
          </w:tcPr>
          <w:p w:rsidR="000A6A17" w:rsidRPr="00501A6E" w:rsidRDefault="003E4074" w:rsidP="000A6A17">
            <w:pPr>
              <w:jc w:val="center"/>
              <w:rPr>
                <w:color w:val="000000"/>
                <w:sz w:val="15"/>
                <w:szCs w:val="15"/>
              </w:rPr>
            </w:pPr>
            <w:r w:rsidRPr="00501A6E">
              <w:rPr>
                <w:color w:val="000000"/>
                <w:sz w:val="15"/>
                <w:szCs w:val="15"/>
              </w:rPr>
              <w:t>22. 4. 2015</w:t>
            </w:r>
          </w:p>
        </w:tc>
        <w:tc>
          <w:tcPr>
            <w:tcW w:w="402" w:type="pct"/>
            <w:tcBorders>
              <w:top w:val="nil"/>
              <w:left w:val="nil"/>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34 380 165</w:t>
            </w:r>
          </w:p>
        </w:tc>
        <w:tc>
          <w:tcPr>
            <w:tcW w:w="248" w:type="pct"/>
            <w:tcBorders>
              <w:top w:val="nil"/>
              <w:left w:val="nil"/>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27,473</w:t>
            </w:r>
          </w:p>
        </w:tc>
        <w:tc>
          <w:tcPr>
            <w:tcW w:w="301" w:type="pct"/>
            <w:tcBorders>
              <w:top w:val="nil"/>
              <w:left w:val="nil"/>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1 251 416</w:t>
            </w:r>
          </w:p>
        </w:tc>
        <w:tc>
          <w:tcPr>
            <w:tcW w:w="2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250"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365" w:type="pct"/>
            <w:tcBorders>
              <w:top w:val="nil"/>
              <w:left w:val="nil"/>
              <w:bottom w:val="single" w:sz="4" w:space="0" w:color="auto"/>
              <w:right w:val="single" w:sz="4" w:space="0" w:color="auto"/>
            </w:tcBorders>
            <w:shd w:val="clear" w:color="auto" w:fill="auto"/>
            <w:vAlign w:val="center"/>
            <w:hideMark/>
          </w:tcPr>
          <w:p w:rsidR="000A6A17" w:rsidRPr="00501A6E" w:rsidRDefault="000A6A17" w:rsidP="000A6A17">
            <w:pPr>
              <w:rPr>
                <w:color w:val="000000"/>
                <w:sz w:val="15"/>
                <w:szCs w:val="15"/>
              </w:rPr>
            </w:pPr>
            <w:r w:rsidRPr="00501A6E">
              <w:rPr>
                <w:color w:val="000000"/>
                <w:sz w:val="15"/>
                <w:szCs w:val="15"/>
              </w:rPr>
              <w:t> </w:t>
            </w:r>
          </w:p>
        </w:tc>
      </w:tr>
      <w:tr w:rsidR="000D3924" w:rsidRPr="00501A6E" w:rsidTr="000D3924">
        <w:trPr>
          <w:trHeight w:val="1140"/>
        </w:trPr>
        <w:tc>
          <w:tcPr>
            <w:tcW w:w="175" w:type="pct"/>
            <w:tcBorders>
              <w:top w:val="nil"/>
              <w:left w:val="single" w:sz="4" w:space="0" w:color="auto"/>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lastRenderedPageBreak/>
              <w:t> </w:t>
            </w:r>
          </w:p>
        </w:tc>
        <w:tc>
          <w:tcPr>
            <w:tcW w:w="350" w:type="pct"/>
            <w:tcBorders>
              <w:top w:val="nil"/>
              <w:left w:val="nil"/>
              <w:bottom w:val="single" w:sz="4" w:space="0" w:color="auto"/>
              <w:right w:val="single" w:sz="4" w:space="0" w:color="auto"/>
            </w:tcBorders>
            <w:shd w:val="clear" w:color="auto" w:fill="auto"/>
            <w:vAlign w:val="center"/>
            <w:hideMark/>
          </w:tcPr>
          <w:p w:rsidR="000A6A17" w:rsidRPr="00501A6E" w:rsidRDefault="000A6A17" w:rsidP="000A6A17">
            <w:pP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jc w:val="cente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jc w:val="center"/>
              <w:rPr>
                <w:color w:val="000000"/>
                <w:sz w:val="15"/>
                <w:szCs w:val="15"/>
              </w:rPr>
            </w:pPr>
            <w:r w:rsidRPr="00501A6E">
              <w:rPr>
                <w:color w:val="000000"/>
                <w:sz w:val="15"/>
                <w:szCs w:val="15"/>
              </w:rPr>
              <w:t> </w:t>
            </w:r>
          </w:p>
        </w:tc>
        <w:tc>
          <w:tcPr>
            <w:tcW w:w="300"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jc w:val="cente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601" w:type="pct"/>
            <w:tcBorders>
              <w:top w:val="nil"/>
              <w:left w:val="nil"/>
              <w:bottom w:val="single" w:sz="4" w:space="0" w:color="auto"/>
              <w:right w:val="single" w:sz="4" w:space="0" w:color="auto"/>
            </w:tcBorders>
            <w:shd w:val="clear" w:color="auto" w:fill="auto"/>
            <w:vAlign w:val="bottom"/>
            <w:hideMark/>
          </w:tcPr>
          <w:p w:rsidR="000A6A17" w:rsidRPr="00501A6E" w:rsidRDefault="000A6A17" w:rsidP="000A6A17">
            <w:pPr>
              <w:rPr>
                <w:color w:val="000000"/>
                <w:sz w:val="15"/>
                <w:szCs w:val="15"/>
              </w:rPr>
            </w:pPr>
            <w:r w:rsidRPr="00501A6E">
              <w:rPr>
                <w:color w:val="000000"/>
                <w:sz w:val="15"/>
                <w:szCs w:val="15"/>
              </w:rPr>
              <w:t>Motorové čerpací stanice spolufinancované z Integrovaného operačního programu - opakované vyhlášení</w:t>
            </w:r>
          </w:p>
        </w:tc>
        <w:tc>
          <w:tcPr>
            <w:tcW w:w="352" w:type="pct"/>
            <w:tcBorders>
              <w:top w:val="nil"/>
              <w:left w:val="nil"/>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proofErr w:type="gramStart"/>
            <w:r w:rsidRPr="00501A6E">
              <w:rPr>
                <w:color w:val="000000"/>
                <w:sz w:val="15"/>
                <w:szCs w:val="15"/>
              </w:rPr>
              <w:t>7.4.2015</w:t>
            </w:r>
            <w:proofErr w:type="gramEnd"/>
          </w:p>
        </w:tc>
        <w:tc>
          <w:tcPr>
            <w:tcW w:w="402" w:type="pct"/>
            <w:tcBorders>
              <w:top w:val="nil"/>
              <w:left w:val="nil"/>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5 400 000</w:t>
            </w:r>
          </w:p>
        </w:tc>
        <w:tc>
          <w:tcPr>
            <w:tcW w:w="248" w:type="pct"/>
            <w:tcBorders>
              <w:top w:val="nil"/>
              <w:left w:val="nil"/>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27,473</w:t>
            </w:r>
          </w:p>
        </w:tc>
        <w:tc>
          <w:tcPr>
            <w:tcW w:w="301" w:type="pct"/>
            <w:tcBorders>
              <w:top w:val="nil"/>
              <w:left w:val="nil"/>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196 557</w:t>
            </w:r>
          </w:p>
        </w:tc>
        <w:tc>
          <w:tcPr>
            <w:tcW w:w="2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250"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365" w:type="pct"/>
            <w:tcBorders>
              <w:top w:val="nil"/>
              <w:left w:val="nil"/>
              <w:bottom w:val="single" w:sz="4" w:space="0" w:color="auto"/>
              <w:right w:val="single" w:sz="4" w:space="0" w:color="auto"/>
            </w:tcBorders>
            <w:shd w:val="clear" w:color="auto" w:fill="auto"/>
            <w:vAlign w:val="center"/>
            <w:hideMark/>
          </w:tcPr>
          <w:p w:rsidR="000A6A17" w:rsidRPr="00501A6E" w:rsidRDefault="000A6A17" w:rsidP="000A6A17">
            <w:pPr>
              <w:rPr>
                <w:color w:val="000000"/>
                <w:sz w:val="15"/>
                <w:szCs w:val="15"/>
              </w:rPr>
            </w:pPr>
            <w:r w:rsidRPr="00501A6E">
              <w:rPr>
                <w:color w:val="000000"/>
                <w:sz w:val="15"/>
                <w:szCs w:val="15"/>
              </w:rPr>
              <w:t> </w:t>
            </w:r>
          </w:p>
        </w:tc>
      </w:tr>
      <w:tr w:rsidR="000D3924" w:rsidRPr="00501A6E" w:rsidTr="000D3924">
        <w:trPr>
          <w:trHeight w:val="1140"/>
        </w:trPr>
        <w:tc>
          <w:tcPr>
            <w:tcW w:w="175" w:type="pct"/>
            <w:tcBorders>
              <w:top w:val="nil"/>
              <w:left w:val="single" w:sz="4" w:space="0" w:color="auto"/>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 </w:t>
            </w:r>
          </w:p>
        </w:tc>
        <w:tc>
          <w:tcPr>
            <w:tcW w:w="350" w:type="pct"/>
            <w:tcBorders>
              <w:top w:val="nil"/>
              <w:left w:val="nil"/>
              <w:bottom w:val="single" w:sz="4" w:space="0" w:color="auto"/>
              <w:right w:val="single" w:sz="4" w:space="0" w:color="auto"/>
            </w:tcBorders>
            <w:shd w:val="clear" w:color="auto" w:fill="auto"/>
            <w:vAlign w:val="center"/>
            <w:hideMark/>
          </w:tcPr>
          <w:p w:rsidR="000A6A17" w:rsidRPr="00501A6E" w:rsidRDefault="000A6A17" w:rsidP="000A6A17">
            <w:pP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jc w:val="cente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jc w:val="center"/>
              <w:rPr>
                <w:color w:val="000000"/>
                <w:sz w:val="15"/>
                <w:szCs w:val="15"/>
              </w:rPr>
            </w:pPr>
            <w:r w:rsidRPr="00501A6E">
              <w:rPr>
                <w:color w:val="000000"/>
                <w:sz w:val="15"/>
                <w:szCs w:val="15"/>
              </w:rPr>
              <w:t> </w:t>
            </w:r>
          </w:p>
        </w:tc>
        <w:tc>
          <w:tcPr>
            <w:tcW w:w="300"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jc w:val="cente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601" w:type="pct"/>
            <w:tcBorders>
              <w:top w:val="nil"/>
              <w:left w:val="nil"/>
              <w:bottom w:val="single" w:sz="4" w:space="0" w:color="auto"/>
              <w:right w:val="single" w:sz="4" w:space="0" w:color="auto"/>
            </w:tcBorders>
            <w:shd w:val="clear" w:color="auto" w:fill="auto"/>
            <w:vAlign w:val="bottom"/>
            <w:hideMark/>
          </w:tcPr>
          <w:p w:rsidR="000A6A17" w:rsidRPr="00501A6E" w:rsidRDefault="000A6A17" w:rsidP="000A6A17">
            <w:pPr>
              <w:rPr>
                <w:color w:val="000000"/>
                <w:sz w:val="15"/>
                <w:szCs w:val="15"/>
              </w:rPr>
            </w:pPr>
            <w:r w:rsidRPr="00501A6E">
              <w:rPr>
                <w:color w:val="000000"/>
                <w:sz w:val="15"/>
                <w:szCs w:val="15"/>
              </w:rPr>
              <w:t>Obojživelná vozidla spolufinancovaná z Integrovaného operačního programu - opakované vyhlášení</w:t>
            </w:r>
          </w:p>
        </w:tc>
        <w:tc>
          <w:tcPr>
            <w:tcW w:w="352" w:type="pct"/>
            <w:tcBorders>
              <w:top w:val="nil"/>
              <w:left w:val="nil"/>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proofErr w:type="gramStart"/>
            <w:r w:rsidRPr="00501A6E">
              <w:rPr>
                <w:color w:val="000000"/>
                <w:sz w:val="15"/>
                <w:szCs w:val="15"/>
              </w:rPr>
              <w:t>24.5.2015</w:t>
            </w:r>
            <w:proofErr w:type="gramEnd"/>
          </w:p>
        </w:tc>
        <w:tc>
          <w:tcPr>
            <w:tcW w:w="402" w:type="pct"/>
            <w:tcBorders>
              <w:top w:val="nil"/>
              <w:left w:val="nil"/>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3 719 008</w:t>
            </w:r>
          </w:p>
        </w:tc>
        <w:tc>
          <w:tcPr>
            <w:tcW w:w="248" w:type="pct"/>
            <w:tcBorders>
              <w:top w:val="nil"/>
              <w:left w:val="nil"/>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27,435</w:t>
            </w:r>
          </w:p>
        </w:tc>
        <w:tc>
          <w:tcPr>
            <w:tcW w:w="301" w:type="pct"/>
            <w:tcBorders>
              <w:top w:val="nil"/>
              <w:left w:val="nil"/>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135 557</w:t>
            </w:r>
          </w:p>
        </w:tc>
        <w:tc>
          <w:tcPr>
            <w:tcW w:w="2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250"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365" w:type="pct"/>
            <w:tcBorders>
              <w:top w:val="nil"/>
              <w:left w:val="nil"/>
              <w:bottom w:val="single" w:sz="4" w:space="0" w:color="auto"/>
              <w:right w:val="single" w:sz="4" w:space="0" w:color="auto"/>
            </w:tcBorders>
            <w:shd w:val="clear" w:color="auto" w:fill="auto"/>
            <w:vAlign w:val="center"/>
            <w:hideMark/>
          </w:tcPr>
          <w:p w:rsidR="000A6A17" w:rsidRPr="00501A6E" w:rsidRDefault="000A6A17" w:rsidP="000A6A17">
            <w:pPr>
              <w:rPr>
                <w:color w:val="000000"/>
                <w:sz w:val="15"/>
                <w:szCs w:val="15"/>
              </w:rPr>
            </w:pPr>
            <w:r w:rsidRPr="00501A6E">
              <w:rPr>
                <w:color w:val="000000"/>
                <w:sz w:val="15"/>
                <w:szCs w:val="15"/>
              </w:rPr>
              <w:t> </w:t>
            </w:r>
          </w:p>
        </w:tc>
      </w:tr>
      <w:tr w:rsidR="000D3924" w:rsidRPr="00501A6E" w:rsidTr="000D3924">
        <w:trPr>
          <w:trHeight w:val="1140"/>
        </w:trPr>
        <w:tc>
          <w:tcPr>
            <w:tcW w:w="175" w:type="pct"/>
            <w:tcBorders>
              <w:top w:val="nil"/>
              <w:left w:val="single" w:sz="4" w:space="0" w:color="auto"/>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 </w:t>
            </w:r>
          </w:p>
        </w:tc>
        <w:tc>
          <w:tcPr>
            <w:tcW w:w="350" w:type="pct"/>
            <w:tcBorders>
              <w:top w:val="nil"/>
              <w:left w:val="nil"/>
              <w:bottom w:val="single" w:sz="4" w:space="0" w:color="auto"/>
              <w:right w:val="single" w:sz="4" w:space="0" w:color="auto"/>
            </w:tcBorders>
            <w:shd w:val="clear" w:color="auto" w:fill="auto"/>
            <w:vAlign w:val="center"/>
            <w:hideMark/>
          </w:tcPr>
          <w:p w:rsidR="000A6A17" w:rsidRPr="00501A6E" w:rsidRDefault="000A6A17" w:rsidP="000A6A17">
            <w:pP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jc w:val="cente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jc w:val="center"/>
              <w:rPr>
                <w:color w:val="000000"/>
                <w:sz w:val="15"/>
                <w:szCs w:val="15"/>
              </w:rPr>
            </w:pPr>
            <w:r w:rsidRPr="00501A6E">
              <w:rPr>
                <w:color w:val="000000"/>
                <w:sz w:val="15"/>
                <w:szCs w:val="15"/>
              </w:rPr>
              <w:t> </w:t>
            </w:r>
          </w:p>
        </w:tc>
        <w:tc>
          <w:tcPr>
            <w:tcW w:w="300"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jc w:val="cente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601" w:type="pct"/>
            <w:tcBorders>
              <w:top w:val="nil"/>
              <w:left w:val="nil"/>
              <w:bottom w:val="single" w:sz="4" w:space="0" w:color="auto"/>
              <w:right w:val="single" w:sz="4" w:space="0" w:color="auto"/>
            </w:tcBorders>
            <w:shd w:val="clear" w:color="auto" w:fill="auto"/>
            <w:vAlign w:val="bottom"/>
            <w:hideMark/>
          </w:tcPr>
          <w:p w:rsidR="000A6A17" w:rsidRPr="00501A6E" w:rsidRDefault="000A6A17" w:rsidP="000A6A17">
            <w:pPr>
              <w:rPr>
                <w:color w:val="000000"/>
                <w:sz w:val="15"/>
                <w:szCs w:val="15"/>
              </w:rPr>
            </w:pPr>
            <w:r w:rsidRPr="00501A6E">
              <w:rPr>
                <w:color w:val="000000"/>
                <w:sz w:val="15"/>
                <w:szCs w:val="15"/>
              </w:rPr>
              <w:t>Automobilové jeřáby spolufinancované z Integrovaného operačního programu - opakované vyhlášení</w:t>
            </w:r>
          </w:p>
        </w:tc>
        <w:tc>
          <w:tcPr>
            <w:tcW w:w="352" w:type="pct"/>
            <w:tcBorders>
              <w:top w:val="nil"/>
              <w:left w:val="nil"/>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proofErr w:type="gramStart"/>
            <w:r w:rsidRPr="00501A6E">
              <w:rPr>
                <w:color w:val="000000"/>
                <w:sz w:val="15"/>
                <w:szCs w:val="15"/>
              </w:rPr>
              <w:t>18.3.2015</w:t>
            </w:r>
            <w:proofErr w:type="gramEnd"/>
          </w:p>
        </w:tc>
        <w:tc>
          <w:tcPr>
            <w:tcW w:w="402" w:type="pct"/>
            <w:tcBorders>
              <w:top w:val="nil"/>
              <w:left w:val="nil"/>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23 884 298</w:t>
            </w:r>
          </w:p>
        </w:tc>
        <w:tc>
          <w:tcPr>
            <w:tcW w:w="248" w:type="pct"/>
            <w:tcBorders>
              <w:top w:val="nil"/>
              <w:left w:val="nil"/>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27,515</w:t>
            </w:r>
          </w:p>
        </w:tc>
        <w:tc>
          <w:tcPr>
            <w:tcW w:w="301" w:type="pct"/>
            <w:tcBorders>
              <w:top w:val="nil"/>
              <w:left w:val="nil"/>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868 046</w:t>
            </w:r>
          </w:p>
        </w:tc>
        <w:tc>
          <w:tcPr>
            <w:tcW w:w="2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250"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365" w:type="pct"/>
            <w:tcBorders>
              <w:top w:val="nil"/>
              <w:left w:val="nil"/>
              <w:bottom w:val="single" w:sz="4" w:space="0" w:color="auto"/>
              <w:right w:val="single" w:sz="4" w:space="0" w:color="auto"/>
            </w:tcBorders>
            <w:shd w:val="clear" w:color="auto" w:fill="auto"/>
            <w:vAlign w:val="center"/>
            <w:hideMark/>
          </w:tcPr>
          <w:p w:rsidR="000A6A17" w:rsidRPr="00501A6E" w:rsidRDefault="000A6A17" w:rsidP="000A6A17">
            <w:pPr>
              <w:rPr>
                <w:color w:val="000000"/>
                <w:sz w:val="15"/>
                <w:szCs w:val="15"/>
              </w:rPr>
            </w:pPr>
            <w:r w:rsidRPr="00501A6E">
              <w:rPr>
                <w:color w:val="000000"/>
                <w:sz w:val="15"/>
                <w:szCs w:val="15"/>
              </w:rPr>
              <w:t> </w:t>
            </w:r>
          </w:p>
        </w:tc>
      </w:tr>
      <w:tr w:rsidR="000D3924" w:rsidRPr="00501A6E" w:rsidTr="000D3924">
        <w:trPr>
          <w:trHeight w:val="1140"/>
        </w:trPr>
        <w:tc>
          <w:tcPr>
            <w:tcW w:w="175" w:type="pct"/>
            <w:tcBorders>
              <w:top w:val="nil"/>
              <w:left w:val="single" w:sz="4" w:space="0" w:color="auto"/>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 </w:t>
            </w:r>
          </w:p>
        </w:tc>
        <w:tc>
          <w:tcPr>
            <w:tcW w:w="350" w:type="pct"/>
            <w:tcBorders>
              <w:top w:val="nil"/>
              <w:left w:val="nil"/>
              <w:bottom w:val="single" w:sz="4" w:space="0" w:color="auto"/>
              <w:right w:val="single" w:sz="4" w:space="0" w:color="auto"/>
            </w:tcBorders>
            <w:shd w:val="clear" w:color="auto" w:fill="auto"/>
            <w:vAlign w:val="center"/>
            <w:hideMark/>
          </w:tcPr>
          <w:p w:rsidR="000A6A17" w:rsidRPr="00501A6E" w:rsidRDefault="000A6A17" w:rsidP="000A6A17">
            <w:pP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jc w:val="cente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jc w:val="center"/>
              <w:rPr>
                <w:color w:val="000000"/>
                <w:sz w:val="15"/>
                <w:szCs w:val="15"/>
              </w:rPr>
            </w:pPr>
            <w:r w:rsidRPr="00501A6E">
              <w:rPr>
                <w:color w:val="000000"/>
                <w:sz w:val="15"/>
                <w:szCs w:val="15"/>
              </w:rPr>
              <w:t> </w:t>
            </w:r>
          </w:p>
        </w:tc>
        <w:tc>
          <w:tcPr>
            <w:tcW w:w="300"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jc w:val="cente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601" w:type="pct"/>
            <w:tcBorders>
              <w:top w:val="nil"/>
              <w:left w:val="nil"/>
              <w:bottom w:val="single" w:sz="4" w:space="0" w:color="auto"/>
              <w:right w:val="single" w:sz="4" w:space="0" w:color="auto"/>
            </w:tcBorders>
            <w:shd w:val="clear" w:color="auto" w:fill="auto"/>
            <w:vAlign w:val="bottom"/>
            <w:hideMark/>
          </w:tcPr>
          <w:p w:rsidR="000A6A17" w:rsidRPr="00501A6E" w:rsidRDefault="000A6A17" w:rsidP="000A6A17">
            <w:pPr>
              <w:rPr>
                <w:color w:val="000000"/>
                <w:sz w:val="15"/>
                <w:szCs w:val="15"/>
              </w:rPr>
            </w:pPr>
            <w:r w:rsidRPr="00501A6E">
              <w:rPr>
                <w:color w:val="000000"/>
                <w:sz w:val="15"/>
                <w:szCs w:val="15"/>
              </w:rPr>
              <w:t>Kontejnery protipovodňové spolufinancované z Integrovaného operačního programu - opakované vyhlášení</w:t>
            </w:r>
          </w:p>
        </w:tc>
        <w:tc>
          <w:tcPr>
            <w:tcW w:w="352" w:type="pct"/>
            <w:tcBorders>
              <w:top w:val="nil"/>
              <w:left w:val="nil"/>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proofErr w:type="gramStart"/>
            <w:r w:rsidRPr="00501A6E">
              <w:rPr>
                <w:color w:val="000000"/>
                <w:sz w:val="15"/>
                <w:szCs w:val="15"/>
              </w:rPr>
              <w:t>7.5.2015</w:t>
            </w:r>
            <w:proofErr w:type="gramEnd"/>
          </w:p>
        </w:tc>
        <w:tc>
          <w:tcPr>
            <w:tcW w:w="402" w:type="pct"/>
            <w:tcBorders>
              <w:top w:val="nil"/>
              <w:left w:val="nil"/>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12 396 694</w:t>
            </w:r>
          </w:p>
        </w:tc>
        <w:tc>
          <w:tcPr>
            <w:tcW w:w="248" w:type="pct"/>
            <w:tcBorders>
              <w:top w:val="nil"/>
              <w:left w:val="nil"/>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27,435</w:t>
            </w:r>
          </w:p>
        </w:tc>
        <w:tc>
          <w:tcPr>
            <w:tcW w:w="301" w:type="pct"/>
            <w:tcBorders>
              <w:top w:val="nil"/>
              <w:left w:val="nil"/>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451 857</w:t>
            </w:r>
          </w:p>
        </w:tc>
        <w:tc>
          <w:tcPr>
            <w:tcW w:w="2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250"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365" w:type="pct"/>
            <w:tcBorders>
              <w:top w:val="nil"/>
              <w:left w:val="nil"/>
              <w:bottom w:val="single" w:sz="4" w:space="0" w:color="auto"/>
              <w:right w:val="single" w:sz="4" w:space="0" w:color="auto"/>
            </w:tcBorders>
            <w:shd w:val="clear" w:color="auto" w:fill="auto"/>
            <w:vAlign w:val="center"/>
            <w:hideMark/>
          </w:tcPr>
          <w:p w:rsidR="000A6A17" w:rsidRPr="00501A6E" w:rsidRDefault="000A6A17" w:rsidP="000A6A17">
            <w:pPr>
              <w:rPr>
                <w:color w:val="000000"/>
                <w:sz w:val="15"/>
                <w:szCs w:val="15"/>
              </w:rPr>
            </w:pPr>
            <w:r w:rsidRPr="00501A6E">
              <w:rPr>
                <w:color w:val="000000"/>
                <w:sz w:val="15"/>
                <w:szCs w:val="15"/>
              </w:rPr>
              <w:t> </w:t>
            </w:r>
          </w:p>
        </w:tc>
      </w:tr>
      <w:tr w:rsidR="000D3924" w:rsidRPr="00501A6E" w:rsidTr="000D3924">
        <w:trPr>
          <w:trHeight w:val="1140"/>
        </w:trPr>
        <w:tc>
          <w:tcPr>
            <w:tcW w:w="175" w:type="pct"/>
            <w:tcBorders>
              <w:top w:val="nil"/>
              <w:left w:val="single" w:sz="4" w:space="0" w:color="auto"/>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 </w:t>
            </w:r>
          </w:p>
        </w:tc>
        <w:tc>
          <w:tcPr>
            <w:tcW w:w="350" w:type="pct"/>
            <w:tcBorders>
              <w:top w:val="nil"/>
              <w:left w:val="nil"/>
              <w:bottom w:val="single" w:sz="4" w:space="0" w:color="auto"/>
              <w:right w:val="single" w:sz="4" w:space="0" w:color="auto"/>
            </w:tcBorders>
            <w:shd w:val="clear" w:color="auto" w:fill="auto"/>
            <w:vAlign w:val="center"/>
            <w:hideMark/>
          </w:tcPr>
          <w:p w:rsidR="000A6A17" w:rsidRPr="00501A6E" w:rsidRDefault="000A6A17" w:rsidP="000A6A17">
            <w:pP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jc w:val="cente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jc w:val="center"/>
              <w:rPr>
                <w:color w:val="000000"/>
                <w:sz w:val="15"/>
                <w:szCs w:val="15"/>
              </w:rPr>
            </w:pPr>
            <w:r w:rsidRPr="00501A6E">
              <w:rPr>
                <w:color w:val="000000"/>
                <w:sz w:val="15"/>
                <w:szCs w:val="15"/>
              </w:rPr>
              <w:t> </w:t>
            </w:r>
          </w:p>
        </w:tc>
        <w:tc>
          <w:tcPr>
            <w:tcW w:w="300"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jc w:val="cente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601" w:type="pct"/>
            <w:tcBorders>
              <w:top w:val="nil"/>
              <w:left w:val="nil"/>
              <w:bottom w:val="single" w:sz="4" w:space="0" w:color="auto"/>
              <w:right w:val="single" w:sz="4" w:space="0" w:color="auto"/>
            </w:tcBorders>
            <w:shd w:val="clear" w:color="auto" w:fill="auto"/>
            <w:vAlign w:val="bottom"/>
            <w:hideMark/>
          </w:tcPr>
          <w:p w:rsidR="000A6A17" w:rsidRPr="00501A6E" w:rsidRDefault="000A6A17" w:rsidP="000A6A17">
            <w:pPr>
              <w:rPr>
                <w:color w:val="000000"/>
                <w:sz w:val="15"/>
                <w:szCs w:val="15"/>
              </w:rPr>
            </w:pPr>
            <w:r w:rsidRPr="00501A6E">
              <w:rPr>
                <w:color w:val="000000"/>
                <w:sz w:val="15"/>
                <w:szCs w:val="15"/>
              </w:rPr>
              <w:t>Velitelské automobily spolufinancované z Integrovaného operačního programu - opakované vyhlášení</w:t>
            </w:r>
          </w:p>
        </w:tc>
        <w:tc>
          <w:tcPr>
            <w:tcW w:w="352" w:type="pct"/>
            <w:tcBorders>
              <w:top w:val="nil"/>
              <w:left w:val="nil"/>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proofErr w:type="gramStart"/>
            <w:r w:rsidRPr="00501A6E">
              <w:rPr>
                <w:color w:val="000000"/>
                <w:sz w:val="15"/>
                <w:szCs w:val="15"/>
              </w:rPr>
              <w:t>3.6.2015</w:t>
            </w:r>
            <w:proofErr w:type="gramEnd"/>
          </w:p>
        </w:tc>
        <w:tc>
          <w:tcPr>
            <w:tcW w:w="402" w:type="pct"/>
            <w:tcBorders>
              <w:top w:val="nil"/>
              <w:left w:val="nil"/>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29 090 909</w:t>
            </w:r>
          </w:p>
        </w:tc>
        <w:tc>
          <w:tcPr>
            <w:tcW w:w="248" w:type="pct"/>
            <w:tcBorders>
              <w:top w:val="nil"/>
              <w:left w:val="nil"/>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27,463</w:t>
            </w:r>
          </w:p>
        </w:tc>
        <w:tc>
          <w:tcPr>
            <w:tcW w:w="301" w:type="pct"/>
            <w:tcBorders>
              <w:top w:val="nil"/>
              <w:left w:val="nil"/>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1 059 276</w:t>
            </w:r>
          </w:p>
        </w:tc>
        <w:tc>
          <w:tcPr>
            <w:tcW w:w="2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250"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365" w:type="pct"/>
            <w:tcBorders>
              <w:top w:val="nil"/>
              <w:left w:val="nil"/>
              <w:bottom w:val="single" w:sz="4" w:space="0" w:color="auto"/>
              <w:right w:val="single" w:sz="4" w:space="0" w:color="auto"/>
            </w:tcBorders>
            <w:shd w:val="clear" w:color="auto" w:fill="auto"/>
            <w:vAlign w:val="center"/>
            <w:hideMark/>
          </w:tcPr>
          <w:p w:rsidR="000A6A17" w:rsidRPr="00501A6E" w:rsidRDefault="000A6A17" w:rsidP="000A6A17">
            <w:pPr>
              <w:rPr>
                <w:color w:val="000000"/>
                <w:sz w:val="15"/>
                <w:szCs w:val="15"/>
              </w:rPr>
            </w:pPr>
            <w:r w:rsidRPr="00501A6E">
              <w:rPr>
                <w:color w:val="000000"/>
                <w:sz w:val="15"/>
                <w:szCs w:val="15"/>
              </w:rPr>
              <w:t> </w:t>
            </w:r>
          </w:p>
        </w:tc>
      </w:tr>
      <w:tr w:rsidR="000D3924" w:rsidRPr="00501A6E" w:rsidTr="000D3924">
        <w:trPr>
          <w:trHeight w:val="1140"/>
        </w:trPr>
        <w:tc>
          <w:tcPr>
            <w:tcW w:w="175" w:type="pct"/>
            <w:tcBorders>
              <w:top w:val="nil"/>
              <w:left w:val="single" w:sz="4" w:space="0" w:color="auto"/>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lastRenderedPageBreak/>
              <w:t> </w:t>
            </w:r>
          </w:p>
        </w:tc>
        <w:tc>
          <w:tcPr>
            <w:tcW w:w="350" w:type="pct"/>
            <w:tcBorders>
              <w:top w:val="nil"/>
              <w:left w:val="nil"/>
              <w:bottom w:val="single" w:sz="4" w:space="0" w:color="auto"/>
              <w:right w:val="single" w:sz="4" w:space="0" w:color="auto"/>
            </w:tcBorders>
            <w:shd w:val="clear" w:color="auto" w:fill="auto"/>
            <w:vAlign w:val="center"/>
            <w:hideMark/>
          </w:tcPr>
          <w:p w:rsidR="000A6A17" w:rsidRPr="00501A6E" w:rsidRDefault="000A6A17" w:rsidP="000A6A17">
            <w:pP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jc w:val="cente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jc w:val="center"/>
              <w:rPr>
                <w:color w:val="000000"/>
                <w:sz w:val="15"/>
                <w:szCs w:val="15"/>
              </w:rPr>
            </w:pPr>
            <w:r w:rsidRPr="00501A6E">
              <w:rPr>
                <w:color w:val="000000"/>
                <w:sz w:val="15"/>
                <w:szCs w:val="15"/>
              </w:rPr>
              <w:t> </w:t>
            </w:r>
          </w:p>
        </w:tc>
        <w:tc>
          <w:tcPr>
            <w:tcW w:w="300"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jc w:val="cente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601" w:type="pct"/>
            <w:tcBorders>
              <w:top w:val="nil"/>
              <w:left w:val="nil"/>
              <w:bottom w:val="single" w:sz="4" w:space="0" w:color="auto"/>
              <w:right w:val="single" w:sz="4" w:space="0" w:color="auto"/>
            </w:tcBorders>
            <w:shd w:val="clear" w:color="auto" w:fill="auto"/>
            <w:vAlign w:val="bottom"/>
            <w:hideMark/>
          </w:tcPr>
          <w:p w:rsidR="000A6A17" w:rsidRPr="00501A6E" w:rsidRDefault="000A6A17" w:rsidP="000A6A17">
            <w:pPr>
              <w:rPr>
                <w:color w:val="000000"/>
                <w:sz w:val="15"/>
                <w:szCs w:val="15"/>
              </w:rPr>
            </w:pPr>
            <w:r w:rsidRPr="00501A6E">
              <w:rPr>
                <w:color w:val="000000"/>
                <w:sz w:val="15"/>
                <w:szCs w:val="15"/>
              </w:rPr>
              <w:t>Kontejnerová technika spolufinancovaná z Integrovaného operačního programu - opakované vyhlášení</w:t>
            </w:r>
          </w:p>
        </w:tc>
        <w:tc>
          <w:tcPr>
            <w:tcW w:w="352" w:type="pct"/>
            <w:tcBorders>
              <w:top w:val="nil"/>
              <w:left w:val="nil"/>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 </w:t>
            </w:r>
          </w:p>
        </w:tc>
        <w:tc>
          <w:tcPr>
            <w:tcW w:w="402" w:type="pct"/>
            <w:tcBorders>
              <w:top w:val="nil"/>
              <w:left w:val="nil"/>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146 033 058</w:t>
            </w:r>
          </w:p>
        </w:tc>
        <w:tc>
          <w:tcPr>
            <w:tcW w:w="248" w:type="pct"/>
            <w:tcBorders>
              <w:top w:val="nil"/>
              <w:left w:val="nil"/>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 </w:t>
            </w:r>
          </w:p>
        </w:tc>
        <w:tc>
          <w:tcPr>
            <w:tcW w:w="301" w:type="pct"/>
            <w:tcBorders>
              <w:top w:val="nil"/>
              <w:left w:val="nil"/>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 </w:t>
            </w:r>
          </w:p>
        </w:tc>
        <w:tc>
          <w:tcPr>
            <w:tcW w:w="2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250"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365" w:type="pct"/>
            <w:tcBorders>
              <w:top w:val="nil"/>
              <w:left w:val="nil"/>
              <w:bottom w:val="single" w:sz="4" w:space="0" w:color="auto"/>
              <w:right w:val="single" w:sz="4" w:space="0" w:color="auto"/>
            </w:tcBorders>
            <w:shd w:val="clear" w:color="auto" w:fill="auto"/>
            <w:vAlign w:val="center"/>
            <w:hideMark/>
          </w:tcPr>
          <w:p w:rsidR="000A6A17" w:rsidRPr="00501A6E" w:rsidRDefault="000A6A17" w:rsidP="000A6A17">
            <w:pPr>
              <w:rPr>
                <w:color w:val="000000"/>
                <w:sz w:val="15"/>
                <w:szCs w:val="15"/>
              </w:rPr>
            </w:pPr>
            <w:r w:rsidRPr="00501A6E">
              <w:rPr>
                <w:color w:val="000000"/>
                <w:sz w:val="15"/>
                <w:szCs w:val="15"/>
              </w:rPr>
              <w:t> </w:t>
            </w:r>
          </w:p>
        </w:tc>
      </w:tr>
      <w:tr w:rsidR="000D3924" w:rsidRPr="00501A6E" w:rsidTr="000D3924">
        <w:trPr>
          <w:trHeight w:val="915"/>
        </w:trPr>
        <w:tc>
          <w:tcPr>
            <w:tcW w:w="175" w:type="pct"/>
            <w:tcBorders>
              <w:top w:val="nil"/>
              <w:left w:val="single" w:sz="4" w:space="0" w:color="auto"/>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 </w:t>
            </w:r>
          </w:p>
        </w:tc>
        <w:tc>
          <w:tcPr>
            <w:tcW w:w="350" w:type="pct"/>
            <w:tcBorders>
              <w:top w:val="nil"/>
              <w:left w:val="nil"/>
              <w:bottom w:val="single" w:sz="4" w:space="0" w:color="auto"/>
              <w:right w:val="single" w:sz="4" w:space="0" w:color="auto"/>
            </w:tcBorders>
            <w:shd w:val="clear" w:color="auto" w:fill="auto"/>
            <w:vAlign w:val="center"/>
            <w:hideMark/>
          </w:tcPr>
          <w:p w:rsidR="000A6A17" w:rsidRPr="00501A6E" w:rsidRDefault="000A6A17" w:rsidP="000A6A17">
            <w:pP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jc w:val="cente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jc w:val="center"/>
              <w:rPr>
                <w:color w:val="000000"/>
                <w:sz w:val="15"/>
                <w:szCs w:val="15"/>
              </w:rPr>
            </w:pPr>
            <w:r w:rsidRPr="00501A6E">
              <w:rPr>
                <w:color w:val="000000"/>
                <w:sz w:val="15"/>
                <w:szCs w:val="15"/>
              </w:rPr>
              <w:t> </w:t>
            </w:r>
          </w:p>
        </w:tc>
        <w:tc>
          <w:tcPr>
            <w:tcW w:w="300"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jc w:val="cente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601" w:type="pct"/>
            <w:tcBorders>
              <w:top w:val="nil"/>
              <w:left w:val="nil"/>
              <w:bottom w:val="single" w:sz="4" w:space="0" w:color="auto"/>
              <w:right w:val="single" w:sz="4" w:space="0" w:color="auto"/>
            </w:tcBorders>
            <w:shd w:val="clear" w:color="auto" w:fill="auto"/>
            <w:vAlign w:val="bottom"/>
            <w:hideMark/>
          </w:tcPr>
          <w:p w:rsidR="000A6A17" w:rsidRPr="00501A6E" w:rsidRDefault="000A6A17" w:rsidP="000A6A17">
            <w:pPr>
              <w:rPr>
                <w:color w:val="000000"/>
                <w:sz w:val="15"/>
                <w:szCs w:val="15"/>
              </w:rPr>
            </w:pPr>
            <w:r w:rsidRPr="00501A6E">
              <w:rPr>
                <w:color w:val="000000"/>
                <w:sz w:val="15"/>
                <w:szCs w:val="15"/>
              </w:rPr>
              <w:t>Kontejnery spolufinancované z Integrovaného operačn</w:t>
            </w:r>
            <w:r w:rsidR="00865393" w:rsidRPr="00501A6E">
              <w:rPr>
                <w:color w:val="000000"/>
                <w:sz w:val="15"/>
                <w:szCs w:val="15"/>
              </w:rPr>
              <w:t>í</w:t>
            </w:r>
            <w:r w:rsidRPr="00501A6E">
              <w:rPr>
                <w:color w:val="000000"/>
                <w:sz w:val="15"/>
                <w:szCs w:val="15"/>
              </w:rPr>
              <w:t>ho programu - 2. část - opakované vyhlášení</w:t>
            </w:r>
          </w:p>
        </w:tc>
        <w:tc>
          <w:tcPr>
            <w:tcW w:w="352" w:type="pct"/>
            <w:tcBorders>
              <w:top w:val="nil"/>
              <w:left w:val="nil"/>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 </w:t>
            </w:r>
          </w:p>
        </w:tc>
        <w:tc>
          <w:tcPr>
            <w:tcW w:w="402" w:type="pct"/>
            <w:tcBorders>
              <w:top w:val="nil"/>
              <w:left w:val="nil"/>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10 330 578</w:t>
            </w:r>
          </w:p>
        </w:tc>
        <w:tc>
          <w:tcPr>
            <w:tcW w:w="248" w:type="pct"/>
            <w:tcBorders>
              <w:top w:val="nil"/>
              <w:left w:val="nil"/>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 </w:t>
            </w:r>
          </w:p>
        </w:tc>
        <w:tc>
          <w:tcPr>
            <w:tcW w:w="301" w:type="pct"/>
            <w:tcBorders>
              <w:top w:val="nil"/>
              <w:left w:val="nil"/>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 </w:t>
            </w:r>
          </w:p>
        </w:tc>
        <w:tc>
          <w:tcPr>
            <w:tcW w:w="2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250"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365" w:type="pct"/>
            <w:tcBorders>
              <w:top w:val="nil"/>
              <w:left w:val="nil"/>
              <w:bottom w:val="single" w:sz="4" w:space="0" w:color="auto"/>
              <w:right w:val="single" w:sz="4" w:space="0" w:color="auto"/>
            </w:tcBorders>
            <w:shd w:val="clear" w:color="auto" w:fill="auto"/>
            <w:vAlign w:val="center"/>
            <w:hideMark/>
          </w:tcPr>
          <w:p w:rsidR="000A6A17" w:rsidRPr="00501A6E" w:rsidRDefault="000A6A17" w:rsidP="000A6A17">
            <w:pPr>
              <w:rPr>
                <w:color w:val="000000"/>
                <w:sz w:val="15"/>
                <w:szCs w:val="15"/>
              </w:rPr>
            </w:pPr>
            <w:r w:rsidRPr="00501A6E">
              <w:rPr>
                <w:color w:val="000000"/>
                <w:sz w:val="15"/>
                <w:szCs w:val="15"/>
              </w:rPr>
              <w:t> </w:t>
            </w:r>
          </w:p>
        </w:tc>
      </w:tr>
      <w:tr w:rsidR="000D3924" w:rsidRPr="00501A6E" w:rsidTr="000D3924">
        <w:trPr>
          <w:trHeight w:val="1140"/>
        </w:trPr>
        <w:tc>
          <w:tcPr>
            <w:tcW w:w="175" w:type="pct"/>
            <w:tcBorders>
              <w:top w:val="nil"/>
              <w:left w:val="single" w:sz="4" w:space="0" w:color="auto"/>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 </w:t>
            </w:r>
          </w:p>
        </w:tc>
        <w:tc>
          <w:tcPr>
            <w:tcW w:w="350" w:type="pct"/>
            <w:tcBorders>
              <w:top w:val="nil"/>
              <w:left w:val="nil"/>
              <w:bottom w:val="single" w:sz="4" w:space="0" w:color="auto"/>
              <w:right w:val="single" w:sz="4" w:space="0" w:color="auto"/>
            </w:tcBorders>
            <w:shd w:val="clear" w:color="auto" w:fill="auto"/>
            <w:vAlign w:val="center"/>
            <w:hideMark/>
          </w:tcPr>
          <w:p w:rsidR="000A6A17" w:rsidRPr="00501A6E" w:rsidRDefault="000A6A17" w:rsidP="000A6A17">
            <w:pP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jc w:val="cente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jc w:val="center"/>
              <w:rPr>
                <w:color w:val="000000"/>
                <w:sz w:val="15"/>
                <w:szCs w:val="15"/>
              </w:rPr>
            </w:pPr>
            <w:r w:rsidRPr="00501A6E">
              <w:rPr>
                <w:color w:val="000000"/>
                <w:sz w:val="15"/>
                <w:szCs w:val="15"/>
              </w:rPr>
              <w:t> </w:t>
            </w:r>
          </w:p>
        </w:tc>
        <w:tc>
          <w:tcPr>
            <w:tcW w:w="300"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jc w:val="cente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601" w:type="pct"/>
            <w:tcBorders>
              <w:top w:val="nil"/>
              <w:left w:val="nil"/>
              <w:bottom w:val="single" w:sz="4" w:space="0" w:color="auto"/>
              <w:right w:val="single" w:sz="4" w:space="0" w:color="auto"/>
            </w:tcBorders>
            <w:shd w:val="clear" w:color="auto" w:fill="auto"/>
            <w:vAlign w:val="bottom"/>
            <w:hideMark/>
          </w:tcPr>
          <w:p w:rsidR="000A6A17" w:rsidRPr="00501A6E" w:rsidRDefault="000A6A17" w:rsidP="000A6A17">
            <w:pPr>
              <w:rPr>
                <w:color w:val="000000"/>
                <w:sz w:val="15"/>
                <w:szCs w:val="15"/>
              </w:rPr>
            </w:pPr>
            <w:r w:rsidRPr="00501A6E">
              <w:rPr>
                <w:color w:val="000000"/>
                <w:sz w:val="15"/>
                <w:szCs w:val="15"/>
              </w:rPr>
              <w:t>Zařízení pro dálkovou dopravu vody spolufinancované z Integrovaného operačního programu - opakované vyhlášení II</w:t>
            </w:r>
          </w:p>
        </w:tc>
        <w:tc>
          <w:tcPr>
            <w:tcW w:w="352" w:type="pct"/>
            <w:tcBorders>
              <w:top w:val="nil"/>
              <w:left w:val="nil"/>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proofErr w:type="gramStart"/>
            <w:r w:rsidRPr="00501A6E">
              <w:rPr>
                <w:color w:val="000000"/>
                <w:sz w:val="15"/>
                <w:szCs w:val="15"/>
              </w:rPr>
              <w:t>12.5.2015</w:t>
            </w:r>
            <w:proofErr w:type="gramEnd"/>
          </w:p>
        </w:tc>
        <w:tc>
          <w:tcPr>
            <w:tcW w:w="402" w:type="pct"/>
            <w:tcBorders>
              <w:top w:val="nil"/>
              <w:left w:val="nil"/>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52 966 942</w:t>
            </w:r>
          </w:p>
        </w:tc>
        <w:tc>
          <w:tcPr>
            <w:tcW w:w="248" w:type="pct"/>
            <w:tcBorders>
              <w:top w:val="nil"/>
              <w:left w:val="nil"/>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27,435</w:t>
            </w:r>
          </w:p>
        </w:tc>
        <w:tc>
          <w:tcPr>
            <w:tcW w:w="301" w:type="pct"/>
            <w:tcBorders>
              <w:top w:val="nil"/>
              <w:left w:val="nil"/>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1 930 634</w:t>
            </w:r>
          </w:p>
        </w:tc>
        <w:tc>
          <w:tcPr>
            <w:tcW w:w="2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250"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365" w:type="pct"/>
            <w:tcBorders>
              <w:top w:val="nil"/>
              <w:left w:val="nil"/>
              <w:bottom w:val="single" w:sz="4" w:space="0" w:color="auto"/>
              <w:right w:val="single" w:sz="4" w:space="0" w:color="auto"/>
            </w:tcBorders>
            <w:shd w:val="clear" w:color="auto" w:fill="auto"/>
            <w:vAlign w:val="center"/>
            <w:hideMark/>
          </w:tcPr>
          <w:p w:rsidR="000A6A17" w:rsidRPr="00501A6E" w:rsidRDefault="000A6A17" w:rsidP="000A6A17">
            <w:pPr>
              <w:rPr>
                <w:color w:val="000000"/>
                <w:sz w:val="15"/>
                <w:szCs w:val="15"/>
              </w:rPr>
            </w:pPr>
            <w:r w:rsidRPr="00501A6E">
              <w:rPr>
                <w:color w:val="000000"/>
                <w:sz w:val="15"/>
                <w:szCs w:val="15"/>
              </w:rPr>
              <w:t> </w:t>
            </w:r>
          </w:p>
        </w:tc>
      </w:tr>
      <w:tr w:rsidR="000D3924" w:rsidRPr="00501A6E" w:rsidTr="000D3924">
        <w:trPr>
          <w:trHeight w:val="1140"/>
        </w:trPr>
        <w:tc>
          <w:tcPr>
            <w:tcW w:w="175" w:type="pct"/>
            <w:tcBorders>
              <w:top w:val="nil"/>
              <w:left w:val="single" w:sz="4" w:space="0" w:color="auto"/>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 </w:t>
            </w:r>
          </w:p>
        </w:tc>
        <w:tc>
          <w:tcPr>
            <w:tcW w:w="350" w:type="pct"/>
            <w:tcBorders>
              <w:top w:val="nil"/>
              <w:left w:val="nil"/>
              <w:bottom w:val="single" w:sz="4" w:space="0" w:color="auto"/>
              <w:right w:val="single" w:sz="4" w:space="0" w:color="auto"/>
            </w:tcBorders>
            <w:shd w:val="clear" w:color="auto" w:fill="auto"/>
            <w:vAlign w:val="center"/>
            <w:hideMark/>
          </w:tcPr>
          <w:p w:rsidR="000A6A17" w:rsidRPr="00501A6E" w:rsidRDefault="000A6A17" w:rsidP="000A6A17">
            <w:pP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jc w:val="cente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jc w:val="center"/>
              <w:rPr>
                <w:color w:val="000000"/>
                <w:sz w:val="15"/>
                <w:szCs w:val="15"/>
              </w:rPr>
            </w:pPr>
            <w:r w:rsidRPr="00501A6E">
              <w:rPr>
                <w:color w:val="000000"/>
                <w:sz w:val="15"/>
                <w:szCs w:val="15"/>
              </w:rPr>
              <w:t> </w:t>
            </w:r>
          </w:p>
        </w:tc>
        <w:tc>
          <w:tcPr>
            <w:tcW w:w="300"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jc w:val="cente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601" w:type="pct"/>
            <w:tcBorders>
              <w:top w:val="nil"/>
              <w:left w:val="nil"/>
              <w:bottom w:val="single" w:sz="4" w:space="0" w:color="auto"/>
              <w:right w:val="single" w:sz="4" w:space="0" w:color="auto"/>
            </w:tcBorders>
            <w:shd w:val="clear" w:color="auto" w:fill="auto"/>
            <w:vAlign w:val="bottom"/>
            <w:hideMark/>
          </w:tcPr>
          <w:p w:rsidR="000A6A17" w:rsidRPr="00501A6E" w:rsidRDefault="000A6A17" w:rsidP="000A6A17">
            <w:pPr>
              <w:rPr>
                <w:color w:val="000000"/>
                <w:sz w:val="15"/>
                <w:szCs w:val="15"/>
              </w:rPr>
            </w:pPr>
            <w:r w:rsidRPr="00501A6E">
              <w:rPr>
                <w:color w:val="000000"/>
                <w:sz w:val="15"/>
                <w:szCs w:val="15"/>
              </w:rPr>
              <w:t>Skladové zařízení spolufinancované z Integrovaného operačního programu - 1. část - opakované vyhlášení</w:t>
            </w:r>
          </w:p>
        </w:tc>
        <w:tc>
          <w:tcPr>
            <w:tcW w:w="352" w:type="pct"/>
            <w:tcBorders>
              <w:top w:val="nil"/>
              <w:left w:val="nil"/>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 </w:t>
            </w:r>
          </w:p>
        </w:tc>
        <w:tc>
          <w:tcPr>
            <w:tcW w:w="402" w:type="pct"/>
            <w:tcBorders>
              <w:top w:val="nil"/>
              <w:left w:val="nil"/>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1 138 016</w:t>
            </w:r>
          </w:p>
        </w:tc>
        <w:tc>
          <w:tcPr>
            <w:tcW w:w="248" w:type="pct"/>
            <w:tcBorders>
              <w:top w:val="nil"/>
              <w:left w:val="nil"/>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 </w:t>
            </w:r>
          </w:p>
        </w:tc>
        <w:tc>
          <w:tcPr>
            <w:tcW w:w="301" w:type="pct"/>
            <w:tcBorders>
              <w:top w:val="nil"/>
              <w:left w:val="nil"/>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 </w:t>
            </w:r>
          </w:p>
        </w:tc>
        <w:tc>
          <w:tcPr>
            <w:tcW w:w="2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250"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365" w:type="pct"/>
            <w:tcBorders>
              <w:top w:val="nil"/>
              <w:left w:val="nil"/>
              <w:bottom w:val="single" w:sz="4" w:space="0" w:color="auto"/>
              <w:right w:val="single" w:sz="4" w:space="0" w:color="auto"/>
            </w:tcBorders>
            <w:shd w:val="clear" w:color="auto" w:fill="auto"/>
            <w:vAlign w:val="center"/>
            <w:hideMark/>
          </w:tcPr>
          <w:p w:rsidR="000A6A17" w:rsidRPr="00501A6E" w:rsidRDefault="000A6A17" w:rsidP="000A6A17">
            <w:pPr>
              <w:rPr>
                <w:color w:val="000000"/>
                <w:sz w:val="15"/>
                <w:szCs w:val="15"/>
              </w:rPr>
            </w:pPr>
            <w:r w:rsidRPr="00501A6E">
              <w:rPr>
                <w:color w:val="000000"/>
                <w:sz w:val="15"/>
                <w:szCs w:val="15"/>
              </w:rPr>
              <w:t> </w:t>
            </w:r>
          </w:p>
        </w:tc>
      </w:tr>
      <w:tr w:rsidR="000D3924" w:rsidRPr="00501A6E" w:rsidTr="000D3924">
        <w:trPr>
          <w:trHeight w:val="900"/>
        </w:trPr>
        <w:tc>
          <w:tcPr>
            <w:tcW w:w="175" w:type="pct"/>
            <w:tcBorders>
              <w:top w:val="nil"/>
              <w:left w:val="single" w:sz="4" w:space="0" w:color="auto"/>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IOP</w:t>
            </w:r>
          </w:p>
        </w:tc>
        <w:tc>
          <w:tcPr>
            <w:tcW w:w="350" w:type="pct"/>
            <w:tcBorders>
              <w:top w:val="nil"/>
              <w:left w:val="nil"/>
              <w:bottom w:val="single" w:sz="4" w:space="0" w:color="auto"/>
              <w:right w:val="single" w:sz="4" w:space="0" w:color="auto"/>
            </w:tcBorders>
            <w:shd w:val="clear" w:color="auto" w:fill="auto"/>
            <w:vAlign w:val="center"/>
            <w:hideMark/>
          </w:tcPr>
          <w:p w:rsidR="000A6A17" w:rsidRPr="00501A6E" w:rsidRDefault="000A6A17" w:rsidP="000A6A17">
            <w:pPr>
              <w:rPr>
                <w:color w:val="000000"/>
                <w:sz w:val="15"/>
                <w:szCs w:val="15"/>
              </w:rPr>
            </w:pPr>
            <w:r w:rsidRPr="00501A6E">
              <w:rPr>
                <w:color w:val="000000"/>
                <w:sz w:val="15"/>
                <w:szCs w:val="15"/>
              </w:rPr>
              <w:t>Zvýšení akceschopnosti Policie ČR k záchraně lidských životů a ochraně majetku při povodních</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jc w:val="center"/>
              <w:rPr>
                <w:color w:val="000000"/>
                <w:sz w:val="15"/>
                <w:szCs w:val="15"/>
              </w:rPr>
            </w:pPr>
            <w:r w:rsidRPr="00501A6E">
              <w:rPr>
                <w:color w:val="000000"/>
                <w:sz w:val="15"/>
                <w:szCs w:val="15"/>
              </w:rPr>
              <w:t> </w:t>
            </w:r>
          </w:p>
        </w:tc>
        <w:tc>
          <w:tcPr>
            <w:tcW w:w="300"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3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jc w:val="right"/>
              <w:rPr>
                <w:color w:val="000000"/>
                <w:sz w:val="15"/>
                <w:szCs w:val="15"/>
              </w:rPr>
            </w:pPr>
            <w:r w:rsidRPr="00501A6E">
              <w:rPr>
                <w:color w:val="000000"/>
                <w:sz w:val="15"/>
                <w:szCs w:val="15"/>
              </w:rPr>
              <w:t>47 879 967</w:t>
            </w:r>
          </w:p>
        </w:tc>
        <w:tc>
          <w:tcPr>
            <w:tcW w:w="60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352" w:type="pct"/>
            <w:tcBorders>
              <w:top w:val="nil"/>
              <w:left w:val="nil"/>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 </w:t>
            </w:r>
          </w:p>
        </w:tc>
        <w:tc>
          <w:tcPr>
            <w:tcW w:w="402" w:type="pct"/>
            <w:tcBorders>
              <w:top w:val="nil"/>
              <w:left w:val="nil"/>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 </w:t>
            </w:r>
          </w:p>
        </w:tc>
        <w:tc>
          <w:tcPr>
            <w:tcW w:w="248" w:type="pct"/>
            <w:tcBorders>
              <w:top w:val="nil"/>
              <w:left w:val="nil"/>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 </w:t>
            </w:r>
          </w:p>
        </w:tc>
        <w:tc>
          <w:tcPr>
            <w:tcW w:w="301" w:type="pct"/>
            <w:tcBorders>
              <w:top w:val="nil"/>
              <w:left w:val="nil"/>
              <w:bottom w:val="single" w:sz="4" w:space="0" w:color="auto"/>
              <w:right w:val="single" w:sz="4" w:space="0" w:color="auto"/>
            </w:tcBorders>
            <w:shd w:val="clear" w:color="auto" w:fill="auto"/>
            <w:noWrap/>
            <w:vAlign w:val="center"/>
            <w:hideMark/>
          </w:tcPr>
          <w:p w:rsidR="000A6A17" w:rsidRPr="00501A6E" w:rsidRDefault="000A6A17" w:rsidP="000A6A17">
            <w:pPr>
              <w:jc w:val="center"/>
              <w:rPr>
                <w:color w:val="000000"/>
                <w:sz w:val="15"/>
                <w:szCs w:val="15"/>
              </w:rPr>
            </w:pPr>
            <w:r w:rsidRPr="00501A6E">
              <w:rPr>
                <w:color w:val="000000"/>
                <w:sz w:val="15"/>
                <w:szCs w:val="15"/>
              </w:rPr>
              <w:t> </w:t>
            </w:r>
          </w:p>
        </w:tc>
        <w:tc>
          <w:tcPr>
            <w:tcW w:w="251"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250" w:type="pct"/>
            <w:tcBorders>
              <w:top w:val="nil"/>
              <w:left w:val="nil"/>
              <w:bottom w:val="single" w:sz="4" w:space="0" w:color="auto"/>
              <w:right w:val="single" w:sz="4" w:space="0" w:color="auto"/>
            </w:tcBorders>
            <w:shd w:val="clear" w:color="auto" w:fill="auto"/>
            <w:noWrap/>
            <w:vAlign w:val="bottom"/>
            <w:hideMark/>
          </w:tcPr>
          <w:p w:rsidR="000A6A17" w:rsidRPr="00501A6E" w:rsidRDefault="000A6A17" w:rsidP="000A6A17">
            <w:pPr>
              <w:rPr>
                <w:color w:val="000000"/>
                <w:sz w:val="15"/>
                <w:szCs w:val="15"/>
              </w:rPr>
            </w:pPr>
            <w:r w:rsidRPr="00501A6E">
              <w:rPr>
                <w:color w:val="000000"/>
                <w:sz w:val="15"/>
                <w:szCs w:val="15"/>
              </w:rPr>
              <w:t> </w:t>
            </w:r>
          </w:p>
        </w:tc>
        <w:tc>
          <w:tcPr>
            <w:tcW w:w="365" w:type="pct"/>
            <w:tcBorders>
              <w:top w:val="nil"/>
              <w:left w:val="nil"/>
              <w:bottom w:val="single" w:sz="4" w:space="0" w:color="auto"/>
              <w:right w:val="single" w:sz="4" w:space="0" w:color="auto"/>
            </w:tcBorders>
            <w:shd w:val="clear" w:color="auto" w:fill="auto"/>
            <w:vAlign w:val="center"/>
            <w:hideMark/>
          </w:tcPr>
          <w:p w:rsidR="000A6A17" w:rsidRPr="00501A6E" w:rsidRDefault="000A6A17" w:rsidP="000A6A17">
            <w:pPr>
              <w:rPr>
                <w:color w:val="000000"/>
                <w:sz w:val="15"/>
                <w:szCs w:val="15"/>
              </w:rPr>
            </w:pPr>
            <w:r w:rsidRPr="00501A6E">
              <w:rPr>
                <w:color w:val="000000"/>
                <w:sz w:val="15"/>
                <w:szCs w:val="15"/>
              </w:rPr>
              <w:t xml:space="preserve">Tento projekt nebyl realizován </w:t>
            </w:r>
          </w:p>
        </w:tc>
      </w:tr>
    </w:tbl>
    <w:p w:rsidR="0009702B" w:rsidRPr="0009702B" w:rsidRDefault="0009702B" w:rsidP="0009702B"/>
    <w:p w:rsidR="0009702B" w:rsidRDefault="0009702B" w:rsidP="00AE13FD"/>
    <w:sectPr w:rsidR="0009702B" w:rsidSect="006C1BAC">
      <w:pgSz w:w="16840" w:h="11907" w:orient="landscape" w:code="9"/>
      <w:pgMar w:top="1418" w:right="1418" w:bottom="1418" w:left="1418"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F157556" w15:done="0"/>
  <w15:commentEx w15:paraId="55434D37" w15:done="0"/>
  <w15:commentEx w15:paraId="11F6232E" w15:done="0"/>
  <w15:commentEx w15:paraId="2AB05A47" w15:done="0"/>
  <w15:commentEx w15:paraId="4A8422F8" w15:done="0"/>
  <w15:commentEx w15:paraId="4A3E6161" w15:done="0"/>
  <w15:commentEx w15:paraId="03272AAC" w15:done="0"/>
  <w15:commentEx w15:paraId="772CFDC1" w15:done="0"/>
  <w15:commentEx w15:paraId="4E1B1C5C" w15:done="0"/>
  <w15:commentEx w15:paraId="562AA58C" w15:done="0"/>
  <w15:commentEx w15:paraId="3D1DC77F" w15:done="0"/>
  <w15:commentEx w15:paraId="3A7B3299" w15:done="0"/>
  <w15:commentEx w15:paraId="2350DACB" w15:done="0"/>
  <w15:commentEx w15:paraId="6FE674F6" w15:done="0"/>
  <w15:commentEx w15:paraId="7721EBB0" w15:done="0"/>
  <w15:commentEx w15:paraId="6B5BB58C" w15:done="0"/>
  <w15:commentEx w15:paraId="3850AA61" w15:done="0"/>
  <w15:commentEx w15:paraId="09A52215" w15:done="0"/>
  <w15:commentEx w15:paraId="1F19471D" w15:done="0"/>
  <w15:commentEx w15:paraId="27C9E1F4" w15:done="0"/>
  <w15:commentEx w15:paraId="06EE0CE2" w15:done="0"/>
  <w15:commentEx w15:paraId="7570F943" w15:done="0"/>
  <w15:commentEx w15:paraId="0A178444" w15:done="0"/>
  <w15:commentEx w15:paraId="4339E12C" w15:done="0"/>
  <w15:commentEx w15:paraId="1E801EDE" w15:done="0"/>
  <w15:commentEx w15:paraId="342CE1DF" w15:done="0"/>
  <w15:commentEx w15:paraId="38E1FCD5" w15:done="0"/>
  <w15:commentEx w15:paraId="50AD4288" w15:done="0"/>
  <w15:commentEx w15:paraId="21DE3C5E" w15:done="0"/>
  <w15:commentEx w15:paraId="65BE9745" w15:done="0"/>
  <w15:commentEx w15:paraId="5BBE29F3" w15:done="0"/>
  <w15:commentEx w15:paraId="533A0C2F" w15:done="0"/>
  <w15:commentEx w15:paraId="74F25870" w15:done="0"/>
  <w15:commentEx w15:paraId="1037BA13" w15:done="0"/>
  <w15:commentEx w15:paraId="44EA2845" w15:done="0"/>
  <w15:commentEx w15:paraId="6617AFD6" w15:done="0"/>
  <w15:commentEx w15:paraId="35C19D9A" w15:done="0"/>
  <w15:commentEx w15:paraId="5FC7F642" w15:done="0"/>
  <w15:commentEx w15:paraId="153F2F99" w15:done="0"/>
  <w15:commentEx w15:paraId="3411D075" w15:done="0"/>
  <w15:commentEx w15:paraId="2A76E41C" w15:done="0"/>
  <w15:commentEx w15:paraId="2E19C437" w15:done="0"/>
  <w15:commentEx w15:paraId="2D8934BE" w15:done="0"/>
  <w15:commentEx w15:paraId="03B930CC" w15:done="0"/>
  <w15:commentEx w15:paraId="7291B86E" w15:done="0"/>
  <w15:commentEx w15:paraId="5B5D4840" w15:done="0"/>
  <w15:commentEx w15:paraId="24A9957F" w15:done="0"/>
  <w15:commentEx w15:paraId="18D8DF3D" w15:done="0"/>
  <w15:commentEx w15:paraId="52F8E02E" w15:done="0"/>
  <w15:commentEx w15:paraId="30BD2751" w15:done="0"/>
  <w15:commentEx w15:paraId="639A29C3" w15:done="0"/>
  <w15:commentEx w15:paraId="2C4107CA" w15:done="0"/>
  <w15:commentEx w15:paraId="55D4A414" w15:done="0"/>
  <w15:commentEx w15:paraId="59A768FB" w15:done="0"/>
  <w15:commentEx w15:paraId="12DA6617" w15:done="0"/>
  <w15:commentEx w15:paraId="5F8B39F9" w15:done="0"/>
  <w15:commentEx w15:paraId="7B3BF971" w15:done="0"/>
  <w15:commentEx w15:paraId="46DD6B25" w15:done="0"/>
  <w15:commentEx w15:paraId="37645777" w15:done="0"/>
  <w15:commentEx w15:paraId="1F7C2EB9" w15:done="0"/>
  <w15:commentEx w15:paraId="7A193569" w15:done="0"/>
  <w15:commentEx w15:paraId="342304EA" w15:done="0"/>
  <w15:commentEx w15:paraId="3E8063F1" w15:done="0"/>
  <w15:commentEx w15:paraId="5E86F3B5" w15:done="0"/>
  <w15:commentEx w15:paraId="7A405AD1" w15:done="0"/>
  <w15:commentEx w15:paraId="11E8EBA1" w15:done="0"/>
  <w15:commentEx w15:paraId="2FA441F3" w15:done="0"/>
  <w15:commentEx w15:paraId="4B82E589" w15:done="0"/>
  <w15:commentEx w15:paraId="77ACA5F0" w15:done="0"/>
  <w15:commentEx w15:paraId="45EB8D26" w15:done="0"/>
  <w15:commentEx w15:paraId="7892CCF5" w15:done="0"/>
  <w15:commentEx w15:paraId="32CDD142" w15:done="0"/>
  <w15:commentEx w15:paraId="1CE1AD5E" w15:done="0"/>
  <w15:commentEx w15:paraId="18C4A134" w15:done="0"/>
  <w15:commentEx w15:paraId="4A690841" w15:done="0"/>
  <w15:commentEx w15:paraId="3A6E8094" w15:done="0"/>
  <w15:commentEx w15:paraId="3C4774E0" w15:done="0"/>
  <w15:commentEx w15:paraId="1C5B775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6E4E" w:rsidRDefault="00CB6E4E">
      <w:r>
        <w:separator/>
      </w:r>
    </w:p>
  </w:endnote>
  <w:endnote w:type="continuationSeparator" w:id="0">
    <w:p w:rsidR="00CB6E4E" w:rsidRDefault="00CB6E4E">
      <w:r>
        <w:continuationSeparator/>
      </w:r>
    </w:p>
  </w:endnote>
  <w:endnote w:type="continuationNotice" w:id="1">
    <w:p w:rsidR="00CB6E4E" w:rsidRDefault="00CB6E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EE"/>
    <w:family w:val="modern"/>
    <w:pitch w:val="fixed"/>
    <w:sig w:usb0="E10002FF" w:usb1="4000FCFF" w:usb2="00000009" w:usb3="00000000" w:csb0="0000019F" w:csb1="00000000"/>
  </w:font>
  <w:font w:name="Georgia">
    <w:panose1 w:val="02040502050405020303"/>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Corbel">
    <w:panose1 w:val="020B0503020204020204"/>
    <w:charset w:val="EE"/>
    <w:family w:val="swiss"/>
    <w:pitch w:val="variable"/>
    <w:sig w:usb0="A00002EF" w:usb1="4000A44B" w:usb2="00000000" w:usb3="00000000" w:csb0="0000019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Helvetica">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E4E" w:rsidRDefault="00CB6E4E">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CB6E4E" w:rsidRDefault="00CB6E4E">
    <w:pPr>
      <w:pStyle w:val="Zp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E4E" w:rsidRPr="00604E60" w:rsidRDefault="00CB6E4E">
    <w:pPr>
      <w:pStyle w:val="Zpat"/>
      <w:framePr w:wrap="around" w:vAnchor="text" w:hAnchor="page" w:x="9262" w:y="-44"/>
      <w:jc w:val="right"/>
      <w:rPr>
        <w:rStyle w:val="slostrnky"/>
        <w:rFonts w:ascii="Calibri" w:hAnsi="Calibri"/>
        <w:b/>
        <w:color w:val="0070C0"/>
        <w:sz w:val="18"/>
        <w:szCs w:val="18"/>
      </w:rPr>
    </w:pPr>
    <w:proofErr w:type="gramStart"/>
    <w:r w:rsidRPr="00604E60">
      <w:rPr>
        <w:rStyle w:val="slostrnky"/>
        <w:rFonts w:ascii="Calibri" w:hAnsi="Calibri"/>
        <w:b/>
        <w:color w:val="0070C0"/>
        <w:sz w:val="18"/>
        <w:szCs w:val="18"/>
      </w:rPr>
      <w:t xml:space="preserve">strana </w:t>
    </w:r>
    <w:r w:rsidRPr="00604E60">
      <w:rPr>
        <w:rStyle w:val="slostrnky"/>
        <w:rFonts w:ascii="Calibri" w:hAnsi="Calibri"/>
        <w:b/>
        <w:color w:val="0070C0"/>
        <w:sz w:val="18"/>
        <w:szCs w:val="18"/>
      </w:rPr>
      <w:fldChar w:fldCharType="begin"/>
    </w:r>
    <w:r w:rsidRPr="00604E60">
      <w:rPr>
        <w:rStyle w:val="slostrnky"/>
        <w:rFonts w:ascii="Calibri" w:hAnsi="Calibri"/>
        <w:b/>
        <w:color w:val="0070C0"/>
        <w:sz w:val="18"/>
        <w:szCs w:val="18"/>
      </w:rPr>
      <w:instrText xml:space="preserve">PAGE  </w:instrText>
    </w:r>
    <w:r w:rsidRPr="00604E60">
      <w:rPr>
        <w:rStyle w:val="slostrnky"/>
        <w:rFonts w:ascii="Calibri" w:hAnsi="Calibri"/>
        <w:b/>
        <w:color w:val="0070C0"/>
        <w:sz w:val="18"/>
        <w:szCs w:val="18"/>
      </w:rPr>
      <w:fldChar w:fldCharType="separate"/>
    </w:r>
    <w:r>
      <w:rPr>
        <w:rStyle w:val="slostrnky"/>
        <w:rFonts w:ascii="Calibri" w:hAnsi="Calibri"/>
        <w:b/>
        <w:noProof/>
        <w:color w:val="0070C0"/>
        <w:sz w:val="18"/>
        <w:szCs w:val="18"/>
      </w:rPr>
      <w:t>2</w:t>
    </w:r>
    <w:r w:rsidRPr="00604E60">
      <w:rPr>
        <w:rStyle w:val="slostrnky"/>
        <w:rFonts w:ascii="Calibri" w:hAnsi="Calibri"/>
        <w:b/>
        <w:color w:val="0070C0"/>
        <w:sz w:val="18"/>
        <w:szCs w:val="18"/>
      </w:rPr>
      <w:fldChar w:fldCharType="end"/>
    </w:r>
    <w:r w:rsidRPr="00604E60">
      <w:rPr>
        <w:rStyle w:val="slostrnky"/>
        <w:rFonts w:ascii="Calibri" w:hAnsi="Calibri"/>
        <w:b/>
        <w:color w:val="0070C0"/>
        <w:sz w:val="18"/>
        <w:szCs w:val="18"/>
      </w:rPr>
      <w:t xml:space="preserve"> z </w:t>
    </w:r>
    <w:r w:rsidRPr="00604E60">
      <w:rPr>
        <w:rStyle w:val="slostrnky"/>
        <w:rFonts w:ascii="Calibri" w:hAnsi="Calibri"/>
        <w:b/>
        <w:color w:val="0070C0"/>
        <w:sz w:val="18"/>
        <w:szCs w:val="18"/>
      </w:rPr>
      <w:fldChar w:fldCharType="begin"/>
    </w:r>
    <w:r w:rsidRPr="00604E60">
      <w:rPr>
        <w:rStyle w:val="slostrnky"/>
        <w:rFonts w:ascii="Calibri" w:hAnsi="Calibri"/>
        <w:b/>
        <w:color w:val="0070C0"/>
        <w:sz w:val="18"/>
        <w:szCs w:val="18"/>
      </w:rPr>
      <w:instrText xml:space="preserve"> NUMPAGES </w:instrText>
    </w:r>
    <w:r w:rsidRPr="00604E60">
      <w:rPr>
        <w:rStyle w:val="slostrnky"/>
        <w:rFonts w:ascii="Calibri" w:hAnsi="Calibri"/>
        <w:b/>
        <w:color w:val="0070C0"/>
        <w:sz w:val="18"/>
        <w:szCs w:val="18"/>
      </w:rPr>
      <w:fldChar w:fldCharType="separate"/>
    </w:r>
    <w:r>
      <w:rPr>
        <w:rStyle w:val="slostrnky"/>
        <w:rFonts w:ascii="Calibri" w:hAnsi="Calibri"/>
        <w:b/>
        <w:noProof/>
        <w:color w:val="0070C0"/>
        <w:sz w:val="18"/>
        <w:szCs w:val="18"/>
      </w:rPr>
      <w:t>154</w:t>
    </w:r>
    <w:proofErr w:type="gramEnd"/>
    <w:r w:rsidRPr="00604E60">
      <w:rPr>
        <w:rStyle w:val="slostrnky"/>
        <w:rFonts w:ascii="Calibri" w:hAnsi="Calibri"/>
        <w:b/>
        <w:color w:val="0070C0"/>
        <w:sz w:val="18"/>
        <w:szCs w:val="18"/>
      </w:rPr>
      <w:fldChar w:fldCharType="end"/>
    </w:r>
  </w:p>
  <w:p w:rsidR="00CB6E4E" w:rsidRPr="00604E60" w:rsidRDefault="00CB6E4E">
    <w:pPr>
      <w:pStyle w:val="Zpat"/>
      <w:rPr>
        <w:rFonts w:ascii="Calibri" w:hAnsi="Calibri"/>
        <w:b/>
        <w:color w:val="0070C0"/>
        <w:sz w:val="18"/>
        <w:szCs w:val="18"/>
      </w:rPr>
    </w:pPr>
    <w:r w:rsidRPr="00604E60">
      <w:rPr>
        <w:rFonts w:ascii="Calibri" w:hAnsi="Calibri"/>
        <w:b/>
        <w:color w:val="0070C0"/>
        <w:sz w:val="18"/>
        <w:szCs w:val="18"/>
      </w:rPr>
      <w:t>Zpráva o realizaci IOP k </w:t>
    </w:r>
    <w:proofErr w:type="gramStart"/>
    <w:r w:rsidRPr="00604E60">
      <w:rPr>
        <w:rFonts w:ascii="Calibri" w:hAnsi="Calibri"/>
        <w:b/>
        <w:color w:val="0070C0"/>
        <w:sz w:val="18"/>
        <w:szCs w:val="18"/>
      </w:rPr>
      <w:t>30.9.2012</w:t>
    </w:r>
    <w:proofErr w:type="gramEnd"/>
    <w:r w:rsidRPr="00604E60">
      <w:rPr>
        <w:rFonts w:ascii="Calibri" w:hAnsi="Calibri"/>
        <w:b/>
        <w:color w:val="0070C0"/>
        <w:sz w:val="18"/>
        <w:szCs w:val="1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E4E" w:rsidRPr="00604E60" w:rsidRDefault="00CB6E4E" w:rsidP="007D6357">
    <w:pPr>
      <w:pStyle w:val="Zpat"/>
      <w:rPr>
        <w:rFonts w:ascii="Calibri" w:hAnsi="Calibri"/>
        <w:b/>
        <w:color w:val="0070C0"/>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E4E" w:rsidRPr="00604E60" w:rsidRDefault="00CB6E4E">
    <w:pPr>
      <w:pStyle w:val="Zpat"/>
      <w:framePr w:wrap="around" w:vAnchor="text" w:hAnchor="page" w:x="9262" w:y="-44"/>
      <w:jc w:val="right"/>
      <w:rPr>
        <w:rStyle w:val="slostrnky"/>
        <w:rFonts w:ascii="Calibri" w:hAnsi="Calibri"/>
        <w:b/>
        <w:color w:val="0070C0"/>
        <w:sz w:val="18"/>
        <w:szCs w:val="18"/>
      </w:rPr>
    </w:pPr>
    <w:r w:rsidRPr="00604E60">
      <w:rPr>
        <w:rStyle w:val="slostrnky"/>
        <w:rFonts w:ascii="Calibri" w:hAnsi="Calibri"/>
        <w:b/>
        <w:color w:val="0070C0"/>
        <w:sz w:val="18"/>
        <w:szCs w:val="18"/>
      </w:rPr>
      <w:t xml:space="preserve">strana </w:t>
    </w:r>
    <w:r w:rsidRPr="00604E60">
      <w:rPr>
        <w:rStyle w:val="slostrnky"/>
        <w:rFonts w:ascii="Calibri" w:hAnsi="Calibri"/>
        <w:b/>
        <w:color w:val="0070C0"/>
        <w:sz w:val="18"/>
        <w:szCs w:val="18"/>
      </w:rPr>
      <w:fldChar w:fldCharType="begin"/>
    </w:r>
    <w:r w:rsidRPr="00604E60">
      <w:rPr>
        <w:rStyle w:val="slostrnky"/>
        <w:rFonts w:ascii="Calibri" w:hAnsi="Calibri"/>
        <w:b/>
        <w:color w:val="0070C0"/>
        <w:sz w:val="18"/>
        <w:szCs w:val="18"/>
      </w:rPr>
      <w:instrText xml:space="preserve">PAGE  </w:instrText>
    </w:r>
    <w:r w:rsidRPr="00604E60">
      <w:rPr>
        <w:rStyle w:val="slostrnky"/>
        <w:rFonts w:ascii="Calibri" w:hAnsi="Calibri"/>
        <w:b/>
        <w:color w:val="0070C0"/>
        <w:sz w:val="18"/>
        <w:szCs w:val="18"/>
      </w:rPr>
      <w:fldChar w:fldCharType="separate"/>
    </w:r>
    <w:proofErr w:type="gramStart"/>
    <w:r w:rsidR="00497984">
      <w:rPr>
        <w:rStyle w:val="slostrnky"/>
        <w:rFonts w:ascii="Calibri" w:hAnsi="Calibri"/>
        <w:b/>
        <w:noProof/>
        <w:color w:val="0070C0"/>
        <w:sz w:val="18"/>
        <w:szCs w:val="18"/>
      </w:rPr>
      <w:t>36</w:t>
    </w:r>
    <w:r w:rsidRPr="00604E60">
      <w:rPr>
        <w:rStyle w:val="slostrnky"/>
        <w:rFonts w:ascii="Calibri" w:hAnsi="Calibri"/>
        <w:b/>
        <w:color w:val="0070C0"/>
        <w:sz w:val="18"/>
        <w:szCs w:val="18"/>
      </w:rPr>
      <w:fldChar w:fldCharType="end"/>
    </w:r>
    <w:r w:rsidRPr="00604E60">
      <w:rPr>
        <w:rStyle w:val="slostrnky"/>
        <w:rFonts w:ascii="Calibri" w:hAnsi="Calibri"/>
        <w:b/>
        <w:color w:val="0070C0"/>
        <w:sz w:val="18"/>
        <w:szCs w:val="18"/>
      </w:rPr>
      <w:t xml:space="preserve"> z </w:t>
    </w:r>
    <w:r w:rsidRPr="00604E60">
      <w:rPr>
        <w:rStyle w:val="slostrnky"/>
        <w:rFonts w:ascii="Calibri" w:hAnsi="Calibri"/>
        <w:b/>
        <w:color w:val="0070C0"/>
        <w:sz w:val="18"/>
        <w:szCs w:val="18"/>
      </w:rPr>
      <w:fldChar w:fldCharType="begin"/>
    </w:r>
    <w:r w:rsidRPr="00604E60">
      <w:rPr>
        <w:rStyle w:val="slostrnky"/>
        <w:rFonts w:ascii="Calibri" w:hAnsi="Calibri"/>
        <w:b/>
        <w:color w:val="0070C0"/>
        <w:sz w:val="18"/>
        <w:szCs w:val="18"/>
      </w:rPr>
      <w:instrText xml:space="preserve"> NUMPAGES </w:instrText>
    </w:r>
    <w:r w:rsidRPr="00604E60">
      <w:rPr>
        <w:rStyle w:val="slostrnky"/>
        <w:rFonts w:ascii="Calibri" w:hAnsi="Calibri"/>
        <w:b/>
        <w:color w:val="0070C0"/>
        <w:sz w:val="18"/>
        <w:szCs w:val="18"/>
      </w:rPr>
      <w:fldChar w:fldCharType="separate"/>
    </w:r>
    <w:r w:rsidR="00497984">
      <w:rPr>
        <w:rStyle w:val="slostrnky"/>
        <w:rFonts w:ascii="Calibri" w:hAnsi="Calibri"/>
        <w:b/>
        <w:noProof/>
        <w:color w:val="0070C0"/>
        <w:sz w:val="18"/>
        <w:szCs w:val="18"/>
      </w:rPr>
      <w:t>128</w:t>
    </w:r>
    <w:proofErr w:type="gramEnd"/>
    <w:r w:rsidRPr="00604E60">
      <w:rPr>
        <w:rStyle w:val="slostrnky"/>
        <w:rFonts w:ascii="Calibri" w:hAnsi="Calibri"/>
        <w:b/>
        <w:color w:val="0070C0"/>
        <w:sz w:val="18"/>
        <w:szCs w:val="18"/>
      </w:rPr>
      <w:fldChar w:fldCharType="end"/>
    </w:r>
  </w:p>
  <w:p w:rsidR="00CB6E4E" w:rsidRPr="00604E60" w:rsidRDefault="00CB6E4E">
    <w:pPr>
      <w:pStyle w:val="Zpat"/>
      <w:rPr>
        <w:rFonts w:ascii="Calibri" w:hAnsi="Calibri"/>
        <w:b/>
        <w:color w:val="0070C0"/>
        <w:sz w:val="18"/>
        <w:szCs w:val="18"/>
      </w:rPr>
    </w:pPr>
    <w:r>
      <w:rPr>
        <w:rFonts w:ascii="Calibri" w:hAnsi="Calibri"/>
        <w:b/>
        <w:color w:val="0070C0"/>
        <w:sz w:val="18"/>
        <w:szCs w:val="18"/>
      </w:rPr>
      <w:t>Zpráva o realizaci IOP k 30. 9. 2015</w:t>
    </w:r>
    <w:r w:rsidRPr="00604E60">
      <w:rPr>
        <w:rFonts w:ascii="Calibri" w:hAnsi="Calibri"/>
        <w:b/>
        <w:color w:val="0070C0"/>
        <w:sz w:val="18"/>
        <w:szCs w:val="18"/>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E4E" w:rsidRPr="00604E60" w:rsidRDefault="00CB6E4E">
    <w:pPr>
      <w:pStyle w:val="Zpat"/>
      <w:framePr w:wrap="around" w:vAnchor="text" w:hAnchor="page" w:x="9262" w:y="-44"/>
      <w:jc w:val="right"/>
      <w:rPr>
        <w:rStyle w:val="slostrnky"/>
        <w:rFonts w:ascii="Calibri" w:hAnsi="Calibri"/>
        <w:b/>
        <w:color w:val="0070C0"/>
        <w:sz w:val="18"/>
        <w:szCs w:val="18"/>
      </w:rPr>
    </w:pPr>
    <w:r w:rsidRPr="00604E60">
      <w:rPr>
        <w:rStyle w:val="slostrnky"/>
        <w:rFonts w:ascii="Calibri" w:hAnsi="Calibri"/>
        <w:b/>
        <w:color w:val="0070C0"/>
        <w:sz w:val="18"/>
        <w:szCs w:val="18"/>
      </w:rPr>
      <w:t xml:space="preserve">strana </w:t>
    </w:r>
    <w:r w:rsidRPr="00604E60">
      <w:rPr>
        <w:rStyle w:val="slostrnky"/>
        <w:rFonts w:ascii="Calibri" w:hAnsi="Calibri"/>
        <w:b/>
        <w:color w:val="0070C0"/>
        <w:sz w:val="18"/>
        <w:szCs w:val="18"/>
      </w:rPr>
      <w:fldChar w:fldCharType="begin"/>
    </w:r>
    <w:r w:rsidRPr="00604E60">
      <w:rPr>
        <w:rStyle w:val="slostrnky"/>
        <w:rFonts w:ascii="Calibri" w:hAnsi="Calibri"/>
        <w:b/>
        <w:color w:val="0070C0"/>
        <w:sz w:val="18"/>
        <w:szCs w:val="18"/>
      </w:rPr>
      <w:instrText xml:space="preserve">PAGE  </w:instrText>
    </w:r>
    <w:r w:rsidRPr="00604E60">
      <w:rPr>
        <w:rStyle w:val="slostrnky"/>
        <w:rFonts w:ascii="Calibri" w:hAnsi="Calibri"/>
        <w:b/>
        <w:color w:val="0070C0"/>
        <w:sz w:val="18"/>
        <w:szCs w:val="18"/>
      </w:rPr>
      <w:fldChar w:fldCharType="separate"/>
    </w:r>
    <w:r w:rsidR="00497984">
      <w:rPr>
        <w:rStyle w:val="slostrnky"/>
        <w:rFonts w:ascii="Calibri" w:hAnsi="Calibri"/>
        <w:b/>
        <w:noProof/>
        <w:color w:val="0070C0"/>
        <w:sz w:val="18"/>
        <w:szCs w:val="18"/>
      </w:rPr>
      <w:t>105</w:t>
    </w:r>
    <w:r w:rsidRPr="00604E60">
      <w:rPr>
        <w:rStyle w:val="slostrnky"/>
        <w:rFonts w:ascii="Calibri" w:hAnsi="Calibri"/>
        <w:b/>
        <w:color w:val="0070C0"/>
        <w:sz w:val="18"/>
        <w:szCs w:val="18"/>
      </w:rPr>
      <w:fldChar w:fldCharType="end"/>
    </w:r>
    <w:proofErr w:type="gramStart"/>
    <w:r w:rsidRPr="00604E60">
      <w:rPr>
        <w:rStyle w:val="slostrnky"/>
        <w:rFonts w:ascii="Calibri" w:hAnsi="Calibri"/>
        <w:b/>
        <w:color w:val="0070C0"/>
        <w:sz w:val="18"/>
        <w:szCs w:val="18"/>
      </w:rPr>
      <w:t xml:space="preserve"> z </w:t>
    </w:r>
    <w:proofErr w:type="gramEnd"/>
    <w:r w:rsidRPr="00604E60">
      <w:rPr>
        <w:rStyle w:val="slostrnky"/>
        <w:rFonts w:ascii="Calibri" w:hAnsi="Calibri"/>
        <w:b/>
        <w:color w:val="0070C0"/>
        <w:sz w:val="18"/>
        <w:szCs w:val="18"/>
      </w:rPr>
      <w:fldChar w:fldCharType="begin"/>
    </w:r>
    <w:r w:rsidRPr="00604E60">
      <w:rPr>
        <w:rStyle w:val="slostrnky"/>
        <w:rFonts w:ascii="Calibri" w:hAnsi="Calibri"/>
        <w:b/>
        <w:color w:val="0070C0"/>
        <w:sz w:val="18"/>
        <w:szCs w:val="18"/>
      </w:rPr>
      <w:instrText xml:space="preserve"> NUMPAGES </w:instrText>
    </w:r>
    <w:r w:rsidRPr="00604E60">
      <w:rPr>
        <w:rStyle w:val="slostrnky"/>
        <w:rFonts w:ascii="Calibri" w:hAnsi="Calibri"/>
        <w:b/>
        <w:color w:val="0070C0"/>
        <w:sz w:val="18"/>
        <w:szCs w:val="18"/>
      </w:rPr>
      <w:fldChar w:fldCharType="separate"/>
    </w:r>
    <w:r w:rsidR="00497984">
      <w:rPr>
        <w:rStyle w:val="slostrnky"/>
        <w:rFonts w:ascii="Calibri" w:hAnsi="Calibri"/>
        <w:b/>
        <w:noProof/>
        <w:color w:val="0070C0"/>
        <w:sz w:val="18"/>
        <w:szCs w:val="18"/>
      </w:rPr>
      <w:t>128</w:t>
    </w:r>
    <w:r w:rsidRPr="00604E60">
      <w:rPr>
        <w:rStyle w:val="slostrnky"/>
        <w:rFonts w:ascii="Calibri" w:hAnsi="Calibri"/>
        <w:b/>
        <w:color w:val="0070C0"/>
        <w:sz w:val="18"/>
        <w:szCs w:val="18"/>
      </w:rPr>
      <w:fldChar w:fldCharType="end"/>
    </w:r>
  </w:p>
  <w:p w:rsidR="00CB6E4E" w:rsidRDefault="00CB6E4E">
    <w:pPr>
      <w:pStyle w:val="Zpat"/>
      <w:rPr>
        <w:rFonts w:ascii="Calibri" w:hAnsi="Calibri"/>
        <w:b/>
        <w:color w:val="0070C0"/>
        <w:sz w:val="18"/>
        <w:szCs w:val="18"/>
      </w:rPr>
    </w:pPr>
    <w:r w:rsidRPr="00604E60">
      <w:rPr>
        <w:rFonts w:ascii="Calibri" w:hAnsi="Calibri"/>
        <w:b/>
        <w:color w:val="0070C0"/>
        <w:sz w:val="18"/>
        <w:szCs w:val="18"/>
      </w:rPr>
      <w:t xml:space="preserve">Zpráva o realizaci IOP </w:t>
    </w:r>
    <w:r>
      <w:rPr>
        <w:rFonts w:ascii="Calibri" w:hAnsi="Calibri"/>
        <w:b/>
        <w:color w:val="0070C0"/>
        <w:sz w:val="18"/>
        <w:szCs w:val="18"/>
      </w:rPr>
      <w:t>k 30. 9. 2015</w:t>
    </w:r>
    <w:r w:rsidRPr="00604E60">
      <w:rPr>
        <w:rFonts w:ascii="Calibri" w:hAnsi="Calibri"/>
        <w:b/>
        <w:color w:val="0070C0"/>
        <w:sz w:val="18"/>
        <w:szCs w:val="18"/>
      </w:rPr>
      <w:t xml:space="preserve">                   </w:t>
    </w:r>
  </w:p>
  <w:p w:rsidR="00CB6E4E" w:rsidRPr="00604E60" w:rsidRDefault="00CB6E4E">
    <w:pPr>
      <w:pStyle w:val="Zpat"/>
      <w:rPr>
        <w:rFonts w:ascii="Calibri" w:hAnsi="Calibri"/>
        <w:b/>
        <w:color w:val="0070C0"/>
        <w:sz w:val="18"/>
        <w:szCs w:val="18"/>
      </w:rPr>
    </w:pPr>
    <w:r w:rsidRPr="00604E60">
      <w:rPr>
        <w:rFonts w:ascii="Calibri" w:hAnsi="Calibri"/>
        <w:b/>
        <w:color w:val="0070C0"/>
        <w:sz w:val="18"/>
        <w:szCs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6E4E" w:rsidRDefault="00CB6E4E">
      <w:r>
        <w:separator/>
      </w:r>
    </w:p>
  </w:footnote>
  <w:footnote w:type="continuationSeparator" w:id="0">
    <w:p w:rsidR="00CB6E4E" w:rsidRDefault="00CB6E4E">
      <w:r>
        <w:continuationSeparator/>
      </w:r>
    </w:p>
  </w:footnote>
  <w:footnote w:type="continuationNotice" w:id="1">
    <w:p w:rsidR="00CB6E4E" w:rsidRDefault="00CB6E4E"/>
  </w:footnote>
  <w:footnote w:id="2">
    <w:p w:rsidR="00CB6E4E" w:rsidRPr="008477ED" w:rsidRDefault="00CB6E4E" w:rsidP="00EC59A1">
      <w:pPr>
        <w:autoSpaceDE w:val="0"/>
        <w:autoSpaceDN w:val="0"/>
        <w:adjustRightInd w:val="0"/>
        <w:rPr>
          <w:sz w:val="18"/>
          <w:szCs w:val="18"/>
        </w:rPr>
      </w:pPr>
      <w:r w:rsidRPr="00755235">
        <w:rPr>
          <w:rStyle w:val="Znakapoznpodarou"/>
          <w:sz w:val="18"/>
          <w:szCs w:val="18"/>
        </w:rPr>
        <w:footnoteRef/>
      </w:r>
      <w:r w:rsidRPr="00755235">
        <w:rPr>
          <w:sz w:val="18"/>
          <w:szCs w:val="18"/>
        </w:rPr>
        <w:t xml:space="preserve"> </w:t>
      </w:r>
      <w:r w:rsidRPr="008477ED">
        <w:rPr>
          <w:sz w:val="18"/>
          <w:szCs w:val="18"/>
        </w:rPr>
        <w:t>Podan</w:t>
      </w:r>
      <w:r>
        <w:rPr>
          <w:sz w:val="18"/>
          <w:szCs w:val="18"/>
        </w:rPr>
        <w:t>é</w:t>
      </w:r>
      <w:r w:rsidRPr="008477ED">
        <w:rPr>
          <w:sz w:val="18"/>
          <w:szCs w:val="18"/>
        </w:rPr>
        <w:t xml:space="preserve"> žádost</w:t>
      </w:r>
      <w:r>
        <w:rPr>
          <w:sz w:val="18"/>
          <w:szCs w:val="18"/>
        </w:rPr>
        <w:t>i</w:t>
      </w:r>
      <w:r w:rsidRPr="008477ED">
        <w:rPr>
          <w:sz w:val="18"/>
          <w:szCs w:val="18"/>
        </w:rPr>
        <w:t xml:space="preserve"> a Pro</w:t>
      </w:r>
      <w:r>
        <w:rPr>
          <w:sz w:val="18"/>
          <w:szCs w:val="18"/>
        </w:rPr>
        <w:t xml:space="preserve">středky kryté </w:t>
      </w:r>
      <w:r w:rsidRPr="008477ED">
        <w:rPr>
          <w:sz w:val="18"/>
          <w:szCs w:val="18"/>
        </w:rPr>
        <w:t>Rozhodnutím/</w:t>
      </w:r>
      <w:r>
        <w:rPr>
          <w:sz w:val="18"/>
          <w:szCs w:val="18"/>
        </w:rPr>
        <w:t>S</w:t>
      </w:r>
      <w:r w:rsidRPr="008477ED">
        <w:rPr>
          <w:sz w:val="18"/>
          <w:szCs w:val="18"/>
        </w:rPr>
        <w:t>mlouvou j</w:t>
      </w:r>
      <w:r>
        <w:rPr>
          <w:sz w:val="18"/>
          <w:szCs w:val="18"/>
        </w:rPr>
        <w:t>sou</w:t>
      </w:r>
      <w:r w:rsidRPr="008477ED">
        <w:rPr>
          <w:sz w:val="18"/>
          <w:szCs w:val="18"/>
        </w:rPr>
        <w:t xml:space="preserve"> </w:t>
      </w:r>
      <w:r>
        <w:rPr>
          <w:sz w:val="18"/>
          <w:szCs w:val="18"/>
        </w:rPr>
        <w:t>ve</w:t>
      </w:r>
      <w:r w:rsidRPr="008477ED">
        <w:rPr>
          <w:sz w:val="18"/>
          <w:szCs w:val="18"/>
        </w:rPr>
        <w:t xml:space="preserve"> </w:t>
      </w:r>
      <w:proofErr w:type="spellStart"/>
      <w:r w:rsidRPr="008477ED">
        <w:rPr>
          <w:sz w:val="18"/>
          <w:szCs w:val="18"/>
        </w:rPr>
        <w:t>vícecílových</w:t>
      </w:r>
      <w:proofErr w:type="spellEnd"/>
      <w:r w:rsidRPr="008477ED">
        <w:rPr>
          <w:sz w:val="18"/>
          <w:szCs w:val="18"/>
        </w:rPr>
        <w:t xml:space="preserve"> prioritních os</w:t>
      </w:r>
      <w:r>
        <w:rPr>
          <w:sz w:val="18"/>
          <w:szCs w:val="18"/>
        </w:rPr>
        <w:t>ách</w:t>
      </w:r>
      <w:r w:rsidRPr="008477ED">
        <w:rPr>
          <w:sz w:val="18"/>
          <w:szCs w:val="18"/>
        </w:rPr>
        <w:t xml:space="preserve"> uveden</w:t>
      </w:r>
      <w:r>
        <w:rPr>
          <w:sz w:val="18"/>
          <w:szCs w:val="18"/>
        </w:rPr>
        <w:t>é</w:t>
      </w:r>
      <w:r w:rsidRPr="008477ED">
        <w:rPr>
          <w:sz w:val="18"/>
          <w:szCs w:val="18"/>
        </w:rPr>
        <w:t xml:space="preserve"> </w:t>
      </w:r>
      <w:r>
        <w:rPr>
          <w:sz w:val="18"/>
          <w:szCs w:val="18"/>
        </w:rPr>
        <w:t>v</w:t>
      </w:r>
      <w:r w:rsidRPr="008477ED">
        <w:rPr>
          <w:sz w:val="18"/>
          <w:szCs w:val="18"/>
        </w:rPr>
        <w:t xml:space="preserve"> oblast</w:t>
      </w:r>
      <w:r>
        <w:rPr>
          <w:sz w:val="18"/>
          <w:szCs w:val="18"/>
        </w:rPr>
        <w:t>ech</w:t>
      </w:r>
      <w:r w:rsidRPr="008477ED">
        <w:rPr>
          <w:sz w:val="18"/>
          <w:szCs w:val="18"/>
        </w:rPr>
        <w:t xml:space="preserve"> podpory</w:t>
      </w:r>
      <w:r>
        <w:rPr>
          <w:sz w:val="18"/>
          <w:szCs w:val="18"/>
        </w:rPr>
        <w:t>,</w:t>
      </w:r>
      <w:r w:rsidRPr="008477ED">
        <w:rPr>
          <w:sz w:val="18"/>
          <w:szCs w:val="18"/>
        </w:rPr>
        <w:t xml:space="preserve"> vztahující</w:t>
      </w:r>
      <w:r>
        <w:rPr>
          <w:sz w:val="18"/>
          <w:szCs w:val="18"/>
        </w:rPr>
        <w:t>ch</w:t>
      </w:r>
      <w:r w:rsidRPr="008477ED">
        <w:rPr>
          <w:sz w:val="18"/>
          <w:szCs w:val="18"/>
        </w:rPr>
        <w:t xml:space="preserve"> se k cíli Konvergence (a). </w:t>
      </w:r>
      <w:r>
        <w:rPr>
          <w:sz w:val="18"/>
          <w:szCs w:val="18"/>
        </w:rPr>
        <w:br/>
      </w:r>
      <w:r w:rsidRPr="008477ED">
        <w:rPr>
          <w:sz w:val="18"/>
          <w:szCs w:val="18"/>
        </w:rPr>
        <w:t>V oblastech podpory, které spadají pod cíl Regionální konkurenceschopnost a zaměstnanost (b)</w:t>
      </w:r>
      <w:r>
        <w:rPr>
          <w:sz w:val="18"/>
          <w:szCs w:val="18"/>
        </w:rPr>
        <w:t>,</w:t>
      </w:r>
      <w:r w:rsidRPr="008477ED">
        <w:rPr>
          <w:sz w:val="18"/>
          <w:szCs w:val="18"/>
        </w:rPr>
        <w:t xml:space="preserve"> je počet nulový (kromě 4. prioritní osy). </w:t>
      </w:r>
    </w:p>
  </w:footnote>
  <w:footnote w:id="3">
    <w:p w:rsidR="00CB6E4E" w:rsidRPr="00582802" w:rsidRDefault="00CB6E4E" w:rsidP="00636A3F">
      <w:pPr>
        <w:pStyle w:val="Textpoznpodarou"/>
        <w:jc w:val="both"/>
        <w:rPr>
          <w:sz w:val="18"/>
          <w:szCs w:val="18"/>
        </w:rPr>
      </w:pPr>
      <w:r w:rsidRPr="00582802">
        <w:rPr>
          <w:rStyle w:val="Znakapoznpodarou"/>
          <w:sz w:val="18"/>
          <w:szCs w:val="18"/>
        </w:rPr>
        <w:footnoteRef/>
      </w:r>
      <w:r w:rsidRPr="00582802">
        <w:rPr>
          <w:sz w:val="18"/>
          <w:szCs w:val="18"/>
        </w:rPr>
        <w:t xml:space="preserve"> Pro statistiky vyřazených projektů je důležité rozliš</w:t>
      </w:r>
      <w:r>
        <w:rPr>
          <w:sz w:val="18"/>
          <w:szCs w:val="18"/>
        </w:rPr>
        <w:t>ovat</w:t>
      </w:r>
      <w:r w:rsidRPr="00582802">
        <w:rPr>
          <w:sz w:val="18"/>
          <w:szCs w:val="18"/>
        </w:rPr>
        <w:t xml:space="preserve"> mezi vyřazenými a zamítnutými projekty. </w:t>
      </w:r>
      <w:r w:rsidRPr="00582802">
        <w:rPr>
          <w:b/>
          <w:sz w:val="18"/>
          <w:szCs w:val="18"/>
        </w:rPr>
        <w:t>Vyřazené projekty</w:t>
      </w:r>
      <w:r w:rsidRPr="00582802">
        <w:rPr>
          <w:sz w:val="18"/>
          <w:szCs w:val="18"/>
        </w:rPr>
        <w:t xml:space="preserve"> = všechny projekty v negativních stavech. </w:t>
      </w:r>
      <w:r w:rsidRPr="00582802">
        <w:rPr>
          <w:b/>
          <w:sz w:val="18"/>
          <w:szCs w:val="18"/>
        </w:rPr>
        <w:t>Zamítnuté projekty</w:t>
      </w:r>
      <w:r w:rsidRPr="00582802">
        <w:rPr>
          <w:sz w:val="18"/>
          <w:szCs w:val="18"/>
        </w:rPr>
        <w:t xml:space="preserve"> = všechny projekty</w:t>
      </w:r>
      <w:r>
        <w:rPr>
          <w:sz w:val="18"/>
          <w:szCs w:val="18"/>
        </w:rPr>
        <w:t xml:space="preserve"> v negativních stavech</w:t>
      </w:r>
      <w:r w:rsidRPr="00582802">
        <w:rPr>
          <w:sz w:val="18"/>
          <w:szCs w:val="18"/>
        </w:rPr>
        <w:t xml:space="preserve"> kromě stavů N5 Projektová žádost stažena žadatelem a stavu N7 Projekt nedokončen/stažen.</w:t>
      </w:r>
      <w:r w:rsidRPr="00DF2187">
        <w:rPr>
          <w:sz w:val="18"/>
          <w:szCs w:val="18"/>
        </w:rPr>
        <w:t xml:space="preserve"> </w:t>
      </w:r>
      <w:r>
        <w:rPr>
          <w:sz w:val="18"/>
          <w:szCs w:val="18"/>
        </w:rPr>
        <w:t>Rozdíl tedy spočívá v tom, jestli projekt vyřadí administrátor, nebo jestli ho stáhne sám žadatel/příjemce.</w:t>
      </w:r>
    </w:p>
  </w:footnote>
  <w:footnote w:id="4">
    <w:p w:rsidR="00CB6E4E" w:rsidRPr="00993E87" w:rsidRDefault="00CB6E4E" w:rsidP="00F870FB">
      <w:pPr>
        <w:autoSpaceDE w:val="0"/>
        <w:autoSpaceDN w:val="0"/>
        <w:adjustRightInd w:val="0"/>
        <w:rPr>
          <w:sz w:val="18"/>
          <w:szCs w:val="18"/>
        </w:rPr>
      </w:pPr>
      <w:r w:rsidRPr="00755235">
        <w:rPr>
          <w:rStyle w:val="Znakapoznpodarou"/>
          <w:sz w:val="18"/>
          <w:szCs w:val="18"/>
        </w:rPr>
        <w:footnoteRef/>
      </w:r>
      <w:r w:rsidRPr="00755235">
        <w:rPr>
          <w:sz w:val="18"/>
          <w:szCs w:val="18"/>
        </w:rPr>
        <w:t xml:space="preserve"> </w:t>
      </w:r>
      <w:r w:rsidRPr="00993E87">
        <w:rPr>
          <w:sz w:val="18"/>
          <w:szCs w:val="18"/>
        </w:rPr>
        <w:t>Počet podaných žádostí</w:t>
      </w:r>
      <w:r>
        <w:rPr>
          <w:sz w:val="18"/>
          <w:szCs w:val="18"/>
        </w:rPr>
        <w:t xml:space="preserve"> a projektů s vydaným Rozhodnutím/podepsanou smlouvou </w:t>
      </w:r>
      <w:r w:rsidRPr="00993E87">
        <w:rPr>
          <w:sz w:val="18"/>
          <w:szCs w:val="18"/>
        </w:rPr>
        <w:t xml:space="preserve">je </w:t>
      </w:r>
      <w:r>
        <w:rPr>
          <w:sz w:val="18"/>
          <w:szCs w:val="18"/>
        </w:rPr>
        <w:t xml:space="preserve">vzhledem k </w:t>
      </w:r>
      <w:proofErr w:type="spellStart"/>
      <w:r w:rsidRPr="00993E87">
        <w:rPr>
          <w:sz w:val="18"/>
          <w:szCs w:val="18"/>
        </w:rPr>
        <w:t>vícecílov</w:t>
      </w:r>
      <w:r>
        <w:rPr>
          <w:sz w:val="18"/>
          <w:szCs w:val="18"/>
        </w:rPr>
        <w:t>osti</w:t>
      </w:r>
      <w:proofErr w:type="spellEnd"/>
      <w:r w:rsidRPr="00993E87">
        <w:rPr>
          <w:sz w:val="18"/>
          <w:szCs w:val="18"/>
        </w:rPr>
        <w:t xml:space="preserve"> prioritních os uveden </w:t>
      </w:r>
      <w:r>
        <w:rPr>
          <w:sz w:val="18"/>
          <w:szCs w:val="18"/>
        </w:rPr>
        <w:t>v</w:t>
      </w:r>
      <w:r w:rsidRPr="00993E87">
        <w:rPr>
          <w:sz w:val="18"/>
          <w:szCs w:val="18"/>
        </w:rPr>
        <w:t xml:space="preserve"> oblast</w:t>
      </w:r>
      <w:r>
        <w:rPr>
          <w:sz w:val="18"/>
          <w:szCs w:val="18"/>
        </w:rPr>
        <w:t>ech</w:t>
      </w:r>
      <w:r w:rsidRPr="00993E87">
        <w:rPr>
          <w:sz w:val="18"/>
          <w:szCs w:val="18"/>
        </w:rPr>
        <w:t xml:space="preserve"> podpory</w:t>
      </w:r>
      <w:r>
        <w:rPr>
          <w:sz w:val="18"/>
          <w:szCs w:val="18"/>
        </w:rPr>
        <w:t>,</w:t>
      </w:r>
      <w:r w:rsidRPr="00993E87">
        <w:rPr>
          <w:sz w:val="18"/>
          <w:szCs w:val="18"/>
        </w:rPr>
        <w:t xml:space="preserve"> vztahující</w:t>
      </w:r>
      <w:r>
        <w:rPr>
          <w:sz w:val="18"/>
          <w:szCs w:val="18"/>
        </w:rPr>
        <w:t>ch</w:t>
      </w:r>
      <w:r w:rsidRPr="00993E87">
        <w:rPr>
          <w:sz w:val="18"/>
          <w:szCs w:val="18"/>
        </w:rPr>
        <w:t xml:space="preserve"> se k cíli Konvergence (a). V oblastech podpory, které spadají pod cíl Regionální</w:t>
      </w:r>
      <w:r>
        <w:rPr>
          <w:sz w:val="18"/>
          <w:szCs w:val="18"/>
        </w:rPr>
        <w:t xml:space="preserve"> </w:t>
      </w:r>
      <w:r w:rsidRPr="00993E87">
        <w:rPr>
          <w:sz w:val="18"/>
          <w:szCs w:val="18"/>
        </w:rPr>
        <w:t>konkurenceschopnost a zaměstnanost (b)</w:t>
      </w:r>
      <w:r>
        <w:rPr>
          <w:sz w:val="18"/>
          <w:szCs w:val="18"/>
        </w:rPr>
        <w:t>,</w:t>
      </w:r>
      <w:r w:rsidRPr="00993E87">
        <w:rPr>
          <w:sz w:val="18"/>
          <w:szCs w:val="18"/>
        </w:rPr>
        <w:t xml:space="preserve"> je počet nulový. </w:t>
      </w:r>
    </w:p>
  </w:footnote>
  <w:footnote w:id="5">
    <w:p w:rsidR="00CB6E4E" w:rsidRPr="00993E87" w:rsidRDefault="00CB6E4E" w:rsidP="007A7AED">
      <w:pPr>
        <w:autoSpaceDE w:val="0"/>
        <w:autoSpaceDN w:val="0"/>
        <w:adjustRightInd w:val="0"/>
        <w:rPr>
          <w:sz w:val="18"/>
          <w:szCs w:val="18"/>
        </w:rPr>
      </w:pPr>
      <w:r w:rsidRPr="00755235">
        <w:rPr>
          <w:rStyle w:val="Znakapoznpodarou"/>
          <w:sz w:val="18"/>
          <w:szCs w:val="18"/>
        </w:rPr>
        <w:footnoteRef/>
      </w:r>
      <w:r w:rsidRPr="00755235">
        <w:rPr>
          <w:sz w:val="18"/>
          <w:szCs w:val="18"/>
        </w:rPr>
        <w:t xml:space="preserve"> </w:t>
      </w:r>
      <w:r w:rsidRPr="00993E87">
        <w:rPr>
          <w:sz w:val="18"/>
          <w:szCs w:val="18"/>
        </w:rPr>
        <w:t xml:space="preserve">Počet podaných žádostí </w:t>
      </w:r>
      <w:r>
        <w:rPr>
          <w:sz w:val="18"/>
          <w:szCs w:val="18"/>
        </w:rPr>
        <w:t xml:space="preserve">a Projektů s vydaným Rozhodnutím/podepsanou smlouvou </w:t>
      </w:r>
      <w:r w:rsidRPr="00993E87">
        <w:rPr>
          <w:sz w:val="18"/>
          <w:szCs w:val="18"/>
        </w:rPr>
        <w:t xml:space="preserve">je </w:t>
      </w:r>
      <w:r>
        <w:rPr>
          <w:sz w:val="18"/>
          <w:szCs w:val="18"/>
        </w:rPr>
        <w:t xml:space="preserve">vzhledem k </w:t>
      </w:r>
      <w:proofErr w:type="spellStart"/>
      <w:r w:rsidRPr="00993E87">
        <w:rPr>
          <w:sz w:val="18"/>
          <w:szCs w:val="18"/>
        </w:rPr>
        <w:t>vícecílov</w:t>
      </w:r>
      <w:r>
        <w:rPr>
          <w:sz w:val="18"/>
          <w:szCs w:val="18"/>
        </w:rPr>
        <w:t>osti</w:t>
      </w:r>
      <w:proofErr w:type="spellEnd"/>
      <w:r w:rsidRPr="00993E87">
        <w:rPr>
          <w:sz w:val="18"/>
          <w:szCs w:val="18"/>
        </w:rPr>
        <w:t xml:space="preserve"> prioritních os uveden pouze u oblastí podpory vztahující se k cíli Konvergence (a). V oblastech podpory, které spadají pod cíl Regionální</w:t>
      </w:r>
      <w:r>
        <w:rPr>
          <w:sz w:val="18"/>
          <w:szCs w:val="18"/>
        </w:rPr>
        <w:t xml:space="preserve"> </w:t>
      </w:r>
      <w:r w:rsidRPr="00993E87">
        <w:rPr>
          <w:sz w:val="18"/>
          <w:szCs w:val="18"/>
        </w:rPr>
        <w:t xml:space="preserve">konkurenceschopnost a zaměstnanost (b) je počet nulový. </w:t>
      </w:r>
    </w:p>
  </w:footnote>
  <w:footnote w:id="6">
    <w:p w:rsidR="00CB6E4E" w:rsidRDefault="00CB6E4E">
      <w:pPr>
        <w:pStyle w:val="Textpoznpodarou"/>
      </w:pPr>
      <w:r>
        <w:rPr>
          <w:rStyle w:val="Znakapoznpodarou"/>
        </w:rPr>
        <w:footnoteRef/>
      </w:r>
      <w:r>
        <w:t xml:space="preserve"> </w:t>
      </w:r>
      <w:r w:rsidRPr="00993E87">
        <w:rPr>
          <w:sz w:val="18"/>
          <w:szCs w:val="18"/>
        </w:rPr>
        <w:t xml:space="preserve">Počet podaných žádostí </w:t>
      </w:r>
      <w:r>
        <w:rPr>
          <w:sz w:val="18"/>
          <w:szCs w:val="18"/>
        </w:rPr>
        <w:t xml:space="preserve">a Projektů s vydaným Rozhodnutím/podepsanou smlouvou </w:t>
      </w:r>
      <w:r w:rsidRPr="00993E87">
        <w:rPr>
          <w:sz w:val="18"/>
          <w:szCs w:val="18"/>
        </w:rPr>
        <w:t xml:space="preserve">je </w:t>
      </w:r>
      <w:r>
        <w:rPr>
          <w:sz w:val="18"/>
          <w:szCs w:val="18"/>
        </w:rPr>
        <w:t xml:space="preserve">vzhledem k </w:t>
      </w:r>
      <w:proofErr w:type="spellStart"/>
      <w:r w:rsidRPr="00993E87">
        <w:rPr>
          <w:sz w:val="18"/>
          <w:szCs w:val="18"/>
        </w:rPr>
        <w:t>vícecílov</w:t>
      </w:r>
      <w:r>
        <w:rPr>
          <w:sz w:val="18"/>
          <w:szCs w:val="18"/>
        </w:rPr>
        <w:t>osti</w:t>
      </w:r>
      <w:proofErr w:type="spellEnd"/>
      <w:r w:rsidRPr="00993E87">
        <w:rPr>
          <w:sz w:val="18"/>
          <w:szCs w:val="18"/>
        </w:rPr>
        <w:t xml:space="preserve"> prioritních os uveden pouze u oblastí podpory vztahující se k cíli Konvergence (a). V oblastech podpory, které spadají pod cíl Regionální</w:t>
      </w:r>
      <w:r>
        <w:rPr>
          <w:sz w:val="18"/>
          <w:szCs w:val="18"/>
        </w:rPr>
        <w:t xml:space="preserve"> </w:t>
      </w:r>
      <w:r w:rsidRPr="00993E87">
        <w:rPr>
          <w:sz w:val="18"/>
          <w:szCs w:val="18"/>
        </w:rPr>
        <w:t>konkurenceschopnost a zaměstnanost (b) je počet nulový.</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E4E" w:rsidRDefault="00CB6E4E">
    <w:pPr>
      <w:pStyle w:val="Zhlav"/>
      <w:jc w:val="center"/>
    </w:pPr>
    <w:r>
      <w:rPr>
        <w:noProof/>
      </w:rPr>
      <w:drawing>
        <wp:inline distT="0" distB="0" distL="0" distR="0" wp14:anchorId="1B5EBBA4" wp14:editId="1C514BDC">
          <wp:extent cx="5753100" cy="409575"/>
          <wp:effectExtent l="19050" t="0" r="0" b="0"/>
          <wp:docPr id="8" name="obrázek 4" descr="C:\Documents and Settings\tunver\Plocha\Logolinka_vsech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C:\Documents and Settings\tunver\Plocha\Logolinka_vsechny.JPG"/>
                  <pic:cNvPicPr>
                    <a:picLocks noChangeAspect="1" noChangeArrowheads="1"/>
                  </pic:cNvPicPr>
                </pic:nvPicPr>
                <pic:blipFill>
                  <a:blip r:embed="rId1"/>
                  <a:srcRect/>
                  <a:stretch>
                    <a:fillRect/>
                  </a:stretch>
                </pic:blipFill>
                <pic:spPr bwMode="auto">
                  <a:xfrm>
                    <a:off x="0" y="0"/>
                    <a:ext cx="5753100" cy="409575"/>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E4E" w:rsidRDefault="00CB6E4E">
    <w:pPr>
      <w:pStyle w:val="Zhlav"/>
    </w:pPr>
    <w:r>
      <w:rPr>
        <w:noProof/>
      </w:rPr>
      <w:drawing>
        <wp:inline distT="0" distB="0" distL="0" distR="0" wp14:anchorId="75D8031F" wp14:editId="7AFCB20C">
          <wp:extent cx="5753100" cy="409575"/>
          <wp:effectExtent l="19050" t="0" r="0" b="0"/>
          <wp:docPr id="15" name="obrázek 4" descr="C:\Documents and Settings\tunver\Plocha\Logolinka_vsech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C:\Documents and Settings\tunver\Plocha\Logolinka_vsechny.JPG"/>
                  <pic:cNvPicPr>
                    <a:picLocks noChangeAspect="1" noChangeArrowheads="1"/>
                  </pic:cNvPicPr>
                </pic:nvPicPr>
                <pic:blipFill>
                  <a:blip r:embed="rId1"/>
                  <a:srcRect/>
                  <a:stretch>
                    <a:fillRect/>
                  </a:stretch>
                </pic:blipFill>
                <pic:spPr bwMode="auto">
                  <a:xfrm>
                    <a:off x="0" y="0"/>
                    <a:ext cx="5753100" cy="409575"/>
                  </a:xfrm>
                  <a:prstGeom prst="rect">
                    <a:avLst/>
                  </a:prstGeom>
                  <a:noFill/>
                  <a:ln w="9525">
                    <a:noFill/>
                    <a:miter lim="800000"/>
                    <a:headEnd/>
                    <a:tailEnd/>
                  </a:ln>
                </pic:spPr>
              </pic:pic>
            </a:graphicData>
          </a:graphic>
        </wp:inline>
      </w:drawing>
    </w:r>
  </w:p>
  <w:p w:rsidR="00CB6E4E" w:rsidRDefault="00CB6E4E">
    <w:pPr>
      <w:pStyle w:val="Zhlav"/>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E4E" w:rsidRDefault="00CB6E4E">
    <w:pPr>
      <w:pStyle w:val="Zhlav"/>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E4E" w:rsidRDefault="00CB6E4E">
    <w:pPr>
      <w:pStyle w:val="Zhlav"/>
      <w:jc w:val="center"/>
    </w:pPr>
    <w:r>
      <w:rPr>
        <w:noProof/>
      </w:rPr>
      <w:drawing>
        <wp:inline distT="0" distB="0" distL="0" distR="0" wp14:anchorId="4B4764E1" wp14:editId="0CF5E295">
          <wp:extent cx="5457825" cy="400050"/>
          <wp:effectExtent l="19050" t="0" r="9525" b="0"/>
          <wp:docPr id="11" name="obrázek 4" descr="C:\Documents and Settings\tunver\Plocha\Logolinka_vsech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C:\Documents and Settings\tunver\Plocha\Logolinka_vsechny.JPG"/>
                  <pic:cNvPicPr>
                    <a:picLocks noChangeAspect="1" noChangeArrowheads="1"/>
                  </pic:cNvPicPr>
                </pic:nvPicPr>
                <pic:blipFill>
                  <a:blip r:embed="rId1"/>
                  <a:srcRect/>
                  <a:stretch>
                    <a:fillRect/>
                  </a:stretch>
                </pic:blipFill>
                <pic:spPr bwMode="auto">
                  <a:xfrm>
                    <a:off x="0" y="0"/>
                    <a:ext cx="5457825" cy="40005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3"/>
    <w:lvl w:ilvl="0">
      <w:start w:val="1"/>
      <w:numFmt w:val="decimal"/>
      <w:lvlText w:val="%1."/>
      <w:lvlJc w:val="left"/>
      <w:pPr>
        <w:tabs>
          <w:tab w:val="num" w:pos="360"/>
        </w:tabs>
        <w:ind w:left="360" w:hanging="360"/>
      </w:pPr>
      <w:rPr>
        <w:rFonts w:cs="Times New Roman"/>
      </w:rPr>
    </w:lvl>
  </w:abstractNum>
  <w:abstractNum w:abstractNumId="1">
    <w:nsid w:val="00000018"/>
    <w:multiLevelType w:val="singleLevel"/>
    <w:tmpl w:val="00000018"/>
    <w:lvl w:ilvl="0">
      <w:start w:val="1"/>
      <w:numFmt w:val="bullet"/>
      <w:pStyle w:val="OMODRAZKY"/>
      <w:lvlText w:val=""/>
      <w:lvlJc w:val="left"/>
      <w:pPr>
        <w:tabs>
          <w:tab w:val="num" w:pos="170"/>
        </w:tabs>
        <w:ind w:left="170" w:hanging="170"/>
      </w:pPr>
      <w:rPr>
        <w:rFonts w:ascii="Wingdings" w:hAnsi="Wingdings"/>
      </w:rPr>
    </w:lvl>
  </w:abstractNum>
  <w:abstractNum w:abstractNumId="2">
    <w:nsid w:val="00962868"/>
    <w:multiLevelType w:val="hybridMultilevel"/>
    <w:tmpl w:val="BA7A4B60"/>
    <w:lvl w:ilvl="0" w:tplc="A73639A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2C902BD"/>
    <w:multiLevelType w:val="hybridMultilevel"/>
    <w:tmpl w:val="E4F8A33E"/>
    <w:lvl w:ilvl="0" w:tplc="32F2EEFC">
      <w:numFmt w:val="bullet"/>
      <w:lvlText w:val="-"/>
      <w:lvlJc w:val="left"/>
      <w:pPr>
        <w:ind w:left="1065" w:hanging="360"/>
      </w:pPr>
      <w:rPr>
        <w:rFonts w:ascii="Arial" w:eastAsia="Calibri" w:hAnsi="Arial" w:cs="Arial" w:hint="default"/>
      </w:rPr>
    </w:lvl>
    <w:lvl w:ilvl="1" w:tplc="04050003">
      <w:start w:val="1"/>
      <w:numFmt w:val="bullet"/>
      <w:lvlText w:val="o"/>
      <w:lvlJc w:val="left"/>
      <w:pPr>
        <w:ind w:left="1785" w:hanging="360"/>
      </w:pPr>
      <w:rPr>
        <w:rFonts w:ascii="Courier New" w:hAnsi="Courier New" w:cs="Courier New" w:hint="default"/>
      </w:rPr>
    </w:lvl>
    <w:lvl w:ilvl="2" w:tplc="04050005">
      <w:start w:val="1"/>
      <w:numFmt w:val="bullet"/>
      <w:lvlText w:val=""/>
      <w:lvlJc w:val="left"/>
      <w:pPr>
        <w:ind w:left="2505" w:hanging="360"/>
      </w:pPr>
      <w:rPr>
        <w:rFonts w:ascii="Wingdings" w:hAnsi="Wingdings" w:hint="default"/>
      </w:rPr>
    </w:lvl>
    <w:lvl w:ilvl="3" w:tplc="04050001">
      <w:start w:val="1"/>
      <w:numFmt w:val="bullet"/>
      <w:lvlText w:val=""/>
      <w:lvlJc w:val="left"/>
      <w:pPr>
        <w:ind w:left="3225" w:hanging="360"/>
      </w:pPr>
      <w:rPr>
        <w:rFonts w:ascii="Symbol" w:hAnsi="Symbol" w:hint="default"/>
      </w:rPr>
    </w:lvl>
    <w:lvl w:ilvl="4" w:tplc="04050003">
      <w:start w:val="1"/>
      <w:numFmt w:val="bullet"/>
      <w:lvlText w:val="o"/>
      <w:lvlJc w:val="left"/>
      <w:pPr>
        <w:ind w:left="3945" w:hanging="360"/>
      </w:pPr>
      <w:rPr>
        <w:rFonts w:ascii="Courier New" w:hAnsi="Courier New" w:cs="Courier New" w:hint="default"/>
      </w:rPr>
    </w:lvl>
    <w:lvl w:ilvl="5" w:tplc="04050005">
      <w:start w:val="1"/>
      <w:numFmt w:val="bullet"/>
      <w:lvlText w:val=""/>
      <w:lvlJc w:val="left"/>
      <w:pPr>
        <w:ind w:left="4665" w:hanging="360"/>
      </w:pPr>
      <w:rPr>
        <w:rFonts w:ascii="Wingdings" w:hAnsi="Wingdings" w:hint="default"/>
      </w:rPr>
    </w:lvl>
    <w:lvl w:ilvl="6" w:tplc="04050001">
      <w:start w:val="1"/>
      <w:numFmt w:val="bullet"/>
      <w:lvlText w:val=""/>
      <w:lvlJc w:val="left"/>
      <w:pPr>
        <w:ind w:left="5385" w:hanging="360"/>
      </w:pPr>
      <w:rPr>
        <w:rFonts w:ascii="Symbol" w:hAnsi="Symbol" w:hint="default"/>
      </w:rPr>
    </w:lvl>
    <w:lvl w:ilvl="7" w:tplc="04050003">
      <w:start w:val="1"/>
      <w:numFmt w:val="bullet"/>
      <w:lvlText w:val="o"/>
      <w:lvlJc w:val="left"/>
      <w:pPr>
        <w:ind w:left="6105" w:hanging="360"/>
      </w:pPr>
      <w:rPr>
        <w:rFonts w:ascii="Courier New" w:hAnsi="Courier New" w:cs="Courier New" w:hint="default"/>
      </w:rPr>
    </w:lvl>
    <w:lvl w:ilvl="8" w:tplc="04050005">
      <w:start w:val="1"/>
      <w:numFmt w:val="bullet"/>
      <w:lvlText w:val=""/>
      <w:lvlJc w:val="left"/>
      <w:pPr>
        <w:ind w:left="6825" w:hanging="360"/>
      </w:pPr>
      <w:rPr>
        <w:rFonts w:ascii="Wingdings" w:hAnsi="Wingdings" w:hint="default"/>
      </w:rPr>
    </w:lvl>
  </w:abstractNum>
  <w:abstractNum w:abstractNumId="4">
    <w:nsid w:val="02D848A6"/>
    <w:multiLevelType w:val="hybridMultilevel"/>
    <w:tmpl w:val="90BAD226"/>
    <w:lvl w:ilvl="0" w:tplc="ACC233FE">
      <w:numFmt w:val="bullet"/>
      <w:lvlText w:val="–"/>
      <w:lvlJc w:val="left"/>
      <w:pPr>
        <w:tabs>
          <w:tab w:val="num" w:pos="644"/>
        </w:tabs>
        <w:ind w:left="644" w:hanging="284"/>
      </w:pPr>
      <w:rPr>
        <w:rFonts w:ascii="Times New Roman" w:eastAsia="Times New Roman" w:hAnsi="Times New Roman" w:cs="Times New Roman"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5">
    <w:nsid w:val="048A5BAE"/>
    <w:multiLevelType w:val="hybridMultilevel"/>
    <w:tmpl w:val="D5D835DE"/>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6">
    <w:nsid w:val="06214A96"/>
    <w:multiLevelType w:val="hybridMultilevel"/>
    <w:tmpl w:val="6302C0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07F167FB"/>
    <w:multiLevelType w:val="hybridMultilevel"/>
    <w:tmpl w:val="990CFC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07FB62B6"/>
    <w:multiLevelType w:val="hybridMultilevel"/>
    <w:tmpl w:val="491ACC82"/>
    <w:lvl w:ilvl="0" w:tplc="42062E38">
      <w:start w:val="1"/>
      <w:numFmt w:val="upperRoman"/>
      <w:pStyle w:val="Styl1-I"/>
      <w:lvlText w:val="%1."/>
      <w:lvlJc w:val="left"/>
      <w:pPr>
        <w:ind w:left="720" w:hanging="360"/>
      </w:pPr>
      <w:rPr>
        <w:b/>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9">
    <w:nsid w:val="082E74F4"/>
    <w:multiLevelType w:val="hybridMultilevel"/>
    <w:tmpl w:val="807217FA"/>
    <w:lvl w:ilvl="0" w:tplc="15664168">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08AE252C"/>
    <w:multiLevelType w:val="hybridMultilevel"/>
    <w:tmpl w:val="7990F8F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1">
    <w:nsid w:val="09F370E8"/>
    <w:multiLevelType w:val="hybridMultilevel"/>
    <w:tmpl w:val="A002EFF6"/>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0AC14A75"/>
    <w:multiLevelType w:val="hybridMultilevel"/>
    <w:tmpl w:val="47781750"/>
    <w:lvl w:ilvl="0" w:tplc="04050011">
      <w:start w:val="1"/>
      <w:numFmt w:val="decimal"/>
      <w:lvlText w:val="%1)"/>
      <w:lvlJc w:val="left"/>
      <w:pPr>
        <w:tabs>
          <w:tab w:val="num" w:pos="575"/>
        </w:tabs>
        <w:ind w:left="575" w:hanging="360"/>
      </w:pPr>
      <w:rPr>
        <w:rFonts w:hint="default"/>
        <w:color w:val="auto"/>
      </w:rPr>
    </w:lvl>
    <w:lvl w:ilvl="1" w:tplc="77AEF4C6">
      <w:numFmt w:val="bullet"/>
      <w:lvlText w:val="-"/>
      <w:lvlJc w:val="left"/>
      <w:pPr>
        <w:tabs>
          <w:tab w:val="num" w:pos="1295"/>
        </w:tabs>
        <w:ind w:left="1295" w:hanging="360"/>
      </w:pPr>
      <w:rPr>
        <w:rFonts w:ascii="Times New Roman" w:eastAsia="Times New Roman" w:hAnsi="Times New Roman" w:cs="Times New Roman" w:hint="default"/>
        <w:b w:val="0"/>
        <w:color w:val="auto"/>
      </w:rPr>
    </w:lvl>
    <w:lvl w:ilvl="2" w:tplc="04050005">
      <w:start w:val="1"/>
      <w:numFmt w:val="bullet"/>
      <w:lvlText w:val=""/>
      <w:lvlJc w:val="left"/>
      <w:pPr>
        <w:tabs>
          <w:tab w:val="num" w:pos="2015"/>
        </w:tabs>
        <w:ind w:left="2015" w:hanging="360"/>
      </w:pPr>
      <w:rPr>
        <w:rFonts w:ascii="Wingdings" w:hAnsi="Wingdings" w:hint="default"/>
      </w:rPr>
    </w:lvl>
    <w:lvl w:ilvl="3" w:tplc="04050001">
      <w:start w:val="1"/>
      <w:numFmt w:val="bullet"/>
      <w:lvlText w:val=""/>
      <w:lvlJc w:val="left"/>
      <w:pPr>
        <w:tabs>
          <w:tab w:val="num" w:pos="2735"/>
        </w:tabs>
        <w:ind w:left="2735" w:hanging="360"/>
      </w:pPr>
      <w:rPr>
        <w:rFonts w:ascii="Symbol" w:hAnsi="Symbol" w:hint="default"/>
      </w:rPr>
    </w:lvl>
    <w:lvl w:ilvl="4" w:tplc="04050003">
      <w:start w:val="1"/>
      <w:numFmt w:val="bullet"/>
      <w:lvlText w:val="o"/>
      <w:lvlJc w:val="left"/>
      <w:pPr>
        <w:tabs>
          <w:tab w:val="num" w:pos="3455"/>
        </w:tabs>
        <w:ind w:left="3455" w:hanging="360"/>
      </w:pPr>
      <w:rPr>
        <w:rFonts w:ascii="Courier New" w:hAnsi="Courier New" w:cs="Courier New" w:hint="default"/>
      </w:rPr>
    </w:lvl>
    <w:lvl w:ilvl="5" w:tplc="04050005">
      <w:start w:val="1"/>
      <w:numFmt w:val="bullet"/>
      <w:lvlText w:val=""/>
      <w:lvlJc w:val="left"/>
      <w:pPr>
        <w:tabs>
          <w:tab w:val="num" w:pos="4175"/>
        </w:tabs>
        <w:ind w:left="4175" w:hanging="360"/>
      </w:pPr>
      <w:rPr>
        <w:rFonts w:ascii="Wingdings" w:hAnsi="Wingdings" w:hint="default"/>
      </w:rPr>
    </w:lvl>
    <w:lvl w:ilvl="6" w:tplc="04050001">
      <w:start w:val="1"/>
      <w:numFmt w:val="bullet"/>
      <w:lvlText w:val=""/>
      <w:lvlJc w:val="left"/>
      <w:pPr>
        <w:tabs>
          <w:tab w:val="num" w:pos="4895"/>
        </w:tabs>
        <w:ind w:left="4895" w:hanging="360"/>
      </w:pPr>
      <w:rPr>
        <w:rFonts w:ascii="Symbol" w:hAnsi="Symbol" w:hint="default"/>
      </w:rPr>
    </w:lvl>
    <w:lvl w:ilvl="7" w:tplc="04050003">
      <w:start w:val="1"/>
      <w:numFmt w:val="bullet"/>
      <w:lvlText w:val="o"/>
      <w:lvlJc w:val="left"/>
      <w:pPr>
        <w:tabs>
          <w:tab w:val="num" w:pos="5615"/>
        </w:tabs>
        <w:ind w:left="5615" w:hanging="360"/>
      </w:pPr>
      <w:rPr>
        <w:rFonts w:ascii="Courier New" w:hAnsi="Courier New" w:cs="Courier New" w:hint="default"/>
      </w:rPr>
    </w:lvl>
    <w:lvl w:ilvl="8" w:tplc="04050005">
      <w:start w:val="1"/>
      <w:numFmt w:val="bullet"/>
      <w:lvlText w:val=""/>
      <w:lvlJc w:val="left"/>
      <w:pPr>
        <w:tabs>
          <w:tab w:val="num" w:pos="6335"/>
        </w:tabs>
        <w:ind w:left="6335" w:hanging="360"/>
      </w:pPr>
      <w:rPr>
        <w:rFonts w:ascii="Wingdings" w:hAnsi="Wingdings" w:hint="default"/>
      </w:rPr>
    </w:lvl>
  </w:abstractNum>
  <w:abstractNum w:abstractNumId="13">
    <w:nsid w:val="0C2933F6"/>
    <w:multiLevelType w:val="hybridMultilevel"/>
    <w:tmpl w:val="48EE5756"/>
    <w:lvl w:ilvl="0" w:tplc="04050001">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14">
    <w:nsid w:val="0FF67AD2"/>
    <w:multiLevelType w:val="hybridMultilevel"/>
    <w:tmpl w:val="5DF4F56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5">
    <w:nsid w:val="12A31AD2"/>
    <w:multiLevelType w:val="hybridMultilevel"/>
    <w:tmpl w:val="289C3C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1341488C"/>
    <w:multiLevelType w:val="hybridMultilevel"/>
    <w:tmpl w:val="CF8A85CA"/>
    <w:lvl w:ilvl="0" w:tplc="A73639A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1492610D"/>
    <w:multiLevelType w:val="hybridMultilevel"/>
    <w:tmpl w:val="DDDE39B2"/>
    <w:lvl w:ilvl="0" w:tplc="4ED26158">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14F65167"/>
    <w:multiLevelType w:val="hybridMultilevel"/>
    <w:tmpl w:val="2AD0F796"/>
    <w:lvl w:ilvl="0" w:tplc="04050001">
      <w:start w:val="1"/>
      <w:numFmt w:val="bullet"/>
      <w:lvlText w:val=""/>
      <w:lvlJc w:val="left"/>
      <w:pPr>
        <w:ind w:left="720" w:hanging="360"/>
      </w:pPr>
      <w:rPr>
        <w:rFonts w:ascii="Symbol" w:hAnsi="Symbol" w:hint="default"/>
        <w:color w:val="00000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9">
    <w:nsid w:val="167B2CD3"/>
    <w:multiLevelType w:val="hybridMultilevel"/>
    <w:tmpl w:val="6810CC3C"/>
    <w:lvl w:ilvl="0" w:tplc="04050001">
      <w:start w:val="1"/>
      <w:numFmt w:val="bullet"/>
      <w:lvlText w:val=""/>
      <w:lvlJc w:val="left"/>
      <w:pPr>
        <w:tabs>
          <w:tab w:val="num" w:pos="720"/>
        </w:tabs>
        <w:ind w:left="720" w:hanging="360"/>
      </w:pPr>
      <w:rPr>
        <w:rFonts w:ascii="Symbol" w:hAnsi="Symbol" w:hint="default"/>
      </w:rPr>
    </w:lvl>
    <w:lvl w:ilvl="1" w:tplc="04050005">
      <w:start w:val="1"/>
      <w:numFmt w:val="bullet"/>
      <w:lvlText w:val=""/>
      <w:lvlJc w:val="left"/>
      <w:pPr>
        <w:tabs>
          <w:tab w:val="num" w:pos="1440"/>
        </w:tabs>
        <w:ind w:left="1440" w:hanging="360"/>
      </w:pPr>
      <w:rPr>
        <w:rFonts w:ascii="Wingdings" w:hAnsi="Wingding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
    <w:nsid w:val="17AB2945"/>
    <w:multiLevelType w:val="hybridMultilevel"/>
    <w:tmpl w:val="FA4603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193C420A"/>
    <w:multiLevelType w:val="hybridMultilevel"/>
    <w:tmpl w:val="60C6F778"/>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2">
    <w:nsid w:val="1E457705"/>
    <w:multiLevelType w:val="hybridMultilevel"/>
    <w:tmpl w:val="9D24F79E"/>
    <w:lvl w:ilvl="0" w:tplc="04050001">
      <w:start w:val="1"/>
      <w:numFmt w:val="bullet"/>
      <w:lvlText w:val=""/>
      <w:lvlJc w:val="left"/>
      <w:pPr>
        <w:ind w:left="1065" w:hanging="360"/>
      </w:pPr>
      <w:rPr>
        <w:rFonts w:ascii="Symbol" w:hAnsi="Symbol" w:hint="default"/>
      </w:rPr>
    </w:lvl>
    <w:lvl w:ilvl="1" w:tplc="04050003">
      <w:start w:val="1"/>
      <w:numFmt w:val="bullet"/>
      <w:lvlText w:val="o"/>
      <w:lvlJc w:val="left"/>
      <w:pPr>
        <w:ind w:left="1785" w:hanging="360"/>
      </w:pPr>
      <w:rPr>
        <w:rFonts w:ascii="Courier New" w:hAnsi="Courier New" w:cs="Courier New" w:hint="default"/>
      </w:rPr>
    </w:lvl>
    <w:lvl w:ilvl="2" w:tplc="04050005">
      <w:start w:val="1"/>
      <w:numFmt w:val="bullet"/>
      <w:lvlText w:val=""/>
      <w:lvlJc w:val="left"/>
      <w:pPr>
        <w:ind w:left="2505" w:hanging="360"/>
      </w:pPr>
      <w:rPr>
        <w:rFonts w:ascii="Wingdings" w:hAnsi="Wingdings" w:hint="default"/>
      </w:rPr>
    </w:lvl>
    <w:lvl w:ilvl="3" w:tplc="04050001">
      <w:start w:val="1"/>
      <w:numFmt w:val="bullet"/>
      <w:lvlText w:val=""/>
      <w:lvlJc w:val="left"/>
      <w:pPr>
        <w:ind w:left="3225" w:hanging="360"/>
      </w:pPr>
      <w:rPr>
        <w:rFonts w:ascii="Symbol" w:hAnsi="Symbol" w:hint="default"/>
      </w:rPr>
    </w:lvl>
    <w:lvl w:ilvl="4" w:tplc="04050003">
      <w:start w:val="1"/>
      <w:numFmt w:val="bullet"/>
      <w:lvlText w:val="o"/>
      <w:lvlJc w:val="left"/>
      <w:pPr>
        <w:ind w:left="3945" w:hanging="360"/>
      </w:pPr>
      <w:rPr>
        <w:rFonts w:ascii="Courier New" w:hAnsi="Courier New" w:cs="Courier New" w:hint="default"/>
      </w:rPr>
    </w:lvl>
    <w:lvl w:ilvl="5" w:tplc="04050005">
      <w:start w:val="1"/>
      <w:numFmt w:val="bullet"/>
      <w:lvlText w:val=""/>
      <w:lvlJc w:val="left"/>
      <w:pPr>
        <w:ind w:left="4665" w:hanging="360"/>
      </w:pPr>
      <w:rPr>
        <w:rFonts w:ascii="Wingdings" w:hAnsi="Wingdings" w:hint="default"/>
      </w:rPr>
    </w:lvl>
    <w:lvl w:ilvl="6" w:tplc="04050001">
      <w:start w:val="1"/>
      <w:numFmt w:val="bullet"/>
      <w:lvlText w:val=""/>
      <w:lvlJc w:val="left"/>
      <w:pPr>
        <w:ind w:left="5385" w:hanging="360"/>
      </w:pPr>
      <w:rPr>
        <w:rFonts w:ascii="Symbol" w:hAnsi="Symbol" w:hint="default"/>
      </w:rPr>
    </w:lvl>
    <w:lvl w:ilvl="7" w:tplc="04050003">
      <w:start w:val="1"/>
      <w:numFmt w:val="bullet"/>
      <w:lvlText w:val="o"/>
      <w:lvlJc w:val="left"/>
      <w:pPr>
        <w:ind w:left="6105" w:hanging="360"/>
      </w:pPr>
      <w:rPr>
        <w:rFonts w:ascii="Courier New" w:hAnsi="Courier New" w:cs="Courier New" w:hint="default"/>
      </w:rPr>
    </w:lvl>
    <w:lvl w:ilvl="8" w:tplc="04050005">
      <w:start w:val="1"/>
      <w:numFmt w:val="bullet"/>
      <w:lvlText w:val=""/>
      <w:lvlJc w:val="left"/>
      <w:pPr>
        <w:ind w:left="6825" w:hanging="360"/>
      </w:pPr>
      <w:rPr>
        <w:rFonts w:ascii="Wingdings" w:hAnsi="Wingdings" w:hint="default"/>
      </w:rPr>
    </w:lvl>
  </w:abstractNum>
  <w:abstractNum w:abstractNumId="23">
    <w:nsid w:val="1F4B3D24"/>
    <w:multiLevelType w:val="multilevel"/>
    <w:tmpl w:val="232460AA"/>
    <w:lvl w:ilvl="0">
      <w:start w:val="1"/>
      <w:numFmt w:val="decimal"/>
      <w:pStyle w:val="26aSeznam-20"/>
      <w:lvlText w:val="%1."/>
      <w:lvlJc w:val="left"/>
      <w:pPr>
        <w:tabs>
          <w:tab w:val="num" w:pos="340"/>
        </w:tabs>
        <w:ind w:left="340" w:hanging="340"/>
      </w:pPr>
      <w:rPr>
        <w:rFonts w:cs="Times New Roman" w:hint="default"/>
        <w:color w:val="auto"/>
      </w:rPr>
    </w:lvl>
    <w:lvl w:ilvl="1">
      <w:start w:val="1"/>
      <w:numFmt w:val="lowerLetter"/>
      <w:lvlText w:val="%2)"/>
      <w:lvlJc w:val="left"/>
      <w:pPr>
        <w:tabs>
          <w:tab w:val="num" w:pos="624"/>
        </w:tabs>
        <w:ind w:left="624" w:hanging="284"/>
      </w:pPr>
      <w:rPr>
        <w:rFonts w:cs="Times New Roman" w:hint="default"/>
      </w:rPr>
    </w:lvl>
    <w:lvl w:ilvl="2">
      <w:start w:val="1"/>
      <w:numFmt w:val="bullet"/>
      <w:lvlText w:val=""/>
      <w:lvlJc w:val="left"/>
      <w:pPr>
        <w:tabs>
          <w:tab w:val="num" w:pos="794"/>
        </w:tabs>
        <w:ind w:left="794" w:hanging="170"/>
      </w:pPr>
      <w:rPr>
        <w:rFonts w:ascii="Wingdings 2" w:hAnsi="Wingdings 2" w:hint="default"/>
        <w:color w:val="000080"/>
      </w:rPr>
    </w:lvl>
    <w:lvl w:ilvl="3">
      <w:start w:val="1"/>
      <w:numFmt w:val="bullet"/>
      <w:lvlText w:val=""/>
      <w:lvlJc w:val="left"/>
      <w:pPr>
        <w:tabs>
          <w:tab w:val="num" w:pos="964"/>
        </w:tabs>
        <w:ind w:left="964" w:hanging="170"/>
      </w:pPr>
      <w:rPr>
        <w:rFonts w:ascii="Symbol" w:hAnsi="Symbol" w:hint="default"/>
        <w:color w:val="003366"/>
      </w:rPr>
    </w:lvl>
    <w:lvl w:ilvl="4">
      <w:start w:val="1"/>
      <w:numFmt w:val="bullet"/>
      <w:lvlText w:val="●"/>
      <w:lvlJc w:val="left"/>
      <w:pPr>
        <w:tabs>
          <w:tab w:val="num" w:pos="1247"/>
        </w:tabs>
        <w:ind w:left="1247" w:hanging="170"/>
      </w:pPr>
      <w:rPr>
        <w:rFonts w:ascii="Arial" w:hAnsi="Arial" w:hint="default"/>
        <w:color w:val="000080"/>
      </w:rPr>
    </w:lvl>
    <w:lvl w:ilvl="5">
      <w:start w:val="1"/>
      <w:numFmt w:val="bullet"/>
      <w:lvlText w:val="●"/>
      <w:lvlJc w:val="left"/>
      <w:pPr>
        <w:tabs>
          <w:tab w:val="num" w:pos="1418"/>
        </w:tabs>
        <w:ind w:left="1418" w:hanging="171"/>
      </w:pPr>
      <w:rPr>
        <w:rFonts w:ascii="Arial" w:hAnsi="Arial" w:hint="default"/>
        <w:color w:val="000080"/>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4">
    <w:nsid w:val="2012199D"/>
    <w:multiLevelType w:val="hybridMultilevel"/>
    <w:tmpl w:val="81FC45E0"/>
    <w:lvl w:ilvl="0" w:tplc="ACC233FE">
      <w:numFmt w:val="bullet"/>
      <w:lvlText w:val="–"/>
      <w:lvlJc w:val="left"/>
      <w:pPr>
        <w:tabs>
          <w:tab w:val="num" w:pos="644"/>
        </w:tabs>
        <w:ind w:left="644" w:hanging="284"/>
      </w:pPr>
      <w:rPr>
        <w:rFonts w:ascii="Times New Roman" w:eastAsia="Times New Roman" w:hAnsi="Times New Roman" w:cs="Times New Roman"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5">
    <w:nsid w:val="22914CDB"/>
    <w:multiLevelType w:val="hybridMultilevel"/>
    <w:tmpl w:val="1B68CDEE"/>
    <w:lvl w:ilvl="0" w:tplc="12E059F2">
      <w:start w:val="1"/>
      <w:numFmt w:val="decimal"/>
      <w:pStyle w:val="Graf"/>
      <w:suff w:val="nothing"/>
      <w:lvlText w:val="Graf č. %1 - "/>
      <w:lvlJc w:val="left"/>
      <w:pPr>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0"/>
        <w:szCs w:val="18"/>
        <w:u w:val="none"/>
        <w:vertAlign w:val="baseline"/>
        <w:em w:val="none"/>
      </w:rPr>
    </w:lvl>
    <w:lvl w:ilvl="1" w:tplc="04050019" w:tentative="1">
      <w:start w:val="1"/>
      <w:numFmt w:val="lowerLetter"/>
      <w:lvlText w:val="%2."/>
      <w:lvlJc w:val="left"/>
      <w:pPr>
        <w:ind w:left="1298" w:hanging="360"/>
      </w:pPr>
    </w:lvl>
    <w:lvl w:ilvl="2" w:tplc="0405001B" w:tentative="1">
      <w:start w:val="1"/>
      <w:numFmt w:val="lowerRoman"/>
      <w:lvlText w:val="%3."/>
      <w:lvlJc w:val="right"/>
      <w:pPr>
        <w:ind w:left="2018" w:hanging="180"/>
      </w:pPr>
    </w:lvl>
    <w:lvl w:ilvl="3" w:tplc="0405000F" w:tentative="1">
      <w:start w:val="1"/>
      <w:numFmt w:val="decimal"/>
      <w:lvlText w:val="%4."/>
      <w:lvlJc w:val="left"/>
      <w:pPr>
        <w:ind w:left="2738" w:hanging="360"/>
      </w:pPr>
    </w:lvl>
    <w:lvl w:ilvl="4" w:tplc="04050019" w:tentative="1">
      <w:start w:val="1"/>
      <w:numFmt w:val="lowerLetter"/>
      <w:lvlText w:val="%5."/>
      <w:lvlJc w:val="left"/>
      <w:pPr>
        <w:ind w:left="3458" w:hanging="360"/>
      </w:pPr>
    </w:lvl>
    <w:lvl w:ilvl="5" w:tplc="0405001B" w:tentative="1">
      <w:start w:val="1"/>
      <w:numFmt w:val="lowerRoman"/>
      <w:lvlText w:val="%6."/>
      <w:lvlJc w:val="right"/>
      <w:pPr>
        <w:ind w:left="4178" w:hanging="180"/>
      </w:pPr>
    </w:lvl>
    <w:lvl w:ilvl="6" w:tplc="0405000F" w:tentative="1">
      <w:start w:val="1"/>
      <w:numFmt w:val="decimal"/>
      <w:lvlText w:val="%7."/>
      <w:lvlJc w:val="left"/>
      <w:pPr>
        <w:ind w:left="4898" w:hanging="360"/>
      </w:pPr>
    </w:lvl>
    <w:lvl w:ilvl="7" w:tplc="04050019" w:tentative="1">
      <w:start w:val="1"/>
      <w:numFmt w:val="lowerLetter"/>
      <w:lvlText w:val="%8."/>
      <w:lvlJc w:val="left"/>
      <w:pPr>
        <w:ind w:left="5618" w:hanging="360"/>
      </w:pPr>
    </w:lvl>
    <w:lvl w:ilvl="8" w:tplc="0405001B" w:tentative="1">
      <w:start w:val="1"/>
      <w:numFmt w:val="lowerRoman"/>
      <w:lvlText w:val="%9."/>
      <w:lvlJc w:val="right"/>
      <w:pPr>
        <w:ind w:left="6338" w:hanging="180"/>
      </w:pPr>
    </w:lvl>
  </w:abstractNum>
  <w:abstractNum w:abstractNumId="26">
    <w:nsid w:val="27546A09"/>
    <w:multiLevelType w:val="hybridMultilevel"/>
    <w:tmpl w:val="43103AC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7">
    <w:nsid w:val="2B005C8C"/>
    <w:multiLevelType w:val="multilevel"/>
    <w:tmpl w:val="143E022E"/>
    <w:lvl w:ilvl="0">
      <w:start w:val="1"/>
      <w:numFmt w:val="bullet"/>
      <w:pStyle w:val="40aodr"/>
      <w:lvlText w:val=""/>
      <w:lvlJc w:val="left"/>
      <w:pPr>
        <w:ind w:left="360" w:hanging="360"/>
      </w:pPr>
      <w:rPr>
        <w:rFonts w:ascii="Wingdings 2" w:hAnsi="Wingdings 2" w:hint="default"/>
        <w:b w:val="0"/>
        <w:i w:val="0"/>
        <w:color w:val="000080"/>
        <w:sz w:val="16"/>
      </w:rPr>
    </w:lvl>
    <w:lvl w:ilvl="1">
      <w:start w:val="1"/>
      <w:numFmt w:val="bullet"/>
      <w:lvlText w:val=""/>
      <w:lvlJc w:val="left"/>
      <w:pPr>
        <w:tabs>
          <w:tab w:val="num" w:pos="567"/>
        </w:tabs>
        <w:ind w:left="567" w:hanging="210"/>
      </w:pPr>
      <w:rPr>
        <w:rFonts w:ascii="Wingdings 2" w:hAnsi="Wingdings 2"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nsid w:val="2CB01CDF"/>
    <w:multiLevelType w:val="hybridMultilevel"/>
    <w:tmpl w:val="825681CE"/>
    <w:lvl w:ilvl="0" w:tplc="A73639A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2D6D5F2E"/>
    <w:multiLevelType w:val="hybridMultilevel"/>
    <w:tmpl w:val="020CD13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0">
    <w:nsid w:val="30863EEE"/>
    <w:multiLevelType w:val="hybridMultilevel"/>
    <w:tmpl w:val="3356D5D4"/>
    <w:lvl w:ilvl="0" w:tplc="C7A0D3DC">
      <w:start w:val="1"/>
      <w:numFmt w:val="decimal"/>
      <w:pStyle w:val="Tabulkanzev"/>
      <w:suff w:val="space"/>
      <w:lvlText w:val="Tabulka č. %1 -"/>
      <w:lvlJc w:val="left"/>
      <w:pPr>
        <w:ind w:left="2978"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0"/>
        <w:szCs w:val="20"/>
        <w:u w:val="none"/>
        <w:vertAlign w:val="baseline"/>
        <w:em w:val="none"/>
      </w:rPr>
    </w:lvl>
    <w:lvl w:ilvl="1" w:tplc="04050019" w:tentative="1">
      <w:start w:val="1"/>
      <w:numFmt w:val="lowerLetter"/>
      <w:lvlText w:val="%2."/>
      <w:lvlJc w:val="left"/>
      <w:pPr>
        <w:ind w:left="2424" w:hanging="360"/>
      </w:pPr>
    </w:lvl>
    <w:lvl w:ilvl="2" w:tplc="0405001B" w:tentative="1">
      <w:start w:val="1"/>
      <w:numFmt w:val="lowerRoman"/>
      <w:lvlText w:val="%3."/>
      <w:lvlJc w:val="right"/>
      <w:pPr>
        <w:ind w:left="3144" w:hanging="180"/>
      </w:pPr>
    </w:lvl>
    <w:lvl w:ilvl="3" w:tplc="0405000F" w:tentative="1">
      <w:start w:val="1"/>
      <w:numFmt w:val="decimal"/>
      <w:lvlText w:val="%4."/>
      <w:lvlJc w:val="left"/>
      <w:pPr>
        <w:ind w:left="3864" w:hanging="360"/>
      </w:pPr>
    </w:lvl>
    <w:lvl w:ilvl="4" w:tplc="04050019" w:tentative="1">
      <w:start w:val="1"/>
      <w:numFmt w:val="lowerLetter"/>
      <w:lvlText w:val="%5."/>
      <w:lvlJc w:val="left"/>
      <w:pPr>
        <w:ind w:left="4584" w:hanging="360"/>
      </w:pPr>
    </w:lvl>
    <w:lvl w:ilvl="5" w:tplc="0405001B" w:tentative="1">
      <w:start w:val="1"/>
      <w:numFmt w:val="lowerRoman"/>
      <w:lvlText w:val="%6."/>
      <w:lvlJc w:val="right"/>
      <w:pPr>
        <w:ind w:left="5304" w:hanging="180"/>
      </w:pPr>
    </w:lvl>
    <w:lvl w:ilvl="6" w:tplc="0405000F" w:tentative="1">
      <w:start w:val="1"/>
      <w:numFmt w:val="decimal"/>
      <w:lvlText w:val="%7."/>
      <w:lvlJc w:val="left"/>
      <w:pPr>
        <w:ind w:left="6024" w:hanging="360"/>
      </w:pPr>
    </w:lvl>
    <w:lvl w:ilvl="7" w:tplc="04050019" w:tentative="1">
      <w:start w:val="1"/>
      <w:numFmt w:val="lowerLetter"/>
      <w:lvlText w:val="%8."/>
      <w:lvlJc w:val="left"/>
      <w:pPr>
        <w:ind w:left="6744" w:hanging="360"/>
      </w:pPr>
    </w:lvl>
    <w:lvl w:ilvl="8" w:tplc="0405001B" w:tentative="1">
      <w:start w:val="1"/>
      <w:numFmt w:val="lowerRoman"/>
      <w:lvlText w:val="%9."/>
      <w:lvlJc w:val="right"/>
      <w:pPr>
        <w:ind w:left="7464" w:hanging="180"/>
      </w:pPr>
    </w:lvl>
  </w:abstractNum>
  <w:abstractNum w:abstractNumId="31">
    <w:nsid w:val="337D0AAD"/>
    <w:multiLevelType w:val="hybridMultilevel"/>
    <w:tmpl w:val="6A5A74D4"/>
    <w:lvl w:ilvl="0" w:tplc="4ED26158">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3ADD6CCA"/>
    <w:multiLevelType w:val="hybridMultilevel"/>
    <w:tmpl w:val="81D4287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3">
    <w:nsid w:val="3B2C5632"/>
    <w:multiLevelType w:val="hybridMultilevel"/>
    <w:tmpl w:val="FD7E86A6"/>
    <w:lvl w:ilvl="0" w:tplc="A73639A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3C6A7D5D"/>
    <w:multiLevelType w:val="multilevel"/>
    <w:tmpl w:val="58BC8DC2"/>
    <w:lvl w:ilvl="0">
      <w:start w:val="2"/>
      <w:numFmt w:val="decimal"/>
      <w:lvlText w:val="%1"/>
      <w:lvlJc w:val="left"/>
      <w:pPr>
        <w:ind w:left="375" w:hanging="375"/>
      </w:pPr>
      <w:rPr>
        <w:rFonts w:ascii="Times New Roman" w:hAnsi="Times New Roman" w:hint="default"/>
        <w:b/>
        <w:i w:val="0"/>
      </w:rPr>
    </w:lvl>
    <w:lvl w:ilvl="1">
      <w:start w:val="6"/>
      <w:numFmt w:val="decimal"/>
      <w:lvlText w:val="%1.%2"/>
      <w:lvlJc w:val="left"/>
      <w:pPr>
        <w:ind w:left="375" w:hanging="375"/>
      </w:pPr>
      <w:rPr>
        <w:rFonts w:ascii="Times New Roman" w:hAnsi="Times New Roman" w:hint="default"/>
        <w:b/>
        <w:i w:val="0"/>
      </w:rPr>
    </w:lvl>
    <w:lvl w:ilvl="2">
      <w:start w:val="1"/>
      <w:numFmt w:val="decimal"/>
      <w:lvlText w:val="%1.%2.%3"/>
      <w:lvlJc w:val="left"/>
      <w:pPr>
        <w:ind w:left="720" w:hanging="720"/>
      </w:pPr>
      <w:rPr>
        <w:rFonts w:ascii="Times New Roman" w:hAnsi="Times New Roman" w:hint="default"/>
        <w:b/>
        <w:i w:val="0"/>
      </w:rPr>
    </w:lvl>
    <w:lvl w:ilvl="3">
      <w:start w:val="1"/>
      <w:numFmt w:val="decimal"/>
      <w:lvlText w:val="%1.%2.%3.%4"/>
      <w:lvlJc w:val="left"/>
      <w:pPr>
        <w:ind w:left="720" w:hanging="720"/>
      </w:pPr>
      <w:rPr>
        <w:rFonts w:ascii="Times New Roman" w:hAnsi="Times New Roman" w:hint="default"/>
        <w:b/>
        <w:i w:val="0"/>
      </w:rPr>
    </w:lvl>
    <w:lvl w:ilvl="4">
      <w:start w:val="1"/>
      <w:numFmt w:val="decimal"/>
      <w:lvlText w:val="%1.%2.%3.%4.%5"/>
      <w:lvlJc w:val="left"/>
      <w:pPr>
        <w:ind w:left="1080" w:hanging="1080"/>
      </w:pPr>
      <w:rPr>
        <w:rFonts w:ascii="Times New Roman" w:hAnsi="Times New Roman" w:hint="default"/>
        <w:b/>
        <w:i w:val="0"/>
      </w:rPr>
    </w:lvl>
    <w:lvl w:ilvl="5">
      <w:start w:val="1"/>
      <w:numFmt w:val="decimal"/>
      <w:lvlText w:val="%1.%2.%3.%4.%5.%6"/>
      <w:lvlJc w:val="left"/>
      <w:pPr>
        <w:ind w:left="1080" w:hanging="1080"/>
      </w:pPr>
      <w:rPr>
        <w:rFonts w:ascii="Times New Roman" w:hAnsi="Times New Roman" w:hint="default"/>
        <w:b/>
        <w:i w:val="0"/>
      </w:rPr>
    </w:lvl>
    <w:lvl w:ilvl="6">
      <w:start w:val="1"/>
      <w:numFmt w:val="decimal"/>
      <w:lvlText w:val="%1.%2.%3.%4.%5.%6.%7"/>
      <w:lvlJc w:val="left"/>
      <w:pPr>
        <w:ind w:left="1440" w:hanging="1440"/>
      </w:pPr>
      <w:rPr>
        <w:rFonts w:ascii="Times New Roman" w:hAnsi="Times New Roman" w:hint="default"/>
        <w:b/>
        <w:i w:val="0"/>
      </w:rPr>
    </w:lvl>
    <w:lvl w:ilvl="7">
      <w:start w:val="1"/>
      <w:numFmt w:val="decimal"/>
      <w:lvlText w:val="%1.%2.%3.%4.%5.%6.%7.%8"/>
      <w:lvlJc w:val="left"/>
      <w:pPr>
        <w:ind w:left="1440" w:hanging="1440"/>
      </w:pPr>
      <w:rPr>
        <w:rFonts w:ascii="Times New Roman" w:hAnsi="Times New Roman" w:hint="default"/>
        <w:b/>
        <w:i w:val="0"/>
      </w:rPr>
    </w:lvl>
    <w:lvl w:ilvl="8">
      <w:start w:val="1"/>
      <w:numFmt w:val="decimal"/>
      <w:lvlText w:val="%1.%2.%3.%4.%5.%6.%7.%8.%9"/>
      <w:lvlJc w:val="left"/>
      <w:pPr>
        <w:ind w:left="1440" w:hanging="1440"/>
      </w:pPr>
      <w:rPr>
        <w:rFonts w:ascii="Times New Roman" w:hAnsi="Times New Roman" w:hint="default"/>
        <w:b/>
        <w:i w:val="0"/>
      </w:rPr>
    </w:lvl>
  </w:abstractNum>
  <w:abstractNum w:abstractNumId="35">
    <w:nsid w:val="3DD548F4"/>
    <w:multiLevelType w:val="hybridMultilevel"/>
    <w:tmpl w:val="1B1AFC4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6">
    <w:nsid w:val="3E434563"/>
    <w:multiLevelType w:val="hybridMultilevel"/>
    <w:tmpl w:val="50FE9A16"/>
    <w:lvl w:ilvl="0" w:tplc="04050001">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37">
    <w:nsid w:val="3EAE6483"/>
    <w:multiLevelType w:val="hybridMultilevel"/>
    <w:tmpl w:val="7DA495B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3F3A5847"/>
    <w:multiLevelType w:val="hybridMultilevel"/>
    <w:tmpl w:val="DD92A76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9">
    <w:nsid w:val="498E0E1E"/>
    <w:multiLevelType w:val="hybridMultilevel"/>
    <w:tmpl w:val="A1C6C3F8"/>
    <w:lvl w:ilvl="0" w:tplc="BD8C552A">
      <w:start w:val="1"/>
      <w:numFmt w:val="bullet"/>
      <w:lvlText w:val=""/>
      <w:lvlJc w:val="left"/>
      <w:pPr>
        <w:ind w:left="720" w:hanging="360"/>
      </w:pPr>
      <w:rPr>
        <w:rFonts w:ascii="Symbol" w:hAnsi="Symbol" w:hint="default"/>
        <w:color w:val="00000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0">
    <w:nsid w:val="4A1B4462"/>
    <w:multiLevelType w:val="hybridMultilevel"/>
    <w:tmpl w:val="1512D984"/>
    <w:lvl w:ilvl="0" w:tplc="36A4919A">
      <w:start w:val="1"/>
      <w:numFmt w:val="decimal"/>
      <w:pStyle w:val="tabulka"/>
      <w:lvlText w:val="Tabulka č. %1 -"/>
      <w:lvlJc w:val="left"/>
      <w:pPr>
        <w:ind w:left="72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nsid w:val="4CE83221"/>
    <w:multiLevelType w:val="hybridMultilevel"/>
    <w:tmpl w:val="8CE808C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2">
    <w:nsid w:val="4D9F23F6"/>
    <w:multiLevelType w:val="hybridMultilevel"/>
    <w:tmpl w:val="7A2C596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nsid w:val="56565D89"/>
    <w:multiLevelType w:val="hybridMultilevel"/>
    <w:tmpl w:val="39B8C5C6"/>
    <w:lvl w:ilvl="0" w:tplc="04050001">
      <w:start w:val="1"/>
      <w:numFmt w:val="bullet"/>
      <w:lvlText w:val=""/>
      <w:lvlJc w:val="left"/>
      <w:pPr>
        <w:ind w:left="720" w:hanging="360"/>
      </w:pPr>
      <w:rPr>
        <w:rFonts w:ascii="Symbol" w:hAnsi="Symbol" w:hint="default"/>
        <w:color w:val="00000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4">
    <w:nsid w:val="56AF4395"/>
    <w:multiLevelType w:val="hybridMultilevel"/>
    <w:tmpl w:val="DCCE4646"/>
    <w:lvl w:ilvl="0" w:tplc="4ED26158">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nsid w:val="5C823A1E"/>
    <w:multiLevelType w:val="hybridMultilevel"/>
    <w:tmpl w:val="90E2927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nsid w:val="5D665181"/>
    <w:multiLevelType w:val="hybridMultilevel"/>
    <w:tmpl w:val="F6A0DE72"/>
    <w:lvl w:ilvl="0" w:tplc="ACC233FE">
      <w:numFmt w:val="bullet"/>
      <w:lvlText w:val="–"/>
      <w:lvlJc w:val="left"/>
      <w:pPr>
        <w:tabs>
          <w:tab w:val="num" w:pos="644"/>
        </w:tabs>
        <w:ind w:left="644" w:hanging="284"/>
      </w:pPr>
      <w:rPr>
        <w:rFonts w:ascii="Times New Roman" w:eastAsia="Times New Roman" w:hAnsi="Times New Roman" w:cs="Times New Roman"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47">
    <w:nsid w:val="5EBF1CF0"/>
    <w:multiLevelType w:val="hybridMultilevel"/>
    <w:tmpl w:val="A4AE1650"/>
    <w:lvl w:ilvl="0" w:tplc="04050001">
      <w:start w:val="1"/>
      <w:numFmt w:val="bullet"/>
      <w:lvlText w:val=""/>
      <w:lvlJc w:val="left"/>
      <w:pPr>
        <w:ind w:left="855" w:hanging="360"/>
      </w:pPr>
      <w:rPr>
        <w:rFonts w:ascii="Symbol" w:hAnsi="Symbol" w:hint="default"/>
      </w:rPr>
    </w:lvl>
    <w:lvl w:ilvl="1" w:tplc="04050003" w:tentative="1">
      <w:start w:val="1"/>
      <w:numFmt w:val="bullet"/>
      <w:lvlText w:val="o"/>
      <w:lvlJc w:val="left"/>
      <w:pPr>
        <w:ind w:left="1575" w:hanging="360"/>
      </w:pPr>
      <w:rPr>
        <w:rFonts w:ascii="Courier New" w:hAnsi="Courier New" w:cs="Courier New" w:hint="default"/>
      </w:rPr>
    </w:lvl>
    <w:lvl w:ilvl="2" w:tplc="04050005" w:tentative="1">
      <w:start w:val="1"/>
      <w:numFmt w:val="bullet"/>
      <w:lvlText w:val=""/>
      <w:lvlJc w:val="left"/>
      <w:pPr>
        <w:ind w:left="2295" w:hanging="360"/>
      </w:pPr>
      <w:rPr>
        <w:rFonts w:ascii="Wingdings" w:hAnsi="Wingdings" w:hint="default"/>
      </w:rPr>
    </w:lvl>
    <w:lvl w:ilvl="3" w:tplc="04050001" w:tentative="1">
      <w:start w:val="1"/>
      <w:numFmt w:val="bullet"/>
      <w:lvlText w:val=""/>
      <w:lvlJc w:val="left"/>
      <w:pPr>
        <w:ind w:left="3015" w:hanging="360"/>
      </w:pPr>
      <w:rPr>
        <w:rFonts w:ascii="Symbol" w:hAnsi="Symbol" w:hint="default"/>
      </w:rPr>
    </w:lvl>
    <w:lvl w:ilvl="4" w:tplc="04050003" w:tentative="1">
      <w:start w:val="1"/>
      <w:numFmt w:val="bullet"/>
      <w:lvlText w:val="o"/>
      <w:lvlJc w:val="left"/>
      <w:pPr>
        <w:ind w:left="3735" w:hanging="360"/>
      </w:pPr>
      <w:rPr>
        <w:rFonts w:ascii="Courier New" w:hAnsi="Courier New" w:cs="Courier New" w:hint="default"/>
      </w:rPr>
    </w:lvl>
    <w:lvl w:ilvl="5" w:tplc="04050005" w:tentative="1">
      <w:start w:val="1"/>
      <w:numFmt w:val="bullet"/>
      <w:lvlText w:val=""/>
      <w:lvlJc w:val="left"/>
      <w:pPr>
        <w:ind w:left="4455" w:hanging="360"/>
      </w:pPr>
      <w:rPr>
        <w:rFonts w:ascii="Wingdings" w:hAnsi="Wingdings" w:hint="default"/>
      </w:rPr>
    </w:lvl>
    <w:lvl w:ilvl="6" w:tplc="04050001" w:tentative="1">
      <w:start w:val="1"/>
      <w:numFmt w:val="bullet"/>
      <w:lvlText w:val=""/>
      <w:lvlJc w:val="left"/>
      <w:pPr>
        <w:ind w:left="5175" w:hanging="360"/>
      </w:pPr>
      <w:rPr>
        <w:rFonts w:ascii="Symbol" w:hAnsi="Symbol" w:hint="default"/>
      </w:rPr>
    </w:lvl>
    <w:lvl w:ilvl="7" w:tplc="04050003" w:tentative="1">
      <w:start w:val="1"/>
      <w:numFmt w:val="bullet"/>
      <w:lvlText w:val="o"/>
      <w:lvlJc w:val="left"/>
      <w:pPr>
        <w:ind w:left="5895" w:hanging="360"/>
      </w:pPr>
      <w:rPr>
        <w:rFonts w:ascii="Courier New" w:hAnsi="Courier New" w:cs="Courier New" w:hint="default"/>
      </w:rPr>
    </w:lvl>
    <w:lvl w:ilvl="8" w:tplc="04050005" w:tentative="1">
      <w:start w:val="1"/>
      <w:numFmt w:val="bullet"/>
      <w:lvlText w:val=""/>
      <w:lvlJc w:val="left"/>
      <w:pPr>
        <w:ind w:left="6615" w:hanging="360"/>
      </w:pPr>
      <w:rPr>
        <w:rFonts w:ascii="Wingdings" w:hAnsi="Wingdings" w:hint="default"/>
      </w:rPr>
    </w:lvl>
  </w:abstractNum>
  <w:abstractNum w:abstractNumId="48">
    <w:nsid w:val="601D06C7"/>
    <w:multiLevelType w:val="multilevel"/>
    <w:tmpl w:val="36445666"/>
    <w:styleLink w:val="45SeznamOdr1"/>
    <w:lvl w:ilvl="0">
      <w:start w:val="1"/>
      <w:numFmt w:val="bullet"/>
      <w:lvlText w:val="■"/>
      <w:lvlJc w:val="left"/>
      <w:pPr>
        <w:tabs>
          <w:tab w:val="num" w:pos="360"/>
        </w:tabs>
        <w:ind w:left="360" w:hanging="360"/>
      </w:pPr>
      <w:rPr>
        <w:rFonts w:ascii="Arial" w:hAnsi="Arial" w:hint="default"/>
        <w:b w:val="0"/>
        <w:i w:val="0"/>
        <w:color w:val="000080"/>
        <w:position w:val="2"/>
        <w:sz w:val="18"/>
      </w:rPr>
    </w:lvl>
    <w:lvl w:ilvl="1">
      <w:start w:val="1"/>
      <w:numFmt w:val="bullet"/>
      <w:lvlText w:val="□"/>
      <w:lvlJc w:val="left"/>
      <w:pPr>
        <w:tabs>
          <w:tab w:val="num" w:pos="680"/>
        </w:tabs>
        <w:ind w:left="680" w:hanging="323"/>
      </w:pPr>
      <w:rPr>
        <w:rFonts w:ascii="Times New Roman" w:hAnsi="Times New Roman" w:hint="default"/>
        <w:b/>
        <w:i w:val="0"/>
        <w:color w:val="000080"/>
        <w:position w:val="2"/>
        <w:sz w:val="20"/>
      </w:rPr>
    </w:lvl>
    <w:lvl w:ilvl="2">
      <w:start w:val="1"/>
      <w:numFmt w:val="bullet"/>
      <w:lvlText w:val=""/>
      <w:lvlJc w:val="left"/>
      <w:pPr>
        <w:tabs>
          <w:tab w:val="num" w:pos="907"/>
        </w:tabs>
        <w:ind w:left="907" w:hanging="227"/>
      </w:pPr>
      <w:rPr>
        <w:rFonts w:ascii="Wingdings 2" w:hAnsi="Wingdings 2" w:hint="default"/>
        <w:color w:val="000080"/>
        <w:position w:val="2"/>
        <w:sz w:val="18"/>
      </w:rPr>
    </w:lvl>
    <w:lvl w:ilvl="3">
      <w:start w:val="1"/>
      <w:numFmt w:val="bullet"/>
      <w:lvlText w:val=""/>
      <w:lvlJc w:val="left"/>
      <w:pPr>
        <w:tabs>
          <w:tab w:val="num" w:pos="1134"/>
        </w:tabs>
        <w:ind w:left="1134" w:hanging="227"/>
      </w:pPr>
      <w:rPr>
        <w:rFonts w:ascii="Wingdings 2" w:hAnsi="Wingdings 2" w:hint="default"/>
        <w:color w:val="000080"/>
        <w:position w:val="0"/>
        <w:sz w:val="20"/>
      </w:rPr>
    </w:lvl>
    <w:lvl w:ilvl="4">
      <w:start w:val="1"/>
      <w:numFmt w:val="bullet"/>
      <w:lvlText w:val=""/>
      <w:lvlJc w:val="left"/>
      <w:pPr>
        <w:tabs>
          <w:tab w:val="num" w:pos="1361"/>
        </w:tabs>
        <w:ind w:left="1361" w:hanging="227"/>
      </w:pPr>
      <w:rPr>
        <w:rFonts w:ascii="Webdings" w:hAnsi="Webdings" w:hint="default"/>
        <w:color w:val="000080"/>
        <w:position w:val="2"/>
        <w:sz w:val="16"/>
      </w:rPr>
    </w:lvl>
    <w:lvl w:ilvl="5">
      <w:start w:val="1"/>
      <w:numFmt w:val="bullet"/>
      <w:lvlText w:val=""/>
      <w:lvlJc w:val="left"/>
      <w:pPr>
        <w:tabs>
          <w:tab w:val="num" w:pos="1588"/>
        </w:tabs>
        <w:ind w:left="1588" w:hanging="227"/>
      </w:pPr>
      <w:rPr>
        <w:rFonts w:ascii="Wingdings 2" w:hAnsi="Wingdings 2" w:hint="default"/>
        <w:color w:val="000080"/>
        <w:position w:val="2"/>
        <w:sz w:val="16"/>
      </w:rPr>
    </w:lvl>
    <w:lvl w:ilvl="6">
      <w:start w:val="1"/>
      <w:numFmt w:val="bullet"/>
      <w:lvlText w:val=""/>
      <w:lvlJc w:val="left"/>
      <w:pPr>
        <w:tabs>
          <w:tab w:val="num" w:pos="1814"/>
        </w:tabs>
        <w:ind w:left="1814" w:hanging="226"/>
      </w:pPr>
      <w:rPr>
        <w:rFonts w:ascii="Symbol" w:hAnsi="Symbol" w:hint="default"/>
        <w:color w:val="000080"/>
        <w:sz w:val="20"/>
      </w:rPr>
    </w:lvl>
    <w:lvl w:ilvl="7">
      <w:start w:val="1"/>
      <w:numFmt w:val="bullet"/>
      <w:lvlText w:val=""/>
      <w:lvlJc w:val="left"/>
      <w:pPr>
        <w:tabs>
          <w:tab w:val="num" w:pos="2041"/>
        </w:tabs>
        <w:ind w:left="2041" w:hanging="227"/>
      </w:pPr>
      <w:rPr>
        <w:rFonts w:ascii="Wingdings 2" w:hAnsi="Wingdings 2" w:hint="default"/>
        <w:color w:val="000080"/>
      </w:rPr>
    </w:lvl>
    <w:lvl w:ilvl="8">
      <w:start w:val="1"/>
      <w:numFmt w:val="bullet"/>
      <w:lvlText w:val=""/>
      <w:lvlJc w:val="left"/>
      <w:pPr>
        <w:tabs>
          <w:tab w:val="num" w:pos="2268"/>
        </w:tabs>
        <w:ind w:left="2268" w:hanging="227"/>
      </w:pPr>
      <w:rPr>
        <w:rFonts w:ascii="Wingdings" w:hAnsi="Wingdings" w:hint="default"/>
        <w:color w:val="000080"/>
      </w:rPr>
    </w:lvl>
  </w:abstractNum>
  <w:abstractNum w:abstractNumId="49">
    <w:nsid w:val="65151A52"/>
    <w:multiLevelType w:val="hybridMultilevel"/>
    <w:tmpl w:val="EF202BD2"/>
    <w:lvl w:ilvl="0" w:tplc="04050001">
      <w:start w:val="1"/>
      <w:numFmt w:val="bullet"/>
      <w:lvlText w:val=""/>
      <w:lvlJc w:val="left"/>
      <w:pPr>
        <w:ind w:left="1065" w:hanging="360"/>
      </w:pPr>
      <w:rPr>
        <w:rFonts w:ascii="Symbol" w:hAnsi="Symbol" w:hint="default"/>
      </w:rPr>
    </w:lvl>
    <w:lvl w:ilvl="1" w:tplc="04050003">
      <w:start w:val="1"/>
      <w:numFmt w:val="bullet"/>
      <w:lvlText w:val="o"/>
      <w:lvlJc w:val="left"/>
      <w:pPr>
        <w:ind w:left="1785" w:hanging="360"/>
      </w:pPr>
      <w:rPr>
        <w:rFonts w:ascii="Courier New" w:hAnsi="Courier New" w:cs="Courier New" w:hint="default"/>
      </w:rPr>
    </w:lvl>
    <w:lvl w:ilvl="2" w:tplc="04050005">
      <w:start w:val="1"/>
      <w:numFmt w:val="bullet"/>
      <w:lvlText w:val=""/>
      <w:lvlJc w:val="left"/>
      <w:pPr>
        <w:ind w:left="2505" w:hanging="360"/>
      </w:pPr>
      <w:rPr>
        <w:rFonts w:ascii="Wingdings" w:hAnsi="Wingdings" w:hint="default"/>
      </w:rPr>
    </w:lvl>
    <w:lvl w:ilvl="3" w:tplc="04050001">
      <w:start w:val="1"/>
      <w:numFmt w:val="bullet"/>
      <w:lvlText w:val=""/>
      <w:lvlJc w:val="left"/>
      <w:pPr>
        <w:ind w:left="3225" w:hanging="360"/>
      </w:pPr>
      <w:rPr>
        <w:rFonts w:ascii="Symbol" w:hAnsi="Symbol" w:hint="default"/>
      </w:rPr>
    </w:lvl>
    <w:lvl w:ilvl="4" w:tplc="04050003">
      <w:start w:val="1"/>
      <w:numFmt w:val="bullet"/>
      <w:lvlText w:val="o"/>
      <w:lvlJc w:val="left"/>
      <w:pPr>
        <w:ind w:left="3945" w:hanging="360"/>
      </w:pPr>
      <w:rPr>
        <w:rFonts w:ascii="Courier New" w:hAnsi="Courier New" w:cs="Courier New" w:hint="default"/>
      </w:rPr>
    </w:lvl>
    <w:lvl w:ilvl="5" w:tplc="04050005">
      <w:start w:val="1"/>
      <w:numFmt w:val="bullet"/>
      <w:lvlText w:val=""/>
      <w:lvlJc w:val="left"/>
      <w:pPr>
        <w:ind w:left="4665" w:hanging="360"/>
      </w:pPr>
      <w:rPr>
        <w:rFonts w:ascii="Wingdings" w:hAnsi="Wingdings" w:hint="default"/>
      </w:rPr>
    </w:lvl>
    <w:lvl w:ilvl="6" w:tplc="04050001">
      <w:start w:val="1"/>
      <w:numFmt w:val="bullet"/>
      <w:lvlText w:val=""/>
      <w:lvlJc w:val="left"/>
      <w:pPr>
        <w:ind w:left="5385" w:hanging="360"/>
      </w:pPr>
      <w:rPr>
        <w:rFonts w:ascii="Symbol" w:hAnsi="Symbol" w:hint="default"/>
      </w:rPr>
    </w:lvl>
    <w:lvl w:ilvl="7" w:tplc="04050003">
      <w:start w:val="1"/>
      <w:numFmt w:val="bullet"/>
      <w:lvlText w:val="o"/>
      <w:lvlJc w:val="left"/>
      <w:pPr>
        <w:ind w:left="6105" w:hanging="360"/>
      </w:pPr>
      <w:rPr>
        <w:rFonts w:ascii="Courier New" w:hAnsi="Courier New" w:cs="Courier New" w:hint="default"/>
      </w:rPr>
    </w:lvl>
    <w:lvl w:ilvl="8" w:tplc="04050005">
      <w:start w:val="1"/>
      <w:numFmt w:val="bullet"/>
      <w:lvlText w:val=""/>
      <w:lvlJc w:val="left"/>
      <w:pPr>
        <w:ind w:left="6825" w:hanging="360"/>
      </w:pPr>
      <w:rPr>
        <w:rFonts w:ascii="Wingdings" w:hAnsi="Wingdings" w:hint="default"/>
      </w:rPr>
    </w:lvl>
  </w:abstractNum>
  <w:abstractNum w:abstractNumId="50">
    <w:nsid w:val="67BD0301"/>
    <w:multiLevelType w:val="hybridMultilevel"/>
    <w:tmpl w:val="86D4E78C"/>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51">
    <w:nsid w:val="6A201AC8"/>
    <w:multiLevelType w:val="hybridMultilevel"/>
    <w:tmpl w:val="3DC4D9E8"/>
    <w:lvl w:ilvl="0" w:tplc="5CB86FF4">
      <w:start w:val="30"/>
      <w:numFmt w:val="bullet"/>
      <w:lvlText w:val="-"/>
      <w:lvlJc w:val="left"/>
      <w:pPr>
        <w:ind w:left="1797" w:hanging="360"/>
      </w:pPr>
      <w:rPr>
        <w:rFonts w:ascii="Times New Roman" w:eastAsia="Times New Roman" w:hAnsi="Times New Roman" w:cs="Times New Roman" w:hint="default"/>
        <w:color w:val="auto"/>
      </w:rPr>
    </w:lvl>
    <w:lvl w:ilvl="1" w:tplc="04050003" w:tentative="1">
      <w:start w:val="1"/>
      <w:numFmt w:val="bullet"/>
      <w:lvlText w:val="o"/>
      <w:lvlJc w:val="left"/>
      <w:pPr>
        <w:ind w:left="2517" w:hanging="360"/>
      </w:pPr>
      <w:rPr>
        <w:rFonts w:ascii="Courier New" w:hAnsi="Courier New" w:cs="Courier New" w:hint="default"/>
      </w:rPr>
    </w:lvl>
    <w:lvl w:ilvl="2" w:tplc="04050005" w:tentative="1">
      <w:start w:val="1"/>
      <w:numFmt w:val="bullet"/>
      <w:lvlText w:val=""/>
      <w:lvlJc w:val="left"/>
      <w:pPr>
        <w:ind w:left="3237" w:hanging="360"/>
      </w:pPr>
      <w:rPr>
        <w:rFonts w:ascii="Wingdings" w:hAnsi="Wingdings" w:hint="default"/>
      </w:rPr>
    </w:lvl>
    <w:lvl w:ilvl="3" w:tplc="04050001" w:tentative="1">
      <w:start w:val="1"/>
      <w:numFmt w:val="bullet"/>
      <w:lvlText w:val=""/>
      <w:lvlJc w:val="left"/>
      <w:pPr>
        <w:ind w:left="3957" w:hanging="360"/>
      </w:pPr>
      <w:rPr>
        <w:rFonts w:ascii="Symbol" w:hAnsi="Symbol" w:hint="default"/>
      </w:rPr>
    </w:lvl>
    <w:lvl w:ilvl="4" w:tplc="04050003" w:tentative="1">
      <w:start w:val="1"/>
      <w:numFmt w:val="bullet"/>
      <w:lvlText w:val="o"/>
      <w:lvlJc w:val="left"/>
      <w:pPr>
        <w:ind w:left="4677" w:hanging="360"/>
      </w:pPr>
      <w:rPr>
        <w:rFonts w:ascii="Courier New" w:hAnsi="Courier New" w:cs="Courier New" w:hint="default"/>
      </w:rPr>
    </w:lvl>
    <w:lvl w:ilvl="5" w:tplc="04050005" w:tentative="1">
      <w:start w:val="1"/>
      <w:numFmt w:val="bullet"/>
      <w:lvlText w:val=""/>
      <w:lvlJc w:val="left"/>
      <w:pPr>
        <w:ind w:left="5397" w:hanging="360"/>
      </w:pPr>
      <w:rPr>
        <w:rFonts w:ascii="Wingdings" w:hAnsi="Wingdings" w:hint="default"/>
      </w:rPr>
    </w:lvl>
    <w:lvl w:ilvl="6" w:tplc="04050001" w:tentative="1">
      <w:start w:val="1"/>
      <w:numFmt w:val="bullet"/>
      <w:lvlText w:val=""/>
      <w:lvlJc w:val="left"/>
      <w:pPr>
        <w:ind w:left="6117" w:hanging="360"/>
      </w:pPr>
      <w:rPr>
        <w:rFonts w:ascii="Symbol" w:hAnsi="Symbol" w:hint="default"/>
      </w:rPr>
    </w:lvl>
    <w:lvl w:ilvl="7" w:tplc="04050003" w:tentative="1">
      <w:start w:val="1"/>
      <w:numFmt w:val="bullet"/>
      <w:lvlText w:val="o"/>
      <w:lvlJc w:val="left"/>
      <w:pPr>
        <w:ind w:left="6837" w:hanging="360"/>
      </w:pPr>
      <w:rPr>
        <w:rFonts w:ascii="Courier New" w:hAnsi="Courier New" w:cs="Courier New" w:hint="default"/>
      </w:rPr>
    </w:lvl>
    <w:lvl w:ilvl="8" w:tplc="04050005" w:tentative="1">
      <w:start w:val="1"/>
      <w:numFmt w:val="bullet"/>
      <w:lvlText w:val=""/>
      <w:lvlJc w:val="left"/>
      <w:pPr>
        <w:ind w:left="7557" w:hanging="360"/>
      </w:pPr>
      <w:rPr>
        <w:rFonts w:ascii="Wingdings" w:hAnsi="Wingdings" w:hint="default"/>
      </w:rPr>
    </w:lvl>
  </w:abstractNum>
  <w:abstractNum w:abstractNumId="52">
    <w:nsid w:val="6E0E5390"/>
    <w:multiLevelType w:val="hybridMultilevel"/>
    <w:tmpl w:val="29A058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nsid w:val="711454C9"/>
    <w:multiLevelType w:val="hybridMultilevel"/>
    <w:tmpl w:val="F86CDBD4"/>
    <w:lvl w:ilvl="0" w:tplc="04050001">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54">
    <w:nsid w:val="723072C4"/>
    <w:multiLevelType w:val="hybridMultilevel"/>
    <w:tmpl w:val="30964234"/>
    <w:lvl w:ilvl="0" w:tplc="04050001">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55">
    <w:nsid w:val="766D0EFD"/>
    <w:multiLevelType w:val="multilevel"/>
    <w:tmpl w:val="417ED062"/>
    <w:lvl w:ilvl="0">
      <w:start w:val="2"/>
      <w:numFmt w:val="bullet"/>
      <w:lvlText w:val="-"/>
      <w:lvlJc w:val="left"/>
      <w:pPr>
        <w:tabs>
          <w:tab w:val="num" w:pos="1428"/>
        </w:tabs>
        <w:ind w:left="1428" w:hanging="720"/>
      </w:pPr>
      <w:rPr>
        <w:rFonts w:ascii="Times New Roman" w:eastAsia="Times New Roman" w:hAnsi="Times New Roman" w:cs="Times New Roman" w:hint="default"/>
        <w:color w:val="auto"/>
      </w:rPr>
    </w:lvl>
    <w:lvl w:ilvl="1">
      <w:start w:val="1"/>
      <w:numFmt w:val="decimal"/>
      <w:lvlText w:val="%2."/>
      <w:lvlJc w:val="left"/>
      <w:pPr>
        <w:tabs>
          <w:tab w:val="num" w:pos="2148"/>
        </w:tabs>
        <w:ind w:left="2148" w:hanging="720"/>
      </w:pPr>
    </w:lvl>
    <w:lvl w:ilvl="2">
      <w:start w:val="1"/>
      <w:numFmt w:val="decimal"/>
      <w:lvlText w:val="%3."/>
      <w:lvlJc w:val="left"/>
      <w:pPr>
        <w:tabs>
          <w:tab w:val="num" w:pos="2868"/>
        </w:tabs>
        <w:ind w:left="2868" w:hanging="720"/>
      </w:pPr>
    </w:lvl>
    <w:lvl w:ilvl="3">
      <w:start w:val="1"/>
      <w:numFmt w:val="decimal"/>
      <w:lvlText w:val="%4."/>
      <w:lvlJc w:val="left"/>
      <w:pPr>
        <w:tabs>
          <w:tab w:val="num" w:pos="3588"/>
        </w:tabs>
        <w:ind w:left="3588" w:hanging="720"/>
      </w:pPr>
    </w:lvl>
    <w:lvl w:ilvl="4">
      <w:start w:val="1"/>
      <w:numFmt w:val="decimal"/>
      <w:lvlText w:val="%5."/>
      <w:lvlJc w:val="left"/>
      <w:pPr>
        <w:tabs>
          <w:tab w:val="num" w:pos="4308"/>
        </w:tabs>
        <w:ind w:left="4308" w:hanging="720"/>
      </w:pPr>
    </w:lvl>
    <w:lvl w:ilvl="5">
      <w:start w:val="1"/>
      <w:numFmt w:val="decimal"/>
      <w:lvlText w:val="%6."/>
      <w:lvlJc w:val="left"/>
      <w:pPr>
        <w:tabs>
          <w:tab w:val="num" w:pos="5028"/>
        </w:tabs>
        <w:ind w:left="5028" w:hanging="720"/>
      </w:pPr>
    </w:lvl>
    <w:lvl w:ilvl="6">
      <w:start w:val="1"/>
      <w:numFmt w:val="decimal"/>
      <w:lvlText w:val="%7."/>
      <w:lvlJc w:val="left"/>
      <w:pPr>
        <w:tabs>
          <w:tab w:val="num" w:pos="5748"/>
        </w:tabs>
        <w:ind w:left="5748" w:hanging="720"/>
      </w:pPr>
    </w:lvl>
    <w:lvl w:ilvl="7">
      <w:start w:val="1"/>
      <w:numFmt w:val="decimal"/>
      <w:lvlText w:val="%8."/>
      <w:lvlJc w:val="left"/>
      <w:pPr>
        <w:tabs>
          <w:tab w:val="num" w:pos="6468"/>
        </w:tabs>
        <w:ind w:left="6468" w:hanging="720"/>
      </w:pPr>
    </w:lvl>
    <w:lvl w:ilvl="8">
      <w:start w:val="1"/>
      <w:numFmt w:val="decimal"/>
      <w:lvlText w:val="%9."/>
      <w:lvlJc w:val="left"/>
      <w:pPr>
        <w:tabs>
          <w:tab w:val="num" w:pos="7188"/>
        </w:tabs>
        <w:ind w:left="7188" w:hanging="720"/>
      </w:pPr>
    </w:lvl>
  </w:abstractNum>
  <w:abstractNum w:abstractNumId="56">
    <w:nsid w:val="78AA5D23"/>
    <w:multiLevelType w:val="hybridMultilevel"/>
    <w:tmpl w:val="508449AC"/>
    <w:lvl w:ilvl="0" w:tplc="04050001">
      <w:start w:val="1"/>
      <w:numFmt w:val="bullet"/>
      <w:lvlText w:val=""/>
      <w:lvlJc w:val="left"/>
      <w:pPr>
        <w:tabs>
          <w:tab w:val="num" w:pos="720"/>
        </w:tabs>
        <w:ind w:left="720" w:hanging="360"/>
      </w:pPr>
      <w:rPr>
        <w:rFonts w:ascii="Symbol" w:hAnsi="Symbol" w:hint="default"/>
      </w:rPr>
    </w:lvl>
    <w:lvl w:ilvl="1" w:tplc="04050005">
      <w:start w:val="1"/>
      <w:numFmt w:val="bullet"/>
      <w:lvlText w:val=""/>
      <w:lvlJc w:val="left"/>
      <w:pPr>
        <w:tabs>
          <w:tab w:val="num" w:pos="1440"/>
        </w:tabs>
        <w:ind w:left="1440" w:hanging="360"/>
      </w:pPr>
      <w:rPr>
        <w:rFonts w:ascii="Wingdings" w:hAnsi="Wingding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7">
    <w:nsid w:val="7A3472B6"/>
    <w:multiLevelType w:val="hybridMultilevel"/>
    <w:tmpl w:val="FC947C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56"/>
  </w:num>
  <w:num w:numId="2">
    <w:abstractNumId w:val="19"/>
  </w:num>
  <w:num w:numId="3">
    <w:abstractNumId w:val="29"/>
  </w:num>
  <w:num w:numId="4">
    <w:abstractNumId w:val="32"/>
  </w:num>
  <w:num w:numId="5">
    <w:abstractNumId w:val="1"/>
  </w:num>
  <w:num w:numId="6">
    <w:abstractNumId w:val="48"/>
  </w:num>
  <w:num w:numId="7">
    <w:abstractNumId w:val="23"/>
  </w:num>
  <w:num w:numId="8">
    <w:abstractNumId w:val="27"/>
  </w:num>
  <w:num w:numId="9">
    <w:abstractNumId w:val="25"/>
  </w:num>
  <w:num w:numId="10">
    <w:abstractNumId w:val="30"/>
  </w:num>
  <w:num w:numId="11">
    <w:abstractNumId w:val="40"/>
  </w:num>
  <w:num w:numId="12">
    <w:abstractNumId w:val="11"/>
  </w:num>
  <w:num w:numId="13">
    <w:abstractNumId w:val="38"/>
  </w:num>
  <w:num w:numId="14">
    <w:abstractNumId w:val="5"/>
  </w:num>
  <w:num w:numId="15">
    <w:abstractNumId w:val="50"/>
  </w:num>
  <w:num w:numId="16">
    <w:abstractNumId w:val="21"/>
  </w:num>
  <w:num w:numId="17">
    <w:abstractNumId w:val="26"/>
  </w:num>
  <w:num w:numId="18">
    <w:abstractNumId w:val="41"/>
  </w:num>
  <w:num w:numId="19">
    <w:abstractNumId w:val="36"/>
  </w:num>
  <w:num w:numId="20">
    <w:abstractNumId w:val="53"/>
  </w:num>
  <w:num w:numId="21">
    <w:abstractNumId w:val="13"/>
  </w:num>
  <w:num w:numId="22">
    <w:abstractNumId w:val="54"/>
  </w:num>
  <w:num w:numId="23">
    <w:abstractNumId w:val="34"/>
  </w:num>
  <w:num w:numId="24">
    <w:abstractNumId w:val="6"/>
  </w:num>
  <w:num w:numId="25">
    <w:abstractNumId w:val="31"/>
  </w:num>
  <w:num w:numId="26">
    <w:abstractNumId w:val="55"/>
  </w:num>
  <w:num w:numId="27">
    <w:abstractNumId w:val="7"/>
  </w:num>
  <w:num w:numId="28">
    <w:abstractNumId w:val="10"/>
  </w:num>
  <w:num w:numId="29">
    <w:abstractNumId w:val="35"/>
  </w:num>
  <w:num w:numId="30">
    <w:abstractNumId w:val="3"/>
  </w:num>
  <w:num w:numId="31">
    <w:abstractNumId w:val="45"/>
  </w:num>
  <w:num w:numId="32">
    <w:abstractNumId w:val="47"/>
  </w:num>
  <w:num w:numId="33">
    <w:abstractNumId w:val="51"/>
  </w:num>
  <w:num w:numId="34">
    <w:abstractNumId w:val="9"/>
  </w:num>
  <w:num w:numId="35">
    <w:abstractNumId w:val="42"/>
  </w:num>
  <w:num w:numId="36">
    <w:abstractNumId w:val="44"/>
  </w:num>
  <w:num w:numId="37">
    <w:abstractNumId w:val="17"/>
  </w:num>
  <w:num w:numId="38">
    <w:abstractNumId w:val="52"/>
  </w:num>
  <w:num w:numId="39">
    <w:abstractNumId w:val="20"/>
  </w:num>
  <w:num w:numId="40">
    <w:abstractNumId w:val="12"/>
  </w:num>
  <w:num w:numId="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num>
  <w:num w:numId="43">
    <w:abstractNumId w:val="46"/>
  </w:num>
  <w:num w:numId="44">
    <w:abstractNumId w:val="4"/>
  </w:num>
  <w:num w:numId="45">
    <w:abstractNumId w:val="24"/>
  </w:num>
  <w:num w:numId="46">
    <w:abstractNumId w:val="49"/>
  </w:num>
  <w:num w:numId="47">
    <w:abstractNumId w:val="22"/>
  </w:num>
  <w:num w:numId="48">
    <w:abstractNumId w:val="25"/>
  </w:num>
  <w:num w:numId="49">
    <w:abstractNumId w:val="37"/>
  </w:num>
  <w:num w:numId="50">
    <w:abstractNumId w:val="51"/>
  </w:num>
  <w:num w:numId="51">
    <w:abstractNumId w:val="16"/>
  </w:num>
  <w:num w:numId="52">
    <w:abstractNumId w:val="2"/>
  </w:num>
  <w:num w:numId="53">
    <w:abstractNumId w:val="33"/>
  </w:num>
  <w:num w:numId="54">
    <w:abstractNumId w:val="39"/>
  </w:num>
  <w:num w:numId="55">
    <w:abstractNumId w:val="39"/>
  </w:num>
  <w:num w:numId="56">
    <w:abstractNumId w:val="18"/>
  </w:num>
  <w:num w:numId="57">
    <w:abstractNumId w:val="14"/>
  </w:num>
  <w:num w:numId="58">
    <w:abstractNumId w:val="43"/>
  </w:num>
  <w:num w:numId="59">
    <w:abstractNumId w:val="57"/>
  </w:num>
  <w:num w:numId="60">
    <w:abstractNumId w:val="15"/>
  </w:num>
  <w:numIdMacAtCleanup w:val="5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ostislav Mazal">
    <w15:presenceInfo w15:providerId="Windows Live" w15:userId="e9b744b284c1027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3686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1BB7"/>
    <w:rsid w:val="00000080"/>
    <w:rsid w:val="00000437"/>
    <w:rsid w:val="000004CF"/>
    <w:rsid w:val="00000509"/>
    <w:rsid w:val="00000811"/>
    <w:rsid w:val="000008BD"/>
    <w:rsid w:val="00000D20"/>
    <w:rsid w:val="00000D3A"/>
    <w:rsid w:val="00000D67"/>
    <w:rsid w:val="0000142E"/>
    <w:rsid w:val="00001446"/>
    <w:rsid w:val="000016DD"/>
    <w:rsid w:val="00001A22"/>
    <w:rsid w:val="00002676"/>
    <w:rsid w:val="000026DB"/>
    <w:rsid w:val="00002DD4"/>
    <w:rsid w:val="00002DD7"/>
    <w:rsid w:val="00002DE6"/>
    <w:rsid w:val="00002E2E"/>
    <w:rsid w:val="00002FBD"/>
    <w:rsid w:val="000032FD"/>
    <w:rsid w:val="00003843"/>
    <w:rsid w:val="000038C7"/>
    <w:rsid w:val="00003A72"/>
    <w:rsid w:val="00003DDA"/>
    <w:rsid w:val="00003DE5"/>
    <w:rsid w:val="00004034"/>
    <w:rsid w:val="0000428B"/>
    <w:rsid w:val="0000431F"/>
    <w:rsid w:val="00004358"/>
    <w:rsid w:val="0000446D"/>
    <w:rsid w:val="00004935"/>
    <w:rsid w:val="00004A8C"/>
    <w:rsid w:val="00004B5B"/>
    <w:rsid w:val="00004C56"/>
    <w:rsid w:val="00004D65"/>
    <w:rsid w:val="000051E8"/>
    <w:rsid w:val="00005540"/>
    <w:rsid w:val="00005612"/>
    <w:rsid w:val="000059C5"/>
    <w:rsid w:val="00005CF5"/>
    <w:rsid w:val="00005D3D"/>
    <w:rsid w:val="00005EB4"/>
    <w:rsid w:val="000065AB"/>
    <w:rsid w:val="000065CA"/>
    <w:rsid w:val="000066C1"/>
    <w:rsid w:val="00006ECD"/>
    <w:rsid w:val="00006F22"/>
    <w:rsid w:val="00007054"/>
    <w:rsid w:val="00007596"/>
    <w:rsid w:val="000075B4"/>
    <w:rsid w:val="000076E4"/>
    <w:rsid w:val="00007831"/>
    <w:rsid w:val="000079D1"/>
    <w:rsid w:val="00007E7A"/>
    <w:rsid w:val="000107C4"/>
    <w:rsid w:val="00010A92"/>
    <w:rsid w:val="00010AF2"/>
    <w:rsid w:val="00010B0C"/>
    <w:rsid w:val="00010D92"/>
    <w:rsid w:val="00010DF1"/>
    <w:rsid w:val="00010E03"/>
    <w:rsid w:val="00010F5F"/>
    <w:rsid w:val="00010FE1"/>
    <w:rsid w:val="00011900"/>
    <w:rsid w:val="00011B11"/>
    <w:rsid w:val="00011D9C"/>
    <w:rsid w:val="00012243"/>
    <w:rsid w:val="00012366"/>
    <w:rsid w:val="00012451"/>
    <w:rsid w:val="000126A6"/>
    <w:rsid w:val="00012A0C"/>
    <w:rsid w:val="00012BB2"/>
    <w:rsid w:val="00012C6A"/>
    <w:rsid w:val="00012CFF"/>
    <w:rsid w:val="00012F01"/>
    <w:rsid w:val="00012FBA"/>
    <w:rsid w:val="00013652"/>
    <w:rsid w:val="00013704"/>
    <w:rsid w:val="00013774"/>
    <w:rsid w:val="00013D98"/>
    <w:rsid w:val="00013DE0"/>
    <w:rsid w:val="00013E78"/>
    <w:rsid w:val="0001417D"/>
    <w:rsid w:val="00014373"/>
    <w:rsid w:val="00014511"/>
    <w:rsid w:val="00014775"/>
    <w:rsid w:val="000147E7"/>
    <w:rsid w:val="0001483C"/>
    <w:rsid w:val="0001496B"/>
    <w:rsid w:val="00014A2D"/>
    <w:rsid w:val="00014FC6"/>
    <w:rsid w:val="0001506B"/>
    <w:rsid w:val="0001509E"/>
    <w:rsid w:val="00015106"/>
    <w:rsid w:val="00015120"/>
    <w:rsid w:val="00015141"/>
    <w:rsid w:val="00015555"/>
    <w:rsid w:val="00015620"/>
    <w:rsid w:val="000157CE"/>
    <w:rsid w:val="00015E42"/>
    <w:rsid w:val="00015F96"/>
    <w:rsid w:val="0001609F"/>
    <w:rsid w:val="000160A1"/>
    <w:rsid w:val="00016178"/>
    <w:rsid w:val="00016201"/>
    <w:rsid w:val="000162AC"/>
    <w:rsid w:val="000163C8"/>
    <w:rsid w:val="000164CB"/>
    <w:rsid w:val="000165D2"/>
    <w:rsid w:val="000165E7"/>
    <w:rsid w:val="0001661F"/>
    <w:rsid w:val="00016AFE"/>
    <w:rsid w:val="00016E91"/>
    <w:rsid w:val="000170D6"/>
    <w:rsid w:val="000172DD"/>
    <w:rsid w:val="00017350"/>
    <w:rsid w:val="00017BB6"/>
    <w:rsid w:val="00017D9E"/>
    <w:rsid w:val="00017E8C"/>
    <w:rsid w:val="00017E94"/>
    <w:rsid w:val="0002030F"/>
    <w:rsid w:val="00020338"/>
    <w:rsid w:val="000208D4"/>
    <w:rsid w:val="00020951"/>
    <w:rsid w:val="00020B34"/>
    <w:rsid w:val="00020CE6"/>
    <w:rsid w:val="00020E63"/>
    <w:rsid w:val="00020FEE"/>
    <w:rsid w:val="00021594"/>
    <w:rsid w:val="00021BE4"/>
    <w:rsid w:val="00021ED8"/>
    <w:rsid w:val="00021F73"/>
    <w:rsid w:val="00022051"/>
    <w:rsid w:val="000220C7"/>
    <w:rsid w:val="0002249F"/>
    <w:rsid w:val="000225BF"/>
    <w:rsid w:val="00022CF7"/>
    <w:rsid w:val="00023301"/>
    <w:rsid w:val="000233A0"/>
    <w:rsid w:val="00023450"/>
    <w:rsid w:val="00023603"/>
    <w:rsid w:val="0002365B"/>
    <w:rsid w:val="00023A63"/>
    <w:rsid w:val="00023D3F"/>
    <w:rsid w:val="00023D78"/>
    <w:rsid w:val="000242A1"/>
    <w:rsid w:val="000243DF"/>
    <w:rsid w:val="000244E4"/>
    <w:rsid w:val="000246E3"/>
    <w:rsid w:val="00024817"/>
    <w:rsid w:val="000249FC"/>
    <w:rsid w:val="00024C95"/>
    <w:rsid w:val="00024CC3"/>
    <w:rsid w:val="00024F38"/>
    <w:rsid w:val="00025448"/>
    <w:rsid w:val="000255E9"/>
    <w:rsid w:val="00025B13"/>
    <w:rsid w:val="00025C6C"/>
    <w:rsid w:val="00025D93"/>
    <w:rsid w:val="00025E87"/>
    <w:rsid w:val="00026035"/>
    <w:rsid w:val="00026341"/>
    <w:rsid w:val="000263E9"/>
    <w:rsid w:val="00026630"/>
    <w:rsid w:val="00026AAC"/>
    <w:rsid w:val="00026BB1"/>
    <w:rsid w:val="00026DF4"/>
    <w:rsid w:val="00026DFF"/>
    <w:rsid w:val="000270DF"/>
    <w:rsid w:val="00027485"/>
    <w:rsid w:val="000275D4"/>
    <w:rsid w:val="00027701"/>
    <w:rsid w:val="000278A1"/>
    <w:rsid w:val="000278EC"/>
    <w:rsid w:val="00027B21"/>
    <w:rsid w:val="00027B7B"/>
    <w:rsid w:val="00027FA8"/>
    <w:rsid w:val="00030000"/>
    <w:rsid w:val="00030087"/>
    <w:rsid w:val="000302B3"/>
    <w:rsid w:val="000303CB"/>
    <w:rsid w:val="00030777"/>
    <w:rsid w:val="000308FC"/>
    <w:rsid w:val="0003094F"/>
    <w:rsid w:val="00030A3D"/>
    <w:rsid w:val="00030B72"/>
    <w:rsid w:val="00030CFC"/>
    <w:rsid w:val="00030E14"/>
    <w:rsid w:val="00030EFA"/>
    <w:rsid w:val="00031395"/>
    <w:rsid w:val="00031690"/>
    <w:rsid w:val="000316FC"/>
    <w:rsid w:val="000317AC"/>
    <w:rsid w:val="0003219F"/>
    <w:rsid w:val="000328AD"/>
    <w:rsid w:val="00032A1B"/>
    <w:rsid w:val="00032CD0"/>
    <w:rsid w:val="00032E2C"/>
    <w:rsid w:val="00032EFC"/>
    <w:rsid w:val="0003310A"/>
    <w:rsid w:val="0003311B"/>
    <w:rsid w:val="000336D7"/>
    <w:rsid w:val="00033C9D"/>
    <w:rsid w:val="00033DA8"/>
    <w:rsid w:val="00033E73"/>
    <w:rsid w:val="00033FC7"/>
    <w:rsid w:val="00033FFF"/>
    <w:rsid w:val="00034072"/>
    <w:rsid w:val="00034203"/>
    <w:rsid w:val="000345B2"/>
    <w:rsid w:val="00034643"/>
    <w:rsid w:val="00034841"/>
    <w:rsid w:val="0003496A"/>
    <w:rsid w:val="00034C3C"/>
    <w:rsid w:val="00034C99"/>
    <w:rsid w:val="00034D7C"/>
    <w:rsid w:val="00035113"/>
    <w:rsid w:val="00035357"/>
    <w:rsid w:val="000353BA"/>
    <w:rsid w:val="000354F7"/>
    <w:rsid w:val="00035547"/>
    <w:rsid w:val="00035D7B"/>
    <w:rsid w:val="00035DC7"/>
    <w:rsid w:val="0003618F"/>
    <w:rsid w:val="00036235"/>
    <w:rsid w:val="000366F8"/>
    <w:rsid w:val="000369AF"/>
    <w:rsid w:val="00036FF8"/>
    <w:rsid w:val="000378C4"/>
    <w:rsid w:val="00037B00"/>
    <w:rsid w:val="00037B21"/>
    <w:rsid w:val="00037C04"/>
    <w:rsid w:val="00037C28"/>
    <w:rsid w:val="00037E6D"/>
    <w:rsid w:val="00040068"/>
    <w:rsid w:val="000402EB"/>
    <w:rsid w:val="00040655"/>
    <w:rsid w:val="0004069D"/>
    <w:rsid w:val="00040776"/>
    <w:rsid w:val="00040880"/>
    <w:rsid w:val="000409CB"/>
    <w:rsid w:val="00040C22"/>
    <w:rsid w:val="00040EC0"/>
    <w:rsid w:val="00041101"/>
    <w:rsid w:val="000412C3"/>
    <w:rsid w:val="000416F1"/>
    <w:rsid w:val="000416F2"/>
    <w:rsid w:val="000418D3"/>
    <w:rsid w:val="0004190B"/>
    <w:rsid w:val="00041B44"/>
    <w:rsid w:val="00041D48"/>
    <w:rsid w:val="00041E6E"/>
    <w:rsid w:val="00041F44"/>
    <w:rsid w:val="00042172"/>
    <w:rsid w:val="0004233F"/>
    <w:rsid w:val="000429C8"/>
    <w:rsid w:val="00042C15"/>
    <w:rsid w:val="0004329D"/>
    <w:rsid w:val="000432E8"/>
    <w:rsid w:val="000434E9"/>
    <w:rsid w:val="0004350D"/>
    <w:rsid w:val="00043550"/>
    <w:rsid w:val="000436C1"/>
    <w:rsid w:val="000438BC"/>
    <w:rsid w:val="00043A55"/>
    <w:rsid w:val="00043B67"/>
    <w:rsid w:val="00043E93"/>
    <w:rsid w:val="000440EB"/>
    <w:rsid w:val="000441AE"/>
    <w:rsid w:val="000441BA"/>
    <w:rsid w:val="00044322"/>
    <w:rsid w:val="000443DF"/>
    <w:rsid w:val="000448D3"/>
    <w:rsid w:val="000449E1"/>
    <w:rsid w:val="00044D7B"/>
    <w:rsid w:val="00044EF9"/>
    <w:rsid w:val="00045189"/>
    <w:rsid w:val="0004589C"/>
    <w:rsid w:val="00045BCD"/>
    <w:rsid w:val="00045C85"/>
    <w:rsid w:val="00045F7C"/>
    <w:rsid w:val="00045FBA"/>
    <w:rsid w:val="0004644C"/>
    <w:rsid w:val="00046642"/>
    <w:rsid w:val="000468CA"/>
    <w:rsid w:val="00046BCB"/>
    <w:rsid w:val="00046E3B"/>
    <w:rsid w:val="00046FDE"/>
    <w:rsid w:val="000473E9"/>
    <w:rsid w:val="000473F0"/>
    <w:rsid w:val="0004744A"/>
    <w:rsid w:val="00047D8E"/>
    <w:rsid w:val="00047FC1"/>
    <w:rsid w:val="0005020E"/>
    <w:rsid w:val="000505C8"/>
    <w:rsid w:val="0005062B"/>
    <w:rsid w:val="00050639"/>
    <w:rsid w:val="00050BBF"/>
    <w:rsid w:val="00050C32"/>
    <w:rsid w:val="00050E4C"/>
    <w:rsid w:val="000512BB"/>
    <w:rsid w:val="000512DD"/>
    <w:rsid w:val="0005154C"/>
    <w:rsid w:val="00051587"/>
    <w:rsid w:val="000515B4"/>
    <w:rsid w:val="00051843"/>
    <w:rsid w:val="000518DD"/>
    <w:rsid w:val="000520C3"/>
    <w:rsid w:val="00052241"/>
    <w:rsid w:val="000529B0"/>
    <w:rsid w:val="00052AE7"/>
    <w:rsid w:val="00052C9C"/>
    <w:rsid w:val="00052D17"/>
    <w:rsid w:val="00052D5E"/>
    <w:rsid w:val="0005354C"/>
    <w:rsid w:val="0005380B"/>
    <w:rsid w:val="00053A24"/>
    <w:rsid w:val="00053BE9"/>
    <w:rsid w:val="00053F9F"/>
    <w:rsid w:val="0005431B"/>
    <w:rsid w:val="000545DC"/>
    <w:rsid w:val="00054631"/>
    <w:rsid w:val="00054AE6"/>
    <w:rsid w:val="00054C41"/>
    <w:rsid w:val="0005519A"/>
    <w:rsid w:val="000551C5"/>
    <w:rsid w:val="000552EF"/>
    <w:rsid w:val="000553F1"/>
    <w:rsid w:val="000554F5"/>
    <w:rsid w:val="00055D3B"/>
    <w:rsid w:val="0005619F"/>
    <w:rsid w:val="000561EF"/>
    <w:rsid w:val="0005630A"/>
    <w:rsid w:val="00056646"/>
    <w:rsid w:val="00056A6D"/>
    <w:rsid w:val="00056B58"/>
    <w:rsid w:val="00056C85"/>
    <w:rsid w:val="000572A7"/>
    <w:rsid w:val="0005749A"/>
    <w:rsid w:val="000574CE"/>
    <w:rsid w:val="0005778B"/>
    <w:rsid w:val="0005794C"/>
    <w:rsid w:val="000579B2"/>
    <w:rsid w:val="00060281"/>
    <w:rsid w:val="00060942"/>
    <w:rsid w:val="00060D25"/>
    <w:rsid w:val="0006155C"/>
    <w:rsid w:val="0006166E"/>
    <w:rsid w:val="00061B04"/>
    <w:rsid w:val="00061C35"/>
    <w:rsid w:val="00062150"/>
    <w:rsid w:val="00062297"/>
    <w:rsid w:val="000622D6"/>
    <w:rsid w:val="00062317"/>
    <w:rsid w:val="0006291F"/>
    <w:rsid w:val="00062BE0"/>
    <w:rsid w:val="00062CCC"/>
    <w:rsid w:val="00063278"/>
    <w:rsid w:val="00063348"/>
    <w:rsid w:val="0006336F"/>
    <w:rsid w:val="0006343A"/>
    <w:rsid w:val="00063567"/>
    <w:rsid w:val="00063591"/>
    <w:rsid w:val="00063A98"/>
    <w:rsid w:val="00063CD5"/>
    <w:rsid w:val="00063D0C"/>
    <w:rsid w:val="00063FFF"/>
    <w:rsid w:val="00064124"/>
    <w:rsid w:val="00064449"/>
    <w:rsid w:val="000646F3"/>
    <w:rsid w:val="00064F9D"/>
    <w:rsid w:val="0006530D"/>
    <w:rsid w:val="00065414"/>
    <w:rsid w:val="0006560E"/>
    <w:rsid w:val="00065C3F"/>
    <w:rsid w:val="0006602D"/>
    <w:rsid w:val="000662C9"/>
    <w:rsid w:val="00066335"/>
    <w:rsid w:val="00066701"/>
    <w:rsid w:val="00066799"/>
    <w:rsid w:val="000668DC"/>
    <w:rsid w:val="000669B6"/>
    <w:rsid w:val="000669DB"/>
    <w:rsid w:val="00066F51"/>
    <w:rsid w:val="0006709A"/>
    <w:rsid w:val="000674EC"/>
    <w:rsid w:val="00067750"/>
    <w:rsid w:val="00067793"/>
    <w:rsid w:val="000679A6"/>
    <w:rsid w:val="00067B55"/>
    <w:rsid w:val="000702E9"/>
    <w:rsid w:val="000703A8"/>
    <w:rsid w:val="000704BC"/>
    <w:rsid w:val="00070682"/>
    <w:rsid w:val="0007076D"/>
    <w:rsid w:val="000708B4"/>
    <w:rsid w:val="00070A26"/>
    <w:rsid w:val="00070B1E"/>
    <w:rsid w:val="00070BE9"/>
    <w:rsid w:val="00070D77"/>
    <w:rsid w:val="00070EBA"/>
    <w:rsid w:val="00070EDA"/>
    <w:rsid w:val="00070F2C"/>
    <w:rsid w:val="000712B6"/>
    <w:rsid w:val="0007179A"/>
    <w:rsid w:val="0007186D"/>
    <w:rsid w:val="000720B4"/>
    <w:rsid w:val="00072387"/>
    <w:rsid w:val="0007254C"/>
    <w:rsid w:val="000726E6"/>
    <w:rsid w:val="000729DE"/>
    <w:rsid w:val="000729EF"/>
    <w:rsid w:val="00072A95"/>
    <w:rsid w:val="00072BBB"/>
    <w:rsid w:val="00073025"/>
    <w:rsid w:val="000735B3"/>
    <w:rsid w:val="0007377E"/>
    <w:rsid w:val="00073985"/>
    <w:rsid w:val="00073C1A"/>
    <w:rsid w:val="00073FD5"/>
    <w:rsid w:val="0007405C"/>
    <w:rsid w:val="000741FF"/>
    <w:rsid w:val="0007453C"/>
    <w:rsid w:val="0007460B"/>
    <w:rsid w:val="00074701"/>
    <w:rsid w:val="00074708"/>
    <w:rsid w:val="00074BF1"/>
    <w:rsid w:val="00074E0F"/>
    <w:rsid w:val="00075325"/>
    <w:rsid w:val="00075599"/>
    <w:rsid w:val="000756B6"/>
    <w:rsid w:val="0007590A"/>
    <w:rsid w:val="000759C9"/>
    <w:rsid w:val="00075AE1"/>
    <w:rsid w:val="000760B8"/>
    <w:rsid w:val="00076549"/>
    <w:rsid w:val="00076572"/>
    <w:rsid w:val="00076D62"/>
    <w:rsid w:val="00076DEC"/>
    <w:rsid w:val="00076FAD"/>
    <w:rsid w:val="00076FEE"/>
    <w:rsid w:val="000770EC"/>
    <w:rsid w:val="00077124"/>
    <w:rsid w:val="000775BA"/>
    <w:rsid w:val="00077667"/>
    <w:rsid w:val="00077CC3"/>
    <w:rsid w:val="00077EE9"/>
    <w:rsid w:val="000801D7"/>
    <w:rsid w:val="0008073C"/>
    <w:rsid w:val="00080A7B"/>
    <w:rsid w:val="00080D70"/>
    <w:rsid w:val="00081622"/>
    <w:rsid w:val="00081C07"/>
    <w:rsid w:val="00081EAB"/>
    <w:rsid w:val="00081EC6"/>
    <w:rsid w:val="00082643"/>
    <w:rsid w:val="0008278B"/>
    <w:rsid w:val="00082911"/>
    <w:rsid w:val="00082F5F"/>
    <w:rsid w:val="00083476"/>
    <w:rsid w:val="0008386E"/>
    <w:rsid w:val="000838AE"/>
    <w:rsid w:val="00083948"/>
    <w:rsid w:val="00084174"/>
    <w:rsid w:val="000843A3"/>
    <w:rsid w:val="00084830"/>
    <w:rsid w:val="00084D62"/>
    <w:rsid w:val="00085129"/>
    <w:rsid w:val="0008517D"/>
    <w:rsid w:val="00085233"/>
    <w:rsid w:val="00085549"/>
    <w:rsid w:val="0008563E"/>
    <w:rsid w:val="00085E68"/>
    <w:rsid w:val="0008608A"/>
    <w:rsid w:val="0008631E"/>
    <w:rsid w:val="00086577"/>
    <w:rsid w:val="0008672D"/>
    <w:rsid w:val="00086FC2"/>
    <w:rsid w:val="000871A0"/>
    <w:rsid w:val="000873DE"/>
    <w:rsid w:val="00087733"/>
    <w:rsid w:val="00087B9C"/>
    <w:rsid w:val="00087C8D"/>
    <w:rsid w:val="00090070"/>
    <w:rsid w:val="0009040C"/>
    <w:rsid w:val="00090945"/>
    <w:rsid w:val="00090965"/>
    <w:rsid w:val="00090A36"/>
    <w:rsid w:val="00090CF0"/>
    <w:rsid w:val="00090D31"/>
    <w:rsid w:val="00090DA8"/>
    <w:rsid w:val="000912FC"/>
    <w:rsid w:val="00091919"/>
    <w:rsid w:val="00091AAA"/>
    <w:rsid w:val="00091C7F"/>
    <w:rsid w:val="00091C98"/>
    <w:rsid w:val="00091FCA"/>
    <w:rsid w:val="000921D0"/>
    <w:rsid w:val="000921DB"/>
    <w:rsid w:val="000923E1"/>
    <w:rsid w:val="000926D5"/>
    <w:rsid w:val="00092B4E"/>
    <w:rsid w:val="00092BB0"/>
    <w:rsid w:val="00092C57"/>
    <w:rsid w:val="000934EE"/>
    <w:rsid w:val="00093512"/>
    <w:rsid w:val="0009379C"/>
    <w:rsid w:val="00093D66"/>
    <w:rsid w:val="00093D77"/>
    <w:rsid w:val="00093F99"/>
    <w:rsid w:val="00093FA0"/>
    <w:rsid w:val="00094093"/>
    <w:rsid w:val="000940E0"/>
    <w:rsid w:val="00094113"/>
    <w:rsid w:val="00094280"/>
    <w:rsid w:val="0009446D"/>
    <w:rsid w:val="00094482"/>
    <w:rsid w:val="000947C5"/>
    <w:rsid w:val="00095514"/>
    <w:rsid w:val="000957EA"/>
    <w:rsid w:val="0009595E"/>
    <w:rsid w:val="00095AC2"/>
    <w:rsid w:val="0009603C"/>
    <w:rsid w:val="0009647F"/>
    <w:rsid w:val="00096660"/>
    <w:rsid w:val="000967D3"/>
    <w:rsid w:val="00096F66"/>
    <w:rsid w:val="0009702B"/>
    <w:rsid w:val="0009712A"/>
    <w:rsid w:val="000971BA"/>
    <w:rsid w:val="00097288"/>
    <w:rsid w:val="00097733"/>
    <w:rsid w:val="00097814"/>
    <w:rsid w:val="000979C5"/>
    <w:rsid w:val="00097B13"/>
    <w:rsid w:val="00097BC9"/>
    <w:rsid w:val="00097D60"/>
    <w:rsid w:val="00097E3B"/>
    <w:rsid w:val="000A001B"/>
    <w:rsid w:val="000A0670"/>
    <w:rsid w:val="000A07EF"/>
    <w:rsid w:val="000A09F6"/>
    <w:rsid w:val="000A0BDF"/>
    <w:rsid w:val="000A0FAE"/>
    <w:rsid w:val="000A0FF0"/>
    <w:rsid w:val="000A11F4"/>
    <w:rsid w:val="000A1259"/>
    <w:rsid w:val="000A13F5"/>
    <w:rsid w:val="000A152B"/>
    <w:rsid w:val="000A173B"/>
    <w:rsid w:val="000A1B02"/>
    <w:rsid w:val="000A1B9F"/>
    <w:rsid w:val="000A1BA9"/>
    <w:rsid w:val="000A1D6E"/>
    <w:rsid w:val="000A1D72"/>
    <w:rsid w:val="000A1EEE"/>
    <w:rsid w:val="000A206C"/>
    <w:rsid w:val="000A23E6"/>
    <w:rsid w:val="000A2516"/>
    <w:rsid w:val="000A2551"/>
    <w:rsid w:val="000A260D"/>
    <w:rsid w:val="000A2D33"/>
    <w:rsid w:val="000A2F43"/>
    <w:rsid w:val="000A3101"/>
    <w:rsid w:val="000A32B6"/>
    <w:rsid w:val="000A34DD"/>
    <w:rsid w:val="000A3543"/>
    <w:rsid w:val="000A36D9"/>
    <w:rsid w:val="000A3716"/>
    <w:rsid w:val="000A3885"/>
    <w:rsid w:val="000A3A11"/>
    <w:rsid w:val="000A3C8F"/>
    <w:rsid w:val="000A3CD1"/>
    <w:rsid w:val="000A3ECA"/>
    <w:rsid w:val="000A3F8B"/>
    <w:rsid w:val="000A434A"/>
    <w:rsid w:val="000A4410"/>
    <w:rsid w:val="000A4494"/>
    <w:rsid w:val="000A4626"/>
    <w:rsid w:val="000A49BE"/>
    <w:rsid w:val="000A4AE0"/>
    <w:rsid w:val="000A4CDA"/>
    <w:rsid w:val="000A4D5C"/>
    <w:rsid w:val="000A4D9D"/>
    <w:rsid w:val="000A501F"/>
    <w:rsid w:val="000A5203"/>
    <w:rsid w:val="000A53A4"/>
    <w:rsid w:val="000A5837"/>
    <w:rsid w:val="000A5C44"/>
    <w:rsid w:val="000A5E2A"/>
    <w:rsid w:val="000A5E59"/>
    <w:rsid w:val="000A5E82"/>
    <w:rsid w:val="000A5F1D"/>
    <w:rsid w:val="000A607B"/>
    <w:rsid w:val="000A6415"/>
    <w:rsid w:val="000A64E0"/>
    <w:rsid w:val="000A6689"/>
    <w:rsid w:val="000A6A17"/>
    <w:rsid w:val="000A6E75"/>
    <w:rsid w:val="000A6F4C"/>
    <w:rsid w:val="000A6F6D"/>
    <w:rsid w:val="000A7134"/>
    <w:rsid w:val="000A71EE"/>
    <w:rsid w:val="000A72DD"/>
    <w:rsid w:val="000A7531"/>
    <w:rsid w:val="000A7638"/>
    <w:rsid w:val="000A77FC"/>
    <w:rsid w:val="000A7D28"/>
    <w:rsid w:val="000A7FD4"/>
    <w:rsid w:val="000B00BC"/>
    <w:rsid w:val="000B0543"/>
    <w:rsid w:val="000B063C"/>
    <w:rsid w:val="000B0954"/>
    <w:rsid w:val="000B0AA3"/>
    <w:rsid w:val="000B13A1"/>
    <w:rsid w:val="000B15F0"/>
    <w:rsid w:val="000B16E4"/>
    <w:rsid w:val="000B1D13"/>
    <w:rsid w:val="000B2389"/>
    <w:rsid w:val="000B26AB"/>
    <w:rsid w:val="000B2A73"/>
    <w:rsid w:val="000B3018"/>
    <w:rsid w:val="000B32CD"/>
    <w:rsid w:val="000B3407"/>
    <w:rsid w:val="000B37AB"/>
    <w:rsid w:val="000B3C3C"/>
    <w:rsid w:val="000B3F09"/>
    <w:rsid w:val="000B40F8"/>
    <w:rsid w:val="000B40F9"/>
    <w:rsid w:val="000B4412"/>
    <w:rsid w:val="000B4491"/>
    <w:rsid w:val="000B4561"/>
    <w:rsid w:val="000B4C21"/>
    <w:rsid w:val="000B4C80"/>
    <w:rsid w:val="000B4CB7"/>
    <w:rsid w:val="000B4CEB"/>
    <w:rsid w:val="000B4E15"/>
    <w:rsid w:val="000B4E7D"/>
    <w:rsid w:val="000B4ED2"/>
    <w:rsid w:val="000B4F62"/>
    <w:rsid w:val="000B51A4"/>
    <w:rsid w:val="000B5204"/>
    <w:rsid w:val="000B5536"/>
    <w:rsid w:val="000B5DB8"/>
    <w:rsid w:val="000B5DC1"/>
    <w:rsid w:val="000B634D"/>
    <w:rsid w:val="000B64D3"/>
    <w:rsid w:val="000B6728"/>
    <w:rsid w:val="000B6DA1"/>
    <w:rsid w:val="000B6F86"/>
    <w:rsid w:val="000B7271"/>
    <w:rsid w:val="000B727D"/>
    <w:rsid w:val="000B747D"/>
    <w:rsid w:val="000B750B"/>
    <w:rsid w:val="000B77D1"/>
    <w:rsid w:val="000B7B68"/>
    <w:rsid w:val="000B7F99"/>
    <w:rsid w:val="000C0428"/>
    <w:rsid w:val="000C0D1D"/>
    <w:rsid w:val="000C173D"/>
    <w:rsid w:val="000C1CCA"/>
    <w:rsid w:val="000C1D94"/>
    <w:rsid w:val="000C1F7C"/>
    <w:rsid w:val="000C1FFF"/>
    <w:rsid w:val="000C2103"/>
    <w:rsid w:val="000C21E4"/>
    <w:rsid w:val="000C2298"/>
    <w:rsid w:val="000C2323"/>
    <w:rsid w:val="000C2352"/>
    <w:rsid w:val="000C2499"/>
    <w:rsid w:val="000C24FC"/>
    <w:rsid w:val="000C2E5C"/>
    <w:rsid w:val="000C3070"/>
    <w:rsid w:val="000C313D"/>
    <w:rsid w:val="000C368B"/>
    <w:rsid w:val="000C368F"/>
    <w:rsid w:val="000C3B3C"/>
    <w:rsid w:val="000C3B4B"/>
    <w:rsid w:val="000C3D4C"/>
    <w:rsid w:val="000C3EE1"/>
    <w:rsid w:val="000C42BC"/>
    <w:rsid w:val="000C4803"/>
    <w:rsid w:val="000C4CEA"/>
    <w:rsid w:val="000C509D"/>
    <w:rsid w:val="000C554D"/>
    <w:rsid w:val="000C56FE"/>
    <w:rsid w:val="000C5959"/>
    <w:rsid w:val="000C5A30"/>
    <w:rsid w:val="000C5DEA"/>
    <w:rsid w:val="000C61F3"/>
    <w:rsid w:val="000C63FC"/>
    <w:rsid w:val="000C659A"/>
    <w:rsid w:val="000C6761"/>
    <w:rsid w:val="000C67C3"/>
    <w:rsid w:val="000C6976"/>
    <w:rsid w:val="000C69DB"/>
    <w:rsid w:val="000C6B4F"/>
    <w:rsid w:val="000C6CF9"/>
    <w:rsid w:val="000C6FF3"/>
    <w:rsid w:val="000C785D"/>
    <w:rsid w:val="000C7880"/>
    <w:rsid w:val="000C791D"/>
    <w:rsid w:val="000C7A5C"/>
    <w:rsid w:val="000C7AC2"/>
    <w:rsid w:val="000C7B70"/>
    <w:rsid w:val="000D00A5"/>
    <w:rsid w:val="000D0B53"/>
    <w:rsid w:val="000D0ED9"/>
    <w:rsid w:val="000D1338"/>
    <w:rsid w:val="000D151A"/>
    <w:rsid w:val="000D1617"/>
    <w:rsid w:val="000D1AB7"/>
    <w:rsid w:val="000D1B22"/>
    <w:rsid w:val="000D2164"/>
    <w:rsid w:val="000D2242"/>
    <w:rsid w:val="000D2477"/>
    <w:rsid w:val="000D253F"/>
    <w:rsid w:val="000D286E"/>
    <w:rsid w:val="000D2874"/>
    <w:rsid w:val="000D2903"/>
    <w:rsid w:val="000D2C50"/>
    <w:rsid w:val="000D327C"/>
    <w:rsid w:val="000D3384"/>
    <w:rsid w:val="000D3542"/>
    <w:rsid w:val="000D35AB"/>
    <w:rsid w:val="000D3924"/>
    <w:rsid w:val="000D3B48"/>
    <w:rsid w:val="000D3F81"/>
    <w:rsid w:val="000D415B"/>
    <w:rsid w:val="000D42EC"/>
    <w:rsid w:val="000D4329"/>
    <w:rsid w:val="000D45F4"/>
    <w:rsid w:val="000D4D81"/>
    <w:rsid w:val="000D4E30"/>
    <w:rsid w:val="000D5656"/>
    <w:rsid w:val="000D5A4F"/>
    <w:rsid w:val="000D5B15"/>
    <w:rsid w:val="000D5B22"/>
    <w:rsid w:val="000D5B30"/>
    <w:rsid w:val="000D5B87"/>
    <w:rsid w:val="000D5BFE"/>
    <w:rsid w:val="000D5CBE"/>
    <w:rsid w:val="000D6588"/>
    <w:rsid w:val="000D68A9"/>
    <w:rsid w:val="000D6B03"/>
    <w:rsid w:val="000D6CA4"/>
    <w:rsid w:val="000D6CF5"/>
    <w:rsid w:val="000D6FF9"/>
    <w:rsid w:val="000D7053"/>
    <w:rsid w:val="000D717B"/>
    <w:rsid w:val="000D7469"/>
    <w:rsid w:val="000D76DA"/>
    <w:rsid w:val="000D7711"/>
    <w:rsid w:val="000D7728"/>
    <w:rsid w:val="000D7B95"/>
    <w:rsid w:val="000D7F99"/>
    <w:rsid w:val="000E01DF"/>
    <w:rsid w:val="000E02DE"/>
    <w:rsid w:val="000E0A6E"/>
    <w:rsid w:val="000E0C48"/>
    <w:rsid w:val="000E0CFA"/>
    <w:rsid w:val="000E0D13"/>
    <w:rsid w:val="000E0FE2"/>
    <w:rsid w:val="000E10B3"/>
    <w:rsid w:val="000E145A"/>
    <w:rsid w:val="000E14DD"/>
    <w:rsid w:val="000E1E35"/>
    <w:rsid w:val="000E1F2A"/>
    <w:rsid w:val="000E237A"/>
    <w:rsid w:val="000E265E"/>
    <w:rsid w:val="000E287B"/>
    <w:rsid w:val="000E2974"/>
    <w:rsid w:val="000E297B"/>
    <w:rsid w:val="000E2A36"/>
    <w:rsid w:val="000E2DD6"/>
    <w:rsid w:val="000E2EA0"/>
    <w:rsid w:val="000E34DA"/>
    <w:rsid w:val="000E35BD"/>
    <w:rsid w:val="000E3A9E"/>
    <w:rsid w:val="000E3B83"/>
    <w:rsid w:val="000E4465"/>
    <w:rsid w:val="000E45DB"/>
    <w:rsid w:val="000E4652"/>
    <w:rsid w:val="000E4706"/>
    <w:rsid w:val="000E47BE"/>
    <w:rsid w:val="000E4BE7"/>
    <w:rsid w:val="000E4E9D"/>
    <w:rsid w:val="000E5086"/>
    <w:rsid w:val="000E5B2F"/>
    <w:rsid w:val="000E5F4B"/>
    <w:rsid w:val="000E61E6"/>
    <w:rsid w:val="000E63CE"/>
    <w:rsid w:val="000E6513"/>
    <w:rsid w:val="000E6554"/>
    <w:rsid w:val="000E65FD"/>
    <w:rsid w:val="000E6B3C"/>
    <w:rsid w:val="000E6CD8"/>
    <w:rsid w:val="000E6FAC"/>
    <w:rsid w:val="000E74CB"/>
    <w:rsid w:val="000E750B"/>
    <w:rsid w:val="000E7DC1"/>
    <w:rsid w:val="000E7F0A"/>
    <w:rsid w:val="000F0080"/>
    <w:rsid w:val="000F0455"/>
    <w:rsid w:val="000F073D"/>
    <w:rsid w:val="000F0AAA"/>
    <w:rsid w:val="000F0B85"/>
    <w:rsid w:val="000F0BF0"/>
    <w:rsid w:val="000F0D6F"/>
    <w:rsid w:val="000F1334"/>
    <w:rsid w:val="000F19C1"/>
    <w:rsid w:val="000F2071"/>
    <w:rsid w:val="000F22E4"/>
    <w:rsid w:val="000F27EB"/>
    <w:rsid w:val="000F2845"/>
    <w:rsid w:val="000F2D5C"/>
    <w:rsid w:val="000F2F1C"/>
    <w:rsid w:val="000F3376"/>
    <w:rsid w:val="000F35F1"/>
    <w:rsid w:val="000F385B"/>
    <w:rsid w:val="000F4ADB"/>
    <w:rsid w:val="000F4F71"/>
    <w:rsid w:val="000F5010"/>
    <w:rsid w:val="000F50C1"/>
    <w:rsid w:val="000F50F5"/>
    <w:rsid w:val="000F525C"/>
    <w:rsid w:val="000F5381"/>
    <w:rsid w:val="000F53E8"/>
    <w:rsid w:val="000F54F1"/>
    <w:rsid w:val="000F55F5"/>
    <w:rsid w:val="000F5781"/>
    <w:rsid w:val="000F5BEF"/>
    <w:rsid w:val="000F5BF6"/>
    <w:rsid w:val="000F5EC3"/>
    <w:rsid w:val="000F611D"/>
    <w:rsid w:val="000F65E5"/>
    <w:rsid w:val="000F664E"/>
    <w:rsid w:val="000F66D8"/>
    <w:rsid w:val="000F6926"/>
    <w:rsid w:val="000F6BDE"/>
    <w:rsid w:val="000F6CD9"/>
    <w:rsid w:val="000F6E6F"/>
    <w:rsid w:val="000F6FFB"/>
    <w:rsid w:val="000F703B"/>
    <w:rsid w:val="000F744A"/>
    <w:rsid w:val="000F76C3"/>
    <w:rsid w:val="000F7A39"/>
    <w:rsid w:val="000F7B8C"/>
    <w:rsid w:val="000F7D23"/>
    <w:rsid w:val="000F7E0E"/>
    <w:rsid w:val="000F7EB5"/>
    <w:rsid w:val="000F7F88"/>
    <w:rsid w:val="00100093"/>
    <w:rsid w:val="00100166"/>
    <w:rsid w:val="0010023D"/>
    <w:rsid w:val="001003FD"/>
    <w:rsid w:val="00100561"/>
    <w:rsid w:val="00100574"/>
    <w:rsid w:val="001007F1"/>
    <w:rsid w:val="001008D7"/>
    <w:rsid w:val="00100993"/>
    <w:rsid w:val="00100A7F"/>
    <w:rsid w:val="00100E13"/>
    <w:rsid w:val="001010CF"/>
    <w:rsid w:val="00101160"/>
    <w:rsid w:val="0010139C"/>
    <w:rsid w:val="0010149B"/>
    <w:rsid w:val="001014BF"/>
    <w:rsid w:val="00101575"/>
    <w:rsid w:val="001017FC"/>
    <w:rsid w:val="00101C5B"/>
    <w:rsid w:val="00101CF5"/>
    <w:rsid w:val="00101D62"/>
    <w:rsid w:val="00101E17"/>
    <w:rsid w:val="00101FE0"/>
    <w:rsid w:val="0010202A"/>
    <w:rsid w:val="0010213F"/>
    <w:rsid w:val="00102477"/>
    <w:rsid w:val="0010283F"/>
    <w:rsid w:val="00102906"/>
    <w:rsid w:val="00102A82"/>
    <w:rsid w:val="00102BC1"/>
    <w:rsid w:val="00102CE4"/>
    <w:rsid w:val="00102D69"/>
    <w:rsid w:val="00102DAC"/>
    <w:rsid w:val="00103379"/>
    <w:rsid w:val="001033FC"/>
    <w:rsid w:val="00103C89"/>
    <w:rsid w:val="00103CB8"/>
    <w:rsid w:val="00103DEF"/>
    <w:rsid w:val="001044BA"/>
    <w:rsid w:val="00104868"/>
    <w:rsid w:val="00104984"/>
    <w:rsid w:val="00104E02"/>
    <w:rsid w:val="00105167"/>
    <w:rsid w:val="00105340"/>
    <w:rsid w:val="0010548F"/>
    <w:rsid w:val="00105554"/>
    <w:rsid w:val="001055CE"/>
    <w:rsid w:val="00105E4A"/>
    <w:rsid w:val="00105F91"/>
    <w:rsid w:val="0010602B"/>
    <w:rsid w:val="00106143"/>
    <w:rsid w:val="001068AD"/>
    <w:rsid w:val="00106BBD"/>
    <w:rsid w:val="00106C37"/>
    <w:rsid w:val="001070C3"/>
    <w:rsid w:val="0010741B"/>
    <w:rsid w:val="00107CE5"/>
    <w:rsid w:val="00107EB0"/>
    <w:rsid w:val="0011009B"/>
    <w:rsid w:val="0011051F"/>
    <w:rsid w:val="0011071D"/>
    <w:rsid w:val="001109EE"/>
    <w:rsid w:val="001110B0"/>
    <w:rsid w:val="00111212"/>
    <w:rsid w:val="00111442"/>
    <w:rsid w:val="00111829"/>
    <w:rsid w:val="001118E8"/>
    <w:rsid w:val="00111B54"/>
    <w:rsid w:val="00112574"/>
    <w:rsid w:val="00112695"/>
    <w:rsid w:val="0011272B"/>
    <w:rsid w:val="00112762"/>
    <w:rsid w:val="00112946"/>
    <w:rsid w:val="00112A97"/>
    <w:rsid w:val="00112B5A"/>
    <w:rsid w:val="00112BA7"/>
    <w:rsid w:val="00112DED"/>
    <w:rsid w:val="00113266"/>
    <w:rsid w:val="00113782"/>
    <w:rsid w:val="001137A7"/>
    <w:rsid w:val="0011390B"/>
    <w:rsid w:val="00113930"/>
    <w:rsid w:val="00113BD1"/>
    <w:rsid w:val="001141AD"/>
    <w:rsid w:val="001143C4"/>
    <w:rsid w:val="001143D2"/>
    <w:rsid w:val="001145A9"/>
    <w:rsid w:val="001146CD"/>
    <w:rsid w:val="00114AFD"/>
    <w:rsid w:val="00114C2B"/>
    <w:rsid w:val="00114E44"/>
    <w:rsid w:val="001150FA"/>
    <w:rsid w:val="001151A1"/>
    <w:rsid w:val="001153DD"/>
    <w:rsid w:val="0011588C"/>
    <w:rsid w:val="00115E56"/>
    <w:rsid w:val="001162D0"/>
    <w:rsid w:val="001162E7"/>
    <w:rsid w:val="00116610"/>
    <w:rsid w:val="00116A4D"/>
    <w:rsid w:val="00116D32"/>
    <w:rsid w:val="00116ED3"/>
    <w:rsid w:val="0011704E"/>
    <w:rsid w:val="001170B9"/>
    <w:rsid w:val="001176F1"/>
    <w:rsid w:val="00117962"/>
    <w:rsid w:val="00117BAA"/>
    <w:rsid w:val="00117DEF"/>
    <w:rsid w:val="00120109"/>
    <w:rsid w:val="0012030D"/>
    <w:rsid w:val="00120401"/>
    <w:rsid w:val="0012068E"/>
    <w:rsid w:val="001207C9"/>
    <w:rsid w:val="00120CEE"/>
    <w:rsid w:val="00120D1D"/>
    <w:rsid w:val="00120E16"/>
    <w:rsid w:val="001211FF"/>
    <w:rsid w:val="001213DB"/>
    <w:rsid w:val="001216E7"/>
    <w:rsid w:val="001219A3"/>
    <w:rsid w:val="00121BDB"/>
    <w:rsid w:val="0012226F"/>
    <w:rsid w:val="001228A4"/>
    <w:rsid w:val="00122A14"/>
    <w:rsid w:val="00122A78"/>
    <w:rsid w:val="00122D96"/>
    <w:rsid w:val="00122DDB"/>
    <w:rsid w:val="00122E38"/>
    <w:rsid w:val="00122E9A"/>
    <w:rsid w:val="001232BA"/>
    <w:rsid w:val="0012331C"/>
    <w:rsid w:val="0012333A"/>
    <w:rsid w:val="00123BA5"/>
    <w:rsid w:val="001240AF"/>
    <w:rsid w:val="0012417C"/>
    <w:rsid w:val="00124277"/>
    <w:rsid w:val="001242B0"/>
    <w:rsid w:val="001249F5"/>
    <w:rsid w:val="00124BB2"/>
    <w:rsid w:val="00124C10"/>
    <w:rsid w:val="00125070"/>
    <w:rsid w:val="0012565C"/>
    <w:rsid w:val="0012585A"/>
    <w:rsid w:val="00125947"/>
    <w:rsid w:val="00125B0D"/>
    <w:rsid w:val="00125CDC"/>
    <w:rsid w:val="00126438"/>
    <w:rsid w:val="00126481"/>
    <w:rsid w:val="001268F7"/>
    <w:rsid w:val="00126BDE"/>
    <w:rsid w:val="00126BF0"/>
    <w:rsid w:val="00126D39"/>
    <w:rsid w:val="00127355"/>
    <w:rsid w:val="001273E0"/>
    <w:rsid w:val="00127447"/>
    <w:rsid w:val="00127522"/>
    <w:rsid w:val="00127911"/>
    <w:rsid w:val="00127AA6"/>
    <w:rsid w:val="00127BF0"/>
    <w:rsid w:val="00127D5C"/>
    <w:rsid w:val="00130089"/>
    <w:rsid w:val="001303E0"/>
    <w:rsid w:val="001307A2"/>
    <w:rsid w:val="00130B57"/>
    <w:rsid w:val="00131345"/>
    <w:rsid w:val="00131711"/>
    <w:rsid w:val="0013191E"/>
    <w:rsid w:val="00131C39"/>
    <w:rsid w:val="00131F04"/>
    <w:rsid w:val="001323E3"/>
    <w:rsid w:val="001325C3"/>
    <w:rsid w:val="00132662"/>
    <w:rsid w:val="0013296C"/>
    <w:rsid w:val="00132EB6"/>
    <w:rsid w:val="00132F59"/>
    <w:rsid w:val="00132FF7"/>
    <w:rsid w:val="00133179"/>
    <w:rsid w:val="001332F4"/>
    <w:rsid w:val="0013338D"/>
    <w:rsid w:val="00133C29"/>
    <w:rsid w:val="001341F2"/>
    <w:rsid w:val="001343CF"/>
    <w:rsid w:val="001344D4"/>
    <w:rsid w:val="00134515"/>
    <w:rsid w:val="00134604"/>
    <w:rsid w:val="001347DE"/>
    <w:rsid w:val="0013485C"/>
    <w:rsid w:val="00134947"/>
    <w:rsid w:val="00134B91"/>
    <w:rsid w:val="00134E65"/>
    <w:rsid w:val="00134F2D"/>
    <w:rsid w:val="00134F74"/>
    <w:rsid w:val="001350B6"/>
    <w:rsid w:val="001351B6"/>
    <w:rsid w:val="001356BB"/>
    <w:rsid w:val="00135B03"/>
    <w:rsid w:val="00136037"/>
    <w:rsid w:val="001361D1"/>
    <w:rsid w:val="00136784"/>
    <w:rsid w:val="0013693D"/>
    <w:rsid w:val="00136B6B"/>
    <w:rsid w:val="00137103"/>
    <w:rsid w:val="00137221"/>
    <w:rsid w:val="001373DD"/>
    <w:rsid w:val="0013795B"/>
    <w:rsid w:val="00137A01"/>
    <w:rsid w:val="00137C76"/>
    <w:rsid w:val="00137FE1"/>
    <w:rsid w:val="0014036F"/>
    <w:rsid w:val="001403A3"/>
    <w:rsid w:val="00140A4D"/>
    <w:rsid w:val="001418D3"/>
    <w:rsid w:val="001418E8"/>
    <w:rsid w:val="00142410"/>
    <w:rsid w:val="00142638"/>
    <w:rsid w:val="001428C1"/>
    <w:rsid w:val="00142C81"/>
    <w:rsid w:val="001431E1"/>
    <w:rsid w:val="001434BC"/>
    <w:rsid w:val="00143BD8"/>
    <w:rsid w:val="00143C77"/>
    <w:rsid w:val="00143C95"/>
    <w:rsid w:val="00143CE2"/>
    <w:rsid w:val="00144021"/>
    <w:rsid w:val="00144034"/>
    <w:rsid w:val="0014406B"/>
    <w:rsid w:val="00144492"/>
    <w:rsid w:val="001445FE"/>
    <w:rsid w:val="00144836"/>
    <w:rsid w:val="001448C9"/>
    <w:rsid w:val="00144AB1"/>
    <w:rsid w:val="00145198"/>
    <w:rsid w:val="00145220"/>
    <w:rsid w:val="0014543C"/>
    <w:rsid w:val="00145474"/>
    <w:rsid w:val="001454F8"/>
    <w:rsid w:val="00145672"/>
    <w:rsid w:val="0014577A"/>
    <w:rsid w:val="00145973"/>
    <w:rsid w:val="00145B96"/>
    <w:rsid w:val="00145BD6"/>
    <w:rsid w:val="00145C71"/>
    <w:rsid w:val="00145DB7"/>
    <w:rsid w:val="00145E88"/>
    <w:rsid w:val="0014637C"/>
    <w:rsid w:val="00146434"/>
    <w:rsid w:val="00146464"/>
    <w:rsid w:val="001468AD"/>
    <w:rsid w:val="00146DFF"/>
    <w:rsid w:val="00146F78"/>
    <w:rsid w:val="00147083"/>
    <w:rsid w:val="00147184"/>
    <w:rsid w:val="001472E0"/>
    <w:rsid w:val="00147655"/>
    <w:rsid w:val="0014776F"/>
    <w:rsid w:val="00147BD3"/>
    <w:rsid w:val="00147E31"/>
    <w:rsid w:val="00147E65"/>
    <w:rsid w:val="00147E6F"/>
    <w:rsid w:val="00147EA6"/>
    <w:rsid w:val="0015024C"/>
    <w:rsid w:val="00150402"/>
    <w:rsid w:val="0015041D"/>
    <w:rsid w:val="0015047F"/>
    <w:rsid w:val="001504DF"/>
    <w:rsid w:val="00150677"/>
    <w:rsid w:val="00150B82"/>
    <w:rsid w:val="00151436"/>
    <w:rsid w:val="001515C0"/>
    <w:rsid w:val="00151697"/>
    <w:rsid w:val="00151A74"/>
    <w:rsid w:val="00151A9D"/>
    <w:rsid w:val="00151AE3"/>
    <w:rsid w:val="00151AF8"/>
    <w:rsid w:val="00151CF7"/>
    <w:rsid w:val="00152029"/>
    <w:rsid w:val="001520FE"/>
    <w:rsid w:val="00152129"/>
    <w:rsid w:val="00152D65"/>
    <w:rsid w:val="001531B8"/>
    <w:rsid w:val="00153234"/>
    <w:rsid w:val="00153351"/>
    <w:rsid w:val="00153AE7"/>
    <w:rsid w:val="00153B0D"/>
    <w:rsid w:val="00153D9A"/>
    <w:rsid w:val="00153EC0"/>
    <w:rsid w:val="0015414E"/>
    <w:rsid w:val="001542B4"/>
    <w:rsid w:val="001542E0"/>
    <w:rsid w:val="00154310"/>
    <w:rsid w:val="001544E2"/>
    <w:rsid w:val="0015481E"/>
    <w:rsid w:val="001548C2"/>
    <w:rsid w:val="00154927"/>
    <w:rsid w:val="00154F27"/>
    <w:rsid w:val="0015509C"/>
    <w:rsid w:val="001551BD"/>
    <w:rsid w:val="0015529A"/>
    <w:rsid w:val="0015553C"/>
    <w:rsid w:val="0015594F"/>
    <w:rsid w:val="00155C54"/>
    <w:rsid w:val="00155C99"/>
    <w:rsid w:val="0015622B"/>
    <w:rsid w:val="00156A72"/>
    <w:rsid w:val="00156A7D"/>
    <w:rsid w:val="00156FF8"/>
    <w:rsid w:val="00157169"/>
    <w:rsid w:val="001574CE"/>
    <w:rsid w:val="001575DA"/>
    <w:rsid w:val="00157612"/>
    <w:rsid w:val="0015783A"/>
    <w:rsid w:val="001579DF"/>
    <w:rsid w:val="00157F1E"/>
    <w:rsid w:val="001600E7"/>
    <w:rsid w:val="001602B8"/>
    <w:rsid w:val="00160532"/>
    <w:rsid w:val="00160C3C"/>
    <w:rsid w:val="001610E3"/>
    <w:rsid w:val="00161306"/>
    <w:rsid w:val="001616C7"/>
    <w:rsid w:val="001616DD"/>
    <w:rsid w:val="00161A96"/>
    <w:rsid w:val="00161ED1"/>
    <w:rsid w:val="001625E0"/>
    <w:rsid w:val="00162783"/>
    <w:rsid w:val="00162A6B"/>
    <w:rsid w:val="00162D8C"/>
    <w:rsid w:val="00162E07"/>
    <w:rsid w:val="00162FC9"/>
    <w:rsid w:val="00163089"/>
    <w:rsid w:val="001630F4"/>
    <w:rsid w:val="00163122"/>
    <w:rsid w:val="00163252"/>
    <w:rsid w:val="0016325B"/>
    <w:rsid w:val="0016365D"/>
    <w:rsid w:val="0016380F"/>
    <w:rsid w:val="001638F0"/>
    <w:rsid w:val="001639F0"/>
    <w:rsid w:val="00163CD2"/>
    <w:rsid w:val="00163DE8"/>
    <w:rsid w:val="00163EB6"/>
    <w:rsid w:val="00163F7E"/>
    <w:rsid w:val="001642E7"/>
    <w:rsid w:val="001642EB"/>
    <w:rsid w:val="001644BB"/>
    <w:rsid w:val="001645E7"/>
    <w:rsid w:val="001656E5"/>
    <w:rsid w:val="00165C41"/>
    <w:rsid w:val="00165EE4"/>
    <w:rsid w:val="00165FCE"/>
    <w:rsid w:val="001661BC"/>
    <w:rsid w:val="00166326"/>
    <w:rsid w:val="00166415"/>
    <w:rsid w:val="00166670"/>
    <w:rsid w:val="00166729"/>
    <w:rsid w:val="00166937"/>
    <w:rsid w:val="0016694A"/>
    <w:rsid w:val="00166A29"/>
    <w:rsid w:val="00167056"/>
    <w:rsid w:val="001671A0"/>
    <w:rsid w:val="0016763F"/>
    <w:rsid w:val="0016769C"/>
    <w:rsid w:val="001676CB"/>
    <w:rsid w:val="001678A5"/>
    <w:rsid w:val="00167E54"/>
    <w:rsid w:val="00167FB8"/>
    <w:rsid w:val="00170169"/>
    <w:rsid w:val="001701D7"/>
    <w:rsid w:val="00170321"/>
    <w:rsid w:val="0017054B"/>
    <w:rsid w:val="00170715"/>
    <w:rsid w:val="00170902"/>
    <w:rsid w:val="00170BF6"/>
    <w:rsid w:val="00170E27"/>
    <w:rsid w:val="00170EC9"/>
    <w:rsid w:val="0017159F"/>
    <w:rsid w:val="00171AA2"/>
    <w:rsid w:val="00171ABA"/>
    <w:rsid w:val="00171B89"/>
    <w:rsid w:val="00171BC2"/>
    <w:rsid w:val="00171BEC"/>
    <w:rsid w:val="00172661"/>
    <w:rsid w:val="00172682"/>
    <w:rsid w:val="00172B31"/>
    <w:rsid w:val="00172D82"/>
    <w:rsid w:val="00172EC3"/>
    <w:rsid w:val="00172F52"/>
    <w:rsid w:val="00172FFB"/>
    <w:rsid w:val="00173228"/>
    <w:rsid w:val="0017381D"/>
    <w:rsid w:val="00173968"/>
    <w:rsid w:val="00173AC0"/>
    <w:rsid w:val="00173EF5"/>
    <w:rsid w:val="00173F64"/>
    <w:rsid w:val="00174011"/>
    <w:rsid w:val="00174248"/>
    <w:rsid w:val="00174433"/>
    <w:rsid w:val="00174546"/>
    <w:rsid w:val="0017456B"/>
    <w:rsid w:val="0017459C"/>
    <w:rsid w:val="001745BD"/>
    <w:rsid w:val="001749BC"/>
    <w:rsid w:val="00174AC4"/>
    <w:rsid w:val="00174C89"/>
    <w:rsid w:val="00174CAE"/>
    <w:rsid w:val="00174EA7"/>
    <w:rsid w:val="00175048"/>
    <w:rsid w:val="001752EF"/>
    <w:rsid w:val="00175641"/>
    <w:rsid w:val="001757C8"/>
    <w:rsid w:val="00175AC8"/>
    <w:rsid w:val="00175D7C"/>
    <w:rsid w:val="001760C1"/>
    <w:rsid w:val="00176574"/>
    <w:rsid w:val="00176713"/>
    <w:rsid w:val="001767F3"/>
    <w:rsid w:val="00176C27"/>
    <w:rsid w:val="00176EDD"/>
    <w:rsid w:val="00176F76"/>
    <w:rsid w:val="001771B6"/>
    <w:rsid w:val="0017731E"/>
    <w:rsid w:val="001777A0"/>
    <w:rsid w:val="00177836"/>
    <w:rsid w:val="001778CC"/>
    <w:rsid w:val="00177D51"/>
    <w:rsid w:val="00180158"/>
    <w:rsid w:val="0018015D"/>
    <w:rsid w:val="00180275"/>
    <w:rsid w:val="001803E1"/>
    <w:rsid w:val="00180530"/>
    <w:rsid w:val="001805EA"/>
    <w:rsid w:val="001806E3"/>
    <w:rsid w:val="00180EC1"/>
    <w:rsid w:val="001810E8"/>
    <w:rsid w:val="001815C4"/>
    <w:rsid w:val="00181CE2"/>
    <w:rsid w:val="00181D55"/>
    <w:rsid w:val="00181E69"/>
    <w:rsid w:val="001825BF"/>
    <w:rsid w:val="001829F8"/>
    <w:rsid w:val="00182ABF"/>
    <w:rsid w:val="00182B52"/>
    <w:rsid w:val="00183120"/>
    <w:rsid w:val="00183343"/>
    <w:rsid w:val="0018354E"/>
    <w:rsid w:val="00183B95"/>
    <w:rsid w:val="00183FA4"/>
    <w:rsid w:val="00183FB0"/>
    <w:rsid w:val="00184128"/>
    <w:rsid w:val="00184270"/>
    <w:rsid w:val="0018427B"/>
    <w:rsid w:val="00184741"/>
    <w:rsid w:val="001847BD"/>
    <w:rsid w:val="001847D6"/>
    <w:rsid w:val="00184FAD"/>
    <w:rsid w:val="0018502D"/>
    <w:rsid w:val="00185712"/>
    <w:rsid w:val="001857FF"/>
    <w:rsid w:val="001858B1"/>
    <w:rsid w:val="00185A6E"/>
    <w:rsid w:val="00185AA1"/>
    <w:rsid w:val="00185C0E"/>
    <w:rsid w:val="00185ED2"/>
    <w:rsid w:val="00186155"/>
    <w:rsid w:val="001861EB"/>
    <w:rsid w:val="001865E0"/>
    <w:rsid w:val="00187900"/>
    <w:rsid w:val="00187B23"/>
    <w:rsid w:val="00187B4D"/>
    <w:rsid w:val="00187BFF"/>
    <w:rsid w:val="00187F87"/>
    <w:rsid w:val="0019007E"/>
    <w:rsid w:val="0019049B"/>
    <w:rsid w:val="00190871"/>
    <w:rsid w:val="00190BCA"/>
    <w:rsid w:val="00190BF2"/>
    <w:rsid w:val="0019124B"/>
    <w:rsid w:val="00191441"/>
    <w:rsid w:val="00191670"/>
    <w:rsid w:val="001917D3"/>
    <w:rsid w:val="00191835"/>
    <w:rsid w:val="001918E8"/>
    <w:rsid w:val="00191B2A"/>
    <w:rsid w:val="00191BA0"/>
    <w:rsid w:val="00191C3A"/>
    <w:rsid w:val="00191E3E"/>
    <w:rsid w:val="001920BF"/>
    <w:rsid w:val="00192327"/>
    <w:rsid w:val="001923D8"/>
    <w:rsid w:val="00192484"/>
    <w:rsid w:val="00192717"/>
    <w:rsid w:val="001928FD"/>
    <w:rsid w:val="00192963"/>
    <w:rsid w:val="00192B2C"/>
    <w:rsid w:val="001937C5"/>
    <w:rsid w:val="00193D74"/>
    <w:rsid w:val="0019444C"/>
    <w:rsid w:val="00194487"/>
    <w:rsid w:val="00194702"/>
    <w:rsid w:val="00194949"/>
    <w:rsid w:val="001949CE"/>
    <w:rsid w:val="00194C59"/>
    <w:rsid w:val="00194E23"/>
    <w:rsid w:val="00194EB3"/>
    <w:rsid w:val="001951FA"/>
    <w:rsid w:val="001952A9"/>
    <w:rsid w:val="001952FE"/>
    <w:rsid w:val="0019532A"/>
    <w:rsid w:val="0019534B"/>
    <w:rsid w:val="00195393"/>
    <w:rsid w:val="001953C5"/>
    <w:rsid w:val="00195434"/>
    <w:rsid w:val="00195524"/>
    <w:rsid w:val="0019580B"/>
    <w:rsid w:val="00195847"/>
    <w:rsid w:val="00195D20"/>
    <w:rsid w:val="00195E26"/>
    <w:rsid w:val="001964E3"/>
    <w:rsid w:val="0019665E"/>
    <w:rsid w:val="0019673B"/>
    <w:rsid w:val="00197270"/>
    <w:rsid w:val="001973A2"/>
    <w:rsid w:val="001973DA"/>
    <w:rsid w:val="001977C2"/>
    <w:rsid w:val="001979BA"/>
    <w:rsid w:val="00197AE8"/>
    <w:rsid w:val="00197D40"/>
    <w:rsid w:val="001A0414"/>
    <w:rsid w:val="001A080B"/>
    <w:rsid w:val="001A084D"/>
    <w:rsid w:val="001A08D5"/>
    <w:rsid w:val="001A0DB1"/>
    <w:rsid w:val="001A1065"/>
    <w:rsid w:val="001A10A6"/>
    <w:rsid w:val="001A1203"/>
    <w:rsid w:val="001A13B9"/>
    <w:rsid w:val="001A14D9"/>
    <w:rsid w:val="001A1862"/>
    <w:rsid w:val="001A1B89"/>
    <w:rsid w:val="001A23B0"/>
    <w:rsid w:val="001A2561"/>
    <w:rsid w:val="001A271C"/>
    <w:rsid w:val="001A2DD1"/>
    <w:rsid w:val="001A2F05"/>
    <w:rsid w:val="001A36AF"/>
    <w:rsid w:val="001A377B"/>
    <w:rsid w:val="001A37B7"/>
    <w:rsid w:val="001A38D5"/>
    <w:rsid w:val="001A3C53"/>
    <w:rsid w:val="001A46F2"/>
    <w:rsid w:val="001A48C0"/>
    <w:rsid w:val="001A4B64"/>
    <w:rsid w:val="001A4D41"/>
    <w:rsid w:val="001A50D9"/>
    <w:rsid w:val="001A5176"/>
    <w:rsid w:val="001A5197"/>
    <w:rsid w:val="001A520C"/>
    <w:rsid w:val="001A52E1"/>
    <w:rsid w:val="001A54DF"/>
    <w:rsid w:val="001A556A"/>
    <w:rsid w:val="001A5786"/>
    <w:rsid w:val="001A588B"/>
    <w:rsid w:val="001A59A7"/>
    <w:rsid w:val="001A5BAE"/>
    <w:rsid w:val="001A5D8B"/>
    <w:rsid w:val="001A5F53"/>
    <w:rsid w:val="001A6076"/>
    <w:rsid w:val="001A6209"/>
    <w:rsid w:val="001A69C1"/>
    <w:rsid w:val="001A6AA2"/>
    <w:rsid w:val="001A6B19"/>
    <w:rsid w:val="001A6CDD"/>
    <w:rsid w:val="001A6D51"/>
    <w:rsid w:val="001A70CB"/>
    <w:rsid w:val="001A726D"/>
    <w:rsid w:val="001A73BB"/>
    <w:rsid w:val="001A7EB6"/>
    <w:rsid w:val="001A7F77"/>
    <w:rsid w:val="001B003A"/>
    <w:rsid w:val="001B0258"/>
    <w:rsid w:val="001B036D"/>
    <w:rsid w:val="001B0550"/>
    <w:rsid w:val="001B073B"/>
    <w:rsid w:val="001B0745"/>
    <w:rsid w:val="001B0831"/>
    <w:rsid w:val="001B0D73"/>
    <w:rsid w:val="001B0F97"/>
    <w:rsid w:val="001B0FBA"/>
    <w:rsid w:val="001B1099"/>
    <w:rsid w:val="001B1285"/>
    <w:rsid w:val="001B12C9"/>
    <w:rsid w:val="001B13A5"/>
    <w:rsid w:val="001B1422"/>
    <w:rsid w:val="001B1509"/>
    <w:rsid w:val="001B1559"/>
    <w:rsid w:val="001B19F7"/>
    <w:rsid w:val="001B1E3A"/>
    <w:rsid w:val="001B1FC4"/>
    <w:rsid w:val="001B20BF"/>
    <w:rsid w:val="001B24B3"/>
    <w:rsid w:val="001B253E"/>
    <w:rsid w:val="001B2632"/>
    <w:rsid w:val="001B2800"/>
    <w:rsid w:val="001B28BB"/>
    <w:rsid w:val="001B2AF9"/>
    <w:rsid w:val="001B2F67"/>
    <w:rsid w:val="001B2FEB"/>
    <w:rsid w:val="001B324B"/>
    <w:rsid w:val="001B332E"/>
    <w:rsid w:val="001B3A71"/>
    <w:rsid w:val="001B3CCD"/>
    <w:rsid w:val="001B3FE3"/>
    <w:rsid w:val="001B4573"/>
    <w:rsid w:val="001B4823"/>
    <w:rsid w:val="001B4AC1"/>
    <w:rsid w:val="001B4C7D"/>
    <w:rsid w:val="001B5372"/>
    <w:rsid w:val="001B5DF7"/>
    <w:rsid w:val="001B5E1F"/>
    <w:rsid w:val="001B5EDE"/>
    <w:rsid w:val="001B5FDD"/>
    <w:rsid w:val="001B6413"/>
    <w:rsid w:val="001B64F6"/>
    <w:rsid w:val="001B6625"/>
    <w:rsid w:val="001B67FB"/>
    <w:rsid w:val="001B68E3"/>
    <w:rsid w:val="001B6BB5"/>
    <w:rsid w:val="001B6CEB"/>
    <w:rsid w:val="001B6ECD"/>
    <w:rsid w:val="001B719B"/>
    <w:rsid w:val="001B75E3"/>
    <w:rsid w:val="001B773D"/>
    <w:rsid w:val="001B79EF"/>
    <w:rsid w:val="001B7D47"/>
    <w:rsid w:val="001C085E"/>
    <w:rsid w:val="001C10A2"/>
    <w:rsid w:val="001C10F5"/>
    <w:rsid w:val="001C1351"/>
    <w:rsid w:val="001C1562"/>
    <w:rsid w:val="001C1FC7"/>
    <w:rsid w:val="001C22F6"/>
    <w:rsid w:val="001C259F"/>
    <w:rsid w:val="001C279B"/>
    <w:rsid w:val="001C28A3"/>
    <w:rsid w:val="001C2A3D"/>
    <w:rsid w:val="001C2B3C"/>
    <w:rsid w:val="001C2DF5"/>
    <w:rsid w:val="001C2EE3"/>
    <w:rsid w:val="001C307C"/>
    <w:rsid w:val="001C33A0"/>
    <w:rsid w:val="001C37E4"/>
    <w:rsid w:val="001C3890"/>
    <w:rsid w:val="001C3A98"/>
    <w:rsid w:val="001C3B07"/>
    <w:rsid w:val="001C3B35"/>
    <w:rsid w:val="001C3E86"/>
    <w:rsid w:val="001C3F2E"/>
    <w:rsid w:val="001C3F94"/>
    <w:rsid w:val="001C3FE7"/>
    <w:rsid w:val="001C4377"/>
    <w:rsid w:val="001C4482"/>
    <w:rsid w:val="001C4588"/>
    <w:rsid w:val="001C47E4"/>
    <w:rsid w:val="001C491A"/>
    <w:rsid w:val="001C4966"/>
    <w:rsid w:val="001C4D69"/>
    <w:rsid w:val="001C4EF6"/>
    <w:rsid w:val="001C5075"/>
    <w:rsid w:val="001C51C8"/>
    <w:rsid w:val="001C5215"/>
    <w:rsid w:val="001C52C0"/>
    <w:rsid w:val="001C59B7"/>
    <w:rsid w:val="001C5BE5"/>
    <w:rsid w:val="001C5C7D"/>
    <w:rsid w:val="001C5C89"/>
    <w:rsid w:val="001C6037"/>
    <w:rsid w:val="001C63A7"/>
    <w:rsid w:val="001C6E6E"/>
    <w:rsid w:val="001C6F9E"/>
    <w:rsid w:val="001C700D"/>
    <w:rsid w:val="001C73F9"/>
    <w:rsid w:val="001C7774"/>
    <w:rsid w:val="001C778B"/>
    <w:rsid w:val="001C782C"/>
    <w:rsid w:val="001C78AC"/>
    <w:rsid w:val="001C7A0F"/>
    <w:rsid w:val="001C7EB5"/>
    <w:rsid w:val="001D009E"/>
    <w:rsid w:val="001D0167"/>
    <w:rsid w:val="001D018D"/>
    <w:rsid w:val="001D026D"/>
    <w:rsid w:val="001D04C9"/>
    <w:rsid w:val="001D0695"/>
    <w:rsid w:val="001D0A43"/>
    <w:rsid w:val="001D0BC4"/>
    <w:rsid w:val="001D0D04"/>
    <w:rsid w:val="001D0EF6"/>
    <w:rsid w:val="001D0F8A"/>
    <w:rsid w:val="001D1571"/>
    <w:rsid w:val="001D16D8"/>
    <w:rsid w:val="001D1AD0"/>
    <w:rsid w:val="001D1CA4"/>
    <w:rsid w:val="001D1E56"/>
    <w:rsid w:val="001D1FB6"/>
    <w:rsid w:val="001D215B"/>
    <w:rsid w:val="001D23BA"/>
    <w:rsid w:val="001D25E4"/>
    <w:rsid w:val="001D25E5"/>
    <w:rsid w:val="001D32F5"/>
    <w:rsid w:val="001D365D"/>
    <w:rsid w:val="001D3669"/>
    <w:rsid w:val="001D36C8"/>
    <w:rsid w:val="001D38F0"/>
    <w:rsid w:val="001D3B51"/>
    <w:rsid w:val="001D3B75"/>
    <w:rsid w:val="001D3FD0"/>
    <w:rsid w:val="001D4033"/>
    <w:rsid w:val="001D4287"/>
    <w:rsid w:val="001D44F7"/>
    <w:rsid w:val="001D4950"/>
    <w:rsid w:val="001D50C9"/>
    <w:rsid w:val="001D54BD"/>
    <w:rsid w:val="001D575A"/>
    <w:rsid w:val="001D585C"/>
    <w:rsid w:val="001D5903"/>
    <w:rsid w:val="001D5A94"/>
    <w:rsid w:val="001D5CEB"/>
    <w:rsid w:val="001D6073"/>
    <w:rsid w:val="001D60BB"/>
    <w:rsid w:val="001D61F6"/>
    <w:rsid w:val="001D63B1"/>
    <w:rsid w:val="001D63E9"/>
    <w:rsid w:val="001D6415"/>
    <w:rsid w:val="001D64B0"/>
    <w:rsid w:val="001D6623"/>
    <w:rsid w:val="001D6642"/>
    <w:rsid w:val="001D6A8F"/>
    <w:rsid w:val="001D6B8E"/>
    <w:rsid w:val="001D6C40"/>
    <w:rsid w:val="001D774A"/>
    <w:rsid w:val="001D7A71"/>
    <w:rsid w:val="001E0104"/>
    <w:rsid w:val="001E01FF"/>
    <w:rsid w:val="001E0620"/>
    <w:rsid w:val="001E066D"/>
    <w:rsid w:val="001E084D"/>
    <w:rsid w:val="001E0999"/>
    <w:rsid w:val="001E09D1"/>
    <w:rsid w:val="001E09F9"/>
    <w:rsid w:val="001E0A26"/>
    <w:rsid w:val="001E0CE1"/>
    <w:rsid w:val="001E0D4F"/>
    <w:rsid w:val="001E0D99"/>
    <w:rsid w:val="001E1052"/>
    <w:rsid w:val="001E11FA"/>
    <w:rsid w:val="001E1A72"/>
    <w:rsid w:val="001E1C45"/>
    <w:rsid w:val="001E1E2D"/>
    <w:rsid w:val="001E2023"/>
    <w:rsid w:val="001E23DA"/>
    <w:rsid w:val="001E2526"/>
    <w:rsid w:val="001E2798"/>
    <w:rsid w:val="001E2954"/>
    <w:rsid w:val="001E2A60"/>
    <w:rsid w:val="001E2ACD"/>
    <w:rsid w:val="001E2C00"/>
    <w:rsid w:val="001E2CE8"/>
    <w:rsid w:val="001E2D0F"/>
    <w:rsid w:val="001E2D6A"/>
    <w:rsid w:val="001E3142"/>
    <w:rsid w:val="001E329E"/>
    <w:rsid w:val="001E3335"/>
    <w:rsid w:val="001E348F"/>
    <w:rsid w:val="001E3794"/>
    <w:rsid w:val="001E3795"/>
    <w:rsid w:val="001E37A9"/>
    <w:rsid w:val="001E3A32"/>
    <w:rsid w:val="001E3ABA"/>
    <w:rsid w:val="001E3CDE"/>
    <w:rsid w:val="001E41CE"/>
    <w:rsid w:val="001E4932"/>
    <w:rsid w:val="001E4958"/>
    <w:rsid w:val="001E4EBB"/>
    <w:rsid w:val="001E4F19"/>
    <w:rsid w:val="001E503D"/>
    <w:rsid w:val="001E53A4"/>
    <w:rsid w:val="001E54E6"/>
    <w:rsid w:val="001E575C"/>
    <w:rsid w:val="001E57DB"/>
    <w:rsid w:val="001E584B"/>
    <w:rsid w:val="001E6588"/>
    <w:rsid w:val="001E65F7"/>
    <w:rsid w:val="001E6635"/>
    <w:rsid w:val="001E6820"/>
    <w:rsid w:val="001E6822"/>
    <w:rsid w:val="001E691A"/>
    <w:rsid w:val="001E6971"/>
    <w:rsid w:val="001E6D54"/>
    <w:rsid w:val="001E6F04"/>
    <w:rsid w:val="001E72B7"/>
    <w:rsid w:val="001E74B9"/>
    <w:rsid w:val="001E7569"/>
    <w:rsid w:val="001E7603"/>
    <w:rsid w:val="001E76B2"/>
    <w:rsid w:val="001E777D"/>
    <w:rsid w:val="001E7A88"/>
    <w:rsid w:val="001E7B27"/>
    <w:rsid w:val="001E7C6B"/>
    <w:rsid w:val="001F01B4"/>
    <w:rsid w:val="001F02E0"/>
    <w:rsid w:val="001F0568"/>
    <w:rsid w:val="001F077C"/>
    <w:rsid w:val="001F0945"/>
    <w:rsid w:val="001F0B13"/>
    <w:rsid w:val="001F0B4E"/>
    <w:rsid w:val="001F0B7A"/>
    <w:rsid w:val="001F0BC5"/>
    <w:rsid w:val="001F0D70"/>
    <w:rsid w:val="001F1482"/>
    <w:rsid w:val="001F1C4F"/>
    <w:rsid w:val="001F1CDD"/>
    <w:rsid w:val="001F1D25"/>
    <w:rsid w:val="001F1E24"/>
    <w:rsid w:val="001F21DC"/>
    <w:rsid w:val="001F252F"/>
    <w:rsid w:val="001F2548"/>
    <w:rsid w:val="001F2657"/>
    <w:rsid w:val="001F27E0"/>
    <w:rsid w:val="001F2A0A"/>
    <w:rsid w:val="001F2C63"/>
    <w:rsid w:val="001F3404"/>
    <w:rsid w:val="001F3785"/>
    <w:rsid w:val="001F3AFB"/>
    <w:rsid w:val="001F3B77"/>
    <w:rsid w:val="001F3CD0"/>
    <w:rsid w:val="001F3D1C"/>
    <w:rsid w:val="001F4137"/>
    <w:rsid w:val="001F419C"/>
    <w:rsid w:val="001F4353"/>
    <w:rsid w:val="001F4634"/>
    <w:rsid w:val="001F50EF"/>
    <w:rsid w:val="001F52C4"/>
    <w:rsid w:val="001F568C"/>
    <w:rsid w:val="001F5765"/>
    <w:rsid w:val="001F57EE"/>
    <w:rsid w:val="001F5D31"/>
    <w:rsid w:val="001F5E37"/>
    <w:rsid w:val="001F5E6C"/>
    <w:rsid w:val="001F602E"/>
    <w:rsid w:val="001F61D1"/>
    <w:rsid w:val="001F67B7"/>
    <w:rsid w:val="001F6AA1"/>
    <w:rsid w:val="001F6C4B"/>
    <w:rsid w:val="001F6DD4"/>
    <w:rsid w:val="001F6E8E"/>
    <w:rsid w:val="001F6F31"/>
    <w:rsid w:val="001F6F7B"/>
    <w:rsid w:val="001F70EA"/>
    <w:rsid w:val="001F7198"/>
    <w:rsid w:val="001F7241"/>
    <w:rsid w:val="001F75F4"/>
    <w:rsid w:val="001F78C2"/>
    <w:rsid w:val="001F79B3"/>
    <w:rsid w:val="001F7C2B"/>
    <w:rsid w:val="001F7DAF"/>
    <w:rsid w:val="0020024B"/>
    <w:rsid w:val="00200AE7"/>
    <w:rsid w:val="00200B8A"/>
    <w:rsid w:val="00200C15"/>
    <w:rsid w:val="00201411"/>
    <w:rsid w:val="00201451"/>
    <w:rsid w:val="002014FD"/>
    <w:rsid w:val="002015E3"/>
    <w:rsid w:val="00201B1F"/>
    <w:rsid w:val="00201EC1"/>
    <w:rsid w:val="00201EDE"/>
    <w:rsid w:val="002020D4"/>
    <w:rsid w:val="0020216C"/>
    <w:rsid w:val="00202449"/>
    <w:rsid w:val="002025FE"/>
    <w:rsid w:val="002027E7"/>
    <w:rsid w:val="00202966"/>
    <w:rsid w:val="00202B69"/>
    <w:rsid w:val="00202BCE"/>
    <w:rsid w:val="00202BFC"/>
    <w:rsid w:val="00202CD4"/>
    <w:rsid w:val="00202DE3"/>
    <w:rsid w:val="002030DF"/>
    <w:rsid w:val="00203109"/>
    <w:rsid w:val="00203226"/>
    <w:rsid w:val="00203706"/>
    <w:rsid w:val="00203730"/>
    <w:rsid w:val="0020376A"/>
    <w:rsid w:val="002038D9"/>
    <w:rsid w:val="00203E6D"/>
    <w:rsid w:val="00204733"/>
    <w:rsid w:val="0020495D"/>
    <w:rsid w:val="00204BE9"/>
    <w:rsid w:val="00204CA4"/>
    <w:rsid w:val="00204EA1"/>
    <w:rsid w:val="0020530C"/>
    <w:rsid w:val="0020534B"/>
    <w:rsid w:val="002054BB"/>
    <w:rsid w:val="002054E3"/>
    <w:rsid w:val="00205681"/>
    <w:rsid w:val="00205A38"/>
    <w:rsid w:val="00205D44"/>
    <w:rsid w:val="002060D5"/>
    <w:rsid w:val="002060E2"/>
    <w:rsid w:val="002065AF"/>
    <w:rsid w:val="002070BA"/>
    <w:rsid w:val="00207187"/>
    <w:rsid w:val="00207451"/>
    <w:rsid w:val="0020755B"/>
    <w:rsid w:val="00207775"/>
    <w:rsid w:val="00207EB4"/>
    <w:rsid w:val="00210083"/>
    <w:rsid w:val="00210187"/>
    <w:rsid w:val="002102DA"/>
    <w:rsid w:val="00210315"/>
    <w:rsid w:val="002108F1"/>
    <w:rsid w:val="00210FE5"/>
    <w:rsid w:val="00210FF5"/>
    <w:rsid w:val="0021101C"/>
    <w:rsid w:val="00211291"/>
    <w:rsid w:val="00211ABF"/>
    <w:rsid w:val="00211BC7"/>
    <w:rsid w:val="00211DB2"/>
    <w:rsid w:val="00212467"/>
    <w:rsid w:val="002126D8"/>
    <w:rsid w:val="002128D1"/>
    <w:rsid w:val="002128D7"/>
    <w:rsid w:val="00212B13"/>
    <w:rsid w:val="00212E10"/>
    <w:rsid w:val="00213091"/>
    <w:rsid w:val="002131C2"/>
    <w:rsid w:val="00213499"/>
    <w:rsid w:val="002137B5"/>
    <w:rsid w:val="00213996"/>
    <w:rsid w:val="00213B29"/>
    <w:rsid w:val="00214113"/>
    <w:rsid w:val="00214C31"/>
    <w:rsid w:val="00214C9E"/>
    <w:rsid w:val="00214CD2"/>
    <w:rsid w:val="0021507B"/>
    <w:rsid w:val="00215203"/>
    <w:rsid w:val="0021532F"/>
    <w:rsid w:val="00215458"/>
    <w:rsid w:val="002154B0"/>
    <w:rsid w:val="00215880"/>
    <w:rsid w:val="00215883"/>
    <w:rsid w:val="00215B8C"/>
    <w:rsid w:val="00215E0D"/>
    <w:rsid w:val="00215E28"/>
    <w:rsid w:val="00215E49"/>
    <w:rsid w:val="00216117"/>
    <w:rsid w:val="00216144"/>
    <w:rsid w:val="00216567"/>
    <w:rsid w:val="00216807"/>
    <w:rsid w:val="002168FC"/>
    <w:rsid w:val="00216C01"/>
    <w:rsid w:val="00216C53"/>
    <w:rsid w:val="00216E8D"/>
    <w:rsid w:val="00216F4C"/>
    <w:rsid w:val="0021727D"/>
    <w:rsid w:val="0021786F"/>
    <w:rsid w:val="002178A0"/>
    <w:rsid w:val="00217D50"/>
    <w:rsid w:val="002202FC"/>
    <w:rsid w:val="002204A8"/>
    <w:rsid w:val="002209CE"/>
    <w:rsid w:val="00220B82"/>
    <w:rsid w:val="00220CA9"/>
    <w:rsid w:val="0022115E"/>
    <w:rsid w:val="002211FA"/>
    <w:rsid w:val="00221217"/>
    <w:rsid w:val="0022125D"/>
    <w:rsid w:val="00221348"/>
    <w:rsid w:val="002213C0"/>
    <w:rsid w:val="00221460"/>
    <w:rsid w:val="00221AD9"/>
    <w:rsid w:val="00221D54"/>
    <w:rsid w:val="002223AC"/>
    <w:rsid w:val="00222698"/>
    <w:rsid w:val="002227AD"/>
    <w:rsid w:val="002227BE"/>
    <w:rsid w:val="00222DC0"/>
    <w:rsid w:val="00222F89"/>
    <w:rsid w:val="00223140"/>
    <w:rsid w:val="0022387F"/>
    <w:rsid w:val="00223A03"/>
    <w:rsid w:val="00223B17"/>
    <w:rsid w:val="00223DB5"/>
    <w:rsid w:val="00223E4B"/>
    <w:rsid w:val="00224119"/>
    <w:rsid w:val="00224A15"/>
    <w:rsid w:val="00224A1A"/>
    <w:rsid w:val="00224BDC"/>
    <w:rsid w:val="00224C4F"/>
    <w:rsid w:val="00224D36"/>
    <w:rsid w:val="00224D84"/>
    <w:rsid w:val="00224DA3"/>
    <w:rsid w:val="00224EC7"/>
    <w:rsid w:val="00225012"/>
    <w:rsid w:val="002250D5"/>
    <w:rsid w:val="002255AA"/>
    <w:rsid w:val="002256BE"/>
    <w:rsid w:val="002259B1"/>
    <w:rsid w:val="00225C8D"/>
    <w:rsid w:val="00225DCD"/>
    <w:rsid w:val="00225FDE"/>
    <w:rsid w:val="0022617E"/>
    <w:rsid w:val="002261DD"/>
    <w:rsid w:val="00226549"/>
    <w:rsid w:val="00226EBC"/>
    <w:rsid w:val="00227196"/>
    <w:rsid w:val="002272DC"/>
    <w:rsid w:val="0022738E"/>
    <w:rsid w:val="00227656"/>
    <w:rsid w:val="00227A80"/>
    <w:rsid w:val="00227B32"/>
    <w:rsid w:val="00227E60"/>
    <w:rsid w:val="00230083"/>
    <w:rsid w:val="002300ED"/>
    <w:rsid w:val="002301B0"/>
    <w:rsid w:val="002303F2"/>
    <w:rsid w:val="0023048D"/>
    <w:rsid w:val="002304A5"/>
    <w:rsid w:val="00230555"/>
    <w:rsid w:val="00231103"/>
    <w:rsid w:val="00231341"/>
    <w:rsid w:val="002315DE"/>
    <w:rsid w:val="002316BA"/>
    <w:rsid w:val="002319A8"/>
    <w:rsid w:val="00231BD3"/>
    <w:rsid w:val="00231EDD"/>
    <w:rsid w:val="002320A6"/>
    <w:rsid w:val="00232229"/>
    <w:rsid w:val="00232418"/>
    <w:rsid w:val="0023243D"/>
    <w:rsid w:val="00232738"/>
    <w:rsid w:val="00232E48"/>
    <w:rsid w:val="00233033"/>
    <w:rsid w:val="002333F9"/>
    <w:rsid w:val="00233843"/>
    <w:rsid w:val="002338DD"/>
    <w:rsid w:val="00233D72"/>
    <w:rsid w:val="00234200"/>
    <w:rsid w:val="0023428A"/>
    <w:rsid w:val="00234844"/>
    <w:rsid w:val="00234C62"/>
    <w:rsid w:val="00235568"/>
    <w:rsid w:val="002355AC"/>
    <w:rsid w:val="00235DD3"/>
    <w:rsid w:val="0023602E"/>
    <w:rsid w:val="0023613D"/>
    <w:rsid w:val="0023627D"/>
    <w:rsid w:val="00236421"/>
    <w:rsid w:val="00236443"/>
    <w:rsid w:val="002367AC"/>
    <w:rsid w:val="002367F8"/>
    <w:rsid w:val="0023691F"/>
    <w:rsid w:val="00236A57"/>
    <w:rsid w:val="002371E5"/>
    <w:rsid w:val="00237320"/>
    <w:rsid w:val="002375CD"/>
    <w:rsid w:val="00237862"/>
    <w:rsid w:val="00237C98"/>
    <w:rsid w:val="00237D62"/>
    <w:rsid w:val="00240448"/>
    <w:rsid w:val="002408DA"/>
    <w:rsid w:val="00240924"/>
    <w:rsid w:val="00240AC9"/>
    <w:rsid w:val="00241016"/>
    <w:rsid w:val="00241069"/>
    <w:rsid w:val="00241237"/>
    <w:rsid w:val="002413CD"/>
    <w:rsid w:val="00241680"/>
    <w:rsid w:val="002419B0"/>
    <w:rsid w:val="00241A3F"/>
    <w:rsid w:val="00241B9D"/>
    <w:rsid w:val="00241EDC"/>
    <w:rsid w:val="00241FD4"/>
    <w:rsid w:val="00242112"/>
    <w:rsid w:val="0024219F"/>
    <w:rsid w:val="0024224E"/>
    <w:rsid w:val="00242270"/>
    <w:rsid w:val="0024229E"/>
    <w:rsid w:val="0024229F"/>
    <w:rsid w:val="002423CB"/>
    <w:rsid w:val="00242582"/>
    <w:rsid w:val="00242623"/>
    <w:rsid w:val="00242D01"/>
    <w:rsid w:val="00242F7D"/>
    <w:rsid w:val="00243099"/>
    <w:rsid w:val="00243777"/>
    <w:rsid w:val="0024380A"/>
    <w:rsid w:val="00243949"/>
    <w:rsid w:val="00243A46"/>
    <w:rsid w:val="00243B82"/>
    <w:rsid w:val="00243B89"/>
    <w:rsid w:val="00243BAC"/>
    <w:rsid w:val="00243D0D"/>
    <w:rsid w:val="00244731"/>
    <w:rsid w:val="00244AE3"/>
    <w:rsid w:val="00244D4F"/>
    <w:rsid w:val="0024506C"/>
    <w:rsid w:val="0024512F"/>
    <w:rsid w:val="0024521B"/>
    <w:rsid w:val="0024526A"/>
    <w:rsid w:val="00245BFD"/>
    <w:rsid w:val="00245C36"/>
    <w:rsid w:val="002462CE"/>
    <w:rsid w:val="00246787"/>
    <w:rsid w:val="002469BC"/>
    <w:rsid w:val="00246C11"/>
    <w:rsid w:val="00246D07"/>
    <w:rsid w:val="00247013"/>
    <w:rsid w:val="00247176"/>
    <w:rsid w:val="002471E4"/>
    <w:rsid w:val="002473D9"/>
    <w:rsid w:val="00247488"/>
    <w:rsid w:val="002476F1"/>
    <w:rsid w:val="002478F5"/>
    <w:rsid w:val="00247BAE"/>
    <w:rsid w:val="00250319"/>
    <w:rsid w:val="00250357"/>
    <w:rsid w:val="00250484"/>
    <w:rsid w:val="002509D9"/>
    <w:rsid w:val="00250AD9"/>
    <w:rsid w:val="00250B49"/>
    <w:rsid w:val="002511F0"/>
    <w:rsid w:val="002518EA"/>
    <w:rsid w:val="0025199C"/>
    <w:rsid w:val="00251BF4"/>
    <w:rsid w:val="0025208F"/>
    <w:rsid w:val="00252205"/>
    <w:rsid w:val="0025238A"/>
    <w:rsid w:val="002526B9"/>
    <w:rsid w:val="002528A8"/>
    <w:rsid w:val="00252EB3"/>
    <w:rsid w:val="0025324D"/>
    <w:rsid w:val="002532B9"/>
    <w:rsid w:val="002532F4"/>
    <w:rsid w:val="00253385"/>
    <w:rsid w:val="00253885"/>
    <w:rsid w:val="00253977"/>
    <w:rsid w:val="002539AC"/>
    <w:rsid w:val="00253C14"/>
    <w:rsid w:val="00254342"/>
    <w:rsid w:val="0025439E"/>
    <w:rsid w:val="002543AD"/>
    <w:rsid w:val="0025442E"/>
    <w:rsid w:val="00254430"/>
    <w:rsid w:val="00254479"/>
    <w:rsid w:val="00254521"/>
    <w:rsid w:val="00254660"/>
    <w:rsid w:val="002549A3"/>
    <w:rsid w:val="00254D57"/>
    <w:rsid w:val="00254FD3"/>
    <w:rsid w:val="002551D0"/>
    <w:rsid w:val="002554A8"/>
    <w:rsid w:val="002557DC"/>
    <w:rsid w:val="00255864"/>
    <w:rsid w:val="002558E8"/>
    <w:rsid w:val="002559F8"/>
    <w:rsid w:val="00255BB7"/>
    <w:rsid w:val="00255C16"/>
    <w:rsid w:val="0025602A"/>
    <w:rsid w:val="00256080"/>
    <w:rsid w:val="00256490"/>
    <w:rsid w:val="0025668E"/>
    <w:rsid w:val="0025699D"/>
    <w:rsid w:val="00256AD5"/>
    <w:rsid w:val="00256CB6"/>
    <w:rsid w:val="00257580"/>
    <w:rsid w:val="00257597"/>
    <w:rsid w:val="002576FA"/>
    <w:rsid w:val="002601EB"/>
    <w:rsid w:val="00260655"/>
    <w:rsid w:val="00260A7C"/>
    <w:rsid w:val="00260BEF"/>
    <w:rsid w:val="00260CA3"/>
    <w:rsid w:val="00260F2F"/>
    <w:rsid w:val="00260FC2"/>
    <w:rsid w:val="00261510"/>
    <w:rsid w:val="0026159C"/>
    <w:rsid w:val="00261B66"/>
    <w:rsid w:val="00261EF3"/>
    <w:rsid w:val="00261F20"/>
    <w:rsid w:val="00262295"/>
    <w:rsid w:val="00262507"/>
    <w:rsid w:val="002625ED"/>
    <w:rsid w:val="002627F9"/>
    <w:rsid w:val="00262874"/>
    <w:rsid w:val="00262AF4"/>
    <w:rsid w:val="00262B1D"/>
    <w:rsid w:val="00262B3B"/>
    <w:rsid w:val="00262DFF"/>
    <w:rsid w:val="00262E50"/>
    <w:rsid w:val="002633E0"/>
    <w:rsid w:val="002633E2"/>
    <w:rsid w:val="00263731"/>
    <w:rsid w:val="002639A7"/>
    <w:rsid w:val="00263B06"/>
    <w:rsid w:val="00263C3A"/>
    <w:rsid w:val="00263CA7"/>
    <w:rsid w:val="00263CBA"/>
    <w:rsid w:val="002640B6"/>
    <w:rsid w:val="002641B2"/>
    <w:rsid w:val="002642F2"/>
    <w:rsid w:val="0026458C"/>
    <w:rsid w:val="002649C3"/>
    <w:rsid w:val="00264B55"/>
    <w:rsid w:val="00264B66"/>
    <w:rsid w:val="00264CE2"/>
    <w:rsid w:val="00264DAE"/>
    <w:rsid w:val="00264EC4"/>
    <w:rsid w:val="0026503B"/>
    <w:rsid w:val="0026535E"/>
    <w:rsid w:val="00265395"/>
    <w:rsid w:val="002655FA"/>
    <w:rsid w:val="002657BE"/>
    <w:rsid w:val="00265D8E"/>
    <w:rsid w:val="00265F54"/>
    <w:rsid w:val="00265FD7"/>
    <w:rsid w:val="0026619E"/>
    <w:rsid w:val="002666A6"/>
    <w:rsid w:val="002666EB"/>
    <w:rsid w:val="00266816"/>
    <w:rsid w:val="002669AF"/>
    <w:rsid w:val="00266DBB"/>
    <w:rsid w:val="002671D0"/>
    <w:rsid w:val="00267306"/>
    <w:rsid w:val="0026748C"/>
    <w:rsid w:val="002674AE"/>
    <w:rsid w:val="00267599"/>
    <w:rsid w:val="00267EC7"/>
    <w:rsid w:val="00267FC2"/>
    <w:rsid w:val="002704AD"/>
    <w:rsid w:val="0027064C"/>
    <w:rsid w:val="00270861"/>
    <w:rsid w:val="00270BD5"/>
    <w:rsid w:val="00270E33"/>
    <w:rsid w:val="00270F1E"/>
    <w:rsid w:val="0027153B"/>
    <w:rsid w:val="00271775"/>
    <w:rsid w:val="002717BE"/>
    <w:rsid w:val="00271B31"/>
    <w:rsid w:val="00271B8D"/>
    <w:rsid w:val="00271C53"/>
    <w:rsid w:val="00272398"/>
    <w:rsid w:val="00272723"/>
    <w:rsid w:val="002727D3"/>
    <w:rsid w:val="00272BF1"/>
    <w:rsid w:val="00272C08"/>
    <w:rsid w:val="00272C17"/>
    <w:rsid w:val="00272E62"/>
    <w:rsid w:val="00273076"/>
    <w:rsid w:val="00273307"/>
    <w:rsid w:val="002734A0"/>
    <w:rsid w:val="002736C9"/>
    <w:rsid w:val="002739B1"/>
    <w:rsid w:val="00274138"/>
    <w:rsid w:val="00274DE2"/>
    <w:rsid w:val="002750E2"/>
    <w:rsid w:val="0027531D"/>
    <w:rsid w:val="002754EA"/>
    <w:rsid w:val="002754EE"/>
    <w:rsid w:val="002755AC"/>
    <w:rsid w:val="00275858"/>
    <w:rsid w:val="0027594E"/>
    <w:rsid w:val="002759D8"/>
    <w:rsid w:val="00275DC0"/>
    <w:rsid w:val="00276272"/>
    <w:rsid w:val="0027677A"/>
    <w:rsid w:val="00276D7B"/>
    <w:rsid w:val="00276FAE"/>
    <w:rsid w:val="002771DC"/>
    <w:rsid w:val="00277345"/>
    <w:rsid w:val="0027742D"/>
    <w:rsid w:val="002777C4"/>
    <w:rsid w:val="0027788A"/>
    <w:rsid w:val="00277A45"/>
    <w:rsid w:val="00277B43"/>
    <w:rsid w:val="00277C51"/>
    <w:rsid w:val="00277C9A"/>
    <w:rsid w:val="00277D0B"/>
    <w:rsid w:val="00277E33"/>
    <w:rsid w:val="00277E40"/>
    <w:rsid w:val="00277F3D"/>
    <w:rsid w:val="00277FD5"/>
    <w:rsid w:val="0028021F"/>
    <w:rsid w:val="002802D4"/>
    <w:rsid w:val="002804CC"/>
    <w:rsid w:val="0028091B"/>
    <w:rsid w:val="00280CF5"/>
    <w:rsid w:val="00280D2B"/>
    <w:rsid w:val="00280DF8"/>
    <w:rsid w:val="0028130B"/>
    <w:rsid w:val="0028144E"/>
    <w:rsid w:val="00281557"/>
    <w:rsid w:val="00281AD8"/>
    <w:rsid w:val="00282103"/>
    <w:rsid w:val="002822E5"/>
    <w:rsid w:val="00282552"/>
    <w:rsid w:val="00282C3B"/>
    <w:rsid w:val="00282F85"/>
    <w:rsid w:val="002834A1"/>
    <w:rsid w:val="0028384E"/>
    <w:rsid w:val="00283B4F"/>
    <w:rsid w:val="00283B6D"/>
    <w:rsid w:val="00283CD3"/>
    <w:rsid w:val="00284019"/>
    <w:rsid w:val="002848A2"/>
    <w:rsid w:val="00284A52"/>
    <w:rsid w:val="00284B18"/>
    <w:rsid w:val="00284D1F"/>
    <w:rsid w:val="00284D34"/>
    <w:rsid w:val="00284E20"/>
    <w:rsid w:val="0028502D"/>
    <w:rsid w:val="002851E2"/>
    <w:rsid w:val="00285624"/>
    <w:rsid w:val="002857D5"/>
    <w:rsid w:val="002859CD"/>
    <w:rsid w:val="002863DC"/>
    <w:rsid w:val="0028666B"/>
    <w:rsid w:val="002866A8"/>
    <w:rsid w:val="002867F8"/>
    <w:rsid w:val="00286D0E"/>
    <w:rsid w:val="00286D5F"/>
    <w:rsid w:val="00287156"/>
    <w:rsid w:val="0028769A"/>
    <w:rsid w:val="002876EF"/>
    <w:rsid w:val="00287A5E"/>
    <w:rsid w:val="00287C9C"/>
    <w:rsid w:val="00287DBD"/>
    <w:rsid w:val="00287F45"/>
    <w:rsid w:val="00287F91"/>
    <w:rsid w:val="002901A3"/>
    <w:rsid w:val="002905BA"/>
    <w:rsid w:val="00290A24"/>
    <w:rsid w:val="00290D61"/>
    <w:rsid w:val="00290E47"/>
    <w:rsid w:val="00291036"/>
    <w:rsid w:val="002910BB"/>
    <w:rsid w:val="002910E8"/>
    <w:rsid w:val="00291150"/>
    <w:rsid w:val="002912A0"/>
    <w:rsid w:val="002917FF"/>
    <w:rsid w:val="00291872"/>
    <w:rsid w:val="00291DAE"/>
    <w:rsid w:val="00291E18"/>
    <w:rsid w:val="0029227F"/>
    <w:rsid w:val="00292640"/>
    <w:rsid w:val="00292816"/>
    <w:rsid w:val="00292AE6"/>
    <w:rsid w:val="002930F6"/>
    <w:rsid w:val="002934E2"/>
    <w:rsid w:val="00293829"/>
    <w:rsid w:val="00293884"/>
    <w:rsid w:val="002938B1"/>
    <w:rsid w:val="00294285"/>
    <w:rsid w:val="00294365"/>
    <w:rsid w:val="002943F7"/>
    <w:rsid w:val="00294482"/>
    <w:rsid w:val="0029468F"/>
    <w:rsid w:val="00294BE0"/>
    <w:rsid w:val="002950CE"/>
    <w:rsid w:val="00295355"/>
    <w:rsid w:val="00295405"/>
    <w:rsid w:val="00295538"/>
    <w:rsid w:val="002955EA"/>
    <w:rsid w:val="00295A56"/>
    <w:rsid w:val="00296008"/>
    <w:rsid w:val="0029605F"/>
    <w:rsid w:val="002960B9"/>
    <w:rsid w:val="0029613C"/>
    <w:rsid w:val="002962D5"/>
    <w:rsid w:val="0029633E"/>
    <w:rsid w:val="00296356"/>
    <w:rsid w:val="002964AF"/>
    <w:rsid w:val="00296616"/>
    <w:rsid w:val="00296636"/>
    <w:rsid w:val="0029674D"/>
    <w:rsid w:val="00296AFA"/>
    <w:rsid w:val="00296D61"/>
    <w:rsid w:val="002971D9"/>
    <w:rsid w:val="00297317"/>
    <w:rsid w:val="0029742B"/>
    <w:rsid w:val="00297A25"/>
    <w:rsid w:val="00297E51"/>
    <w:rsid w:val="002A06FB"/>
    <w:rsid w:val="002A087C"/>
    <w:rsid w:val="002A09F5"/>
    <w:rsid w:val="002A0C7C"/>
    <w:rsid w:val="002A0D38"/>
    <w:rsid w:val="002A102D"/>
    <w:rsid w:val="002A1130"/>
    <w:rsid w:val="002A11D2"/>
    <w:rsid w:val="002A1492"/>
    <w:rsid w:val="002A1A1E"/>
    <w:rsid w:val="002A228C"/>
    <w:rsid w:val="002A244D"/>
    <w:rsid w:val="002A266F"/>
    <w:rsid w:val="002A26C8"/>
    <w:rsid w:val="002A2823"/>
    <w:rsid w:val="002A2935"/>
    <w:rsid w:val="002A2A8C"/>
    <w:rsid w:val="002A2B0A"/>
    <w:rsid w:val="002A2CE5"/>
    <w:rsid w:val="002A30DE"/>
    <w:rsid w:val="002A3182"/>
    <w:rsid w:val="002A333D"/>
    <w:rsid w:val="002A33E7"/>
    <w:rsid w:val="002A397D"/>
    <w:rsid w:val="002A39F4"/>
    <w:rsid w:val="002A3B12"/>
    <w:rsid w:val="002A3CC3"/>
    <w:rsid w:val="002A3FD7"/>
    <w:rsid w:val="002A463F"/>
    <w:rsid w:val="002A4712"/>
    <w:rsid w:val="002A4BCD"/>
    <w:rsid w:val="002A4C99"/>
    <w:rsid w:val="002A54E5"/>
    <w:rsid w:val="002A556A"/>
    <w:rsid w:val="002A559D"/>
    <w:rsid w:val="002A5705"/>
    <w:rsid w:val="002A5741"/>
    <w:rsid w:val="002A5A2E"/>
    <w:rsid w:val="002A5FED"/>
    <w:rsid w:val="002A60C5"/>
    <w:rsid w:val="002A6696"/>
    <w:rsid w:val="002A67A8"/>
    <w:rsid w:val="002A6DA7"/>
    <w:rsid w:val="002A6DE6"/>
    <w:rsid w:val="002A715F"/>
    <w:rsid w:val="002A72A4"/>
    <w:rsid w:val="002A746C"/>
    <w:rsid w:val="002A7671"/>
    <w:rsid w:val="002A7C78"/>
    <w:rsid w:val="002A7E0C"/>
    <w:rsid w:val="002A7EF2"/>
    <w:rsid w:val="002A7F32"/>
    <w:rsid w:val="002B038B"/>
    <w:rsid w:val="002B0527"/>
    <w:rsid w:val="002B05C0"/>
    <w:rsid w:val="002B05F5"/>
    <w:rsid w:val="002B0690"/>
    <w:rsid w:val="002B0727"/>
    <w:rsid w:val="002B07CE"/>
    <w:rsid w:val="002B0ADF"/>
    <w:rsid w:val="002B0B08"/>
    <w:rsid w:val="002B0E17"/>
    <w:rsid w:val="002B0E5F"/>
    <w:rsid w:val="002B0E82"/>
    <w:rsid w:val="002B0F17"/>
    <w:rsid w:val="002B0F22"/>
    <w:rsid w:val="002B1213"/>
    <w:rsid w:val="002B1255"/>
    <w:rsid w:val="002B1889"/>
    <w:rsid w:val="002B1DAD"/>
    <w:rsid w:val="002B220A"/>
    <w:rsid w:val="002B2381"/>
    <w:rsid w:val="002B2D10"/>
    <w:rsid w:val="002B2F19"/>
    <w:rsid w:val="002B2F98"/>
    <w:rsid w:val="002B31BB"/>
    <w:rsid w:val="002B3317"/>
    <w:rsid w:val="002B34CE"/>
    <w:rsid w:val="002B38B7"/>
    <w:rsid w:val="002B3A46"/>
    <w:rsid w:val="002B3A84"/>
    <w:rsid w:val="002B3BB6"/>
    <w:rsid w:val="002B3D2C"/>
    <w:rsid w:val="002B3DEF"/>
    <w:rsid w:val="002B3E54"/>
    <w:rsid w:val="002B3E6E"/>
    <w:rsid w:val="002B426B"/>
    <w:rsid w:val="002B478B"/>
    <w:rsid w:val="002B48C3"/>
    <w:rsid w:val="002B4D7C"/>
    <w:rsid w:val="002B4F71"/>
    <w:rsid w:val="002B5027"/>
    <w:rsid w:val="002B5058"/>
    <w:rsid w:val="002B546D"/>
    <w:rsid w:val="002B546E"/>
    <w:rsid w:val="002B56B4"/>
    <w:rsid w:val="002B5743"/>
    <w:rsid w:val="002B5EED"/>
    <w:rsid w:val="002B6029"/>
    <w:rsid w:val="002B6045"/>
    <w:rsid w:val="002B606C"/>
    <w:rsid w:val="002B61B6"/>
    <w:rsid w:val="002B63E8"/>
    <w:rsid w:val="002B6462"/>
    <w:rsid w:val="002B653E"/>
    <w:rsid w:val="002B6686"/>
    <w:rsid w:val="002B6B09"/>
    <w:rsid w:val="002B7177"/>
    <w:rsid w:val="002B74D2"/>
    <w:rsid w:val="002B7781"/>
    <w:rsid w:val="002B78A0"/>
    <w:rsid w:val="002B7C48"/>
    <w:rsid w:val="002B7CA1"/>
    <w:rsid w:val="002B7CFB"/>
    <w:rsid w:val="002C01EC"/>
    <w:rsid w:val="002C02FB"/>
    <w:rsid w:val="002C05DE"/>
    <w:rsid w:val="002C0742"/>
    <w:rsid w:val="002C0A57"/>
    <w:rsid w:val="002C0B2E"/>
    <w:rsid w:val="002C0E80"/>
    <w:rsid w:val="002C0EF2"/>
    <w:rsid w:val="002C11BD"/>
    <w:rsid w:val="002C17C0"/>
    <w:rsid w:val="002C2238"/>
    <w:rsid w:val="002C2661"/>
    <w:rsid w:val="002C26E1"/>
    <w:rsid w:val="002C29DC"/>
    <w:rsid w:val="002C2A51"/>
    <w:rsid w:val="002C2B24"/>
    <w:rsid w:val="002C2B35"/>
    <w:rsid w:val="002C2CB3"/>
    <w:rsid w:val="002C2CC3"/>
    <w:rsid w:val="002C2D0C"/>
    <w:rsid w:val="002C2D2F"/>
    <w:rsid w:val="002C2EC5"/>
    <w:rsid w:val="002C30BF"/>
    <w:rsid w:val="002C33B6"/>
    <w:rsid w:val="002C3476"/>
    <w:rsid w:val="002C3542"/>
    <w:rsid w:val="002C3A6A"/>
    <w:rsid w:val="002C3EE8"/>
    <w:rsid w:val="002C40FB"/>
    <w:rsid w:val="002C428E"/>
    <w:rsid w:val="002C43A1"/>
    <w:rsid w:val="002C43B2"/>
    <w:rsid w:val="002C4842"/>
    <w:rsid w:val="002C4935"/>
    <w:rsid w:val="002C4A30"/>
    <w:rsid w:val="002C5146"/>
    <w:rsid w:val="002C55FB"/>
    <w:rsid w:val="002C591A"/>
    <w:rsid w:val="002C5A48"/>
    <w:rsid w:val="002C5B08"/>
    <w:rsid w:val="002C5B68"/>
    <w:rsid w:val="002C616E"/>
    <w:rsid w:val="002C6265"/>
    <w:rsid w:val="002C698A"/>
    <w:rsid w:val="002C6E0C"/>
    <w:rsid w:val="002C6EF0"/>
    <w:rsid w:val="002C707A"/>
    <w:rsid w:val="002C770C"/>
    <w:rsid w:val="002C77AA"/>
    <w:rsid w:val="002C7AAC"/>
    <w:rsid w:val="002D0117"/>
    <w:rsid w:val="002D06FA"/>
    <w:rsid w:val="002D08F8"/>
    <w:rsid w:val="002D0D3A"/>
    <w:rsid w:val="002D1389"/>
    <w:rsid w:val="002D14D2"/>
    <w:rsid w:val="002D1682"/>
    <w:rsid w:val="002D1780"/>
    <w:rsid w:val="002D1866"/>
    <w:rsid w:val="002D1C24"/>
    <w:rsid w:val="002D1C6A"/>
    <w:rsid w:val="002D1EED"/>
    <w:rsid w:val="002D1F22"/>
    <w:rsid w:val="002D1F88"/>
    <w:rsid w:val="002D211B"/>
    <w:rsid w:val="002D2486"/>
    <w:rsid w:val="002D29B9"/>
    <w:rsid w:val="002D2A56"/>
    <w:rsid w:val="002D2ACE"/>
    <w:rsid w:val="002D2CDE"/>
    <w:rsid w:val="002D327F"/>
    <w:rsid w:val="002D35DD"/>
    <w:rsid w:val="002D390F"/>
    <w:rsid w:val="002D3F65"/>
    <w:rsid w:val="002D40AE"/>
    <w:rsid w:val="002D4359"/>
    <w:rsid w:val="002D4964"/>
    <w:rsid w:val="002D542D"/>
    <w:rsid w:val="002D5538"/>
    <w:rsid w:val="002D5E0B"/>
    <w:rsid w:val="002D5F7C"/>
    <w:rsid w:val="002D621B"/>
    <w:rsid w:val="002D668F"/>
    <w:rsid w:val="002D6918"/>
    <w:rsid w:val="002D6931"/>
    <w:rsid w:val="002D6BC5"/>
    <w:rsid w:val="002D6D88"/>
    <w:rsid w:val="002D72EE"/>
    <w:rsid w:val="002D730C"/>
    <w:rsid w:val="002D7423"/>
    <w:rsid w:val="002D7A6F"/>
    <w:rsid w:val="002D7E1F"/>
    <w:rsid w:val="002D7FD1"/>
    <w:rsid w:val="002E002C"/>
    <w:rsid w:val="002E0057"/>
    <w:rsid w:val="002E0101"/>
    <w:rsid w:val="002E0407"/>
    <w:rsid w:val="002E0587"/>
    <w:rsid w:val="002E06F8"/>
    <w:rsid w:val="002E091F"/>
    <w:rsid w:val="002E0954"/>
    <w:rsid w:val="002E09E9"/>
    <w:rsid w:val="002E0CAE"/>
    <w:rsid w:val="002E0E92"/>
    <w:rsid w:val="002E12B5"/>
    <w:rsid w:val="002E16F1"/>
    <w:rsid w:val="002E19AB"/>
    <w:rsid w:val="002E1AD6"/>
    <w:rsid w:val="002E2109"/>
    <w:rsid w:val="002E21C6"/>
    <w:rsid w:val="002E2336"/>
    <w:rsid w:val="002E2874"/>
    <w:rsid w:val="002E2935"/>
    <w:rsid w:val="002E31A7"/>
    <w:rsid w:val="002E323F"/>
    <w:rsid w:val="002E340C"/>
    <w:rsid w:val="002E3527"/>
    <w:rsid w:val="002E35C8"/>
    <w:rsid w:val="002E37F8"/>
    <w:rsid w:val="002E3982"/>
    <w:rsid w:val="002E3ACF"/>
    <w:rsid w:val="002E3F77"/>
    <w:rsid w:val="002E3FE9"/>
    <w:rsid w:val="002E445B"/>
    <w:rsid w:val="002E450D"/>
    <w:rsid w:val="002E472B"/>
    <w:rsid w:val="002E4B1D"/>
    <w:rsid w:val="002E4D38"/>
    <w:rsid w:val="002E4E4B"/>
    <w:rsid w:val="002E4E77"/>
    <w:rsid w:val="002E53A6"/>
    <w:rsid w:val="002E548C"/>
    <w:rsid w:val="002E5608"/>
    <w:rsid w:val="002E5759"/>
    <w:rsid w:val="002E58E9"/>
    <w:rsid w:val="002E5B3B"/>
    <w:rsid w:val="002E5B61"/>
    <w:rsid w:val="002E5ED0"/>
    <w:rsid w:val="002E5F19"/>
    <w:rsid w:val="002E5F6F"/>
    <w:rsid w:val="002E5FEA"/>
    <w:rsid w:val="002E623F"/>
    <w:rsid w:val="002E63CD"/>
    <w:rsid w:val="002E63F4"/>
    <w:rsid w:val="002E66E9"/>
    <w:rsid w:val="002E70FF"/>
    <w:rsid w:val="002E72A2"/>
    <w:rsid w:val="002E745B"/>
    <w:rsid w:val="002E7516"/>
    <w:rsid w:val="002E7677"/>
    <w:rsid w:val="002E7971"/>
    <w:rsid w:val="002E7DF3"/>
    <w:rsid w:val="002F017B"/>
    <w:rsid w:val="002F0596"/>
    <w:rsid w:val="002F070C"/>
    <w:rsid w:val="002F0B39"/>
    <w:rsid w:val="002F0BDA"/>
    <w:rsid w:val="002F101B"/>
    <w:rsid w:val="002F1550"/>
    <w:rsid w:val="002F17B1"/>
    <w:rsid w:val="002F17FE"/>
    <w:rsid w:val="002F1B00"/>
    <w:rsid w:val="002F215A"/>
    <w:rsid w:val="002F21CD"/>
    <w:rsid w:val="002F225F"/>
    <w:rsid w:val="002F22E3"/>
    <w:rsid w:val="002F239F"/>
    <w:rsid w:val="002F26BE"/>
    <w:rsid w:val="002F2811"/>
    <w:rsid w:val="002F28C8"/>
    <w:rsid w:val="002F2988"/>
    <w:rsid w:val="002F2A95"/>
    <w:rsid w:val="002F2C1C"/>
    <w:rsid w:val="002F2C3F"/>
    <w:rsid w:val="002F3488"/>
    <w:rsid w:val="002F3604"/>
    <w:rsid w:val="002F3807"/>
    <w:rsid w:val="002F3823"/>
    <w:rsid w:val="002F42B0"/>
    <w:rsid w:val="002F431B"/>
    <w:rsid w:val="002F4540"/>
    <w:rsid w:val="002F4902"/>
    <w:rsid w:val="002F4A25"/>
    <w:rsid w:val="002F4AF2"/>
    <w:rsid w:val="002F4B2D"/>
    <w:rsid w:val="002F4BEC"/>
    <w:rsid w:val="002F50EF"/>
    <w:rsid w:val="002F5172"/>
    <w:rsid w:val="002F52A5"/>
    <w:rsid w:val="002F536C"/>
    <w:rsid w:val="002F5A1E"/>
    <w:rsid w:val="002F5C33"/>
    <w:rsid w:val="002F6209"/>
    <w:rsid w:val="002F62F9"/>
    <w:rsid w:val="002F63CB"/>
    <w:rsid w:val="002F6539"/>
    <w:rsid w:val="002F6636"/>
    <w:rsid w:val="002F6782"/>
    <w:rsid w:val="002F688F"/>
    <w:rsid w:val="002F68F1"/>
    <w:rsid w:val="002F699A"/>
    <w:rsid w:val="002F69C8"/>
    <w:rsid w:val="002F6DD0"/>
    <w:rsid w:val="002F6E61"/>
    <w:rsid w:val="002F713F"/>
    <w:rsid w:val="002F7284"/>
    <w:rsid w:val="002F7863"/>
    <w:rsid w:val="002F78BD"/>
    <w:rsid w:val="002F79AE"/>
    <w:rsid w:val="002F7B3A"/>
    <w:rsid w:val="002F7F1C"/>
    <w:rsid w:val="003002D8"/>
    <w:rsid w:val="00300396"/>
    <w:rsid w:val="003004BF"/>
    <w:rsid w:val="0030059E"/>
    <w:rsid w:val="00300631"/>
    <w:rsid w:val="00300837"/>
    <w:rsid w:val="00300BAE"/>
    <w:rsid w:val="0030112A"/>
    <w:rsid w:val="0030113C"/>
    <w:rsid w:val="00301207"/>
    <w:rsid w:val="00301371"/>
    <w:rsid w:val="00301554"/>
    <w:rsid w:val="003022FE"/>
    <w:rsid w:val="0030233E"/>
    <w:rsid w:val="00302770"/>
    <w:rsid w:val="00302C8C"/>
    <w:rsid w:val="00302C92"/>
    <w:rsid w:val="00302D49"/>
    <w:rsid w:val="00302ED3"/>
    <w:rsid w:val="0030306A"/>
    <w:rsid w:val="003030AF"/>
    <w:rsid w:val="003031A0"/>
    <w:rsid w:val="003033E3"/>
    <w:rsid w:val="003033ED"/>
    <w:rsid w:val="003038E1"/>
    <w:rsid w:val="00303A32"/>
    <w:rsid w:val="00303D8C"/>
    <w:rsid w:val="003040D2"/>
    <w:rsid w:val="00304115"/>
    <w:rsid w:val="00304191"/>
    <w:rsid w:val="00304437"/>
    <w:rsid w:val="003044CD"/>
    <w:rsid w:val="0030483C"/>
    <w:rsid w:val="00304865"/>
    <w:rsid w:val="003049E3"/>
    <w:rsid w:val="00304A35"/>
    <w:rsid w:val="0030542E"/>
    <w:rsid w:val="003054C3"/>
    <w:rsid w:val="00305545"/>
    <w:rsid w:val="00305730"/>
    <w:rsid w:val="0030579A"/>
    <w:rsid w:val="003057B2"/>
    <w:rsid w:val="003058B5"/>
    <w:rsid w:val="00305E11"/>
    <w:rsid w:val="0030633B"/>
    <w:rsid w:val="00306CAD"/>
    <w:rsid w:val="00306CD5"/>
    <w:rsid w:val="00306F43"/>
    <w:rsid w:val="003072ED"/>
    <w:rsid w:val="00307803"/>
    <w:rsid w:val="00307E88"/>
    <w:rsid w:val="0031007E"/>
    <w:rsid w:val="00310282"/>
    <w:rsid w:val="0031082D"/>
    <w:rsid w:val="00310A58"/>
    <w:rsid w:val="00310B20"/>
    <w:rsid w:val="00310D72"/>
    <w:rsid w:val="00311078"/>
    <w:rsid w:val="003110DB"/>
    <w:rsid w:val="00311886"/>
    <w:rsid w:val="003118C0"/>
    <w:rsid w:val="003118C4"/>
    <w:rsid w:val="003118C9"/>
    <w:rsid w:val="00311967"/>
    <w:rsid w:val="00311DBF"/>
    <w:rsid w:val="00311EC2"/>
    <w:rsid w:val="00311FBB"/>
    <w:rsid w:val="003124AF"/>
    <w:rsid w:val="003125DE"/>
    <w:rsid w:val="003126EC"/>
    <w:rsid w:val="00312ADC"/>
    <w:rsid w:val="00312C87"/>
    <w:rsid w:val="00312D94"/>
    <w:rsid w:val="00312E48"/>
    <w:rsid w:val="003130CE"/>
    <w:rsid w:val="003132DD"/>
    <w:rsid w:val="003136B6"/>
    <w:rsid w:val="003137B6"/>
    <w:rsid w:val="00313D41"/>
    <w:rsid w:val="00313F11"/>
    <w:rsid w:val="00313F5D"/>
    <w:rsid w:val="00313F79"/>
    <w:rsid w:val="0031410C"/>
    <w:rsid w:val="00314126"/>
    <w:rsid w:val="00314414"/>
    <w:rsid w:val="003145EE"/>
    <w:rsid w:val="00314F02"/>
    <w:rsid w:val="003154B6"/>
    <w:rsid w:val="0031567E"/>
    <w:rsid w:val="003157BA"/>
    <w:rsid w:val="0031607C"/>
    <w:rsid w:val="003161B5"/>
    <w:rsid w:val="003163C3"/>
    <w:rsid w:val="003165B8"/>
    <w:rsid w:val="00316AC7"/>
    <w:rsid w:val="00316BE6"/>
    <w:rsid w:val="00316DDB"/>
    <w:rsid w:val="00316E76"/>
    <w:rsid w:val="003171F3"/>
    <w:rsid w:val="003176C3"/>
    <w:rsid w:val="0031796A"/>
    <w:rsid w:val="00317ADF"/>
    <w:rsid w:val="00317B1D"/>
    <w:rsid w:val="00317C6B"/>
    <w:rsid w:val="00317D9A"/>
    <w:rsid w:val="00317E6A"/>
    <w:rsid w:val="0032007A"/>
    <w:rsid w:val="003202EF"/>
    <w:rsid w:val="00320648"/>
    <w:rsid w:val="003208E6"/>
    <w:rsid w:val="00320C4E"/>
    <w:rsid w:val="0032134F"/>
    <w:rsid w:val="003218E6"/>
    <w:rsid w:val="00321D4B"/>
    <w:rsid w:val="0032253F"/>
    <w:rsid w:val="00322596"/>
    <w:rsid w:val="00322D58"/>
    <w:rsid w:val="00322F5D"/>
    <w:rsid w:val="003232D1"/>
    <w:rsid w:val="00323322"/>
    <w:rsid w:val="00323420"/>
    <w:rsid w:val="0032382D"/>
    <w:rsid w:val="00323B08"/>
    <w:rsid w:val="00323EA1"/>
    <w:rsid w:val="00323F9E"/>
    <w:rsid w:val="00323FCD"/>
    <w:rsid w:val="0032408B"/>
    <w:rsid w:val="003243C5"/>
    <w:rsid w:val="00324543"/>
    <w:rsid w:val="00324615"/>
    <w:rsid w:val="00324666"/>
    <w:rsid w:val="00324693"/>
    <w:rsid w:val="0032473C"/>
    <w:rsid w:val="00324AF3"/>
    <w:rsid w:val="00324C72"/>
    <w:rsid w:val="00324D3F"/>
    <w:rsid w:val="00324D9C"/>
    <w:rsid w:val="00324EAE"/>
    <w:rsid w:val="0032585D"/>
    <w:rsid w:val="00325BBC"/>
    <w:rsid w:val="00325DB5"/>
    <w:rsid w:val="00326348"/>
    <w:rsid w:val="0032680D"/>
    <w:rsid w:val="00326835"/>
    <w:rsid w:val="00326CD6"/>
    <w:rsid w:val="00327295"/>
    <w:rsid w:val="0032745E"/>
    <w:rsid w:val="0032746E"/>
    <w:rsid w:val="0032787B"/>
    <w:rsid w:val="00327984"/>
    <w:rsid w:val="00327C25"/>
    <w:rsid w:val="00327E10"/>
    <w:rsid w:val="003304F0"/>
    <w:rsid w:val="00330B9D"/>
    <w:rsid w:val="00331586"/>
    <w:rsid w:val="00331760"/>
    <w:rsid w:val="0033183B"/>
    <w:rsid w:val="00331BD7"/>
    <w:rsid w:val="00331D0C"/>
    <w:rsid w:val="00331E3F"/>
    <w:rsid w:val="00332105"/>
    <w:rsid w:val="003321A2"/>
    <w:rsid w:val="00332329"/>
    <w:rsid w:val="0033259F"/>
    <w:rsid w:val="00332740"/>
    <w:rsid w:val="00332A7B"/>
    <w:rsid w:val="00332D69"/>
    <w:rsid w:val="003331AE"/>
    <w:rsid w:val="00333314"/>
    <w:rsid w:val="0033332D"/>
    <w:rsid w:val="0033335B"/>
    <w:rsid w:val="00333408"/>
    <w:rsid w:val="003335C3"/>
    <w:rsid w:val="00333FB0"/>
    <w:rsid w:val="003342B9"/>
    <w:rsid w:val="00334493"/>
    <w:rsid w:val="00334684"/>
    <w:rsid w:val="00334940"/>
    <w:rsid w:val="003350C9"/>
    <w:rsid w:val="00335182"/>
    <w:rsid w:val="0033569D"/>
    <w:rsid w:val="00336138"/>
    <w:rsid w:val="003362C5"/>
    <w:rsid w:val="003366FE"/>
    <w:rsid w:val="00336C2F"/>
    <w:rsid w:val="00336D04"/>
    <w:rsid w:val="003370ED"/>
    <w:rsid w:val="0033727E"/>
    <w:rsid w:val="00337668"/>
    <w:rsid w:val="003400B2"/>
    <w:rsid w:val="003402EC"/>
    <w:rsid w:val="003403A2"/>
    <w:rsid w:val="00341216"/>
    <w:rsid w:val="00341280"/>
    <w:rsid w:val="00341C39"/>
    <w:rsid w:val="00341E1C"/>
    <w:rsid w:val="00342381"/>
    <w:rsid w:val="00342593"/>
    <w:rsid w:val="00342C2B"/>
    <w:rsid w:val="00342D44"/>
    <w:rsid w:val="0034319B"/>
    <w:rsid w:val="003438D2"/>
    <w:rsid w:val="00343942"/>
    <w:rsid w:val="00343C04"/>
    <w:rsid w:val="00343E1A"/>
    <w:rsid w:val="00343E24"/>
    <w:rsid w:val="003440FE"/>
    <w:rsid w:val="003443CB"/>
    <w:rsid w:val="00344519"/>
    <w:rsid w:val="0034453B"/>
    <w:rsid w:val="003445B9"/>
    <w:rsid w:val="00345180"/>
    <w:rsid w:val="0034536B"/>
    <w:rsid w:val="003453A6"/>
    <w:rsid w:val="00345453"/>
    <w:rsid w:val="003455A6"/>
    <w:rsid w:val="00345769"/>
    <w:rsid w:val="00345D91"/>
    <w:rsid w:val="00345DDA"/>
    <w:rsid w:val="00345FE6"/>
    <w:rsid w:val="00346168"/>
    <w:rsid w:val="003461E4"/>
    <w:rsid w:val="00346298"/>
    <w:rsid w:val="00346835"/>
    <w:rsid w:val="00346E08"/>
    <w:rsid w:val="00346E66"/>
    <w:rsid w:val="00347092"/>
    <w:rsid w:val="00347200"/>
    <w:rsid w:val="0034727A"/>
    <w:rsid w:val="003473D0"/>
    <w:rsid w:val="00347F0A"/>
    <w:rsid w:val="0035038C"/>
    <w:rsid w:val="0035049B"/>
    <w:rsid w:val="0035062C"/>
    <w:rsid w:val="003506C2"/>
    <w:rsid w:val="003507B9"/>
    <w:rsid w:val="003507E1"/>
    <w:rsid w:val="00350D1B"/>
    <w:rsid w:val="00350E4C"/>
    <w:rsid w:val="003511C2"/>
    <w:rsid w:val="00351244"/>
    <w:rsid w:val="00351259"/>
    <w:rsid w:val="0035159A"/>
    <w:rsid w:val="0035188D"/>
    <w:rsid w:val="00351B37"/>
    <w:rsid w:val="00351BF8"/>
    <w:rsid w:val="00351F50"/>
    <w:rsid w:val="00352084"/>
    <w:rsid w:val="00352207"/>
    <w:rsid w:val="003527B1"/>
    <w:rsid w:val="0035299A"/>
    <w:rsid w:val="00352C54"/>
    <w:rsid w:val="00352F6D"/>
    <w:rsid w:val="00353122"/>
    <w:rsid w:val="003532C4"/>
    <w:rsid w:val="0035335D"/>
    <w:rsid w:val="0035363A"/>
    <w:rsid w:val="003539CF"/>
    <w:rsid w:val="00353A11"/>
    <w:rsid w:val="00353A44"/>
    <w:rsid w:val="00353DEE"/>
    <w:rsid w:val="00353F98"/>
    <w:rsid w:val="003545A4"/>
    <w:rsid w:val="003548E6"/>
    <w:rsid w:val="00354BAD"/>
    <w:rsid w:val="00354C9E"/>
    <w:rsid w:val="0035538E"/>
    <w:rsid w:val="00355767"/>
    <w:rsid w:val="00355E67"/>
    <w:rsid w:val="00355E6D"/>
    <w:rsid w:val="003561AA"/>
    <w:rsid w:val="0035638B"/>
    <w:rsid w:val="003566BF"/>
    <w:rsid w:val="003569D7"/>
    <w:rsid w:val="00356E21"/>
    <w:rsid w:val="00356E54"/>
    <w:rsid w:val="00357253"/>
    <w:rsid w:val="00357684"/>
    <w:rsid w:val="00357832"/>
    <w:rsid w:val="00357A43"/>
    <w:rsid w:val="00357D02"/>
    <w:rsid w:val="003601B2"/>
    <w:rsid w:val="0036032E"/>
    <w:rsid w:val="00360359"/>
    <w:rsid w:val="0036099C"/>
    <w:rsid w:val="00360A2F"/>
    <w:rsid w:val="00360BA5"/>
    <w:rsid w:val="00360BE5"/>
    <w:rsid w:val="00360D12"/>
    <w:rsid w:val="00361078"/>
    <w:rsid w:val="003611ED"/>
    <w:rsid w:val="0036129C"/>
    <w:rsid w:val="003615A9"/>
    <w:rsid w:val="003616C5"/>
    <w:rsid w:val="0036187A"/>
    <w:rsid w:val="00361AE4"/>
    <w:rsid w:val="00361B14"/>
    <w:rsid w:val="00362054"/>
    <w:rsid w:val="003623AC"/>
    <w:rsid w:val="0036255A"/>
    <w:rsid w:val="00362A2C"/>
    <w:rsid w:val="00362C26"/>
    <w:rsid w:val="00362DF0"/>
    <w:rsid w:val="003630C5"/>
    <w:rsid w:val="00363186"/>
    <w:rsid w:val="003639C6"/>
    <w:rsid w:val="00363B2B"/>
    <w:rsid w:val="00363C04"/>
    <w:rsid w:val="00363E2E"/>
    <w:rsid w:val="003644E7"/>
    <w:rsid w:val="0036501E"/>
    <w:rsid w:val="003650FE"/>
    <w:rsid w:val="003651D3"/>
    <w:rsid w:val="00365311"/>
    <w:rsid w:val="003657EF"/>
    <w:rsid w:val="003659C8"/>
    <w:rsid w:val="00365AD7"/>
    <w:rsid w:val="00365D01"/>
    <w:rsid w:val="00365D2B"/>
    <w:rsid w:val="00365F6A"/>
    <w:rsid w:val="00365F8F"/>
    <w:rsid w:val="00366219"/>
    <w:rsid w:val="0036622D"/>
    <w:rsid w:val="0036668C"/>
    <w:rsid w:val="00366702"/>
    <w:rsid w:val="0036676C"/>
    <w:rsid w:val="003667BA"/>
    <w:rsid w:val="00366A76"/>
    <w:rsid w:val="00367919"/>
    <w:rsid w:val="0036797D"/>
    <w:rsid w:val="00367D9E"/>
    <w:rsid w:val="00367EDA"/>
    <w:rsid w:val="003701F9"/>
    <w:rsid w:val="003705F6"/>
    <w:rsid w:val="00370653"/>
    <w:rsid w:val="003707FB"/>
    <w:rsid w:val="003708D6"/>
    <w:rsid w:val="003709C7"/>
    <w:rsid w:val="003709E9"/>
    <w:rsid w:val="00371125"/>
    <w:rsid w:val="00371177"/>
    <w:rsid w:val="00371284"/>
    <w:rsid w:val="00371370"/>
    <w:rsid w:val="003715C2"/>
    <w:rsid w:val="003717A7"/>
    <w:rsid w:val="003718D2"/>
    <w:rsid w:val="003720F3"/>
    <w:rsid w:val="0037217C"/>
    <w:rsid w:val="0037245F"/>
    <w:rsid w:val="00373111"/>
    <w:rsid w:val="003732EB"/>
    <w:rsid w:val="0037330A"/>
    <w:rsid w:val="00373563"/>
    <w:rsid w:val="00373941"/>
    <w:rsid w:val="0037395C"/>
    <w:rsid w:val="00373DC0"/>
    <w:rsid w:val="0037436F"/>
    <w:rsid w:val="0037499B"/>
    <w:rsid w:val="00374AA7"/>
    <w:rsid w:val="00374BAB"/>
    <w:rsid w:val="00374CBD"/>
    <w:rsid w:val="00374E82"/>
    <w:rsid w:val="00374E94"/>
    <w:rsid w:val="003750A5"/>
    <w:rsid w:val="003750B8"/>
    <w:rsid w:val="00375168"/>
    <w:rsid w:val="0037524C"/>
    <w:rsid w:val="003757A1"/>
    <w:rsid w:val="003758ED"/>
    <w:rsid w:val="00375C9F"/>
    <w:rsid w:val="00375E6F"/>
    <w:rsid w:val="00375F10"/>
    <w:rsid w:val="00375FAB"/>
    <w:rsid w:val="00376044"/>
    <w:rsid w:val="003761BD"/>
    <w:rsid w:val="00376506"/>
    <w:rsid w:val="00376964"/>
    <w:rsid w:val="003769EC"/>
    <w:rsid w:val="00376C83"/>
    <w:rsid w:val="0037703E"/>
    <w:rsid w:val="00377203"/>
    <w:rsid w:val="00377287"/>
    <w:rsid w:val="00377F64"/>
    <w:rsid w:val="00377F94"/>
    <w:rsid w:val="0038054A"/>
    <w:rsid w:val="0038090F"/>
    <w:rsid w:val="00380AFF"/>
    <w:rsid w:val="00380D59"/>
    <w:rsid w:val="00380EA6"/>
    <w:rsid w:val="0038168E"/>
    <w:rsid w:val="003818A5"/>
    <w:rsid w:val="003819CC"/>
    <w:rsid w:val="00381A35"/>
    <w:rsid w:val="00381B34"/>
    <w:rsid w:val="00381BFB"/>
    <w:rsid w:val="00381EA1"/>
    <w:rsid w:val="003820FF"/>
    <w:rsid w:val="003829AE"/>
    <w:rsid w:val="00382A4D"/>
    <w:rsid w:val="00382DA8"/>
    <w:rsid w:val="00382DEA"/>
    <w:rsid w:val="00383132"/>
    <w:rsid w:val="00383A1C"/>
    <w:rsid w:val="00383AD0"/>
    <w:rsid w:val="00383BE0"/>
    <w:rsid w:val="003840B8"/>
    <w:rsid w:val="003841D8"/>
    <w:rsid w:val="003844D2"/>
    <w:rsid w:val="00384630"/>
    <w:rsid w:val="0038498F"/>
    <w:rsid w:val="00384FC4"/>
    <w:rsid w:val="003851AA"/>
    <w:rsid w:val="00385FFF"/>
    <w:rsid w:val="00386218"/>
    <w:rsid w:val="003863D5"/>
    <w:rsid w:val="003867D1"/>
    <w:rsid w:val="003867E5"/>
    <w:rsid w:val="0038697D"/>
    <w:rsid w:val="00386A94"/>
    <w:rsid w:val="00386BE9"/>
    <w:rsid w:val="00386C86"/>
    <w:rsid w:val="00386CA8"/>
    <w:rsid w:val="00387028"/>
    <w:rsid w:val="003870AF"/>
    <w:rsid w:val="00387154"/>
    <w:rsid w:val="003872C6"/>
    <w:rsid w:val="003873A4"/>
    <w:rsid w:val="003874A9"/>
    <w:rsid w:val="00387791"/>
    <w:rsid w:val="00387CEF"/>
    <w:rsid w:val="00387DDA"/>
    <w:rsid w:val="00387DF4"/>
    <w:rsid w:val="00387E3C"/>
    <w:rsid w:val="0039030F"/>
    <w:rsid w:val="003904CA"/>
    <w:rsid w:val="0039069A"/>
    <w:rsid w:val="003909F6"/>
    <w:rsid w:val="00390A0D"/>
    <w:rsid w:val="00390DC3"/>
    <w:rsid w:val="003913D5"/>
    <w:rsid w:val="00391439"/>
    <w:rsid w:val="00391726"/>
    <w:rsid w:val="003918F3"/>
    <w:rsid w:val="00391D53"/>
    <w:rsid w:val="00392088"/>
    <w:rsid w:val="003922BB"/>
    <w:rsid w:val="0039251A"/>
    <w:rsid w:val="00392CD2"/>
    <w:rsid w:val="00392DCE"/>
    <w:rsid w:val="003931D4"/>
    <w:rsid w:val="00393389"/>
    <w:rsid w:val="00393582"/>
    <w:rsid w:val="00393751"/>
    <w:rsid w:val="00393A0D"/>
    <w:rsid w:val="00393EAA"/>
    <w:rsid w:val="00394215"/>
    <w:rsid w:val="003943AA"/>
    <w:rsid w:val="00394586"/>
    <w:rsid w:val="00394949"/>
    <w:rsid w:val="00394A22"/>
    <w:rsid w:val="00394A44"/>
    <w:rsid w:val="00394B82"/>
    <w:rsid w:val="00394EC3"/>
    <w:rsid w:val="00394FAC"/>
    <w:rsid w:val="00395454"/>
    <w:rsid w:val="003956EB"/>
    <w:rsid w:val="00395E74"/>
    <w:rsid w:val="003963BE"/>
    <w:rsid w:val="00396432"/>
    <w:rsid w:val="00396987"/>
    <w:rsid w:val="003969C7"/>
    <w:rsid w:val="00396A74"/>
    <w:rsid w:val="00396D4C"/>
    <w:rsid w:val="00396DA1"/>
    <w:rsid w:val="00396EB2"/>
    <w:rsid w:val="00396F23"/>
    <w:rsid w:val="00397392"/>
    <w:rsid w:val="003974D0"/>
    <w:rsid w:val="003975AD"/>
    <w:rsid w:val="0039760B"/>
    <w:rsid w:val="003976DF"/>
    <w:rsid w:val="003976FB"/>
    <w:rsid w:val="003978EE"/>
    <w:rsid w:val="003979A2"/>
    <w:rsid w:val="00397E5D"/>
    <w:rsid w:val="00397E97"/>
    <w:rsid w:val="003A01ED"/>
    <w:rsid w:val="003A020B"/>
    <w:rsid w:val="003A02F4"/>
    <w:rsid w:val="003A0642"/>
    <w:rsid w:val="003A0757"/>
    <w:rsid w:val="003A0B0A"/>
    <w:rsid w:val="003A1096"/>
    <w:rsid w:val="003A167B"/>
    <w:rsid w:val="003A1903"/>
    <w:rsid w:val="003A191C"/>
    <w:rsid w:val="003A1CC9"/>
    <w:rsid w:val="003A1F2C"/>
    <w:rsid w:val="003A1F62"/>
    <w:rsid w:val="003A28A7"/>
    <w:rsid w:val="003A2900"/>
    <w:rsid w:val="003A2AD6"/>
    <w:rsid w:val="003A2B59"/>
    <w:rsid w:val="003A2CEC"/>
    <w:rsid w:val="003A2F1E"/>
    <w:rsid w:val="003A2FC6"/>
    <w:rsid w:val="003A30E7"/>
    <w:rsid w:val="003A321D"/>
    <w:rsid w:val="003A378A"/>
    <w:rsid w:val="003A38A4"/>
    <w:rsid w:val="003A3966"/>
    <w:rsid w:val="003A39B4"/>
    <w:rsid w:val="003A3E14"/>
    <w:rsid w:val="003A4154"/>
    <w:rsid w:val="003A428C"/>
    <w:rsid w:val="003A472C"/>
    <w:rsid w:val="003A47F9"/>
    <w:rsid w:val="003A4ADC"/>
    <w:rsid w:val="003A5131"/>
    <w:rsid w:val="003A540C"/>
    <w:rsid w:val="003A5AE2"/>
    <w:rsid w:val="003A5B99"/>
    <w:rsid w:val="003A5D5F"/>
    <w:rsid w:val="003A5F04"/>
    <w:rsid w:val="003A6281"/>
    <w:rsid w:val="003A643C"/>
    <w:rsid w:val="003A6496"/>
    <w:rsid w:val="003A64E9"/>
    <w:rsid w:val="003A6690"/>
    <w:rsid w:val="003A66FF"/>
    <w:rsid w:val="003A6716"/>
    <w:rsid w:val="003A67C1"/>
    <w:rsid w:val="003A6E9C"/>
    <w:rsid w:val="003A7B1A"/>
    <w:rsid w:val="003A7B51"/>
    <w:rsid w:val="003A7DA6"/>
    <w:rsid w:val="003A7F11"/>
    <w:rsid w:val="003B02BB"/>
    <w:rsid w:val="003B0494"/>
    <w:rsid w:val="003B0496"/>
    <w:rsid w:val="003B0879"/>
    <w:rsid w:val="003B0AA7"/>
    <w:rsid w:val="003B0FD4"/>
    <w:rsid w:val="003B0FED"/>
    <w:rsid w:val="003B11C3"/>
    <w:rsid w:val="003B137D"/>
    <w:rsid w:val="003B137E"/>
    <w:rsid w:val="003B14BE"/>
    <w:rsid w:val="003B1526"/>
    <w:rsid w:val="003B1919"/>
    <w:rsid w:val="003B1985"/>
    <w:rsid w:val="003B1ABC"/>
    <w:rsid w:val="003B2502"/>
    <w:rsid w:val="003B2C32"/>
    <w:rsid w:val="003B2C3A"/>
    <w:rsid w:val="003B2C5D"/>
    <w:rsid w:val="003B2E4E"/>
    <w:rsid w:val="003B2EA2"/>
    <w:rsid w:val="003B2F6E"/>
    <w:rsid w:val="003B396C"/>
    <w:rsid w:val="003B3B23"/>
    <w:rsid w:val="003B3CDE"/>
    <w:rsid w:val="003B4474"/>
    <w:rsid w:val="003B4518"/>
    <w:rsid w:val="003B45D3"/>
    <w:rsid w:val="003B47D3"/>
    <w:rsid w:val="003B47D7"/>
    <w:rsid w:val="003B4973"/>
    <w:rsid w:val="003B4A89"/>
    <w:rsid w:val="003B4D79"/>
    <w:rsid w:val="003B4DAA"/>
    <w:rsid w:val="003B5166"/>
    <w:rsid w:val="003B53F0"/>
    <w:rsid w:val="003B5428"/>
    <w:rsid w:val="003B5576"/>
    <w:rsid w:val="003B5777"/>
    <w:rsid w:val="003B5903"/>
    <w:rsid w:val="003B598E"/>
    <w:rsid w:val="003B5A73"/>
    <w:rsid w:val="003B5B2F"/>
    <w:rsid w:val="003B5C1E"/>
    <w:rsid w:val="003B5E0E"/>
    <w:rsid w:val="003B5F32"/>
    <w:rsid w:val="003B5FE6"/>
    <w:rsid w:val="003B636C"/>
    <w:rsid w:val="003B6442"/>
    <w:rsid w:val="003B6447"/>
    <w:rsid w:val="003B6756"/>
    <w:rsid w:val="003B6824"/>
    <w:rsid w:val="003B6F00"/>
    <w:rsid w:val="003B6FBA"/>
    <w:rsid w:val="003B6FBD"/>
    <w:rsid w:val="003B7003"/>
    <w:rsid w:val="003B70DC"/>
    <w:rsid w:val="003B7938"/>
    <w:rsid w:val="003B7A18"/>
    <w:rsid w:val="003B7B9D"/>
    <w:rsid w:val="003B7EEF"/>
    <w:rsid w:val="003B7FD3"/>
    <w:rsid w:val="003C01BD"/>
    <w:rsid w:val="003C02EE"/>
    <w:rsid w:val="003C0506"/>
    <w:rsid w:val="003C095A"/>
    <w:rsid w:val="003C09D9"/>
    <w:rsid w:val="003C0A2C"/>
    <w:rsid w:val="003C0B70"/>
    <w:rsid w:val="003C0BF6"/>
    <w:rsid w:val="003C106C"/>
    <w:rsid w:val="003C11D7"/>
    <w:rsid w:val="003C157D"/>
    <w:rsid w:val="003C1608"/>
    <w:rsid w:val="003C1BF1"/>
    <w:rsid w:val="003C1C40"/>
    <w:rsid w:val="003C2332"/>
    <w:rsid w:val="003C25B4"/>
    <w:rsid w:val="003C295B"/>
    <w:rsid w:val="003C2BAD"/>
    <w:rsid w:val="003C2BE8"/>
    <w:rsid w:val="003C2F37"/>
    <w:rsid w:val="003C2FF2"/>
    <w:rsid w:val="003C30F3"/>
    <w:rsid w:val="003C3211"/>
    <w:rsid w:val="003C36AD"/>
    <w:rsid w:val="003C377F"/>
    <w:rsid w:val="003C380C"/>
    <w:rsid w:val="003C3980"/>
    <w:rsid w:val="003C3A58"/>
    <w:rsid w:val="003C3E26"/>
    <w:rsid w:val="003C4180"/>
    <w:rsid w:val="003C4181"/>
    <w:rsid w:val="003C41D8"/>
    <w:rsid w:val="003C4222"/>
    <w:rsid w:val="003C43DE"/>
    <w:rsid w:val="003C48D9"/>
    <w:rsid w:val="003C4F3C"/>
    <w:rsid w:val="003C5300"/>
    <w:rsid w:val="003C55BC"/>
    <w:rsid w:val="003C5C19"/>
    <w:rsid w:val="003C5C22"/>
    <w:rsid w:val="003C5E48"/>
    <w:rsid w:val="003C6289"/>
    <w:rsid w:val="003C6714"/>
    <w:rsid w:val="003C67EA"/>
    <w:rsid w:val="003C6C20"/>
    <w:rsid w:val="003C6DA7"/>
    <w:rsid w:val="003C6F2F"/>
    <w:rsid w:val="003C6FB7"/>
    <w:rsid w:val="003C7221"/>
    <w:rsid w:val="003C7291"/>
    <w:rsid w:val="003C7446"/>
    <w:rsid w:val="003C74C8"/>
    <w:rsid w:val="003C7E7D"/>
    <w:rsid w:val="003D082F"/>
    <w:rsid w:val="003D0859"/>
    <w:rsid w:val="003D08A7"/>
    <w:rsid w:val="003D08FA"/>
    <w:rsid w:val="003D0C8E"/>
    <w:rsid w:val="003D0DD5"/>
    <w:rsid w:val="003D0E73"/>
    <w:rsid w:val="003D1088"/>
    <w:rsid w:val="003D10DF"/>
    <w:rsid w:val="003D17FE"/>
    <w:rsid w:val="003D193F"/>
    <w:rsid w:val="003D1A95"/>
    <w:rsid w:val="003D203D"/>
    <w:rsid w:val="003D2127"/>
    <w:rsid w:val="003D21E5"/>
    <w:rsid w:val="003D235C"/>
    <w:rsid w:val="003D24C5"/>
    <w:rsid w:val="003D2931"/>
    <w:rsid w:val="003D327D"/>
    <w:rsid w:val="003D32A8"/>
    <w:rsid w:val="003D33C9"/>
    <w:rsid w:val="003D348B"/>
    <w:rsid w:val="003D355F"/>
    <w:rsid w:val="003D36FE"/>
    <w:rsid w:val="003D3914"/>
    <w:rsid w:val="003D3A39"/>
    <w:rsid w:val="003D3E46"/>
    <w:rsid w:val="003D3FA5"/>
    <w:rsid w:val="003D4575"/>
    <w:rsid w:val="003D45AD"/>
    <w:rsid w:val="003D4621"/>
    <w:rsid w:val="003D478F"/>
    <w:rsid w:val="003D47BC"/>
    <w:rsid w:val="003D4A62"/>
    <w:rsid w:val="003D4B5E"/>
    <w:rsid w:val="003D4F65"/>
    <w:rsid w:val="003D5674"/>
    <w:rsid w:val="003D56FB"/>
    <w:rsid w:val="003D5BA8"/>
    <w:rsid w:val="003D5CF2"/>
    <w:rsid w:val="003D5FB5"/>
    <w:rsid w:val="003D6436"/>
    <w:rsid w:val="003D675D"/>
    <w:rsid w:val="003D687C"/>
    <w:rsid w:val="003D6B3E"/>
    <w:rsid w:val="003D6D72"/>
    <w:rsid w:val="003D6E9F"/>
    <w:rsid w:val="003D6FF0"/>
    <w:rsid w:val="003D7083"/>
    <w:rsid w:val="003D7297"/>
    <w:rsid w:val="003D7430"/>
    <w:rsid w:val="003D7B6B"/>
    <w:rsid w:val="003D7CDB"/>
    <w:rsid w:val="003D7E76"/>
    <w:rsid w:val="003D7F08"/>
    <w:rsid w:val="003E00B3"/>
    <w:rsid w:val="003E08DF"/>
    <w:rsid w:val="003E0926"/>
    <w:rsid w:val="003E0C45"/>
    <w:rsid w:val="003E0D1F"/>
    <w:rsid w:val="003E107F"/>
    <w:rsid w:val="003E135D"/>
    <w:rsid w:val="003E13CC"/>
    <w:rsid w:val="003E14F2"/>
    <w:rsid w:val="003E1515"/>
    <w:rsid w:val="003E195A"/>
    <w:rsid w:val="003E1AE5"/>
    <w:rsid w:val="003E1B14"/>
    <w:rsid w:val="003E1C3B"/>
    <w:rsid w:val="003E1C4E"/>
    <w:rsid w:val="003E1D8E"/>
    <w:rsid w:val="003E20D1"/>
    <w:rsid w:val="003E25B2"/>
    <w:rsid w:val="003E2E75"/>
    <w:rsid w:val="003E2FBC"/>
    <w:rsid w:val="003E3049"/>
    <w:rsid w:val="003E317A"/>
    <w:rsid w:val="003E31A7"/>
    <w:rsid w:val="003E3368"/>
    <w:rsid w:val="003E384E"/>
    <w:rsid w:val="003E3870"/>
    <w:rsid w:val="003E3B86"/>
    <w:rsid w:val="003E3C99"/>
    <w:rsid w:val="003E3CFF"/>
    <w:rsid w:val="003E3FFB"/>
    <w:rsid w:val="003E4074"/>
    <w:rsid w:val="003E40EA"/>
    <w:rsid w:val="003E43EF"/>
    <w:rsid w:val="003E44C6"/>
    <w:rsid w:val="003E4614"/>
    <w:rsid w:val="003E46A6"/>
    <w:rsid w:val="003E4708"/>
    <w:rsid w:val="003E47C0"/>
    <w:rsid w:val="003E4916"/>
    <w:rsid w:val="003E4A31"/>
    <w:rsid w:val="003E4A54"/>
    <w:rsid w:val="003E4EEF"/>
    <w:rsid w:val="003E505B"/>
    <w:rsid w:val="003E5783"/>
    <w:rsid w:val="003E59C6"/>
    <w:rsid w:val="003E5A0A"/>
    <w:rsid w:val="003E5DA5"/>
    <w:rsid w:val="003E6757"/>
    <w:rsid w:val="003E69DC"/>
    <w:rsid w:val="003E6A5B"/>
    <w:rsid w:val="003E6A87"/>
    <w:rsid w:val="003E6D81"/>
    <w:rsid w:val="003E70A2"/>
    <w:rsid w:val="003E7154"/>
    <w:rsid w:val="003E73AD"/>
    <w:rsid w:val="003E74A7"/>
    <w:rsid w:val="003E759A"/>
    <w:rsid w:val="003E76AC"/>
    <w:rsid w:val="003E7844"/>
    <w:rsid w:val="003E795A"/>
    <w:rsid w:val="003E7B49"/>
    <w:rsid w:val="003F01AB"/>
    <w:rsid w:val="003F0417"/>
    <w:rsid w:val="003F092A"/>
    <w:rsid w:val="003F0965"/>
    <w:rsid w:val="003F0AE7"/>
    <w:rsid w:val="003F0EB6"/>
    <w:rsid w:val="003F13B5"/>
    <w:rsid w:val="003F1610"/>
    <w:rsid w:val="003F1679"/>
    <w:rsid w:val="003F1AF9"/>
    <w:rsid w:val="003F2070"/>
    <w:rsid w:val="003F20B4"/>
    <w:rsid w:val="003F245E"/>
    <w:rsid w:val="003F2693"/>
    <w:rsid w:val="003F27CC"/>
    <w:rsid w:val="003F29D2"/>
    <w:rsid w:val="003F2AF5"/>
    <w:rsid w:val="003F32EC"/>
    <w:rsid w:val="003F36DD"/>
    <w:rsid w:val="003F3927"/>
    <w:rsid w:val="003F3945"/>
    <w:rsid w:val="003F3ADF"/>
    <w:rsid w:val="003F3AE4"/>
    <w:rsid w:val="003F3CFD"/>
    <w:rsid w:val="003F3F6D"/>
    <w:rsid w:val="003F4085"/>
    <w:rsid w:val="003F419A"/>
    <w:rsid w:val="003F438B"/>
    <w:rsid w:val="003F455E"/>
    <w:rsid w:val="003F4833"/>
    <w:rsid w:val="003F4943"/>
    <w:rsid w:val="003F4C78"/>
    <w:rsid w:val="003F5188"/>
    <w:rsid w:val="003F527A"/>
    <w:rsid w:val="003F5A35"/>
    <w:rsid w:val="003F5AA8"/>
    <w:rsid w:val="003F5C7A"/>
    <w:rsid w:val="003F5CBA"/>
    <w:rsid w:val="003F5E3F"/>
    <w:rsid w:val="003F61F2"/>
    <w:rsid w:val="003F6269"/>
    <w:rsid w:val="003F62B4"/>
    <w:rsid w:val="003F6791"/>
    <w:rsid w:val="003F6AD7"/>
    <w:rsid w:val="003F6BCC"/>
    <w:rsid w:val="003F6F06"/>
    <w:rsid w:val="003F7114"/>
    <w:rsid w:val="003F741E"/>
    <w:rsid w:val="003F74E5"/>
    <w:rsid w:val="003F7530"/>
    <w:rsid w:val="003F774A"/>
    <w:rsid w:val="003F7803"/>
    <w:rsid w:val="003F7A08"/>
    <w:rsid w:val="003F7E82"/>
    <w:rsid w:val="00400055"/>
    <w:rsid w:val="004000F7"/>
    <w:rsid w:val="0040039E"/>
    <w:rsid w:val="0040041F"/>
    <w:rsid w:val="004006DF"/>
    <w:rsid w:val="00400AB3"/>
    <w:rsid w:val="0040108B"/>
    <w:rsid w:val="004012EF"/>
    <w:rsid w:val="004018D4"/>
    <w:rsid w:val="0040207F"/>
    <w:rsid w:val="004020E3"/>
    <w:rsid w:val="00402216"/>
    <w:rsid w:val="004022C0"/>
    <w:rsid w:val="0040231C"/>
    <w:rsid w:val="004024B2"/>
    <w:rsid w:val="00402709"/>
    <w:rsid w:val="00402AE7"/>
    <w:rsid w:val="00402DF4"/>
    <w:rsid w:val="00402FDC"/>
    <w:rsid w:val="00402FE8"/>
    <w:rsid w:val="00403262"/>
    <w:rsid w:val="004033CD"/>
    <w:rsid w:val="004038A6"/>
    <w:rsid w:val="00403A8B"/>
    <w:rsid w:val="00403EE8"/>
    <w:rsid w:val="00404105"/>
    <w:rsid w:val="00404243"/>
    <w:rsid w:val="00404436"/>
    <w:rsid w:val="00404438"/>
    <w:rsid w:val="0040491B"/>
    <w:rsid w:val="00404930"/>
    <w:rsid w:val="00404AFD"/>
    <w:rsid w:val="00404C3D"/>
    <w:rsid w:val="00404F9B"/>
    <w:rsid w:val="0040502F"/>
    <w:rsid w:val="00405088"/>
    <w:rsid w:val="004052C6"/>
    <w:rsid w:val="0040531E"/>
    <w:rsid w:val="00405345"/>
    <w:rsid w:val="00405835"/>
    <w:rsid w:val="00405867"/>
    <w:rsid w:val="00405BDD"/>
    <w:rsid w:val="00405F8D"/>
    <w:rsid w:val="00406228"/>
    <w:rsid w:val="004063E4"/>
    <w:rsid w:val="004069BC"/>
    <w:rsid w:val="00406AE5"/>
    <w:rsid w:val="00406B29"/>
    <w:rsid w:val="00406F0B"/>
    <w:rsid w:val="00407069"/>
    <w:rsid w:val="004071C7"/>
    <w:rsid w:val="0040779D"/>
    <w:rsid w:val="004077C5"/>
    <w:rsid w:val="004079C0"/>
    <w:rsid w:val="00407C55"/>
    <w:rsid w:val="00407C87"/>
    <w:rsid w:val="00407FF7"/>
    <w:rsid w:val="004102BB"/>
    <w:rsid w:val="00410319"/>
    <w:rsid w:val="0041078D"/>
    <w:rsid w:val="004107FB"/>
    <w:rsid w:val="00410A70"/>
    <w:rsid w:val="004110A9"/>
    <w:rsid w:val="004111BB"/>
    <w:rsid w:val="00411BA9"/>
    <w:rsid w:val="00411E0C"/>
    <w:rsid w:val="00411F43"/>
    <w:rsid w:val="0041230A"/>
    <w:rsid w:val="00412494"/>
    <w:rsid w:val="00412616"/>
    <w:rsid w:val="00412694"/>
    <w:rsid w:val="0041281B"/>
    <w:rsid w:val="00412D3E"/>
    <w:rsid w:val="00412EDB"/>
    <w:rsid w:val="00412F2D"/>
    <w:rsid w:val="0041329D"/>
    <w:rsid w:val="004138A0"/>
    <w:rsid w:val="00413A20"/>
    <w:rsid w:val="00413A47"/>
    <w:rsid w:val="00413D73"/>
    <w:rsid w:val="00413E5F"/>
    <w:rsid w:val="00414213"/>
    <w:rsid w:val="004142EB"/>
    <w:rsid w:val="00414357"/>
    <w:rsid w:val="0041450E"/>
    <w:rsid w:val="0041455F"/>
    <w:rsid w:val="00414B6F"/>
    <w:rsid w:val="00415651"/>
    <w:rsid w:val="00415922"/>
    <w:rsid w:val="00415DA7"/>
    <w:rsid w:val="00415EA0"/>
    <w:rsid w:val="0041605A"/>
    <w:rsid w:val="004160E9"/>
    <w:rsid w:val="00416605"/>
    <w:rsid w:val="00416637"/>
    <w:rsid w:val="00416C3E"/>
    <w:rsid w:val="00416CEF"/>
    <w:rsid w:val="00416D02"/>
    <w:rsid w:val="004178AB"/>
    <w:rsid w:val="00417A1E"/>
    <w:rsid w:val="00417C0A"/>
    <w:rsid w:val="00417E4D"/>
    <w:rsid w:val="00420166"/>
    <w:rsid w:val="00420578"/>
    <w:rsid w:val="004208B1"/>
    <w:rsid w:val="00420967"/>
    <w:rsid w:val="00420F98"/>
    <w:rsid w:val="00421308"/>
    <w:rsid w:val="004216E2"/>
    <w:rsid w:val="004217E8"/>
    <w:rsid w:val="00421825"/>
    <w:rsid w:val="00421DB4"/>
    <w:rsid w:val="00422079"/>
    <w:rsid w:val="0042278A"/>
    <w:rsid w:val="0042334B"/>
    <w:rsid w:val="0042371F"/>
    <w:rsid w:val="00423B88"/>
    <w:rsid w:val="00423E3C"/>
    <w:rsid w:val="0042412B"/>
    <w:rsid w:val="0042418C"/>
    <w:rsid w:val="0042424F"/>
    <w:rsid w:val="0042450F"/>
    <w:rsid w:val="0042476D"/>
    <w:rsid w:val="00424AAC"/>
    <w:rsid w:val="00424B64"/>
    <w:rsid w:val="00425234"/>
    <w:rsid w:val="00425528"/>
    <w:rsid w:val="004257D7"/>
    <w:rsid w:val="0042582D"/>
    <w:rsid w:val="004259B3"/>
    <w:rsid w:val="004259C1"/>
    <w:rsid w:val="00425B38"/>
    <w:rsid w:val="00425C1E"/>
    <w:rsid w:val="00425E7C"/>
    <w:rsid w:val="00425E94"/>
    <w:rsid w:val="004263FB"/>
    <w:rsid w:val="00426650"/>
    <w:rsid w:val="0042668E"/>
    <w:rsid w:val="0042676F"/>
    <w:rsid w:val="00426774"/>
    <w:rsid w:val="0042682A"/>
    <w:rsid w:val="004268BC"/>
    <w:rsid w:val="00426A14"/>
    <w:rsid w:val="00426DDE"/>
    <w:rsid w:val="00427173"/>
    <w:rsid w:val="0042770B"/>
    <w:rsid w:val="00427D95"/>
    <w:rsid w:val="00427E25"/>
    <w:rsid w:val="0043029E"/>
    <w:rsid w:val="00430316"/>
    <w:rsid w:val="0043055C"/>
    <w:rsid w:val="004306E9"/>
    <w:rsid w:val="0043083A"/>
    <w:rsid w:val="00430C35"/>
    <w:rsid w:val="00430F3A"/>
    <w:rsid w:val="00430F48"/>
    <w:rsid w:val="0043100C"/>
    <w:rsid w:val="004311AC"/>
    <w:rsid w:val="00431B79"/>
    <w:rsid w:val="00431BFE"/>
    <w:rsid w:val="00431E71"/>
    <w:rsid w:val="0043240E"/>
    <w:rsid w:val="00432988"/>
    <w:rsid w:val="00432B7A"/>
    <w:rsid w:val="00432F68"/>
    <w:rsid w:val="00433134"/>
    <w:rsid w:val="0043335F"/>
    <w:rsid w:val="004342BA"/>
    <w:rsid w:val="004346D7"/>
    <w:rsid w:val="00434AC7"/>
    <w:rsid w:val="00434EC3"/>
    <w:rsid w:val="004350D6"/>
    <w:rsid w:val="004350DC"/>
    <w:rsid w:val="004358D1"/>
    <w:rsid w:val="00435D35"/>
    <w:rsid w:val="00435F97"/>
    <w:rsid w:val="004363B3"/>
    <w:rsid w:val="004363B5"/>
    <w:rsid w:val="004364F7"/>
    <w:rsid w:val="00436A53"/>
    <w:rsid w:val="00436AA8"/>
    <w:rsid w:val="00437119"/>
    <w:rsid w:val="00437221"/>
    <w:rsid w:val="004373EA"/>
    <w:rsid w:val="0043743F"/>
    <w:rsid w:val="004379C5"/>
    <w:rsid w:val="00437A2E"/>
    <w:rsid w:val="00437B6A"/>
    <w:rsid w:val="00437CAE"/>
    <w:rsid w:val="004403F8"/>
    <w:rsid w:val="00440441"/>
    <w:rsid w:val="0044062B"/>
    <w:rsid w:val="00440C40"/>
    <w:rsid w:val="00440C57"/>
    <w:rsid w:val="00440FE7"/>
    <w:rsid w:val="004415C9"/>
    <w:rsid w:val="00441C01"/>
    <w:rsid w:val="00441E06"/>
    <w:rsid w:val="00441FB3"/>
    <w:rsid w:val="00442063"/>
    <w:rsid w:val="004423E3"/>
    <w:rsid w:val="00442653"/>
    <w:rsid w:val="00442A01"/>
    <w:rsid w:val="00442BB8"/>
    <w:rsid w:val="00442D3E"/>
    <w:rsid w:val="00443275"/>
    <w:rsid w:val="00443D61"/>
    <w:rsid w:val="00443E6F"/>
    <w:rsid w:val="004443AB"/>
    <w:rsid w:val="004443B5"/>
    <w:rsid w:val="00444534"/>
    <w:rsid w:val="004448EA"/>
    <w:rsid w:val="00444A90"/>
    <w:rsid w:val="0044539F"/>
    <w:rsid w:val="00445703"/>
    <w:rsid w:val="00445851"/>
    <w:rsid w:val="004458AF"/>
    <w:rsid w:val="00445B79"/>
    <w:rsid w:val="00445CBB"/>
    <w:rsid w:val="00445DA4"/>
    <w:rsid w:val="00445FF0"/>
    <w:rsid w:val="0044667D"/>
    <w:rsid w:val="0044673F"/>
    <w:rsid w:val="004467DF"/>
    <w:rsid w:val="0044692C"/>
    <w:rsid w:val="00446D38"/>
    <w:rsid w:val="00447287"/>
    <w:rsid w:val="0044755C"/>
    <w:rsid w:val="00447C9F"/>
    <w:rsid w:val="00447E06"/>
    <w:rsid w:val="00447EEA"/>
    <w:rsid w:val="0045005C"/>
    <w:rsid w:val="00450278"/>
    <w:rsid w:val="0045037F"/>
    <w:rsid w:val="00450495"/>
    <w:rsid w:val="0045053E"/>
    <w:rsid w:val="0045064F"/>
    <w:rsid w:val="00450713"/>
    <w:rsid w:val="00450789"/>
    <w:rsid w:val="00450852"/>
    <w:rsid w:val="00450A68"/>
    <w:rsid w:val="00450B5F"/>
    <w:rsid w:val="00450BD4"/>
    <w:rsid w:val="00450CE8"/>
    <w:rsid w:val="00450D13"/>
    <w:rsid w:val="00450DC6"/>
    <w:rsid w:val="004512FA"/>
    <w:rsid w:val="0045155B"/>
    <w:rsid w:val="00451752"/>
    <w:rsid w:val="00451786"/>
    <w:rsid w:val="00451B11"/>
    <w:rsid w:val="00451E8E"/>
    <w:rsid w:val="00452151"/>
    <w:rsid w:val="00452209"/>
    <w:rsid w:val="0045226F"/>
    <w:rsid w:val="004522E1"/>
    <w:rsid w:val="00452692"/>
    <w:rsid w:val="00452A20"/>
    <w:rsid w:val="00452BBD"/>
    <w:rsid w:val="00452D24"/>
    <w:rsid w:val="0045321E"/>
    <w:rsid w:val="00453372"/>
    <w:rsid w:val="004533D3"/>
    <w:rsid w:val="00453515"/>
    <w:rsid w:val="004536EB"/>
    <w:rsid w:val="00453774"/>
    <w:rsid w:val="00453815"/>
    <w:rsid w:val="00453D9F"/>
    <w:rsid w:val="00453FF5"/>
    <w:rsid w:val="004540FC"/>
    <w:rsid w:val="00454222"/>
    <w:rsid w:val="0045422C"/>
    <w:rsid w:val="00454AA3"/>
    <w:rsid w:val="00455060"/>
    <w:rsid w:val="00455309"/>
    <w:rsid w:val="00455D4C"/>
    <w:rsid w:val="00455D8B"/>
    <w:rsid w:val="00455FA6"/>
    <w:rsid w:val="00455FFF"/>
    <w:rsid w:val="00456018"/>
    <w:rsid w:val="004560F2"/>
    <w:rsid w:val="004565CB"/>
    <w:rsid w:val="004566A4"/>
    <w:rsid w:val="00456964"/>
    <w:rsid w:val="00456B57"/>
    <w:rsid w:val="00456BA3"/>
    <w:rsid w:val="00456FD8"/>
    <w:rsid w:val="00456FFE"/>
    <w:rsid w:val="0045710E"/>
    <w:rsid w:val="00457137"/>
    <w:rsid w:val="004571E2"/>
    <w:rsid w:val="004577B8"/>
    <w:rsid w:val="00457F63"/>
    <w:rsid w:val="0046006F"/>
    <w:rsid w:val="004600DC"/>
    <w:rsid w:val="004601D6"/>
    <w:rsid w:val="00460412"/>
    <w:rsid w:val="00460448"/>
    <w:rsid w:val="00460494"/>
    <w:rsid w:val="0046091C"/>
    <w:rsid w:val="00460A17"/>
    <w:rsid w:val="00460AE0"/>
    <w:rsid w:val="00460B64"/>
    <w:rsid w:val="00461089"/>
    <w:rsid w:val="0046108F"/>
    <w:rsid w:val="00461326"/>
    <w:rsid w:val="004615F8"/>
    <w:rsid w:val="004615FF"/>
    <w:rsid w:val="00461669"/>
    <w:rsid w:val="00461AD1"/>
    <w:rsid w:val="00461CAD"/>
    <w:rsid w:val="00461CF0"/>
    <w:rsid w:val="00461E85"/>
    <w:rsid w:val="00462120"/>
    <w:rsid w:val="00462176"/>
    <w:rsid w:val="0046232C"/>
    <w:rsid w:val="0046281B"/>
    <w:rsid w:val="004628AE"/>
    <w:rsid w:val="004629DB"/>
    <w:rsid w:val="00462DDA"/>
    <w:rsid w:val="004635FF"/>
    <w:rsid w:val="004638A0"/>
    <w:rsid w:val="00463988"/>
    <w:rsid w:val="00463D66"/>
    <w:rsid w:val="0046484B"/>
    <w:rsid w:val="00464CDF"/>
    <w:rsid w:val="00464E5F"/>
    <w:rsid w:val="0046548D"/>
    <w:rsid w:val="0046555A"/>
    <w:rsid w:val="00465717"/>
    <w:rsid w:val="00465BC7"/>
    <w:rsid w:val="00465DB6"/>
    <w:rsid w:val="00465ECA"/>
    <w:rsid w:val="0046600E"/>
    <w:rsid w:val="00466330"/>
    <w:rsid w:val="00466351"/>
    <w:rsid w:val="0046650A"/>
    <w:rsid w:val="00466576"/>
    <w:rsid w:val="00466653"/>
    <w:rsid w:val="0046668E"/>
    <w:rsid w:val="00466C23"/>
    <w:rsid w:val="00466D4E"/>
    <w:rsid w:val="00466EAC"/>
    <w:rsid w:val="004672AF"/>
    <w:rsid w:val="00467687"/>
    <w:rsid w:val="00467757"/>
    <w:rsid w:val="0046781A"/>
    <w:rsid w:val="00467869"/>
    <w:rsid w:val="0046787F"/>
    <w:rsid w:val="004678E1"/>
    <w:rsid w:val="00467930"/>
    <w:rsid w:val="00467B88"/>
    <w:rsid w:val="00467C13"/>
    <w:rsid w:val="00467C4C"/>
    <w:rsid w:val="00467CF2"/>
    <w:rsid w:val="00467F15"/>
    <w:rsid w:val="0047011E"/>
    <w:rsid w:val="00470523"/>
    <w:rsid w:val="00470642"/>
    <w:rsid w:val="00470650"/>
    <w:rsid w:val="00470A9F"/>
    <w:rsid w:val="00470E42"/>
    <w:rsid w:val="00470ED3"/>
    <w:rsid w:val="00471635"/>
    <w:rsid w:val="00471884"/>
    <w:rsid w:val="004718E6"/>
    <w:rsid w:val="00471AB3"/>
    <w:rsid w:val="00471F35"/>
    <w:rsid w:val="00472011"/>
    <w:rsid w:val="00472136"/>
    <w:rsid w:val="00472357"/>
    <w:rsid w:val="004723FA"/>
    <w:rsid w:val="00472717"/>
    <w:rsid w:val="0047278B"/>
    <w:rsid w:val="00472BD9"/>
    <w:rsid w:val="00472F05"/>
    <w:rsid w:val="0047322E"/>
    <w:rsid w:val="00473633"/>
    <w:rsid w:val="0047376D"/>
    <w:rsid w:val="004739E4"/>
    <w:rsid w:val="00473E3D"/>
    <w:rsid w:val="00474107"/>
    <w:rsid w:val="004742F0"/>
    <w:rsid w:val="0047445E"/>
    <w:rsid w:val="0047481D"/>
    <w:rsid w:val="00474944"/>
    <w:rsid w:val="00474C80"/>
    <w:rsid w:val="00474DD7"/>
    <w:rsid w:val="00474EE5"/>
    <w:rsid w:val="0047516E"/>
    <w:rsid w:val="00475633"/>
    <w:rsid w:val="00475988"/>
    <w:rsid w:val="00475C5B"/>
    <w:rsid w:val="00475F4E"/>
    <w:rsid w:val="004760C8"/>
    <w:rsid w:val="0047620A"/>
    <w:rsid w:val="00476212"/>
    <w:rsid w:val="004763A2"/>
    <w:rsid w:val="004767FD"/>
    <w:rsid w:val="00476875"/>
    <w:rsid w:val="00476C26"/>
    <w:rsid w:val="00476F6A"/>
    <w:rsid w:val="004775EA"/>
    <w:rsid w:val="0047784B"/>
    <w:rsid w:val="0047790A"/>
    <w:rsid w:val="00477A82"/>
    <w:rsid w:val="0048006C"/>
    <w:rsid w:val="004800CE"/>
    <w:rsid w:val="00480272"/>
    <w:rsid w:val="004803DC"/>
    <w:rsid w:val="0048077E"/>
    <w:rsid w:val="00480879"/>
    <w:rsid w:val="00480B90"/>
    <w:rsid w:val="00480E28"/>
    <w:rsid w:val="00480F2C"/>
    <w:rsid w:val="004810E7"/>
    <w:rsid w:val="004814DF"/>
    <w:rsid w:val="00481634"/>
    <w:rsid w:val="0048178A"/>
    <w:rsid w:val="00481839"/>
    <w:rsid w:val="00481C5A"/>
    <w:rsid w:val="00481D29"/>
    <w:rsid w:val="004821DD"/>
    <w:rsid w:val="00482561"/>
    <w:rsid w:val="00482799"/>
    <w:rsid w:val="004829E5"/>
    <w:rsid w:val="00483521"/>
    <w:rsid w:val="00483835"/>
    <w:rsid w:val="0048385C"/>
    <w:rsid w:val="00483C75"/>
    <w:rsid w:val="00483DBF"/>
    <w:rsid w:val="00484963"/>
    <w:rsid w:val="00484A63"/>
    <w:rsid w:val="00484E6F"/>
    <w:rsid w:val="004850DB"/>
    <w:rsid w:val="004851FE"/>
    <w:rsid w:val="004852E2"/>
    <w:rsid w:val="004854FC"/>
    <w:rsid w:val="0048550F"/>
    <w:rsid w:val="0048588A"/>
    <w:rsid w:val="00485A08"/>
    <w:rsid w:val="00485E2C"/>
    <w:rsid w:val="004862D8"/>
    <w:rsid w:val="00486BC9"/>
    <w:rsid w:val="004871C4"/>
    <w:rsid w:val="00487B45"/>
    <w:rsid w:val="00487B67"/>
    <w:rsid w:val="00487F37"/>
    <w:rsid w:val="00487FC7"/>
    <w:rsid w:val="004901E0"/>
    <w:rsid w:val="00490410"/>
    <w:rsid w:val="004907C0"/>
    <w:rsid w:val="004908C8"/>
    <w:rsid w:val="00490C08"/>
    <w:rsid w:val="00490CFC"/>
    <w:rsid w:val="00490F71"/>
    <w:rsid w:val="0049136D"/>
    <w:rsid w:val="004918B1"/>
    <w:rsid w:val="00491AA2"/>
    <w:rsid w:val="00491DDF"/>
    <w:rsid w:val="00492364"/>
    <w:rsid w:val="004923AF"/>
    <w:rsid w:val="00492618"/>
    <w:rsid w:val="004928A0"/>
    <w:rsid w:val="0049292E"/>
    <w:rsid w:val="00492B11"/>
    <w:rsid w:val="00492CDF"/>
    <w:rsid w:val="00493175"/>
    <w:rsid w:val="004932FD"/>
    <w:rsid w:val="004934BF"/>
    <w:rsid w:val="00493741"/>
    <w:rsid w:val="00493773"/>
    <w:rsid w:val="00493818"/>
    <w:rsid w:val="00493B99"/>
    <w:rsid w:val="00493D7E"/>
    <w:rsid w:val="0049406C"/>
    <w:rsid w:val="00494AEA"/>
    <w:rsid w:val="00494D5F"/>
    <w:rsid w:val="00495314"/>
    <w:rsid w:val="004954D6"/>
    <w:rsid w:val="00495820"/>
    <w:rsid w:val="00495BA0"/>
    <w:rsid w:val="00495BA4"/>
    <w:rsid w:val="00495D8D"/>
    <w:rsid w:val="00496098"/>
    <w:rsid w:val="004962C8"/>
    <w:rsid w:val="004966E5"/>
    <w:rsid w:val="0049682C"/>
    <w:rsid w:val="00496A0E"/>
    <w:rsid w:val="00496A2A"/>
    <w:rsid w:val="00497732"/>
    <w:rsid w:val="004978B2"/>
    <w:rsid w:val="00497984"/>
    <w:rsid w:val="00497E10"/>
    <w:rsid w:val="004A006A"/>
    <w:rsid w:val="004A0071"/>
    <w:rsid w:val="004A0111"/>
    <w:rsid w:val="004A01B2"/>
    <w:rsid w:val="004A0BEB"/>
    <w:rsid w:val="004A0CA0"/>
    <w:rsid w:val="004A12DF"/>
    <w:rsid w:val="004A1710"/>
    <w:rsid w:val="004A17F6"/>
    <w:rsid w:val="004A1906"/>
    <w:rsid w:val="004A1B91"/>
    <w:rsid w:val="004A1E45"/>
    <w:rsid w:val="004A1E5E"/>
    <w:rsid w:val="004A1E96"/>
    <w:rsid w:val="004A2025"/>
    <w:rsid w:val="004A20B1"/>
    <w:rsid w:val="004A2608"/>
    <w:rsid w:val="004A2D01"/>
    <w:rsid w:val="004A2F2F"/>
    <w:rsid w:val="004A3755"/>
    <w:rsid w:val="004A3868"/>
    <w:rsid w:val="004A38F2"/>
    <w:rsid w:val="004A3AF6"/>
    <w:rsid w:val="004A3B60"/>
    <w:rsid w:val="004A3C90"/>
    <w:rsid w:val="004A3CBE"/>
    <w:rsid w:val="004A3E5F"/>
    <w:rsid w:val="004A3F72"/>
    <w:rsid w:val="004A40B5"/>
    <w:rsid w:val="004A4191"/>
    <w:rsid w:val="004A4369"/>
    <w:rsid w:val="004A4788"/>
    <w:rsid w:val="004A4B7B"/>
    <w:rsid w:val="004A546B"/>
    <w:rsid w:val="004A56BD"/>
    <w:rsid w:val="004A59E0"/>
    <w:rsid w:val="004A59E7"/>
    <w:rsid w:val="004A5A5B"/>
    <w:rsid w:val="004A5B0E"/>
    <w:rsid w:val="004A5B31"/>
    <w:rsid w:val="004A5B87"/>
    <w:rsid w:val="004A5E1A"/>
    <w:rsid w:val="004A5E75"/>
    <w:rsid w:val="004A5F43"/>
    <w:rsid w:val="004A6350"/>
    <w:rsid w:val="004A6658"/>
    <w:rsid w:val="004A6B3E"/>
    <w:rsid w:val="004A6FCD"/>
    <w:rsid w:val="004A703B"/>
    <w:rsid w:val="004A74BE"/>
    <w:rsid w:val="004A7E63"/>
    <w:rsid w:val="004B0799"/>
    <w:rsid w:val="004B0848"/>
    <w:rsid w:val="004B0893"/>
    <w:rsid w:val="004B0934"/>
    <w:rsid w:val="004B0A9F"/>
    <w:rsid w:val="004B0B17"/>
    <w:rsid w:val="004B0E1D"/>
    <w:rsid w:val="004B0F78"/>
    <w:rsid w:val="004B11C4"/>
    <w:rsid w:val="004B14F0"/>
    <w:rsid w:val="004B150F"/>
    <w:rsid w:val="004B152D"/>
    <w:rsid w:val="004B190C"/>
    <w:rsid w:val="004B1A3A"/>
    <w:rsid w:val="004B1DB9"/>
    <w:rsid w:val="004B1E51"/>
    <w:rsid w:val="004B1F12"/>
    <w:rsid w:val="004B1F8B"/>
    <w:rsid w:val="004B2286"/>
    <w:rsid w:val="004B22BE"/>
    <w:rsid w:val="004B2381"/>
    <w:rsid w:val="004B2CCA"/>
    <w:rsid w:val="004B33D0"/>
    <w:rsid w:val="004B3400"/>
    <w:rsid w:val="004B389B"/>
    <w:rsid w:val="004B38A6"/>
    <w:rsid w:val="004B3B1A"/>
    <w:rsid w:val="004B46D9"/>
    <w:rsid w:val="004B471C"/>
    <w:rsid w:val="004B499D"/>
    <w:rsid w:val="004B49F7"/>
    <w:rsid w:val="004B4B3C"/>
    <w:rsid w:val="004B4BA0"/>
    <w:rsid w:val="004B4F53"/>
    <w:rsid w:val="004B5104"/>
    <w:rsid w:val="004B5125"/>
    <w:rsid w:val="004B542C"/>
    <w:rsid w:val="004B54DC"/>
    <w:rsid w:val="004B5711"/>
    <w:rsid w:val="004B5722"/>
    <w:rsid w:val="004B5D5E"/>
    <w:rsid w:val="004B6302"/>
    <w:rsid w:val="004B661D"/>
    <w:rsid w:val="004B677F"/>
    <w:rsid w:val="004B6B8D"/>
    <w:rsid w:val="004B6E2A"/>
    <w:rsid w:val="004B6F8B"/>
    <w:rsid w:val="004B72A8"/>
    <w:rsid w:val="004B74C4"/>
    <w:rsid w:val="004B7A60"/>
    <w:rsid w:val="004B7B2F"/>
    <w:rsid w:val="004B7F2D"/>
    <w:rsid w:val="004B7F4E"/>
    <w:rsid w:val="004C03A6"/>
    <w:rsid w:val="004C06A5"/>
    <w:rsid w:val="004C086E"/>
    <w:rsid w:val="004C088D"/>
    <w:rsid w:val="004C09AE"/>
    <w:rsid w:val="004C0AB6"/>
    <w:rsid w:val="004C0AFE"/>
    <w:rsid w:val="004C0FB4"/>
    <w:rsid w:val="004C1182"/>
    <w:rsid w:val="004C151D"/>
    <w:rsid w:val="004C1729"/>
    <w:rsid w:val="004C19F3"/>
    <w:rsid w:val="004C1A0B"/>
    <w:rsid w:val="004C1A80"/>
    <w:rsid w:val="004C1DBB"/>
    <w:rsid w:val="004C1EB9"/>
    <w:rsid w:val="004C26F9"/>
    <w:rsid w:val="004C2818"/>
    <w:rsid w:val="004C2C71"/>
    <w:rsid w:val="004C2E0E"/>
    <w:rsid w:val="004C349D"/>
    <w:rsid w:val="004C3543"/>
    <w:rsid w:val="004C365B"/>
    <w:rsid w:val="004C36E9"/>
    <w:rsid w:val="004C37B5"/>
    <w:rsid w:val="004C3A22"/>
    <w:rsid w:val="004C3DFD"/>
    <w:rsid w:val="004C3E0C"/>
    <w:rsid w:val="004C40E1"/>
    <w:rsid w:val="004C44CA"/>
    <w:rsid w:val="004C46A5"/>
    <w:rsid w:val="004C4898"/>
    <w:rsid w:val="004C48D2"/>
    <w:rsid w:val="004C4CED"/>
    <w:rsid w:val="004C4E00"/>
    <w:rsid w:val="004C50C1"/>
    <w:rsid w:val="004C5E8F"/>
    <w:rsid w:val="004C63BD"/>
    <w:rsid w:val="004C6797"/>
    <w:rsid w:val="004C68FC"/>
    <w:rsid w:val="004C6A46"/>
    <w:rsid w:val="004C6B03"/>
    <w:rsid w:val="004C6B8C"/>
    <w:rsid w:val="004C6CB4"/>
    <w:rsid w:val="004C6DAF"/>
    <w:rsid w:val="004C6E7E"/>
    <w:rsid w:val="004C701B"/>
    <w:rsid w:val="004C7033"/>
    <w:rsid w:val="004C71E8"/>
    <w:rsid w:val="004C74FF"/>
    <w:rsid w:val="004C7519"/>
    <w:rsid w:val="004C769C"/>
    <w:rsid w:val="004C76AB"/>
    <w:rsid w:val="004C7814"/>
    <w:rsid w:val="004C7901"/>
    <w:rsid w:val="004C791B"/>
    <w:rsid w:val="004C7BF1"/>
    <w:rsid w:val="004C7EDB"/>
    <w:rsid w:val="004C7EFE"/>
    <w:rsid w:val="004C7FEE"/>
    <w:rsid w:val="004D0542"/>
    <w:rsid w:val="004D0657"/>
    <w:rsid w:val="004D090D"/>
    <w:rsid w:val="004D0B6C"/>
    <w:rsid w:val="004D0C19"/>
    <w:rsid w:val="004D0CC8"/>
    <w:rsid w:val="004D0D91"/>
    <w:rsid w:val="004D0E7C"/>
    <w:rsid w:val="004D1052"/>
    <w:rsid w:val="004D140F"/>
    <w:rsid w:val="004D15EF"/>
    <w:rsid w:val="004D1858"/>
    <w:rsid w:val="004D1CFE"/>
    <w:rsid w:val="004D1DBC"/>
    <w:rsid w:val="004D1E02"/>
    <w:rsid w:val="004D221B"/>
    <w:rsid w:val="004D2277"/>
    <w:rsid w:val="004D25AC"/>
    <w:rsid w:val="004D25CD"/>
    <w:rsid w:val="004D2A37"/>
    <w:rsid w:val="004D2AFD"/>
    <w:rsid w:val="004D2D37"/>
    <w:rsid w:val="004D2F35"/>
    <w:rsid w:val="004D30C6"/>
    <w:rsid w:val="004D34C6"/>
    <w:rsid w:val="004D3F91"/>
    <w:rsid w:val="004D4261"/>
    <w:rsid w:val="004D42F3"/>
    <w:rsid w:val="004D4C57"/>
    <w:rsid w:val="004D4CF1"/>
    <w:rsid w:val="004D4D30"/>
    <w:rsid w:val="004D548F"/>
    <w:rsid w:val="004D55F8"/>
    <w:rsid w:val="004D5887"/>
    <w:rsid w:val="004D5967"/>
    <w:rsid w:val="004D5A40"/>
    <w:rsid w:val="004D5B39"/>
    <w:rsid w:val="004D6055"/>
    <w:rsid w:val="004D609F"/>
    <w:rsid w:val="004D6121"/>
    <w:rsid w:val="004D6298"/>
    <w:rsid w:val="004D659B"/>
    <w:rsid w:val="004D671E"/>
    <w:rsid w:val="004D6897"/>
    <w:rsid w:val="004D738D"/>
    <w:rsid w:val="004D74DF"/>
    <w:rsid w:val="004D773D"/>
    <w:rsid w:val="004E0003"/>
    <w:rsid w:val="004E00B6"/>
    <w:rsid w:val="004E041E"/>
    <w:rsid w:val="004E07A7"/>
    <w:rsid w:val="004E0983"/>
    <w:rsid w:val="004E1A40"/>
    <w:rsid w:val="004E1AA7"/>
    <w:rsid w:val="004E1C24"/>
    <w:rsid w:val="004E1E86"/>
    <w:rsid w:val="004E1FD8"/>
    <w:rsid w:val="004E200E"/>
    <w:rsid w:val="004E2564"/>
    <w:rsid w:val="004E25B6"/>
    <w:rsid w:val="004E26A1"/>
    <w:rsid w:val="004E26A5"/>
    <w:rsid w:val="004E27E3"/>
    <w:rsid w:val="004E2ADB"/>
    <w:rsid w:val="004E2AF5"/>
    <w:rsid w:val="004E2B98"/>
    <w:rsid w:val="004E2E49"/>
    <w:rsid w:val="004E2E93"/>
    <w:rsid w:val="004E3161"/>
    <w:rsid w:val="004E32AA"/>
    <w:rsid w:val="004E33B6"/>
    <w:rsid w:val="004E343C"/>
    <w:rsid w:val="004E34F0"/>
    <w:rsid w:val="004E371B"/>
    <w:rsid w:val="004E3AC9"/>
    <w:rsid w:val="004E3CFB"/>
    <w:rsid w:val="004E4156"/>
    <w:rsid w:val="004E44F0"/>
    <w:rsid w:val="004E45EA"/>
    <w:rsid w:val="004E4BB2"/>
    <w:rsid w:val="004E4BDF"/>
    <w:rsid w:val="004E4C9F"/>
    <w:rsid w:val="004E4EF0"/>
    <w:rsid w:val="004E5401"/>
    <w:rsid w:val="004E56F0"/>
    <w:rsid w:val="004E5799"/>
    <w:rsid w:val="004E5886"/>
    <w:rsid w:val="004E5939"/>
    <w:rsid w:val="004E5C9C"/>
    <w:rsid w:val="004E61B3"/>
    <w:rsid w:val="004E61B7"/>
    <w:rsid w:val="004E62C4"/>
    <w:rsid w:val="004E6817"/>
    <w:rsid w:val="004E6831"/>
    <w:rsid w:val="004E68AC"/>
    <w:rsid w:val="004E6927"/>
    <w:rsid w:val="004E6E3F"/>
    <w:rsid w:val="004E72DA"/>
    <w:rsid w:val="004E7514"/>
    <w:rsid w:val="004E77D9"/>
    <w:rsid w:val="004E793F"/>
    <w:rsid w:val="004E79A6"/>
    <w:rsid w:val="004F00C8"/>
    <w:rsid w:val="004F026A"/>
    <w:rsid w:val="004F0437"/>
    <w:rsid w:val="004F0757"/>
    <w:rsid w:val="004F0B1E"/>
    <w:rsid w:val="004F0B54"/>
    <w:rsid w:val="004F0B9A"/>
    <w:rsid w:val="004F0C97"/>
    <w:rsid w:val="004F128A"/>
    <w:rsid w:val="004F162D"/>
    <w:rsid w:val="004F167F"/>
    <w:rsid w:val="004F18D3"/>
    <w:rsid w:val="004F1CF2"/>
    <w:rsid w:val="004F1D0D"/>
    <w:rsid w:val="004F212C"/>
    <w:rsid w:val="004F22BE"/>
    <w:rsid w:val="004F24DC"/>
    <w:rsid w:val="004F296E"/>
    <w:rsid w:val="004F2EA2"/>
    <w:rsid w:val="004F3671"/>
    <w:rsid w:val="004F38E3"/>
    <w:rsid w:val="004F3946"/>
    <w:rsid w:val="004F3AC7"/>
    <w:rsid w:val="004F3D31"/>
    <w:rsid w:val="004F3D39"/>
    <w:rsid w:val="004F4180"/>
    <w:rsid w:val="004F47ED"/>
    <w:rsid w:val="004F48A5"/>
    <w:rsid w:val="004F4A26"/>
    <w:rsid w:val="004F4C13"/>
    <w:rsid w:val="004F4C3D"/>
    <w:rsid w:val="004F4C86"/>
    <w:rsid w:val="004F586E"/>
    <w:rsid w:val="004F59F7"/>
    <w:rsid w:val="004F5BC8"/>
    <w:rsid w:val="004F5E19"/>
    <w:rsid w:val="004F5E36"/>
    <w:rsid w:val="004F5E49"/>
    <w:rsid w:val="004F5ED0"/>
    <w:rsid w:val="004F5F43"/>
    <w:rsid w:val="004F5F5B"/>
    <w:rsid w:val="004F6283"/>
    <w:rsid w:val="004F66EB"/>
    <w:rsid w:val="004F670E"/>
    <w:rsid w:val="004F6755"/>
    <w:rsid w:val="004F67B0"/>
    <w:rsid w:val="004F69D8"/>
    <w:rsid w:val="004F6A30"/>
    <w:rsid w:val="004F6B06"/>
    <w:rsid w:val="004F6C27"/>
    <w:rsid w:val="004F6C3B"/>
    <w:rsid w:val="004F6CB8"/>
    <w:rsid w:val="004F6CC7"/>
    <w:rsid w:val="004F6CD8"/>
    <w:rsid w:val="004F6DEE"/>
    <w:rsid w:val="004F6F2E"/>
    <w:rsid w:val="004F6F45"/>
    <w:rsid w:val="004F790F"/>
    <w:rsid w:val="004F79AE"/>
    <w:rsid w:val="004F7B2F"/>
    <w:rsid w:val="004F7BCC"/>
    <w:rsid w:val="004F7C7D"/>
    <w:rsid w:val="005001DC"/>
    <w:rsid w:val="005001FC"/>
    <w:rsid w:val="00500533"/>
    <w:rsid w:val="00500588"/>
    <w:rsid w:val="00500769"/>
    <w:rsid w:val="00500835"/>
    <w:rsid w:val="00500CA5"/>
    <w:rsid w:val="00500E9E"/>
    <w:rsid w:val="005010EF"/>
    <w:rsid w:val="00501806"/>
    <w:rsid w:val="00501A6E"/>
    <w:rsid w:val="00501B7E"/>
    <w:rsid w:val="00501F60"/>
    <w:rsid w:val="005020ED"/>
    <w:rsid w:val="00502220"/>
    <w:rsid w:val="00502441"/>
    <w:rsid w:val="0050256A"/>
    <w:rsid w:val="00502BFA"/>
    <w:rsid w:val="00502CEB"/>
    <w:rsid w:val="00502F10"/>
    <w:rsid w:val="005030A8"/>
    <w:rsid w:val="00503573"/>
    <w:rsid w:val="0050376D"/>
    <w:rsid w:val="00503798"/>
    <w:rsid w:val="0050388C"/>
    <w:rsid w:val="005038F6"/>
    <w:rsid w:val="00503C8B"/>
    <w:rsid w:val="00503CBA"/>
    <w:rsid w:val="00503F74"/>
    <w:rsid w:val="00503FCA"/>
    <w:rsid w:val="0050405A"/>
    <w:rsid w:val="0050418A"/>
    <w:rsid w:val="005041D3"/>
    <w:rsid w:val="00504435"/>
    <w:rsid w:val="005044E7"/>
    <w:rsid w:val="0050454E"/>
    <w:rsid w:val="005048AE"/>
    <w:rsid w:val="005049D1"/>
    <w:rsid w:val="00504BD1"/>
    <w:rsid w:val="0050503F"/>
    <w:rsid w:val="00505686"/>
    <w:rsid w:val="00505981"/>
    <w:rsid w:val="005059FA"/>
    <w:rsid w:val="00505CE3"/>
    <w:rsid w:val="00505D06"/>
    <w:rsid w:val="00505EEE"/>
    <w:rsid w:val="005062E8"/>
    <w:rsid w:val="00506967"/>
    <w:rsid w:val="0050701B"/>
    <w:rsid w:val="00507048"/>
    <w:rsid w:val="0050716B"/>
    <w:rsid w:val="005071D2"/>
    <w:rsid w:val="005073AD"/>
    <w:rsid w:val="00507C79"/>
    <w:rsid w:val="00507E6D"/>
    <w:rsid w:val="005101F4"/>
    <w:rsid w:val="0051078D"/>
    <w:rsid w:val="00510C03"/>
    <w:rsid w:val="00510DE2"/>
    <w:rsid w:val="005114A5"/>
    <w:rsid w:val="005114CF"/>
    <w:rsid w:val="005114E3"/>
    <w:rsid w:val="0051188B"/>
    <w:rsid w:val="00511D83"/>
    <w:rsid w:val="00512709"/>
    <w:rsid w:val="0051270B"/>
    <w:rsid w:val="005128D7"/>
    <w:rsid w:val="00512A3F"/>
    <w:rsid w:val="00512C26"/>
    <w:rsid w:val="00512D10"/>
    <w:rsid w:val="0051304D"/>
    <w:rsid w:val="00513165"/>
    <w:rsid w:val="0051346D"/>
    <w:rsid w:val="00513C97"/>
    <w:rsid w:val="00513D42"/>
    <w:rsid w:val="00513D58"/>
    <w:rsid w:val="00514131"/>
    <w:rsid w:val="005142B7"/>
    <w:rsid w:val="005145BA"/>
    <w:rsid w:val="005146AB"/>
    <w:rsid w:val="00514843"/>
    <w:rsid w:val="0051492B"/>
    <w:rsid w:val="00514A37"/>
    <w:rsid w:val="00514BC2"/>
    <w:rsid w:val="00514C1C"/>
    <w:rsid w:val="00514E2B"/>
    <w:rsid w:val="00514E9E"/>
    <w:rsid w:val="00514F02"/>
    <w:rsid w:val="005154F2"/>
    <w:rsid w:val="00515645"/>
    <w:rsid w:val="005159EA"/>
    <w:rsid w:val="00515E56"/>
    <w:rsid w:val="005161A0"/>
    <w:rsid w:val="00516504"/>
    <w:rsid w:val="00516D7B"/>
    <w:rsid w:val="00516F37"/>
    <w:rsid w:val="0051708A"/>
    <w:rsid w:val="00517310"/>
    <w:rsid w:val="005173B8"/>
    <w:rsid w:val="00517613"/>
    <w:rsid w:val="00517B72"/>
    <w:rsid w:val="00517BA6"/>
    <w:rsid w:val="00517CFA"/>
    <w:rsid w:val="00517E7D"/>
    <w:rsid w:val="00517E8D"/>
    <w:rsid w:val="00517FBF"/>
    <w:rsid w:val="00520090"/>
    <w:rsid w:val="005203BA"/>
    <w:rsid w:val="00520A85"/>
    <w:rsid w:val="00520C44"/>
    <w:rsid w:val="00520FB1"/>
    <w:rsid w:val="00521727"/>
    <w:rsid w:val="00521BD0"/>
    <w:rsid w:val="00521DE3"/>
    <w:rsid w:val="00521DEE"/>
    <w:rsid w:val="0052213B"/>
    <w:rsid w:val="00522197"/>
    <w:rsid w:val="0052236C"/>
    <w:rsid w:val="0052239E"/>
    <w:rsid w:val="00522822"/>
    <w:rsid w:val="00522833"/>
    <w:rsid w:val="005228A4"/>
    <w:rsid w:val="00522A3B"/>
    <w:rsid w:val="00522BDA"/>
    <w:rsid w:val="00522DE9"/>
    <w:rsid w:val="00523182"/>
    <w:rsid w:val="00523271"/>
    <w:rsid w:val="00523343"/>
    <w:rsid w:val="00523726"/>
    <w:rsid w:val="0052380A"/>
    <w:rsid w:val="005239CE"/>
    <w:rsid w:val="00523AF8"/>
    <w:rsid w:val="00523D10"/>
    <w:rsid w:val="00523EFF"/>
    <w:rsid w:val="005240B3"/>
    <w:rsid w:val="00524350"/>
    <w:rsid w:val="00524392"/>
    <w:rsid w:val="005246B4"/>
    <w:rsid w:val="005246DB"/>
    <w:rsid w:val="005247F8"/>
    <w:rsid w:val="00524959"/>
    <w:rsid w:val="0052495E"/>
    <w:rsid w:val="00524C77"/>
    <w:rsid w:val="00524FCE"/>
    <w:rsid w:val="00525384"/>
    <w:rsid w:val="0052597D"/>
    <w:rsid w:val="00525E71"/>
    <w:rsid w:val="005263D6"/>
    <w:rsid w:val="005265EE"/>
    <w:rsid w:val="0052665E"/>
    <w:rsid w:val="0052673A"/>
    <w:rsid w:val="00526809"/>
    <w:rsid w:val="00526B75"/>
    <w:rsid w:val="00526EC3"/>
    <w:rsid w:val="0052790D"/>
    <w:rsid w:val="00527AFB"/>
    <w:rsid w:val="00527BC9"/>
    <w:rsid w:val="00527F86"/>
    <w:rsid w:val="005307D5"/>
    <w:rsid w:val="00530CD2"/>
    <w:rsid w:val="00530D89"/>
    <w:rsid w:val="00530E33"/>
    <w:rsid w:val="0053112C"/>
    <w:rsid w:val="005312C0"/>
    <w:rsid w:val="00531439"/>
    <w:rsid w:val="0053143F"/>
    <w:rsid w:val="00531A39"/>
    <w:rsid w:val="00531D7F"/>
    <w:rsid w:val="00532077"/>
    <w:rsid w:val="0053207A"/>
    <w:rsid w:val="005320AB"/>
    <w:rsid w:val="00532154"/>
    <w:rsid w:val="005322CE"/>
    <w:rsid w:val="005325A8"/>
    <w:rsid w:val="00532CCD"/>
    <w:rsid w:val="00532F63"/>
    <w:rsid w:val="00533519"/>
    <w:rsid w:val="00533829"/>
    <w:rsid w:val="0053385E"/>
    <w:rsid w:val="00533A6B"/>
    <w:rsid w:val="00533CE7"/>
    <w:rsid w:val="00533DC5"/>
    <w:rsid w:val="00533FA6"/>
    <w:rsid w:val="00534153"/>
    <w:rsid w:val="005342D6"/>
    <w:rsid w:val="00534963"/>
    <w:rsid w:val="00534A90"/>
    <w:rsid w:val="00534EBB"/>
    <w:rsid w:val="00535093"/>
    <w:rsid w:val="005350D5"/>
    <w:rsid w:val="005353AA"/>
    <w:rsid w:val="00535442"/>
    <w:rsid w:val="005358CB"/>
    <w:rsid w:val="00535A48"/>
    <w:rsid w:val="00535BDA"/>
    <w:rsid w:val="00535D23"/>
    <w:rsid w:val="00535E2C"/>
    <w:rsid w:val="00535E76"/>
    <w:rsid w:val="00536029"/>
    <w:rsid w:val="00536038"/>
    <w:rsid w:val="0053628E"/>
    <w:rsid w:val="005364F9"/>
    <w:rsid w:val="0053660F"/>
    <w:rsid w:val="0053688D"/>
    <w:rsid w:val="005368BC"/>
    <w:rsid w:val="005368F7"/>
    <w:rsid w:val="005369DB"/>
    <w:rsid w:val="00536A21"/>
    <w:rsid w:val="00536C89"/>
    <w:rsid w:val="00536F83"/>
    <w:rsid w:val="00537030"/>
    <w:rsid w:val="00537084"/>
    <w:rsid w:val="00537127"/>
    <w:rsid w:val="005371A5"/>
    <w:rsid w:val="00537940"/>
    <w:rsid w:val="005379F5"/>
    <w:rsid w:val="00537B09"/>
    <w:rsid w:val="00537CCA"/>
    <w:rsid w:val="00540644"/>
    <w:rsid w:val="00540673"/>
    <w:rsid w:val="00540707"/>
    <w:rsid w:val="00540775"/>
    <w:rsid w:val="00540987"/>
    <w:rsid w:val="005409EE"/>
    <w:rsid w:val="00540AF7"/>
    <w:rsid w:val="00540BE9"/>
    <w:rsid w:val="005410BD"/>
    <w:rsid w:val="0054118A"/>
    <w:rsid w:val="00541213"/>
    <w:rsid w:val="005413DD"/>
    <w:rsid w:val="00541EF4"/>
    <w:rsid w:val="005420B2"/>
    <w:rsid w:val="005421D9"/>
    <w:rsid w:val="00542362"/>
    <w:rsid w:val="005428D9"/>
    <w:rsid w:val="00542933"/>
    <w:rsid w:val="00542E37"/>
    <w:rsid w:val="00543035"/>
    <w:rsid w:val="0054346E"/>
    <w:rsid w:val="00543475"/>
    <w:rsid w:val="00543775"/>
    <w:rsid w:val="005439F6"/>
    <w:rsid w:val="00543A02"/>
    <w:rsid w:val="00543A07"/>
    <w:rsid w:val="00543C2F"/>
    <w:rsid w:val="00543C79"/>
    <w:rsid w:val="00543E19"/>
    <w:rsid w:val="0054412B"/>
    <w:rsid w:val="0054485D"/>
    <w:rsid w:val="0054490D"/>
    <w:rsid w:val="00544A6C"/>
    <w:rsid w:val="00544BC8"/>
    <w:rsid w:val="0054525C"/>
    <w:rsid w:val="00545300"/>
    <w:rsid w:val="00545560"/>
    <w:rsid w:val="00545FCF"/>
    <w:rsid w:val="005460B5"/>
    <w:rsid w:val="005460B9"/>
    <w:rsid w:val="0054626F"/>
    <w:rsid w:val="00546D43"/>
    <w:rsid w:val="005470F5"/>
    <w:rsid w:val="0054738F"/>
    <w:rsid w:val="005477CB"/>
    <w:rsid w:val="00547AE3"/>
    <w:rsid w:val="00547B55"/>
    <w:rsid w:val="00547BCE"/>
    <w:rsid w:val="00547C64"/>
    <w:rsid w:val="00547E2F"/>
    <w:rsid w:val="005502E3"/>
    <w:rsid w:val="005508DA"/>
    <w:rsid w:val="00550BBF"/>
    <w:rsid w:val="00550CFC"/>
    <w:rsid w:val="005510F0"/>
    <w:rsid w:val="0055140D"/>
    <w:rsid w:val="00551D86"/>
    <w:rsid w:val="00551F32"/>
    <w:rsid w:val="00551FE9"/>
    <w:rsid w:val="005524FC"/>
    <w:rsid w:val="005525F0"/>
    <w:rsid w:val="00552760"/>
    <w:rsid w:val="00552DA5"/>
    <w:rsid w:val="00552F11"/>
    <w:rsid w:val="0055308E"/>
    <w:rsid w:val="005532CB"/>
    <w:rsid w:val="005539F2"/>
    <w:rsid w:val="00553A2B"/>
    <w:rsid w:val="00553D06"/>
    <w:rsid w:val="00553F4A"/>
    <w:rsid w:val="005545E9"/>
    <w:rsid w:val="005546B0"/>
    <w:rsid w:val="0055479F"/>
    <w:rsid w:val="0055486D"/>
    <w:rsid w:val="00554E3B"/>
    <w:rsid w:val="0055501B"/>
    <w:rsid w:val="0055508A"/>
    <w:rsid w:val="005553A2"/>
    <w:rsid w:val="005557E9"/>
    <w:rsid w:val="00555CC8"/>
    <w:rsid w:val="00555D3B"/>
    <w:rsid w:val="005562BE"/>
    <w:rsid w:val="005565EE"/>
    <w:rsid w:val="005567B8"/>
    <w:rsid w:val="00556923"/>
    <w:rsid w:val="00556AD1"/>
    <w:rsid w:val="00557532"/>
    <w:rsid w:val="00557579"/>
    <w:rsid w:val="005576F8"/>
    <w:rsid w:val="00560456"/>
    <w:rsid w:val="00560550"/>
    <w:rsid w:val="00560762"/>
    <w:rsid w:val="00560853"/>
    <w:rsid w:val="00560D5E"/>
    <w:rsid w:val="00560FE5"/>
    <w:rsid w:val="0056164E"/>
    <w:rsid w:val="00561791"/>
    <w:rsid w:val="00561F67"/>
    <w:rsid w:val="00561FF3"/>
    <w:rsid w:val="005621E6"/>
    <w:rsid w:val="005622B8"/>
    <w:rsid w:val="0056237F"/>
    <w:rsid w:val="005623D8"/>
    <w:rsid w:val="0056245F"/>
    <w:rsid w:val="005624D6"/>
    <w:rsid w:val="00562537"/>
    <w:rsid w:val="00562B76"/>
    <w:rsid w:val="00562D4C"/>
    <w:rsid w:val="00562E25"/>
    <w:rsid w:val="00563501"/>
    <w:rsid w:val="00563521"/>
    <w:rsid w:val="00563F3B"/>
    <w:rsid w:val="005642C2"/>
    <w:rsid w:val="005642D0"/>
    <w:rsid w:val="00564821"/>
    <w:rsid w:val="00564834"/>
    <w:rsid w:val="00564A30"/>
    <w:rsid w:val="00564BA1"/>
    <w:rsid w:val="00565067"/>
    <w:rsid w:val="00565200"/>
    <w:rsid w:val="005654A1"/>
    <w:rsid w:val="0056559E"/>
    <w:rsid w:val="00565BEB"/>
    <w:rsid w:val="00565EFB"/>
    <w:rsid w:val="00566024"/>
    <w:rsid w:val="00566241"/>
    <w:rsid w:val="005662EB"/>
    <w:rsid w:val="005663EC"/>
    <w:rsid w:val="00566B68"/>
    <w:rsid w:val="00566B6A"/>
    <w:rsid w:val="0056742D"/>
    <w:rsid w:val="00567B3E"/>
    <w:rsid w:val="00567C10"/>
    <w:rsid w:val="00567D7F"/>
    <w:rsid w:val="00567DCF"/>
    <w:rsid w:val="0057033D"/>
    <w:rsid w:val="00570A61"/>
    <w:rsid w:val="00570AF6"/>
    <w:rsid w:val="00570E1D"/>
    <w:rsid w:val="00570EAD"/>
    <w:rsid w:val="005710F2"/>
    <w:rsid w:val="005715AF"/>
    <w:rsid w:val="00571605"/>
    <w:rsid w:val="00571678"/>
    <w:rsid w:val="005717C9"/>
    <w:rsid w:val="00571EB9"/>
    <w:rsid w:val="005727B9"/>
    <w:rsid w:val="005728C8"/>
    <w:rsid w:val="00572981"/>
    <w:rsid w:val="00572992"/>
    <w:rsid w:val="005729DD"/>
    <w:rsid w:val="00572B6E"/>
    <w:rsid w:val="00572C23"/>
    <w:rsid w:val="0057323D"/>
    <w:rsid w:val="005733A9"/>
    <w:rsid w:val="005733E3"/>
    <w:rsid w:val="005734D0"/>
    <w:rsid w:val="0057415F"/>
    <w:rsid w:val="005743CB"/>
    <w:rsid w:val="00574434"/>
    <w:rsid w:val="00574885"/>
    <w:rsid w:val="00574A81"/>
    <w:rsid w:val="00574AD5"/>
    <w:rsid w:val="00574B0A"/>
    <w:rsid w:val="00574EE2"/>
    <w:rsid w:val="00575075"/>
    <w:rsid w:val="00575365"/>
    <w:rsid w:val="00575487"/>
    <w:rsid w:val="00575954"/>
    <w:rsid w:val="005761D7"/>
    <w:rsid w:val="00576266"/>
    <w:rsid w:val="005764A5"/>
    <w:rsid w:val="0057661F"/>
    <w:rsid w:val="00577066"/>
    <w:rsid w:val="005772CB"/>
    <w:rsid w:val="005773C7"/>
    <w:rsid w:val="0057745C"/>
    <w:rsid w:val="0057745D"/>
    <w:rsid w:val="005775A2"/>
    <w:rsid w:val="005777A7"/>
    <w:rsid w:val="005779BD"/>
    <w:rsid w:val="00580597"/>
    <w:rsid w:val="00580615"/>
    <w:rsid w:val="00580858"/>
    <w:rsid w:val="005809C6"/>
    <w:rsid w:val="00580A20"/>
    <w:rsid w:val="00581032"/>
    <w:rsid w:val="0058123D"/>
    <w:rsid w:val="005813DC"/>
    <w:rsid w:val="00581456"/>
    <w:rsid w:val="00581657"/>
    <w:rsid w:val="00581704"/>
    <w:rsid w:val="005818CB"/>
    <w:rsid w:val="00581988"/>
    <w:rsid w:val="00581AEF"/>
    <w:rsid w:val="00581B28"/>
    <w:rsid w:val="00581BB9"/>
    <w:rsid w:val="005820FA"/>
    <w:rsid w:val="00582208"/>
    <w:rsid w:val="00582215"/>
    <w:rsid w:val="00582531"/>
    <w:rsid w:val="005825F4"/>
    <w:rsid w:val="00582802"/>
    <w:rsid w:val="005829F9"/>
    <w:rsid w:val="00582E17"/>
    <w:rsid w:val="00582FB4"/>
    <w:rsid w:val="0058343B"/>
    <w:rsid w:val="005834D8"/>
    <w:rsid w:val="0058360F"/>
    <w:rsid w:val="005837E5"/>
    <w:rsid w:val="00583940"/>
    <w:rsid w:val="00583AB7"/>
    <w:rsid w:val="00584038"/>
    <w:rsid w:val="005846A0"/>
    <w:rsid w:val="005846CD"/>
    <w:rsid w:val="00584990"/>
    <w:rsid w:val="00584A90"/>
    <w:rsid w:val="00584B58"/>
    <w:rsid w:val="00584CCE"/>
    <w:rsid w:val="00585249"/>
    <w:rsid w:val="005852BF"/>
    <w:rsid w:val="0058573E"/>
    <w:rsid w:val="00585A29"/>
    <w:rsid w:val="00585A97"/>
    <w:rsid w:val="00585B5A"/>
    <w:rsid w:val="00585B6D"/>
    <w:rsid w:val="00585D35"/>
    <w:rsid w:val="00585D6E"/>
    <w:rsid w:val="00585DC1"/>
    <w:rsid w:val="00586C9F"/>
    <w:rsid w:val="00586DE3"/>
    <w:rsid w:val="00586F75"/>
    <w:rsid w:val="005873BD"/>
    <w:rsid w:val="0058742C"/>
    <w:rsid w:val="0058748E"/>
    <w:rsid w:val="0058755C"/>
    <w:rsid w:val="005877B9"/>
    <w:rsid w:val="00587A57"/>
    <w:rsid w:val="00587CA6"/>
    <w:rsid w:val="005903A1"/>
    <w:rsid w:val="00590772"/>
    <w:rsid w:val="00590813"/>
    <w:rsid w:val="00590AD6"/>
    <w:rsid w:val="00590BC5"/>
    <w:rsid w:val="00590E33"/>
    <w:rsid w:val="00590EC0"/>
    <w:rsid w:val="005912C4"/>
    <w:rsid w:val="00591A11"/>
    <w:rsid w:val="00591A83"/>
    <w:rsid w:val="0059210F"/>
    <w:rsid w:val="005922F5"/>
    <w:rsid w:val="00592445"/>
    <w:rsid w:val="00592499"/>
    <w:rsid w:val="0059250F"/>
    <w:rsid w:val="0059291F"/>
    <w:rsid w:val="00592986"/>
    <w:rsid w:val="0059299C"/>
    <w:rsid w:val="00592A47"/>
    <w:rsid w:val="00592C4E"/>
    <w:rsid w:val="00592CA5"/>
    <w:rsid w:val="00593A3D"/>
    <w:rsid w:val="005942F3"/>
    <w:rsid w:val="005944E9"/>
    <w:rsid w:val="005945B6"/>
    <w:rsid w:val="005946F8"/>
    <w:rsid w:val="00594883"/>
    <w:rsid w:val="00594E5B"/>
    <w:rsid w:val="00595252"/>
    <w:rsid w:val="00595545"/>
    <w:rsid w:val="00595617"/>
    <w:rsid w:val="00595767"/>
    <w:rsid w:val="00595D45"/>
    <w:rsid w:val="00595E2B"/>
    <w:rsid w:val="0059637E"/>
    <w:rsid w:val="0059679E"/>
    <w:rsid w:val="00596B01"/>
    <w:rsid w:val="00596C60"/>
    <w:rsid w:val="0059709F"/>
    <w:rsid w:val="0059782A"/>
    <w:rsid w:val="005979E5"/>
    <w:rsid w:val="005A0073"/>
    <w:rsid w:val="005A024F"/>
    <w:rsid w:val="005A05FD"/>
    <w:rsid w:val="005A065A"/>
    <w:rsid w:val="005A07C7"/>
    <w:rsid w:val="005A09D4"/>
    <w:rsid w:val="005A1200"/>
    <w:rsid w:val="005A1307"/>
    <w:rsid w:val="005A1430"/>
    <w:rsid w:val="005A1ACB"/>
    <w:rsid w:val="005A1B7F"/>
    <w:rsid w:val="005A1BBE"/>
    <w:rsid w:val="005A1D0F"/>
    <w:rsid w:val="005A272A"/>
    <w:rsid w:val="005A2CFE"/>
    <w:rsid w:val="005A2EEA"/>
    <w:rsid w:val="005A3434"/>
    <w:rsid w:val="005A3476"/>
    <w:rsid w:val="005A3543"/>
    <w:rsid w:val="005A36B4"/>
    <w:rsid w:val="005A3AC2"/>
    <w:rsid w:val="005A3D14"/>
    <w:rsid w:val="005A4308"/>
    <w:rsid w:val="005A480E"/>
    <w:rsid w:val="005A4BC8"/>
    <w:rsid w:val="005A4CEB"/>
    <w:rsid w:val="005A4F7F"/>
    <w:rsid w:val="005A4FF5"/>
    <w:rsid w:val="005A5493"/>
    <w:rsid w:val="005A5631"/>
    <w:rsid w:val="005A5648"/>
    <w:rsid w:val="005A586E"/>
    <w:rsid w:val="005A59B3"/>
    <w:rsid w:val="005A5A5D"/>
    <w:rsid w:val="005A5B33"/>
    <w:rsid w:val="005A5BE5"/>
    <w:rsid w:val="005A5D0A"/>
    <w:rsid w:val="005A5ECC"/>
    <w:rsid w:val="005A6291"/>
    <w:rsid w:val="005A65E3"/>
    <w:rsid w:val="005A65F6"/>
    <w:rsid w:val="005A6810"/>
    <w:rsid w:val="005A6D5C"/>
    <w:rsid w:val="005A6E30"/>
    <w:rsid w:val="005A6E9C"/>
    <w:rsid w:val="005A73BE"/>
    <w:rsid w:val="005A7592"/>
    <w:rsid w:val="005A76AA"/>
    <w:rsid w:val="005A783C"/>
    <w:rsid w:val="005A796D"/>
    <w:rsid w:val="005B0140"/>
    <w:rsid w:val="005B0323"/>
    <w:rsid w:val="005B0359"/>
    <w:rsid w:val="005B05DF"/>
    <w:rsid w:val="005B07C3"/>
    <w:rsid w:val="005B0823"/>
    <w:rsid w:val="005B0A02"/>
    <w:rsid w:val="005B0CED"/>
    <w:rsid w:val="005B0E91"/>
    <w:rsid w:val="005B10CF"/>
    <w:rsid w:val="005B13AD"/>
    <w:rsid w:val="005B1547"/>
    <w:rsid w:val="005B158D"/>
    <w:rsid w:val="005B17A9"/>
    <w:rsid w:val="005B1827"/>
    <w:rsid w:val="005B18AB"/>
    <w:rsid w:val="005B19AE"/>
    <w:rsid w:val="005B19FD"/>
    <w:rsid w:val="005B1A17"/>
    <w:rsid w:val="005B1B8B"/>
    <w:rsid w:val="005B1D94"/>
    <w:rsid w:val="005B2002"/>
    <w:rsid w:val="005B29EA"/>
    <w:rsid w:val="005B2F8E"/>
    <w:rsid w:val="005B3070"/>
    <w:rsid w:val="005B3173"/>
    <w:rsid w:val="005B33F5"/>
    <w:rsid w:val="005B35C9"/>
    <w:rsid w:val="005B360C"/>
    <w:rsid w:val="005B375E"/>
    <w:rsid w:val="005B3845"/>
    <w:rsid w:val="005B38F9"/>
    <w:rsid w:val="005B3AF2"/>
    <w:rsid w:val="005B3C6E"/>
    <w:rsid w:val="005B3F0B"/>
    <w:rsid w:val="005B4083"/>
    <w:rsid w:val="005B408F"/>
    <w:rsid w:val="005B4787"/>
    <w:rsid w:val="005B49EA"/>
    <w:rsid w:val="005B4D19"/>
    <w:rsid w:val="005B5103"/>
    <w:rsid w:val="005B531F"/>
    <w:rsid w:val="005B5444"/>
    <w:rsid w:val="005B550C"/>
    <w:rsid w:val="005B574B"/>
    <w:rsid w:val="005B5848"/>
    <w:rsid w:val="005B5FDF"/>
    <w:rsid w:val="005B63DA"/>
    <w:rsid w:val="005B63F5"/>
    <w:rsid w:val="005B64FC"/>
    <w:rsid w:val="005B6647"/>
    <w:rsid w:val="005B68D6"/>
    <w:rsid w:val="005B71E4"/>
    <w:rsid w:val="005B71FD"/>
    <w:rsid w:val="005B73A6"/>
    <w:rsid w:val="005B7442"/>
    <w:rsid w:val="005B75CD"/>
    <w:rsid w:val="005B77F4"/>
    <w:rsid w:val="005B79FA"/>
    <w:rsid w:val="005B7D35"/>
    <w:rsid w:val="005B7F0C"/>
    <w:rsid w:val="005B7FC6"/>
    <w:rsid w:val="005C05B5"/>
    <w:rsid w:val="005C07DD"/>
    <w:rsid w:val="005C084F"/>
    <w:rsid w:val="005C0BF2"/>
    <w:rsid w:val="005C0CA6"/>
    <w:rsid w:val="005C17F7"/>
    <w:rsid w:val="005C180E"/>
    <w:rsid w:val="005C1A33"/>
    <w:rsid w:val="005C1D42"/>
    <w:rsid w:val="005C241E"/>
    <w:rsid w:val="005C2634"/>
    <w:rsid w:val="005C2756"/>
    <w:rsid w:val="005C2C98"/>
    <w:rsid w:val="005C2D6E"/>
    <w:rsid w:val="005C2E1A"/>
    <w:rsid w:val="005C2F20"/>
    <w:rsid w:val="005C35B9"/>
    <w:rsid w:val="005C39C2"/>
    <w:rsid w:val="005C3ACE"/>
    <w:rsid w:val="005C3C33"/>
    <w:rsid w:val="005C3EA0"/>
    <w:rsid w:val="005C3ED4"/>
    <w:rsid w:val="005C3F94"/>
    <w:rsid w:val="005C409F"/>
    <w:rsid w:val="005C44D7"/>
    <w:rsid w:val="005C4709"/>
    <w:rsid w:val="005C4977"/>
    <w:rsid w:val="005C4B91"/>
    <w:rsid w:val="005C4C4F"/>
    <w:rsid w:val="005C4D4F"/>
    <w:rsid w:val="005C4F91"/>
    <w:rsid w:val="005C5351"/>
    <w:rsid w:val="005C53AF"/>
    <w:rsid w:val="005C5860"/>
    <w:rsid w:val="005C5B04"/>
    <w:rsid w:val="005C5D48"/>
    <w:rsid w:val="005C5E5A"/>
    <w:rsid w:val="005C5FA5"/>
    <w:rsid w:val="005C60ED"/>
    <w:rsid w:val="005C617E"/>
    <w:rsid w:val="005C620D"/>
    <w:rsid w:val="005C6405"/>
    <w:rsid w:val="005C642D"/>
    <w:rsid w:val="005C6557"/>
    <w:rsid w:val="005C6870"/>
    <w:rsid w:val="005C6948"/>
    <w:rsid w:val="005C697E"/>
    <w:rsid w:val="005C6A1F"/>
    <w:rsid w:val="005C6B7A"/>
    <w:rsid w:val="005C6BFA"/>
    <w:rsid w:val="005C6C73"/>
    <w:rsid w:val="005C6CE3"/>
    <w:rsid w:val="005C6DBC"/>
    <w:rsid w:val="005D03A4"/>
    <w:rsid w:val="005D0659"/>
    <w:rsid w:val="005D0DCF"/>
    <w:rsid w:val="005D1457"/>
    <w:rsid w:val="005D1552"/>
    <w:rsid w:val="005D15B6"/>
    <w:rsid w:val="005D1837"/>
    <w:rsid w:val="005D1A1C"/>
    <w:rsid w:val="005D1AFC"/>
    <w:rsid w:val="005D1DFC"/>
    <w:rsid w:val="005D1E24"/>
    <w:rsid w:val="005D226C"/>
    <w:rsid w:val="005D22FD"/>
    <w:rsid w:val="005D2464"/>
    <w:rsid w:val="005D2873"/>
    <w:rsid w:val="005D2A12"/>
    <w:rsid w:val="005D2DC6"/>
    <w:rsid w:val="005D3844"/>
    <w:rsid w:val="005D3903"/>
    <w:rsid w:val="005D3A00"/>
    <w:rsid w:val="005D3BCA"/>
    <w:rsid w:val="005D3CCD"/>
    <w:rsid w:val="005D4EEB"/>
    <w:rsid w:val="005D4FFC"/>
    <w:rsid w:val="005D5AA3"/>
    <w:rsid w:val="005D5AA7"/>
    <w:rsid w:val="005D5AD9"/>
    <w:rsid w:val="005D5D01"/>
    <w:rsid w:val="005D60CA"/>
    <w:rsid w:val="005D61F2"/>
    <w:rsid w:val="005D6788"/>
    <w:rsid w:val="005D68AE"/>
    <w:rsid w:val="005D69DC"/>
    <w:rsid w:val="005D6A33"/>
    <w:rsid w:val="005D6E5D"/>
    <w:rsid w:val="005D728F"/>
    <w:rsid w:val="005D74FB"/>
    <w:rsid w:val="005D785B"/>
    <w:rsid w:val="005D7892"/>
    <w:rsid w:val="005D7CAA"/>
    <w:rsid w:val="005D7CF1"/>
    <w:rsid w:val="005D7E9F"/>
    <w:rsid w:val="005E04AB"/>
    <w:rsid w:val="005E05B3"/>
    <w:rsid w:val="005E06B9"/>
    <w:rsid w:val="005E0832"/>
    <w:rsid w:val="005E08DA"/>
    <w:rsid w:val="005E0AB5"/>
    <w:rsid w:val="005E120B"/>
    <w:rsid w:val="005E12C7"/>
    <w:rsid w:val="005E153E"/>
    <w:rsid w:val="005E16C0"/>
    <w:rsid w:val="005E1B39"/>
    <w:rsid w:val="005E1B93"/>
    <w:rsid w:val="005E1C3E"/>
    <w:rsid w:val="005E21C0"/>
    <w:rsid w:val="005E2309"/>
    <w:rsid w:val="005E238D"/>
    <w:rsid w:val="005E2475"/>
    <w:rsid w:val="005E24AA"/>
    <w:rsid w:val="005E27B3"/>
    <w:rsid w:val="005E2858"/>
    <w:rsid w:val="005E2B8A"/>
    <w:rsid w:val="005E2ED3"/>
    <w:rsid w:val="005E2F76"/>
    <w:rsid w:val="005E3095"/>
    <w:rsid w:val="005E329E"/>
    <w:rsid w:val="005E3499"/>
    <w:rsid w:val="005E3857"/>
    <w:rsid w:val="005E39E5"/>
    <w:rsid w:val="005E3C8E"/>
    <w:rsid w:val="005E4108"/>
    <w:rsid w:val="005E42DC"/>
    <w:rsid w:val="005E4336"/>
    <w:rsid w:val="005E4AE5"/>
    <w:rsid w:val="005E5350"/>
    <w:rsid w:val="005E54BA"/>
    <w:rsid w:val="005E59E2"/>
    <w:rsid w:val="005E5C1C"/>
    <w:rsid w:val="005E5EBF"/>
    <w:rsid w:val="005E5F1E"/>
    <w:rsid w:val="005E6475"/>
    <w:rsid w:val="005E670F"/>
    <w:rsid w:val="005E6950"/>
    <w:rsid w:val="005E6E01"/>
    <w:rsid w:val="005E6E7E"/>
    <w:rsid w:val="005E70BF"/>
    <w:rsid w:val="005E72B0"/>
    <w:rsid w:val="005E7407"/>
    <w:rsid w:val="005E7608"/>
    <w:rsid w:val="005E7665"/>
    <w:rsid w:val="005E77BC"/>
    <w:rsid w:val="005E7885"/>
    <w:rsid w:val="005E7C96"/>
    <w:rsid w:val="005E7EEB"/>
    <w:rsid w:val="005F015F"/>
    <w:rsid w:val="005F04A5"/>
    <w:rsid w:val="005F0661"/>
    <w:rsid w:val="005F08CA"/>
    <w:rsid w:val="005F0B80"/>
    <w:rsid w:val="005F0EDE"/>
    <w:rsid w:val="005F0F17"/>
    <w:rsid w:val="005F0F66"/>
    <w:rsid w:val="005F12A0"/>
    <w:rsid w:val="005F13D8"/>
    <w:rsid w:val="005F173E"/>
    <w:rsid w:val="005F17E6"/>
    <w:rsid w:val="005F18B1"/>
    <w:rsid w:val="005F2148"/>
    <w:rsid w:val="005F2149"/>
    <w:rsid w:val="005F214C"/>
    <w:rsid w:val="005F2164"/>
    <w:rsid w:val="005F2282"/>
    <w:rsid w:val="005F22BE"/>
    <w:rsid w:val="005F2448"/>
    <w:rsid w:val="005F2487"/>
    <w:rsid w:val="005F26AE"/>
    <w:rsid w:val="005F26DF"/>
    <w:rsid w:val="005F3709"/>
    <w:rsid w:val="005F377C"/>
    <w:rsid w:val="005F39B8"/>
    <w:rsid w:val="005F3A78"/>
    <w:rsid w:val="005F3AA6"/>
    <w:rsid w:val="005F3CA8"/>
    <w:rsid w:val="005F3D2E"/>
    <w:rsid w:val="005F403D"/>
    <w:rsid w:val="005F4106"/>
    <w:rsid w:val="005F4203"/>
    <w:rsid w:val="005F429F"/>
    <w:rsid w:val="005F45C8"/>
    <w:rsid w:val="005F4736"/>
    <w:rsid w:val="005F49F5"/>
    <w:rsid w:val="005F4A79"/>
    <w:rsid w:val="005F527A"/>
    <w:rsid w:val="005F55E5"/>
    <w:rsid w:val="005F5B77"/>
    <w:rsid w:val="005F5F72"/>
    <w:rsid w:val="005F5FE6"/>
    <w:rsid w:val="005F6046"/>
    <w:rsid w:val="005F622A"/>
    <w:rsid w:val="005F6265"/>
    <w:rsid w:val="005F6322"/>
    <w:rsid w:val="005F6379"/>
    <w:rsid w:val="005F65C9"/>
    <w:rsid w:val="005F6671"/>
    <w:rsid w:val="005F6679"/>
    <w:rsid w:val="005F66F8"/>
    <w:rsid w:val="005F6A8D"/>
    <w:rsid w:val="005F6CD2"/>
    <w:rsid w:val="005F6E87"/>
    <w:rsid w:val="005F729A"/>
    <w:rsid w:val="005F746D"/>
    <w:rsid w:val="005F749B"/>
    <w:rsid w:val="005F7683"/>
    <w:rsid w:val="005F77AA"/>
    <w:rsid w:val="005F7999"/>
    <w:rsid w:val="005F79B6"/>
    <w:rsid w:val="005F7A2A"/>
    <w:rsid w:val="00600572"/>
    <w:rsid w:val="00600ACC"/>
    <w:rsid w:val="00600BC3"/>
    <w:rsid w:val="00600DDF"/>
    <w:rsid w:val="00600F39"/>
    <w:rsid w:val="006013A9"/>
    <w:rsid w:val="0060158B"/>
    <w:rsid w:val="0060181A"/>
    <w:rsid w:val="00601943"/>
    <w:rsid w:val="00601AB6"/>
    <w:rsid w:val="006025E2"/>
    <w:rsid w:val="006027D1"/>
    <w:rsid w:val="00602F19"/>
    <w:rsid w:val="006036FB"/>
    <w:rsid w:val="00603FEF"/>
    <w:rsid w:val="00604258"/>
    <w:rsid w:val="00604A7B"/>
    <w:rsid w:val="00604E60"/>
    <w:rsid w:val="0060521D"/>
    <w:rsid w:val="00605342"/>
    <w:rsid w:val="00605429"/>
    <w:rsid w:val="006054CF"/>
    <w:rsid w:val="006055F2"/>
    <w:rsid w:val="0060569F"/>
    <w:rsid w:val="006056E8"/>
    <w:rsid w:val="00605967"/>
    <w:rsid w:val="00605999"/>
    <w:rsid w:val="00605A59"/>
    <w:rsid w:val="00605AA1"/>
    <w:rsid w:val="00605AE6"/>
    <w:rsid w:val="00605B80"/>
    <w:rsid w:val="00605E9C"/>
    <w:rsid w:val="00605EC3"/>
    <w:rsid w:val="00605FAC"/>
    <w:rsid w:val="0060620A"/>
    <w:rsid w:val="006065A7"/>
    <w:rsid w:val="006065C7"/>
    <w:rsid w:val="006067BD"/>
    <w:rsid w:val="00606A27"/>
    <w:rsid w:val="00606F22"/>
    <w:rsid w:val="006071C5"/>
    <w:rsid w:val="006071FF"/>
    <w:rsid w:val="0060795C"/>
    <w:rsid w:val="006079E3"/>
    <w:rsid w:val="00607AE9"/>
    <w:rsid w:val="00607BFC"/>
    <w:rsid w:val="00607D03"/>
    <w:rsid w:val="00607D15"/>
    <w:rsid w:val="00607FAA"/>
    <w:rsid w:val="006101C3"/>
    <w:rsid w:val="006101D6"/>
    <w:rsid w:val="00610576"/>
    <w:rsid w:val="0061068E"/>
    <w:rsid w:val="006108DC"/>
    <w:rsid w:val="00610D73"/>
    <w:rsid w:val="00610E02"/>
    <w:rsid w:val="00610E87"/>
    <w:rsid w:val="00610ECF"/>
    <w:rsid w:val="006111B8"/>
    <w:rsid w:val="006113E0"/>
    <w:rsid w:val="006114CD"/>
    <w:rsid w:val="00611549"/>
    <w:rsid w:val="00611728"/>
    <w:rsid w:val="00611822"/>
    <w:rsid w:val="00611B69"/>
    <w:rsid w:val="00611F92"/>
    <w:rsid w:val="0061205D"/>
    <w:rsid w:val="00612205"/>
    <w:rsid w:val="00612444"/>
    <w:rsid w:val="006124C4"/>
    <w:rsid w:val="0061275E"/>
    <w:rsid w:val="0061275F"/>
    <w:rsid w:val="0061289A"/>
    <w:rsid w:val="00612A54"/>
    <w:rsid w:val="00612D32"/>
    <w:rsid w:val="0061320E"/>
    <w:rsid w:val="006133DF"/>
    <w:rsid w:val="006133F0"/>
    <w:rsid w:val="006134F6"/>
    <w:rsid w:val="0061352A"/>
    <w:rsid w:val="006136AD"/>
    <w:rsid w:val="006138FB"/>
    <w:rsid w:val="006139B6"/>
    <w:rsid w:val="00613B1C"/>
    <w:rsid w:val="00613B2C"/>
    <w:rsid w:val="006142C2"/>
    <w:rsid w:val="006143C8"/>
    <w:rsid w:val="006145CB"/>
    <w:rsid w:val="00614710"/>
    <w:rsid w:val="00614740"/>
    <w:rsid w:val="006147FA"/>
    <w:rsid w:val="006149A9"/>
    <w:rsid w:val="006149E9"/>
    <w:rsid w:val="00614B79"/>
    <w:rsid w:val="006152B2"/>
    <w:rsid w:val="0061571B"/>
    <w:rsid w:val="00615B60"/>
    <w:rsid w:val="00615C62"/>
    <w:rsid w:val="00615CFC"/>
    <w:rsid w:val="006160E2"/>
    <w:rsid w:val="0061672C"/>
    <w:rsid w:val="00616CDD"/>
    <w:rsid w:val="00616EC9"/>
    <w:rsid w:val="006170C5"/>
    <w:rsid w:val="0061716B"/>
    <w:rsid w:val="006176E9"/>
    <w:rsid w:val="00617DD2"/>
    <w:rsid w:val="006207C8"/>
    <w:rsid w:val="00620855"/>
    <w:rsid w:val="006208E8"/>
    <w:rsid w:val="00620FE5"/>
    <w:rsid w:val="00621580"/>
    <w:rsid w:val="0062175F"/>
    <w:rsid w:val="006217DF"/>
    <w:rsid w:val="006219E6"/>
    <w:rsid w:val="00621B0D"/>
    <w:rsid w:val="00621D1C"/>
    <w:rsid w:val="00621D74"/>
    <w:rsid w:val="00621FBD"/>
    <w:rsid w:val="006220DE"/>
    <w:rsid w:val="0062230E"/>
    <w:rsid w:val="006226B5"/>
    <w:rsid w:val="0062284D"/>
    <w:rsid w:val="00622864"/>
    <w:rsid w:val="00622A1D"/>
    <w:rsid w:val="00622AE4"/>
    <w:rsid w:val="00622B1B"/>
    <w:rsid w:val="006232E9"/>
    <w:rsid w:val="006234BA"/>
    <w:rsid w:val="00623807"/>
    <w:rsid w:val="00623A77"/>
    <w:rsid w:val="00623DE7"/>
    <w:rsid w:val="00623F17"/>
    <w:rsid w:val="0062409A"/>
    <w:rsid w:val="006244FC"/>
    <w:rsid w:val="00624899"/>
    <w:rsid w:val="00624C2E"/>
    <w:rsid w:val="00625330"/>
    <w:rsid w:val="006254F3"/>
    <w:rsid w:val="0062576B"/>
    <w:rsid w:val="00625A79"/>
    <w:rsid w:val="00625C54"/>
    <w:rsid w:val="00625CBA"/>
    <w:rsid w:val="00625F0B"/>
    <w:rsid w:val="006266BB"/>
    <w:rsid w:val="006266F5"/>
    <w:rsid w:val="006268A9"/>
    <w:rsid w:val="00626938"/>
    <w:rsid w:val="0062708C"/>
    <w:rsid w:val="006270A4"/>
    <w:rsid w:val="00627489"/>
    <w:rsid w:val="006274F0"/>
    <w:rsid w:val="00627683"/>
    <w:rsid w:val="00627B04"/>
    <w:rsid w:val="00627DE0"/>
    <w:rsid w:val="006302D6"/>
    <w:rsid w:val="00630699"/>
    <w:rsid w:val="00630878"/>
    <w:rsid w:val="00630932"/>
    <w:rsid w:val="0063099D"/>
    <w:rsid w:val="00630A7C"/>
    <w:rsid w:val="00630AE5"/>
    <w:rsid w:val="00630B54"/>
    <w:rsid w:val="00630FAE"/>
    <w:rsid w:val="006311E4"/>
    <w:rsid w:val="00631318"/>
    <w:rsid w:val="0063136C"/>
    <w:rsid w:val="006318DC"/>
    <w:rsid w:val="00631A0D"/>
    <w:rsid w:val="00631D85"/>
    <w:rsid w:val="00631EA4"/>
    <w:rsid w:val="00631FB4"/>
    <w:rsid w:val="006320A3"/>
    <w:rsid w:val="00632490"/>
    <w:rsid w:val="00632625"/>
    <w:rsid w:val="006328CB"/>
    <w:rsid w:val="00632981"/>
    <w:rsid w:val="00632F10"/>
    <w:rsid w:val="0063319A"/>
    <w:rsid w:val="0063358F"/>
    <w:rsid w:val="006336AE"/>
    <w:rsid w:val="00633D3F"/>
    <w:rsid w:val="00633E44"/>
    <w:rsid w:val="006342B3"/>
    <w:rsid w:val="00634652"/>
    <w:rsid w:val="00634AD9"/>
    <w:rsid w:val="00634BFA"/>
    <w:rsid w:val="00634EC8"/>
    <w:rsid w:val="0063548B"/>
    <w:rsid w:val="00635B70"/>
    <w:rsid w:val="00635CFD"/>
    <w:rsid w:val="006360B3"/>
    <w:rsid w:val="0063638B"/>
    <w:rsid w:val="00636553"/>
    <w:rsid w:val="0063665E"/>
    <w:rsid w:val="00636760"/>
    <w:rsid w:val="0063687B"/>
    <w:rsid w:val="00636A3F"/>
    <w:rsid w:val="00636C87"/>
    <w:rsid w:val="00636E61"/>
    <w:rsid w:val="00636FC3"/>
    <w:rsid w:val="006371A0"/>
    <w:rsid w:val="006373A3"/>
    <w:rsid w:val="0063774D"/>
    <w:rsid w:val="00637A99"/>
    <w:rsid w:val="00637B64"/>
    <w:rsid w:val="00637D85"/>
    <w:rsid w:val="00640461"/>
    <w:rsid w:val="0064053B"/>
    <w:rsid w:val="006405C1"/>
    <w:rsid w:val="00640CD1"/>
    <w:rsid w:val="00640D26"/>
    <w:rsid w:val="00640F84"/>
    <w:rsid w:val="00641116"/>
    <w:rsid w:val="00641466"/>
    <w:rsid w:val="0064179C"/>
    <w:rsid w:val="00641935"/>
    <w:rsid w:val="00641A08"/>
    <w:rsid w:val="00641A58"/>
    <w:rsid w:val="00641AFC"/>
    <w:rsid w:val="006422AF"/>
    <w:rsid w:val="006422B6"/>
    <w:rsid w:val="00642812"/>
    <w:rsid w:val="0064282C"/>
    <w:rsid w:val="00642965"/>
    <w:rsid w:val="00642B74"/>
    <w:rsid w:val="00642BA6"/>
    <w:rsid w:val="00642D9E"/>
    <w:rsid w:val="00642EC6"/>
    <w:rsid w:val="00642EF5"/>
    <w:rsid w:val="00642F81"/>
    <w:rsid w:val="00643006"/>
    <w:rsid w:val="0064357A"/>
    <w:rsid w:val="006436D0"/>
    <w:rsid w:val="00643934"/>
    <w:rsid w:val="006439EE"/>
    <w:rsid w:val="00643A98"/>
    <w:rsid w:val="00643A9B"/>
    <w:rsid w:val="00643CC2"/>
    <w:rsid w:val="00643D9B"/>
    <w:rsid w:val="00643E4B"/>
    <w:rsid w:val="0064406B"/>
    <w:rsid w:val="00644384"/>
    <w:rsid w:val="0064438B"/>
    <w:rsid w:val="00644F02"/>
    <w:rsid w:val="00645090"/>
    <w:rsid w:val="00645763"/>
    <w:rsid w:val="0064584A"/>
    <w:rsid w:val="00646210"/>
    <w:rsid w:val="006465E9"/>
    <w:rsid w:val="00646D33"/>
    <w:rsid w:val="0064789A"/>
    <w:rsid w:val="00647DCA"/>
    <w:rsid w:val="0065017F"/>
    <w:rsid w:val="006505BC"/>
    <w:rsid w:val="00650671"/>
    <w:rsid w:val="0065083A"/>
    <w:rsid w:val="006509B0"/>
    <w:rsid w:val="006510D7"/>
    <w:rsid w:val="0065121F"/>
    <w:rsid w:val="006513D8"/>
    <w:rsid w:val="00651448"/>
    <w:rsid w:val="006516CD"/>
    <w:rsid w:val="0065172E"/>
    <w:rsid w:val="0065173D"/>
    <w:rsid w:val="0065178E"/>
    <w:rsid w:val="006518A1"/>
    <w:rsid w:val="006518F3"/>
    <w:rsid w:val="00651F65"/>
    <w:rsid w:val="006520A5"/>
    <w:rsid w:val="0065265A"/>
    <w:rsid w:val="0065282B"/>
    <w:rsid w:val="00652AA8"/>
    <w:rsid w:val="00652EA2"/>
    <w:rsid w:val="00652F9D"/>
    <w:rsid w:val="00653000"/>
    <w:rsid w:val="0065303C"/>
    <w:rsid w:val="00653203"/>
    <w:rsid w:val="006534D1"/>
    <w:rsid w:val="0065366F"/>
    <w:rsid w:val="006539E5"/>
    <w:rsid w:val="00653BA6"/>
    <w:rsid w:val="00654010"/>
    <w:rsid w:val="006548E8"/>
    <w:rsid w:val="00654A8A"/>
    <w:rsid w:val="00654CD1"/>
    <w:rsid w:val="00654FEB"/>
    <w:rsid w:val="0065511D"/>
    <w:rsid w:val="006552D0"/>
    <w:rsid w:val="00655601"/>
    <w:rsid w:val="006556F4"/>
    <w:rsid w:val="00655B86"/>
    <w:rsid w:val="00655CD8"/>
    <w:rsid w:val="00656088"/>
    <w:rsid w:val="00656253"/>
    <w:rsid w:val="00656358"/>
    <w:rsid w:val="006563F7"/>
    <w:rsid w:val="00656410"/>
    <w:rsid w:val="0065678A"/>
    <w:rsid w:val="0065685F"/>
    <w:rsid w:val="006568EE"/>
    <w:rsid w:val="00656A6B"/>
    <w:rsid w:val="00656CFA"/>
    <w:rsid w:val="00656F5E"/>
    <w:rsid w:val="00657093"/>
    <w:rsid w:val="006571B4"/>
    <w:rsid w:val="006571E6"/>
    <w:rsid w:val="0065722B"/>
    <w:rsid w:val="0065729F"/>
    <w:rsid w:val="00657336"/>
    <w:rsid w:val="0065764F"/>
    <w:rsid w:val="00657888"/>
    <w:rsid w:val="00657B46"/>
    <w:rsid w:val="00657F99"/>
    <w:rsid w:val="00660885"/>
    <w:rsid w:val="00660893"/>
    <w:rsid w:val="00660F4B"/>
    <w:rsid w:val="00661313"/>
    <w:rsid w:val="00661514"/>
    <w:rsid w:val="0066154D"/>
    <w:rsid w:val="0066155B"/>
    <w:rsid w:val="00661B6A"/>
    <w:rsid w:val="00661BA3"/>
    <w:rsid w:val="00661DAE"/>
    <w:rsid w:val="00662099"/>
    <w:rsid w:val="006620D0"/>
    <w:rsid w:val="00662430"/>
    <w:rsid w:val="00662514"/>
    <w:rsid w:val="00662770"/>
    <w:rsid w:val="00662915"/>
    <w:rsid w:val="0066299B"/>
    <w:rsid w:val="00662D00"/>
    <w:rsid w:val="00662E3B"/>
    <w:rsid w:val="00663203"/>
    <w:rsid w:val="0066378C"/>
    <w:rsid w:val="00663B65"/>
    <w:rsid w:val="00663E62"/>
    <w:rsid w:val="00663E7C"/>
    <w:rsid w:val="00663FBE"/>
    <w:rsid w:val="0066454B"/>
    <w:rsid w:val="00664C1C"/>
    <w:rsid w:val="00664CC4"/>
    <w:rsid w:val="00664CC7"/>
    <w:rsid w:val="00664F8E"/>
    <w:rsid w:val="00665783"/>
    <w:rsid w:val="006658CB"/>
    <w:rsid w:val="0066593D"/>
    <w:rsid w:val="00665AA5"/>
    <w:rsid w:val="00665BC4"/>
    <w:rsid w:val="00666196"/>
    <w:rsid w:val="00666388"/>
    <w:rsid w:val="006665C5"/>
    <w:rsid w:val="00666610"/>
    <w:rsid w:val="006668B6"/>
    <w:rsid w:val="00666C4F"/>
    <w:rsid w:val="006670B3"/>
    <w:rsid w:val="006674EB"/>
    <w:rsid w:val="006675A6"/>
    <w:rsid w:val="0066785B"/>
    <w:rsid w:val="006701D8"/>
    <w:rsid w:val="0067095A"/>
    <w:rsid w:val="00670EBE"/>
    <w:rsid w:val="00670F41"/>
    <w:rsid w:val="0067126A"/>
    <w:rsid w:val="00671278"/>
    <w:rsid w:val="006716A4"/>
    <w:rsid w:val="00671F87"/>
    <w:rsid w:val="0067225D"/>
    <w:rsid w:val="006722BA"/>
    <w:rsid w:val="006722CE"/>
    <w:rsid w:val="006724FB"/>
    <w:rsid w:val="006725A3"/>
    <w:rsid w:val="006727F3"/>
    <w:rsid w:val="00672ADB"/>
    <w:rsid w:val="00672F4C"/>
    <w:rsid w:val="006731BF"/>
    <w:rsid w:val="00673337"/>
    <w:rsid w:val="0067340F"/>
    <w:rsid w:val="00673B79"/>
    <w:rsid w:val="00673E63"/>
    <w:rsid w:val="00673F65"/>
    <w:rsid w:val="00674032"/>
    <w:rsid w:val="006741DF"/>
    <w:rsid w:val="00674265"/>
    <w:rsid w:val="00674359"/>
    <w:rsid w:val="00674463"/>
    <w:rsid w:val="0067474F"/>
    <w:rsid w:val="006747FF"/>
    <w:rsid w:val="006754BE"/>
    <w:rsid w:val="006755FF"/>
    <w:rsid w:val="0067586F"/>
    <w:rsid w:val="00675BC4"/>
    <w:rsid w:val="00675EC3"/>
    <w:rsid w:val="006764C8"/>
    <w:rsid w:val="0067695B"/>
    <w:rsid w:val="0067695E"/>
    <w:rsid w:val="00676BDD"/>
    <w:rsid w:val="00676D41"/>
    <w:rsid w:val="00677720"/>
    <w:rsid w:val="006779A3"/>
    <w:rsid w:val="00677ADF"/>
    <w:rsid w:val="00677B71"/>
    <w:rsid w:val="00677C60"/>
    <w:rsid w:val="00677D4D"/>
    <w:rsid w:val="00680034"/>
    <w:rsid w:val="0068007A"/>
    <w:rsid w:val="006800D5"/>
    <w:rsid w:val="00680B5C"/>
    <w:rsid w:val="0068104D"/>
    <w:rsid w:val="0068157C"/>
    <w:rsid w:val="0068158C"/>
    <w:rsid w:val="00681846"/>
    <w:rsid w:val="00681881"/>
    <w:rsid w:val="00681CD5"/>
    <w:rsid w:val="00681FF6"/>
    <w:rsid w:val="00682BE8"/>
    <w:rsid w:val="00682C8A"/>
    <w:rsid w:val="00682D5A"/>
    <w:rsid w:val="00682DC4"/>
    <w:rsid w:val="00683524"/>
    <w:rsid w:val="00683756"/>
    <w:rsid w:val="00683A15"/>
    <w:rsid w:val="00683C7E"/>
    <w:rsid w:val="006840D5"/>
    <w:rsid w:val="006842E4"/>
    <w:rsid w:val="00684711"/>
    <w:rsid w:val="006849D1"/>
    <w:rsid w:val="00684B33"/>
    <w:rsid w:val="00685628"/>
    <w:rsid w:val="0068597E"/>
    <w:rsid w:val="00685CFF"/>
    <w:rsid w:val="00685D21"/>
    <w:rsid w:val="00685E79"/>
    <w:rsid w:val="006860FB"/>
    <w:rsid w:val="00686136"/>
    <w:rsid w:val="00686256"/>
    <w:rsid w:val="00686582"/>
    <w:rsid w:val="006865EE"/>
    <w:rsid w:val="006866A2"/>
    <w:rsid w:val="00686873"/>
    <w:rsid w:val="006868BF"/>
    <w:rsid w:val="00686B30"/>
    <w:rsid w:val="00686D91"/>
    <w:rsid w:val="00687065"/>
    <w:rsid w:val="00687333"/>
    <w:rsid w:val="0068776A"/>
    <w:rsid w:val="006877C5"/>
    <w:rsid w:val="006877F9"/>
    <w:rsid w:val="00687907"/>
    <w:rsid w:val="006904A1"/>
    <w:rsid w:val="00690830"/>
    <w:rsid w:val="00690886"/>
    <w:rsid w:val="00690EBA"/>
    <w:rsid w:val="006911CC"/>
    <w:rsid w:val="00691230"/>
    <w:rsid w:val="006912A2"/>
    <w:rsid w:val="006915C6"/>
    <w:rsid w:val="00692014"/>
    <w:rsid w:val="00692302"/>
    <w:rsid w:val="00692486"/>
    <w:rsid w:val="00692710"/>
    <w:rsid w:val="00692977"/>
    <w:rsid w:val="00692E78"/>
    <w:rsid w:val="006930D0"/>
    <w:rsid w:val="00693112"/>
    <w:rsid w:val="006932F0"/>
    <w:rsid w:val="006933A0"/>
    <w:rsid w:val="0069379E"/>
    <w:rsid w:val="00693A56"/>
    <w:rsid w:val="00693D84"/>
    <w:rsid w:val="00693F77"/>
    <w:rsid w:val="0069485E"/>
    <w:rsid w:val="00694D2A"/>
    <w:rsid w:val="00694DB8"/>
    <w:rsid w:val="00694E3A"/>
    <w:rsid w:val="00694E7A"/>
    <w:rsid w:val="00695084"/>
    <w:rsid w:val="00695266"/>
    <w:rsid w:val="00695392"/>
    <w:rsid w:val="00695715"/>
    <w:rsid w:val="006957BC"/>
    <w:rsid w:val="006959BE"/>
    <w:rsid w:val="00695C7F"/>
    <w:rsid w:val="00695CF5"/>
    <w:rsid w:val="00695DD4"/>
    <w:rsid w:val="006961DA"/>
    <w:rsid w:val="0069644F"/>
    <w:rsid w:val="006965CC"/>
    <w:rsid w:val="00696785"/>
    <w:rsid w:val="00696F65"/>
    <w:rsid w:val="00697052"/>
    <w:rsid w:val="006971EB"/>
    <w:rsid w:val="00697434"/>
    <w:rsid w:val="00697472"/>
    <w:rsid w:val="0069767D"/>
    <w:rsid w:val="00697698"/>
    <w:rsid w:val="00697725"/>
    <w:rsid w:val="00697A11"/>
    <w:rsid w:val="00697B1D"/>
    <w:rsid w:val="00697C29"/>
    <w:rsid w:val="00697C81"/>
    <w:rsid w:val="00697EDD"/>
    <w:rsid w:val="006A0376"/>
    <w:rsid w:val="006A0472"/>
    <w:rsid w:val="006A07AD"/>
    <w:rsid w:val="006A0A77"/>
    <w:rsid w:val="006A0CEC"/>
    <w:rsid w:val="006A0E3A"/>
    <w:rsid w:val="006A1325"/>
    <w:rsid w:val="006A1AC1"/>
    <w:rsid w:val="006A1EA1"/>
    <w:rsid w:val="006A1EC5"/>
    <w:rsid w:val="006A2051"/>
    <w:rsid w:val="006A2210"/>
    <w:rsid w:val="006A27D1"/>
    <w:rsid w:val="006A2863"/>
    <w:rsid w:val="006A289F"/>
    <w:rsid w:val="006A2973"/>
    <w:rsid w:val="006A2B42"/>
    <w:rsid w:val="006A2C31"/>
    <w:rsid w:val="006A2D7F"/>
    <w:rsid w:val="006A2D92"/>
    <w:rsid w:val="006A2E19"/>
    <w:rsid w:val="006A2E28"/>
    <w:rsid w:val="006A2E61"/>
    <w:rsid w:val="006A3021"/>
    <w:rsid w:val="006A3182"/>
    <w:rsid w:val="006A3229"/>
    <w:rsid w:val="006A3317"/>
    <w:rsid w:val="006A332E"/>
    <w:rsid w:val="006A34C4"/>
    <w:rsid w:val="006A3629"/>
    <w:rsid w:val="006A3890"/>
    <w:rsid w:val="006A3896"/>
    <w:rsid w:val="006A3C66"/>
    <w:rsid w:val="006A3E65"/>
    <w:rsid w:val="006A3F61"/>
    <w:rsid w:val="006A41DC"/>
    <w:rsid w:val="006A426C"/>
    <w:rsid w:val="006A48D5"/>
    <w:rsid w:val="006A4ACC"/>
    <w:rsid w:val="006A52D0"/>
    <w:rsid w:val="006A59E6"/>
    <w:rsid w:val="006A61E8"/>
    <w:rsid w:val="006A637C"/>
    <w:rsid w:val="006A64EE"/>
    <w:rsid w:val="006A67A8"/>
    <w:rsid w:val="006A6DF9"/>
    <w:rsid w:val="006A70FE"/>
    <w:rsid w:val="006A7211"/>
    <w:rsid w:val="006A78B6"/>
    <w:rsid w:val="006A78DE"/>
    <w:rsid w:val="006A78E5"/>
    <w:rsid w:val="006A78EB"/>
    <w:rsid w:val="006A7984"/>
    <w:rsid w:val="006A7CA8"/>
    <w:rsid w:val="006A7E98"/>
    <w:rsid w:val="006B0048"/>
    <w:rsid w:val="006B029A"/>
    <w:rsid w:val="006B04A5"/>
    <w:rsid w:val="006B064D"/>
    <w:rsid w:val="006B0833"/>
    <w:rsid w:val="006B0B9A"/>
    <w:rsid w:val="006B0C3F"/>
    <w:rsid w:val="006B0D05"/>
    <w:rsid w:val="006B0F3E"/>
    <w:rsid w:val="006B1A1E"/>
    <w:rsid w:val="006B1F8F"/>
    <w:rsid w:val="006B2009"/>
    <w:rsid w:val="006B2296"/>
    <w:rsid w:val="006B26C9"/>
    <w:rsid w:val="006B28B0"/>
    <w:rsid w:val="006B28D7"/>
    <w:rsid w:val="006B295F"/>
    <w:rsid w:val="006B3094"/>
    <w:rsid w:val="006B31AA"/>
    <w:rsid w:val="006B32E4"/>
    <w:rsid w:val="006B3597"/>
    <w:rsid w:val="006B3659"/>
    <w:rsid w:val="006B3772"/>
    <w:rsid w:val="006B379E"/>
    <w:rsid w:val="006B3DE7"/>
    <w:rsid w:val="006B3F4B"/>
    <w:rsid w:val="006B450A"/>
    <w:rsid w:val="006B4533"/>
    <w:rsid w:val="006B468D"/>
    <w:rsid w:val="006B4A26"/>
    <w:rsid w:val="006B4C05"/>
    <w:rsid w:val="006B4DDD"/>
    <w:rsid w:val="006B51FB"/>
    <w:rsid w:val="006B5777"/>
    <w:rsid w:val="006B5795"/>
    <w:rsid w:val="006B5DA3"/>
    <w:rsid w:val="006B61D8"/>
    <w:rsid w:val="006B6404"/>
    <w:rsid w:val="006B66C4"/>
    <w:rsid w:val="006B6C07"/>
    <w:rsid w:val="006B6DCF"/>
    <w:rsid w:val="006B6E1B"/>
    <w:rsid w:val="006B730C"/>
    <w:rsid w:val="006B7A1E"/>
    <w:rsid w:val="006C00EF"/>
    <w:rsid w:val="006C01C2"/>
    <w:rsid w:val="006C0207"/>
    <w:rsid w:val="006C03C8"/>
    <w:rsid w:val="006C05C4"/>
    <w:rsid w:val="006C06B2"/>
    <w:rsid w:val="006C0984"/>
    <w:rsid w:val="006C0B6D"/>
    <w:rsid w:val="006C0D32"/>
    <w:rsid w:val="006C0D3D"/>
    <w:rsid w:val="006C0FF0"/>
    <w:rsid w:val="006C12E7"/>
    <w:rsid w:val="006C1514"/>
    <w:rsid w:val="006C1BAC"/>
    <w:rsid w:val="006C1DD4"/>
    <w:rsid w:val="006C2233"/>
    <w:rsid w:val="006C230F"/>
    <w:rsid w:val="006C23C9"/>
    <w:rsid w:val="006C256B"/>
    <w:rsid w:val="006C2598"/>
    <w:rsid w:val="006C27E0"/>
    <w:rsid w:val="006C2904"/>
    <w:rsid w:val="006C2A9C"/>
    <w:rsid w:val="006C2B11"/>
    <w:rsid w:val="006C2B21"/>
    <w:rsid w:val="006C2C18"/>
    <w:rsid w:val="006C2C80"/>
    <w:rsid w:val="006C2D68"/>
    <w:rsid w:val="006C2EEF"/>
    <w:rsid w:val="006C30FB"/>
    <w:rsid w:val="006C365F"/>
    <w:rsid w:val="006C3C76"/>
    <w:rsid w:val="006C3DAD"/>
    <w:rsid w:val="006C3F4E"/>
    <w:rsid w:val="006C4145"/>
    <w:rsid w:val="006C45D4"/>
    <w:rsid w:val="006C46B6"/>
    <w:rsid w:val="006C4908"/>
    <w:rsid w:val="006C4BBE"/>
    <w:rsid w:val="006C4C11"/>
    <w:rsid w:val="006C4CAB"/>
    <w:rsid w:val="006C4FD3"/>
    <w:rsid w:val="006C518C"/>
    <w:rsid w:val="006C51F7"/>
    <w:rsid w:val="006C5301"/>
    <w:rsid w:val="006C5735"/>
    <w:rsid w:val="006C5A1C"/>
    <w:rsid w:val="006C6016"/>
    <w:rsid w:val="006C611A"/>
    <w:rsid w:val="006C6193"/>
    <w:rsid w:val="006C6198"/>
    <w:rsid w:val="006C6229"/>
    <w:rsid w:val="006C6421"/>
    <w:rsid w:val="006C65F9"/>
    <w:rsid w:val="006C6909"/>
    <w:rsid w:val="006C6980"/>
    <w:rsid w:val="006C6A9D"/>
    <w:rsid w:val="006C6B04"/>
    <w:rsid w:val="006C6C11"/>
    <w:rsid w:val="006C6CA3"/>
    <w:rsid w:val="006C6CD1"/>
    <w:rsid w:val="006C6D86"/>
    <w:rsid w:val="006C6F38"/>
    <w:rsid w:val="006C7001"/>
    <w:rsid w:val="006C74B9"/>
    <w:rsid w:val="006C758C"/>
    <w:rsid w:val="006C7A66"/>
    <w:rsid w:val="006D023D"/>
    <w:rsid w:val="006D0BE8"/>
    <w:rsid w:val="006D0C7A"/>
    <w:rsid w:val="006D0D7C"/>
    <w:rsid w:val="006D0E6B"/>
    <w:rsid w:val="006D0F8D"/>
    <w:rsid w:val="006D176D"/>
    <w:rsid w:val="006D17A6"/>
    <w:rsid w:val="006D184F"/>
    <w:rsid w:val="006D1D54"/>
    <w:rsid w:val="006D1D5C"/>
    <w:rsid w:val="006D226F"/>
    <w:rsid w:val="006D2594"/>
    <w:rsid w:val="006D27BE"/>
    <w:rsid w:val="006D2D8A"/>
    <w:rsid w:val="006D2DAE"/>
    <w:rsid w:val="006D2EA6"/>
    <w:rsid w:val="006D32CE"/>
    <w:rsid w:val="006D34F0"/>
    <w:rsid w:val="006D3879"/>
    <w:rsid w:val="006D3BAF"/>
    <w:rsid w:val="006D3BD0"/>
    <w:rsid w:val="006D3C35"/>
    <w:rsid w:val="006D3EB4"/>
    <w:rsid w:val="006D3F04"/>
    <w:rsid w:val="006D3FE1"/>
    <w:rsid w:val="006D4118"/>
    <w:rsid w:val="006D416D"/>
    <w:rsid w:val="006D4327"/>
    <w:rsid w:val="006D46ED"/>
    <w:rsid w:val="006D4900"/>
    <w:rsid w:val="006D4BD1"/>
    <w:rsid w:val="006D4F33"/>
    <w:rsid w:val="006D5186"/>
    <w:rsid w:val="006D66EC"/>
    <w:rsid w:val="006D6A54"/>
    <w:rsid w:val="006D6E69"/>
    <w:rsid w:val="006D6F5E"/>
    <w:rsid w:val="006D70AC"/>
    <w:rsid w:val="006D7266"/>
    <w:rsid w:val="006D7637"/>
    <w:rsid w:val="006D76B4"/>
    <w:rsid w:val="006D7963"/>
    <w:rsid w:val="006D7B57"/>
    <w:rsid w:val="006D7FD5"/>
    <w:rsid w:val="006E0562"/>
    <w:rsid w:val="006E0610"/>
    <w:rsid w:val="006E0878"/>
    <w:rsid w:val="006E103C"/>
    <w:rsid w:val="006E1204"/>
    <w:rsid w:val="006E14DA"/>
    <w:rsid w:val="006E1972"/>
    <w:rsid w:val="006E1CDF"/>
    <w:rsid w:val="006E1DFD"/>
    <w:rsid w:val="006E1F91"/>
    <w:rsid w:val="006E2043"/>
    <w:rsid w:val="006E222A"/>
    <w:rsid w:val="006E26C9"/>
    <w:rsid w:val="006E2A8D"/>
    <w:rsid w:val="006E2AD6"/>
    <w:rsid w:val="006E2CF4"/>
    <w:rsid w:val="006E2DC1"/>
    <w:rsid w:val="006E33DB"/>
    <w:rsid w:val="006E34D4"/>
    <w:rsid w:val="006E3AC8"/>
    <w:rsid w:val="006E3AE3"/>
    <w:rsid w:val="006E3F94"/>
    <w:rsid w:val="006E3FE6"/>
    <w:rsid w:val="006E4145"/>
    <w:rsid w:val="006E45F4"/>
    <w:rsid w:val="006E48A1"/>
    <w:rsid w:val="006E49D2"/>
    <w:rsid w:val="006E4A9E"/>
    <w:rsid w:val="006E4CD9"/>
    <w:rsid w:val="006E4E35"/>
    <w:rsid w:val="006E501A"/>
    <w:rsid w:val="006E51B8"/>
    <w:rsid w:val="006E536A"/>
    <w:rsid w:val="006E53AD"/>
    <w:rsid w:val="006E53F0"/>
    <w:rsid w:val="006E55B1"/>
    <w:rsid w:val="006E5626"/>
    <w:rsid w:val="006E56A0"/>
    <w:rsid w:val="006E575C"/>
    <w:rsid w:val="006E5A70"/>
    <w:rsid w:val="006E5D26"/>
    <w:rsid w:val="006E5E52"/>
    <w:rsid w:val="006E63C3"/>
    <w:rsid w:val="006E6466"/>
    <w:rsid w:val="006E6546"/>
    <w:rsid w:val="006E6860"/>
    <w:rsid w:val="006E6B0F"/>
    <w:rsid w:val="006E6C52"/>
    <w:rsid w:val="006E6EE1"/>
    <w:rsid w:val="006E7065"/>
    <w:rsid w:val="006E73B1"/>
    <w:rsid w:val="006E7469"/>
    <w:rsid w:val="006E77E1"/>
    <w:rsid w:val="006E7834"/>
    <w:rsid w:val="006E7AC8"/>
    <w:rsid w:val="006E7B0B"/>
    <w:rsid w:val="006E7B83"/>
    <w:rsid w:val="006E7C29"/>
    <w:rsid w:val="006E7D52"/>
    <w:rsid w:val="006E7E61"/>
    <w:rsid w:val="006F0BA3"/>
    <w:rsid w:val="006F0C0A"/>
    <w:rsid w:val="006F1083"/>
    <w:rsid w:val="006F15B2"/>
    <w:rsid w:val="006F15EF"/>
    <w:rsid w:val="006F176E"/>
    <w:rsid w:val="006F1C64"/>
    <w:rsid w:val="006F1C65"/>
    <w:rsid w:val="006F21D8"/>
    <w:rsid w:val="006F2417"/>
    <w:rsid w:val="006F28E3"/>
    <w:rsid w:val="006F2CB1"/>
    <w:rsid w:val="006F3031"/>
    <w:rsid w:val="006F34A4"/>
    <w:rsid w:val="006F35A2"/>
    <w:rsid w:val="006F35B7"/>
    <w:rsid w:val="006F36DD"/>
    <w:rsid w:val="006F37AD"/>
    <w:rsid w:val="006F3B31"/>
    <w:rsid w:val="006F3B75"/>
    <w:rsid w:val="006F3D1D"/>
    <w:rsid w:val="006F3DFF"/>
    <w:rsid w:val="006F3F7B"/>
    <w:rsid w:val="006F4243"/>
    <w:rsid w:val="006F42C9"/>
    <w:rsid w:val="006F437B"/>
    <w:rsid w:val="006F4389"/>
    <w:rsid w:val="006F43BE"/>
    <w:rsid w:val="006F446F"/>
    <w:rsid w:val="006F4493"/>
    <w:rsid w:val="006F457D"/>
    <w:rsid w:val="006F4989"/>
    <w:rsid w:val="006F4A68"/>
    <w:rsid w:val="006F4AED"/>
    <w:rsid w:val="006F4BDD"/>
    <w:rsid w:val="006F4BF1"/>
    <w:rsid w:val="006F4F27"/>
    <w:rsid w:val="006F527A"/>
    <w:rsid w:val="006F5654"/>
    <w:rsid w:val="006F59E6"/>
    <w:rsid w:val="006F5C9C"/>
    <w:rsid w:val="006F5DEA"/>
    <w:rsid w:val="006F5E79"/>
    <w:rsid w:val="006F6370"/>
    <w:rsid w:val="006F63CC"/>
    <w:rsid w:val="006F654D"/>
    <w:rsid w:val="006F691B"/>
    <w:rsid w:val="006F712E"/>
    <w:rsid w:val="006F7552"/>
    <w:rsid w:val="006F75D0"/>
    <w:rsid w:val="006F76F5"/>
    <w:rsid w:val="006F7D38"/>
    <w:rsid w:val="006F7FE3"/>
    <w:rsid w:val="007000DD"/>
    <w:rsid w:val="00700259"/>
    <w:rsid w:val="0070070E"/>
    <w:rsid w:val="00700904"/>
    <w:rsid w:val="007009E0"/>
    <w:rsid w:val="00700CFA"/>
    <w:rsid w:val="00700D06"/>
    <w:rsid w:val="007011D0"/>
    <w:rsid w:val="007012E3"/>
    <w:rsid w:val="007015D0"/>
    <w:rsid w:val="007015D5"/>
    <w:rsid w:val="007016B4"/>
    <w:rsid w:val="00701838"/>
    <w:rsid w:val="00701AFA"/>
    <w:rsid w:val="00702141"/>
    <w:rsid w:val="007023AA"/>
    <w:rsid w:val="007023DC"/>
    <w:rsid w:val="00702509"/>
    <w:rsid w:val="00702F4F"/>
    <w:rsid w:val="0070308A"/>
    <w:rsid w:val="007031CE"/>
    <w:rsid w:val="00703A56"/>
    <w:rsid w:val="00703BA6"/>
    <w:rsid w:val="00703C84"/>
    <w:rsid w:val="00703CA1"/>
    <w:rsid w:val="00703F27"/>
    <w:rsid w:val="007040B6"/>
    <w:rsid w:val="0070412E"/>
    <w:rsid w:val="00704138"/>
    <w:rsid w:val="0070436B"/>
    <w:rsid w:val="0070451B"/>
    <w:rsid w:val="0070463E"/>
    <w:rsid w:val="00704D5B"/>
    <w:rsid w:val="00704FAB"/>
    <w:rsid w:val="00705225"/>
    <w:rsid w:val="0070531E"/>
    <w:rsid w:val="00705662"/>
    <w:rsid w:val="0070606A"/>
    <w:rsid w:val="00706369"/>
    <w:rsid w:val="00706392"/>
    <w:rsid w:val="007063E8"/>
    <w:rsid w:val="0070657A"/>
    <w:rsid w:val="007069C5"/>
    <w:rsid w:val="00706D81"/>
    <w:rsid w:val="007073B1"/>
    <w:rsid w:val="007074D6"/>
    <w:rsid w:val="00707520"/>
    <w:rsid w:val="0070753A"/>
    <w:rsid w:val="007076DA"/>
    <w:rsid w:val="00707A7F"/>
    <w:rsid w:val="00707C0F"/>
    <w:rsid w:val="00707C23"/>
    <w:rsid w:val="00707C3C"/>
    <w:rsid w:val="00707DE3"/>
    <w:rsid w:val="0071023C"/>
    <w:rsid w:val="0071030F"/>
    <w:rsid w:val="00710566"/>
    <w:rsid w:val="00710B7D"/>
    <w:rsid w:val="00710D08"/>
    <w:rsid w:val="00711078"/>
    <w:rsid w:val="0071109B"/>
    <w:rsid w:val="00711230"/>
    <w:rsid w:val="0071127E"/>
    <w:rsid w:val="007113F3"/>
    <w:rsid w:val="00711A8C"/>
    <w:rsid w:val="00711C13"/>
    <w:rsid w:val="00711D09"/>
    <w:rsid w:val="00711F35"/>
    <w:rsid w:val="0071204A"/>
    <w:rsid w:val="007122FC"/>
    <w:rsid w:val="00712519"/>
    <w:rsid w:val="007125EE"/>
    <w:rsid w:val="00712847"/>
    <w:rsid w:val="00712976"/>
    <w:rsid w:val="00712A66"/>
    <w:rsid w:val="007130A4"/>
    <w:rsid w:val="0071310C"/>
    <w:rsid w:val="007132A7"/>
    <w:rsid w:val="007135AA"/>
    <w:rsid w:val="0071372D"/>
    <w:rsid w:val="00713CEE"/>
    <w:rsid w:val="00713EB7"/>
    <w:rsid w:val="00714564"/>
    <w:rsid w:val="007145E3"/>
    <w:rsid w:val="00714741"/>
    <w:rsid w:val="00714997"/>
    <w:rsid w:val="00714ABB"/>
    <w:rsid w:val="00714F07"/>
    <w:rsid w:val="00715059"/>
    <w:rsid w:val="007151C9"/>
    <w:rsid w:val="00715331"/>
    <w:rsid w:val="007154DE"/>
    <w:rsid w:val="0071576A"/>
    <w:rsid w:val="0071586B"/>
    <w:rsid w:val="00715A04"/>
    <w:rsid w:val="00715AA2"/>
    <w:rsid w:val="00715E96"/>
    <w:rsid w:val="00716250"/>
    <w:rsid w:val="00716380"/>
    <w:rsid w:val="00716409"/>
    <w:rsid w:val="007170F2"/>
    <w:rsid w:val="0071725F"/>
    <w:rsid w:val="007173B8"/>
    <w:rsid w:val="007176CA"/>
    <w:rsid w:val="007178E6"/>
    <w:rsid w:val="00717E73"/>
    <w:rsid w:val="0072012E"/>
    <w:rsid w:val="00720265"/>
    <w:rsid w:val="00720326"/>
    <w:rsid w:val="0072056E"/>
    <w:rsid w:val="007208EB"/>
    <w:rsid w:val="007208EC"/>
    <w:rsid w:val="007209C5"/>
    <w:rsid w:val="00720BE4"/>
    <w:rsid w:val="00721398"/>
    <w:rsid w:val="007215B0"/>
    <w:rsid w:val="007215F9"/>
    <w:rsid w:val="00721655"/>
    <w:rsid w:val="0072171E"/>
    <w:rsid w:val="00721A2F"/>
    <w:rsid w:val="00721AEC"/>
    <w:rsid w:val="0072202A"/>
    <w:rsid w:val="0072269B"/>
    <w:rsid w:val="0072272D"/>
    <w:rsid w:val="00722C81"/>
    <w:rsid w:val="00722EED"/>
    <w:rsid w:val="00722F20"/>
    <w:rsid w:val="00722F9E"/>
    <w:rsid w:val="007230FE"/>
    <w:rsid w:val="00723240"/>
    <w:rsid w:val="00723943"/>
    <w:rsid w:val="007239C3"/>
    <w:rsid w:val="007239DC"/>
    <w:rsid w:val="007239F8"/>
    <w:rsid w:val="00723D6D"/>
    <w:rsid w:val="00724163"/>
    <w:rsid w:val="0072438B"/>
    <w:rsid w:val="00724889"/>
    <w:rsid w:val="00724A43"/>
    <w:rsid w:val="00724AB5"/>
    <w:rsid w:val="00724EF2"/>
    <w:rsid w:val="0072505A"/>
    <w:rsid w:val="007252DF"/>
    <w:rsid w:val="00725448"/>
    <w:rsid w:val="00725590"/>
    <w:rsid w:val="0072561E"/>
    <w:rsid w:val="00725C5E"/>
    <w:rsid w:val="00726008"/>
    <w:rsid w:val="0072605E"/>
    <w:rsid w:val="00726251"/>
    <w:rsid w:val="007264CE"/>
    <w:rsid w:val="007266F0"/>
    <w:rsid w:val="00726805"/>
    <w:rsid w:val="0072685D"/>
    <w:rsid w:val="007268C9"/>
    <w:rsid w:val="00726C50"/>
    <w:rsid w:val="00726E57"/>
    <w:rsid w:val="007274D4"/>
    <w:rsid w:val="00727891"/>
    <w:rsid w:val="00727A48"/>
    <w:rsid w:val="00727A64"/>
    <w:rsid w:val="00727ADB"/>
    <w:rsid w:val="00727BD4"/>
    <w:rsid w:val="00727CFD"/>
    <w:rsid w:val="0073009E"/>
    <w:rsid w:val="00730896"/>
    <w:rsid w:val="00730B95"/>
    <w:rsid w:val="00730C35"/>
    <w:rsid w:val="00730E61"/>
    <w:rsid w:val="007311AE"/>
    <w:rsid w:val="007312B7"/>
    <w:rsid w:val="007314CD"/>
    <w:rsid w:val="007316C1"/>
    <w:rsid w:val="00731772"/>
    <w:rsid w:val="00731794"/>
    <w:rsid w:val="00731A42"/>
    <w:rsid w:val="00731FF7"/>
    <w:rsid w:val="00732082"/>
    <w:rsid w:val="007320C2"/>
    <w:rsid w:val="00732449"/>
    <w:rsid w:val="00732523"/>
    <w:rsid w:val="007326C2"/>
    <w:rsid w:val="007326F4"/>
    <w:rsid w:val="007329C1"/>
    <w:rsid w:val="00732FB1"/>
    <w:rsid w:val="007330A7"/>
    <w:rsid w:val="007331B2"/>
    <w:rsid w:val="007334A5"/>
    <w:rsid w:val="007335F5"/>
    <w:rsid w:val="0073360C"/>
    <w:rsid w:val="00733615"/>
    <w:rsid w:val="00733C02"/>
    <w:rsid w:val="00733F1E"/>
    <w:rsid w:val="0073408F"/>
    <w:rsid w:val="0073411F"/>
    <w:rsid w:val="007341F3"/>
    <w:rsid w:val="0073423B"/>
    <w:rsid w:val="00734360"/>
    <w:rsid w:val="00734522"/>
    <w:rsid w:val="00734707"/>
    <w:rsid w:val="00734886"/>
    <w:rsid w:val="007348EC"/>
    <w:rsid w:val="00734B44"/>
    <w:rsid w:val="00734C10"/>
    <w:rsid w:val="00734DEC"/>
    <w:rsid w:val="0073501F"/>
    <w:rsid w:val="0073548E"/>
    <w:rsid w:val="00735712"/>
    <w:rsid w:val="00735D69"/>
    <w:rsid w:val="00735E16"/>
    <w:rsid w:val="00735E2B"/>
    <w:rsid w:val="0073618C"/>
    <w:rsid w:val="00736674"/>
    <w:rsid w:val="007367D1"/>
    <w:rsid w:val="00736831"/>
    <w:rsid w:val="007369F7"/>
    <w:rsid w:val="00736B58"/>
    <w:rsid w:val="00736EA7"/>
    <w:rsid w:val="00736F51"/>
    <w:rsid w:val="00736FB5"/>
    <w:rsid w:val="007370F3"/>
    <w:rsid w:val="007371BB"/>
    <w:rsid w:val="00737330"/>
    <w:rsid w:val="00737360"/>
    <w:rsid w:val="00737479"/>
    <w:rsid w:val="00737D09"/>
    <w:rsid w:val="00737E86"/>
    <w:rsid w:val="00737F85"/>
    <w:rsid w:val="00740466"/>
    <w:rsid w:val="00740546"/>
    <w:rsid w:val="00740628"/>
    <w:rsid w:val="007409AF"/>
    <w:rsid w:val="00740A00"/>
    <w:rsid w:val="00740C11"/>
    <w:rsid w:val="00740CF3"/>
    <w:rsid w:val="00740E72"/>
    <w:rsid w:val="00740F87"/>
    <w:rsid w:val="00741292"/>
    <w:rsid w:val="007412D4"/>
    <w:rsid w:val="00741716"/>
    <w:rsid w:val="007417DF"/>
    <w:rsid w:val="007418AE"/>
    <w:rsid w:val="00741E78"/>
    <w:rsid w:val="007421AD"/>
    <w:rsid w:val="007425B1"/>
    <w:rsid w:val="00742852"/>
    <w:rsid w:val="00742928"/>
    <w:rsid w:val="00742DE3"/>
    <w:rsid w:val="00743555"/>
    <w:rsid w:val="007435E7"/>
    <w:rsid w:val="007435F4"/>
    <w:rsid w:val="00743739"/>
    <w:rsid w:val="007437C4"/>
    <w:rsid w:val="0074397E"/>
    <w:rsid w:val="00743F07"/>
    <w:rsid w:val="00744123"/>
    <w:rsid w:val="007441FB"/>
    <w:rsid w:val="00744239"/>
    <w:rsid w:val="00744480"/>
    <w:rsid w:val="007444A4"/>
    <w:rsid w:val="00744A68"/>
    <w:rsid w:val="00744A86"/>
    <w:rsid w:val="00744B8B"/>
    <w:rsid w:val="00744EB1"/>
    <w:rsid w:val="007455E8"/>
    <w:rsid w:val="00745969"/>
    <w:rsid w:val="007459F0"/>
    <w:rsid w:val="00745A05"/>
    <w:rsid w:val="00745AFD"/>
    <w:rsid w:val="00745C60"/>
    <w:rsid w:val="00745F0C"/>
    <w:rsid w:val="00746209"/>
    <w:rsid w:val="00746475"/>
    <w:rsid w:val="00746621"/>
    <w:rsid w:val="00746C08"/>
    <w:rsid w:val="00746D32"/>
    <w:rsid w:val="00746D62"/>
    <w:rsid w:val="00746F8C"/>
    <w:rsid w:val="00747095"/>
    <w:rsid w:val="0074746C"/>
    <w:rsid w:val="00747E2B"/>
    <w:rsid w:val="00747E8A"/>
    <w:rsid w:val="00747EF4"/>
    <w:rsid w:val="007506B7"/>
    <w:rsid w:val="0075073F"/>
    <w:rsid w:val="0075084A"/>
    <w:rsid w:val="00750B04"/>
    <w:rsid w:val="00751318"/>
    <w:rsid w:val="00751344"/>
    <w:rsid w:val="007513AD"/>
    <w:rsid w:val="00751424"/>
    <w:rsid w:val="007518B9"/>
    <w:rsid w:val="00751985"/>
    <w:rsid w:val="00751CDB"/>
    <w:rsid w:val="00751CE2"/>
    <w:rsid w:val="00751E5F"/>
    <w:rsid w:val="00751F9F"/>
    <w:rsid w:val="00752302"/>
    <w:rsid w:val="007523AD"/>
    <w:rsid w:val="0075241D"/>
    <w:rsid w:val="007525C2"/>
    <w:rsid w:val="00752601"/>
    <w:rsid w:val="007528AF"/>
    <w:rsid w:val="00752DB4"/>
    <w:rsid w:val="00752E3B"/>
    <w:rsid w:val="0075309A"/>
    <w:rsid w:val="007535F7"/>
    <w:rsid w:val="00753B0E"/>
    <w:rsid w:val="00753CE3"/>
    <w:rsid w:val="00753EDE"/>
    <w:rsid w:val="00753FF2"/>
    <w:rsid w:val="00754049"/>
    <w:rsid w:val="0075425D"/>
    <w:rsid w:val="00754314"/>
    <w:rsid w:val="0075447A"/>
    <w:rsid w:val="007549DF"/>
    <w:rsid w:val="00754AB8"/>
    <w:rsid w:val="00755235"/>
    <w:rsid w:val="00755632"/>
    <w:rsid w:val="00755674"/>
    <w:rsid w:val="0075572A"/>
    <w:rsid w:val="00755F15"/>
    <w:rsid w:val="0075609C"/>
    <w:rsid w:val="00756317"/>
    <w:rsid w:val="0075689C"/>
    <w:rsid w:val="0075692B"/>
    <w:rsid w:val="00756A53"/>
    <w:rsid w:val="00756B4C"/>
    <w:rsid w:val="007571EA"/>
    <w:rsid w:val="00757469"/>
    <w:rsid w:val="007574ED"/>
    <w:rsid w:val="0075773F"/>
    <w:rsid w:val="00757775"/>
    <w:rsid w:val="00757867"/>
    <w:rsid w:val="00757C6B"/>
    <w:rsid w:val="00757CDD"/>
    <w:rsid w:val="00757CE4"/>
    <w:rsid w:val="00757D29"/>
    <w:rsid w:val="00760173"/>
    <w:rsid w:val="00760885"/>
    <w:rsid w:val="0076091E"/>
    <w:rsid w:val="00760D3D"/>
    <w:rsid w:val="007614FE"/>
    <w:rsid w:val="007617B4"/>
    <w:rsid w:val="00761A13"/>
    <w:rsid w:val="00761A25"/>
    <w:rsid w:val="00761AC0"/>
    <w:rsid w:val="00761FFD"/>
    <w:rsid w:val="0076214E"/>
    <w:rsid w:val="00762646"/>
    <w:rsid w:val="007629AE"/>
    <w:rsid w:val="00762E06"/>
    <w:rsid w:val="00762F8A"/>
    <w:rsid w:val="0076308D"/>
    <w:rsid w:val="007632F9"/>
    <w:rsid w:val="0076378E"/>
    <w:rsid w:val="00763E7E"/>
    <w:rsid w:val="007646CD"/>
    <w:rsid w:val="00764882"/>
    <w:rsid w:val="00764A9E"/>
    <w:rsid w:val="00765120"/>
    <w:rsid w:val="00765123"/>
    <w:rsid w:val="007652B6"/>
    <w:rsid w:val="00765E7F"/>
    <w:rsid w:val="00766087"/>
    <w:rsid w:val="007660ED"/>
    <w:rsid w:val="0076616E"/>
    <w:rsid w:val="00766D97"/>
    <w:rsid w:val="00767383"/>
    <w:rsid w:val="0076753F"/>
    <w:rsid w:val="0076759B"/>
    <w:rsid w:val="007675C1"/>
    <w:rsid w:val="007675CE"/>
    <w:rsid w:val="0076769E"/>
    <w:rsid w:val="0077003B"/>
    <w:rsid w:val="0077032F"/>
    <w:rsid w:val="00770699"/>
    <w:rsid w:val="007706B1"/>
    <w:rsid w:val="0077070B"/>
    <w:rsid w:val="00770BC1"/>
    <w:rsid w:val="00770DC7"/>
    <w:rsid w:val="00771D94"/>
    <w:rsid w:val="00771F9E"/>
    <w:rsid w:val="007720D3"/>
    <w:rsid w:val="007720F6"/>
    <w:rsid w:val="00772188"/>
    <w:rsid w:val="00772373"/>
    <w:rsid w:val="007725AE"/>
    <w:rsid w:val="0077264F"/>
    <w:rsid w:val="0077267C"/>
    <w:rsid w:val="00772AD7"/>
    <w:rsid w:val="00772DFB"/>
    <w:rsid w:val="0077307C"/>
    <w:rsid w:val="0077345E"/>
    <w:rsid w:val="00773833"/>
    <w:rsid w:val="00773900"/>
    <w:rsid w:val="00773BB8"/>
    <w:rsid w:val="00773C40"/>
    <w:rsid w:val="00773D84"/>
    <w:rsid w:val="0077405B"/>
    <w:rsid w:val="00774CBC"/>
    <w:rsid w:val="00774F4F"/>
    <w:rsid w:val="0077518E"/>
    <w:rsid w:val="0077539A"/>
    <w:rsid w:val="00775D52"/>
    <w:rsid w:val="00775E5F"/>
    <w:rsid w:val="007761CA"/>
    <w:rsid w:val="007766E1"/>
    <w:rsid w:val="00776BDB"/>
    <w:rsid w:val="00776D72"/>
    <w:rsid w:val="007771C1"/>
    <w:rsid w:val="00777398"/>
    <w:rsid w:val="00777AA2"/>
    <w:rsid w:val="00777C33"/>
    <w:rsid w:val="00777D95"/>
    <w:rsid w:val="007803CE"/>
    <w:rsid w:val="00780476"/>
    <w:rsid w:val="007804EE"/>
    <w:rsid w:val="00780885"/>
    <w:rsid w:val="00780B7E"/>
    <w:rsid w:val="00780FA8"/>
    <w:rsid w:val="00781140"/>
    <w:rsid w:val="00781678"/>
    <w:rsid w:val="00781890"/>
    <w:rsid w:val="00781B1D"/>
    <w:rsid w:val="00781D13"/>
    <w:rsid w:val="00781ECD"/>
    <w:rsid w:val="0078267D"/>
    <w:rsid w:val="00782C56"/>
    <w:rsid w:val="00782C9C"/>
    <w:rsid w:val="00782CB8"/>
    <w:rsid w:val="00782F4B"/>
    <w:rsid w:val="00784438"/>
    <w:rsid w:val="00784698"/>
    <w:rsid w:val="00784755"/>
    <w:rsid w:val="007848D1"/>
    <w:rsid w:val="00784960"/>
    <w:rsid w:val="00784B02"/>
    <w:rsid w:val="0078501B"/>
    <w:rsid w:val="00785CE2"/>
    <w:rsid w:val="0078608F"/>
    <w:rsid w:val="00786175"/>
    <w:rsid w:val="0078650E"/>
    <w:rsid w:val="0078655C"/>
    <w:rsid w:val="007865C4"/>
    <w:rsid w:val="0078691E"/>
    <w:rsid w:val="00786BE9"/>
    <w:rsid w:val="00786C71"/>
    <w:rsid w:val="00786EB0"/>
    <w:rsid w:val="00786ED4"/>
    <w:rsid w:val="00786FD9"/>
    <w:rsid w:val="007870B3"/>
    <w:rsid w:val="007870D8"/>
    <w:rsid w:val="007871E3"/>
    <w:rsid w:val="00787249"/>
    <w:rsid w:val="0079037E"/>
    <w:rsid w:val="007903EE"/>
    <w:rsid w:val="00790586"/>
    <w:rsid w:val="007905DC"/>
    <w:rsid w:val="00791176"/>
    <w:rsid w:val="007916E0"/>
    <w:rsid w:val="007916FA"/>
    <w:rsid w:val="00791748"/>
    <w:rsid w:val="00791874"/>
    <w:rsid w:val="0079220A"/>
    <w:rsid w:val="00792307"/>
    <w:rsid w:val="00792714"/>
    <w:rsid w:val="00792ABE"/>
    <w:rsid w:val="00792B1A"/>
    <w:rsid w:val="00792C0D"/>
    <w:rsid w:val="00792D08"/>
    <w:rsid w:val="00792DC0"/>
    <w:rsid w:val="00792DFF"/>
    <w:rsid w:val="0079309F"/>
    <w:rsid w:val="0079330A"/>
    <w:rsid w:val="00793B6C"/>
    <w:rsid w:val="00793BBB"/>
    <w:rsid w:val="00793CC3"/>
    <w:rsid w:val="00793E32"/>
    <w:rsid w:val="00793FEA"/>
    <w:rsid w:val="0079452A"/>
    <w:rsid w:val="0079457D"/>
    <w:rsid w:val="007947EF"/>
    <w:rsid w:val="00794843"/>
    <w:rsid w:val="007948A5"/>
    <w:rsid w:val="00794A88"/>
    <w:rsid w:val="00794AA5"/>
    <w:rsid w:val="00794AA9"/>
    <w:rsid w:val="00794E65"/>
    <w:rsid w:val="00794EEB"/>
    <w:rsid w:val="0079522A"/>
    <w:rsid w:val="007952AE"/>
    <w:rsid w:val="007952B5"/>
    <w:rsid w:val="007953A4"/>
    <w:rsid w:val="0079542F"/>
    <w:rsid w:val="007954CC"/>
    <w:rsid w:val="00795848"/>
    <w:rsid w:val="00795987"/>
    <w:rsid w:val="007965DD"/>
    <w:rsid w:val="007972D8"/>
    <w:rsid w:val="0079766C"/>
    <w:rsid w:val="007976C6"/>
    <w:rsid w:val="00797940"/>
    <w:rsid w:val="00797CDB"/>
    <w:rsid w:val="007A01B3"/>
    <w:rsid w:val="007A034C"/>
    <w:rsid w:val="007A0483"/>
    <w:rsid w:val="007A0556"/>
    <w:rsid w:val="007A0661"/>
    <w:rsid w:val="007A0804"/>
    <w:rsid w:val="007A085C"/>
    <w:rsid w:val="007A08FD"/>
    <w:rsid w:val="007A0974"/>
    <w:rsid w:val="007A107A"/>
    <w:rsid w:val="007A1532"/>
    <w:rsid w:val="007A15EA"/>
    <w:rsid w:val="007A21BD"/>
    <w:rsid w:val="007A226C"/>
    <w:rsid w:val="007A2A23"/>
    <w:rsid w:val="007A2B8A"/>
    <w:rsid w:val="007A2BE2"/>
    <w:rsid w:val="007A2C9B"/>
    <w:rsid w:val="007A2EB1"/>
    <w:rsid w:val="007A2FA1"/>
    <w:rsid w:val="007A3602"/>
    <w:rsid w:val="007A3707"/>
    <w:rsid w:val="007A3729"/>
    <w:rsid w:val="007A39E1"/>
    <w:rsid w:val="007A3C2D"/>
    <w:rsid w:val="007A3D09"/>
    <w:rsid w:val="007A3E06"/>
    <w:rsid w:val="007A44FF"/>
    <w:rsid w:val="007A452E"/>
    <w:rsid w:val="007A4BA9"/>
    <w:rsid w:val="007A4CEC"/>
    <w:rsid w:val="007A4D93"/>
    <w:rsid w:val="007A4E0B"/>
    <w:rsid w:val="007A4EA9"/>
    <w:rsid w:val="007A4EC7"/>
    <w:rsid w:val="007A4F0A"/>
    <w:rsid w:val="007A5158"/>
    <w:rsid w:val="007A5575"/>
    <w:rsid w:val="007A5598"/>
    <w:rsid w:val="007A5626"/>
    <w:rsid w:val="007A5A1D"/>
    <w:rsid w:val="007A5A57"/>
    <w:rsid w:val="007A6023"/>
    <w:rsid w:val="007A621B"/>
    <w:rsid w:val="007A6647"/>
    <w:rsid w:val="007A67A1"/>
    <w:rsid w:val="007A6A6A"/>
    <w:rsid w:val="007A6BF4"/>
    <w:rsid w:val="007A6E09"/>
    <w:rsid w:val="007A7645"/>
    <w:rsid w:val="007A7952"/>
    <w:rsid w:val="007A7AED"/>
    <w:rsid w:val="007B01F3"/>
    <w:rsid w:val="007B030F"/>
    <w:rsid w:val="007B0672"/>
    <w:rsid w:val="007B06B0"/>
    <w:rsid w:val="007B085A"/>
    <w:rsid w:val="007B0C5D"/>
    <w:rsid w:val="007B0CA8"/>
    <w:rsid w:val="007B0D69"/>
    <w:rsid w:val="007B0D89"/>
    <w:rsid w:val="007B0FBD"/>
    <w:rsid w:val="007B10A5"/>
    <w:rsid w:val="007B1ACA"/>
    <w:rsid w:val="007B1B93"/>
    <w:rsid w:val="007B1D74"/>
    <w:rsid w:val="007B1F2B"/>
    <w:rsid w:val="007B1FAA"/>
    <w:rsid w:val="007B20F0"/>
    <w:rsid w:val="007B2638"/>
    <w:rsid w:val="007B27BD"/>
    <w:rsid w:val="007B2914"/>
    <w:rsid w:val="007B2A65"/>
    <w:rsid w:val="007B2B7D"/>
    <w:rsid w:val="007B2D1B"/>
    <w:rsid w:val="007B2E60"/>
    <w:rsid w:val="007B2F1F"/>
    <w:rsid w:val="007B30A0"/>
    <w:rsid w:val="007B3521"/>
    <w:rsid w:val="007B3571"/>
    <w:rsid w:val="007B389D"/>
    <w:rsid w:val="007B3994"/>
    <w:rsid w:val="007B39E2"/>
    <w:rsid w:val="007B3A07"/>
    <w:rsid w:val="007B3F73"/>
    <w:rsid w:val="007B40F0"/>
    <w:rsid w:val="007B42C0"/>
    <w:rsid w:val="007B44A2"/>
    <w:rsid w:val="007B46AC"/>
    <w:rsid w:val="007B476C"/>
    <w:rsid w:val="007B4992"/>
    <w:rsid w:val="007B4B03"/>
    <w:rsid w:val="007B4F63"/>
    <w:rsid w:val="007B502D"/>
    <w:rsid w:val="007B5109"/>
    <w:rsid w:val="007B5284"/>
    <w:rsid w:val="007B58A0"/>
    <w:rsid w:val="007B5935"/>
    <w:rsid w:val="007B5A0B"/>
    <w:rsid w:val="007B5CF7"/>
    <w:rsid w:val="007B5DBF"/>
    <w:rsid w:val="007B62E8"/>
    <w:rsid w:val="007B63E2"/>
    <w:rsid w:val="007B647B"/>
    <w:rsid w:val="007B65D3"/>
    <w:rsid w:val="007B66F9"/>
    <w:rsid w:val="007B6A54"/>
    <w:rsid w:val="007B6D78"/>
    <w:rsid w:val="007B6DD5"/>
    <w:rsid w:val="007B6FF5"/>
    <w:rsid w:val="007B7057"/>
    <w:rsid w:val="007B70B2"/>
    <w:rsid w:val="007B7170"/>
    <w:rsid w:val="007B747D"/>
    <w:rsid w:val="007B7494"/>
    <w:rsid w:val="007B7698"/>
    <w:rsid w:val="007B76FE"/>
    <w:rsid w:val="007B7B3A"/>
    <w:rsid w:val="007B7F5E"/>
    <w:rsid w:val="007B7F65"/>
    <w:rsid w:val="007C0358"/>
    <w:rsid w:val="007C04D4"/>
    <w:rsid w:val="007C0CA2"/>
    <w:rsid w:val="007C0D45"/>
    <w:rsid w:val="007C0E8E"/>
    <w:rsid w:val="007C109C"/>
    <w:rsid w:val="007C12DF"/>
    <w:rsid w:val="007C14FA"/>
    <w:rsid w:val="007C15B5"/>
    <w:rsid w:val="007C190D"/>
    <w:rsid w:val="007C19EF"/>
    <w:rsid w:val="007C2109"/>
    <w:rsid w:val="007C23C3"/>
    <w:rsid w:val="007C2450"/>
    <w:rsid w:val="007C255B"/>
    <w:rsid w:val="007C29DD"/>
    <w:rsid w:val="007C2B36"/>
    <w:rsid w:val="007C382B"/>
    <w:rsid w:val="007C3F96"/>
    <w:rsid w:val="007C3F9A"/>
    <w:rsid w:val="007C41FF"/>
    <w:rsid w:val="007C4305"/>
    <w:rsid w:val="007C4634"/>
    <w:rsid w:val="007C4669"/>
    <w:rsid w:val="007C47D6"/>
    <w:rsid w:val="007C4D84"/>
    <w:rsid w:val="007C4E32"/>
    <w:rsid w:val="007C4F5B"/>
    <w:rsid w:val="007C4F73"/>
    <w:rsid w:val="007C514C"/>
    <w:rsid w:val="007C5272"/>
    <w:rsid w:val="007C533D"/>
    <w:rsid w:val="007C5416"/>
    <w:rsid w:val="007C55A6"/>
    <w:rsid w:val="007C571F"/>
    <w:rsid w:val="007C587E"/>
    <w:rsid w:val="007C5937"/>
    <w:rsid w:val="007C59F8"/>
    <w:rsid w:val="007C5E4D"/>
    <w:rsid w:val="007C6226"/>
    <w:rsid w:val="007C62AB"/>
    <w:rsid w:val="007C663B"/>
    <w:rsid w:val="007C6923"/>
    <w:rsid w:val="007C696B"/>
    <w:rsid w:val="007C69D4"/>
    <w:rsid w:val="007C6F5B"/>
    <w:rsid w:val="007C708E"/>
    <w:rsid w:val="007C70AE"/>
    <w:rsid w:val="007C73FE"/>
    <w:rsid w:val="007C74B1"/>
    <w:rsid w:val="007C778E"/>
    <w:rsid w:val="007C7B52"/>
    <w:rsid w:val="007C7EDB"/>
    <w:rsid w:val="007C7F15"/>
    <w:rsid w:val="007C7F4E"/>
    <w:rsid w:val="007D04D0"/>
    <w:rsid w:val="007D07FA"/>
    <w:rsid w:val="007D0A11"/>
    <w:rsid w:val="007D0CD5"/>
    <w:rsid w:val="007D0CE0"/>
    <w:rsid w:val="007D1045"/>
    <w:rsid w:val="007D129A"/>
    <w:rsid w:val="007D12BD"/>
    <w:rsid w:val="007D1514"/>
    <w:rsid w:val="007D15E8"/>
    <w:rsid w:val="007D1812"/>
    <w:rsid w:val="007D183F"/>
    <w:rsid w:val="007D18ED"/>
    <w:rsid w:val="007D197F"/>
    <w:rsid w:val="007D1983"/>
    <w:rsid w:val="007D19F7"/>
    <w:rsid w:val="007D1C7A"/>
    <w:rsid w:val="007D213C"/>
    <w:rsid w:val="007D2552"/>
    <w:rsid w:val="007D2772"/>
    <w:rsid w:val="007D2950"/>
    <w:rsid w:val="007D2C25"/>
    <w:rsid w:val="007D2D1B"/>
    <w:rsid w:val="007D2DFF"/>
    <w:rsid w:val="007D3021"/>
    <w:rsid w:val="007D3198"/>
    <w:rsid w:val="007D3A41"/>
    <w:rsid w:val="007D3BED"/>
    <w:rsid w:val="007D4113"/>
    <w:rsid w:val="007D41A3"/>
    <w:rsid w:val="007D41DA"/>
    <w:rsid w:val="007D4496"/>
    <w:rsid w:val="007D4D1D"/>
    <w:rsid w:val="007D4D79"/>
    <w:rsid w:val="007D4E15"/>
    <w:rsid w:val="007D4F7D"/>
    <w:rsid w:val="007D4F9B"/>
    <w:rsid w:val="007D5278"/>
    <w:rsid w:val="007D5420"/>
    <w:rsid w:val="007D576D"/>
    <w:rsid w:val="007D57A6"/>
    <w:rsid w:val="007D5816"/>
    <w:rsid w:val="007D5873"/>
    <w:rsid w:val="007D5B66"/>
    <w:rsid w:val="007D5B74"/>
    <w:rsid w:val="007D5DDA"/>
    <w:rsid w:val="007D6023"/>
    <w:rsid w:val="007D632D"/>
    <w:rsid w:val="007D6357"/>
    <w:rsid w:val="007D637D"/>
    <w:rsid w:val="007D64DB"/>
    <w:rsid w:val="007D65D0"/>
    <w:rsid w:val="007D66D0"/>
    <w:rsid w:val="007D6809"/>
    <w:rsid w:val="007D6E69"/>
    <w:rsid w:val="007D6EC7"/>
    <w:rsid w:val="007D6F15"/>
    <w:rsid w:val="007D734D"/>
    <w:rsid w:val="007D73E6"/>
    <w:rsid w:val="007D74AD"/>
    <w:rsid w:val="007D7A47"/>
    <w:rsid w:val="007D7F96"/>
    <w:rsid w:val="007E01A4"/>
    <w:rsid w:val="007E01D6"/>
    <w:rsid w:val="007E040E"/>
    <w:rsid w:val="007E0731"/>
    <w:rsid w:val="007E07AA"/>
    <w:rsid w:val="007E09FB"/>
    <w:rsid w:val="007E0B44"/>
    <w:rsid w:val="007E1031"/>
    <w:rsid w:val="007E1A82"/>
    <w:rsid w:val="007E1B15"/>
    <w:rsid w:val="007E1C07"/>
    <w:rsid w:val="007E1FE2"/>
    <w:rsid w:val="007E212F"/>
    <w:rsid w:val="007E21CF"/>
    <w:rsid w:val="007E2638"/>
    <w:rsid w:val="007E27A6"/>
    <w:rsid w:val="007E284B"/>
    <w:rsid w:val="007E2A2C"/>
    <w:rsid w:val="007E2A32"/>
    <w:rsid w:val="007E2A5B"/>
    <w:rsid w:val="007E37FF"/>
    <w:rsid w:val="007E41EF"/>
    <w:rsid w:val="007E4331"/>
    <w:rsid w:val="007E465B"/>
    <w:rsid w:val="007E4745"/>
    <w:rsid w:val="007E4B1B"/>
    <w:rsid w:val="007E4B69"/>
    <w:rsid w:val="007E4EC3"/>
    <w:rsid w:val="007E5034"/>
    <w:rsid w:val="007E506F"/>
    <w:rsid w:val="007E52E3"/>
    <w:rsid w:val="007E5305"/>
    <w:rsid w:val="007E58B9"/>
    <w:rsid w:val="007E5B64"/>
    <w:rsid w:val="007E5B6A"/>
    <w:rsid w:val="007E600C"/>
    <w:rsid w:val="007E62FF"/>
    <w:rsid w:val="007E63C4"/>
    <w:rsid w:val="007E668A"/>
    <w:rsid w:val="007E6953"/>
    <w:rsid w:val="007E6DC1"/>
    <w:rsid w:val="007E7354"/>
    <w:rsid w:val="007E776C"/>
    <w:rsid w:val="007E77DC"/>
    <w:rsid w:val="007E79EF"/>
    <w:rsid w:val="007E7BF9"/>
    <w:rsid w:val="007E7FD2"/>
    <w:rsid w:val="007F004B"/>
    <w:rsid w:val="007F0427"/>
    <w:rsid w:val="007F0677"/>
    <w:rsid w:val="007F0833"/>
    <w:rsid w:val="007F099A"/>
    <w:rsid w:val="007F0FD6"/>
    <w:rsid w:val="007F101C"/>
    <w:rsid w:val="007F1043"/>
    <w:rsid w:val="007F1065"/>
    <w:rsid w:val="007F1273"/>
    <w:rsid w:val="007F156B"/>
    <w:rsid w:val="007F1847"/>
    <w:rsid w:val="007F1C4E"/>
    <w:rsid w:val="007F2123"/>
    <w:rsid w:val="007F2866"/>
    <w:rsid w:val="007F2A74"/>
    <w:rsid w:val="007F2B92"/>
    <w:rsid w:val="007F3610"/>
    <w:rsid w:val="007F3783"/>
    <w:rsid w:val="007F384E"/>
    <w:rsid w:val="007F38BE"/>
    <w:rsid w:val="007F3C43"/>
    <w:rsid w:val="007F3C9D"/>
    <w:rsid w:val="007F3D33"/>
    <w:rsid w:val="007F3D5F"/>
    <w:rsid w:val="007F3EE8"/>
    <w:rsid w:val="007F45DB"/>
    <w:rsid w:val="007F45E4"/>
    <w:rsid w:val="007F48BB"/>
    <w:rsid w:val="007F491E"/>
    <w:rsid w:val="007F4E3D"/>
    <w:rsid w:val="007F5122"/>
    <w:rsid w:val="007F51F1"/>
    <w:rsid w:val="007F534E"/>
    <w:rsid w:val="007F5388"/>
    <w:rsid w:val="007F5538"/>
    <w:rsid w:val="007F58BD"/>
    <w:rsid w:val="007F5BE1"/>
    <w:rsid w:val="007F5DF1"/>
    <w:rsid w:val="007F606D"/>
    <w:rsid w:val="007F607D"/>
    <w:rsid w:val="007F6343"/>
    <w:rsid w:val="007F689E"/>
    <w:rsid w:val="007F6B63"/>
    <w:rsid w:val="007F6B67"/>
    <w:rsid w:val="007F6BF4"/>
    <w:rsid w:val="007F6D06"/>
    <w:rsid w:val="007F6E11"/>
    <w:rsid w:val="007F6E9A"/>
    <w:rsid w:val="007F7022"/>
    <w:rsid w:val="007F70F9"/>
    <w:rsid w:val="007F75A5"/>
    <w:rsid w:val="007F770B"/>
    <w:rsid w:val="007F77B4"/>
    <w:rsid w:val="007F79B2"/>
    <w:rsid w:val="007F7A6A"/>
    <w:rsid w:val="007F7BC0"/>
    <w:rsid w:val="007F7BC1"/>
    <w:rsid w:val="007F7F2C"/>
    <w:rsid w:val="007F7FCE"/>
    <w:rsid w:val="0080014A"/>
    <w:rsid w:val="008002B7"/>
    <w:rsid w:val="008002E1"/>
    <w:rsid w:val="00800338"/>
    <w:rsid w:val="00800525"/>
    <w:rsid w:val="00800829"/>
    <w:rsid w:val="008008F8"/>
    <w:rsid w:val="00800B73"/>
    <w:rsid w:val="00800CD5"/>
    <w:rsid w:val="0080107D"/>
    <w:rsid w:val="008010A9"/>
    <w:rsid w:val="00801793"/>
    <w:rsid w:val="008017FD"/>
    <w:rsid w:val="00801813"/>
    <w:rsid w:val="00801CA0"/>
    <w:rsid w:val="00801EAD"/>
    <w:rsid w:val="008020F9"/>
    <w:rsid w:val="00802192"/>
    <w:rsid w:val="00802213"/>
    <w:rsid w:val="00802760"/>
    <w:rsid w:val="0080289B"/>
    <w:rsid w:val="00802D83"/>
    <w:rsid w:val="00803223"/>
    <w:rsid w:val="008032BF"/>
    <w:rsid w:val="008032F3"/>
    <w:rsid w:val="008033E0"/>
    <w:rsid w:val="008036B6"/>
    <w:rsid w:val="0080381A"/>
    <w:rsid w:val="008039F8"/>
    <w:rsid w:val="00803CB6"/>
    <w:rsid w:val="00803D01"/>
    <w:rsid w:val="00803D76"/>
    <w:rsid w:val="0080437B"/>
    <w:rsid w:val="0080438F"/>
    <w:rsid w:val="008046FA"/>
    <w:rsid w:val="00804A00"/>
    <w:rsid w:val="00804BF2"/>
    <w:rsid w:val="00804C53"/>
    <w:rsid w:val="0080539F"/>
    <w:rsid w:val="008057BA"/>
    <w:rsid w:val="008058E9"/>
    <w:rsid w:val="0080595D"/>
    <w:rsid w:val="00805ADE"/>
    <w:rsid w:val="00805AF3"/>
    <w:rsid w:val="00805DE5"/>
    <w:rsid w:val="00805E6B"/>
    <w:rsid w:val="0080626A"/>
    <w:rsid w:val="008062A0"/>
    <w:rsid w:val="00806524"/>
    <w:rsid w:val="00806A67"/>
    <w:rsid w:val="00806CAD"/>
    <w:rsid w:val="00806F0B"/>
    <w:rsid w:val="00806FBB"/>
    <w:rsid w:val="00807043"/>
    <w:rsid w:val="00807377"/>
    <w:rsid w:val="00807489"/>
    <w:rsid w:val="008074CE"/>
    <w:rsid w:val="00807687"/>
    <w:rsid w:val="008076FA"/>
    <w:rsid w:val="008078F5"/>
    <w:rsid w:val="008079A5"/>
    <w:rsid w:val="00807D48"/>
    <w:rsid w:val="00807F87"/>
    <w:rsid w:val="00810330"/>
    <w:rsid w:val="0081053F"/>
    <w:rsid w:val="008107FE"/>
    <w:rsid w:val="00810A2E"/>
    <w:rsid w:val="00810BAA"/>
    <w:rsid w:val="00810C10"/>
    <w:rsid w:val="00810D81"/>
    <w:rsid w:val="00810E65"/>
    <w:rsid w:val="008116FD"/>
    <w:rsid w:val="008118D2"/>
    <w:rsid w:val="00812126"/>
    <w:rsid w:val="00812137"/>
    <w:rsid w:val="0081244E"/>
    <w:rsid w:val="0081252F"/>
    <w:rsid w:val="0081281F"/>
    <w:rsid w:val="00812911"/>
    <w:rsid w:val="00812AC7"/>
    <w:rsid w:val="00813015"/>
    <w:rsid w:val="00813190"/>
    <w:rsid w:val="0081367D"/>
    <w:rsid w:val="00813794"/>
    <w:rsid w:val="008141BC"/>
    <w:rsid w:val="0081453C"/>
    <w:rsid w:val="008147DA"/>
    <w:rsid w:val="00814DA7"/>
    <w:rsid w:val="008152DA"/>
    <w:rsid w:val="008152DC"/>
    <w:rsid w:val="00815435"/>
    <w:rsid w:val="00815494"/>
    <w:rsid w:val="00815FE5"/>
    <w:rsid w:val="008162A2"/>
    <w:rsid w:val="00816A43"/>
    <w:rsid w:val="00816C9D"/>
    <w:rsid w:val="008172FC"/>
    <w:rsid w:val="0081762B"/>
    <w:rsid w:val="0081763B"/>
    <w:rsid w:val="00817949"/>
    <w:rsid w:val="00817ACA"/>
    <w:rsid w:val="00817D9A"/>
    <w:rsid w:val="00817F0B"/>
    <w:rsid w:val="00817FA7"/>
    <w:rsid w:val="00820045"/>
    <w:rsid w:val="008202F8"/>
    <w:rsid w:val="0082032A"/>
    <w:rsid w:val="008203BD"/>
    <w:rsid w:val="0082052B"/>
    <w:rsid w:val="008208A4"/>
    <w:rsid w:val="00820CC2"/>
    <w:rsid w:val="00821012"/>
    <w:rsid w:val="008211A9"/>
    <w:rsid w:val="00821BB2"/>
    <w:rsid w:val="00821C1A"/>
    <w:rsid w:val="00821DCF"/>
    <w:rsid w:val="008222BB"/>
    <w:rsid w:val="00822490"/>
    <w:rsid w:val="0082261E"/>
    <w:rsid w:val="0082286A"/>
    <w:rsid w:val="0082294A"/>
    <w:rsid w:val="00822DEA"/>
    <w:rsid w:val="00823101"/>
    <w:rsid w:val="00823176"/>
    <w:rsid w:val="00823357"/>
    <w:rsid w:val="00823771"/>
    <w:rsid w:val="00823ABC"/>
    <w:rsid w:val="00824302"/>
    <w:rsid w:val="0082431F"/>
    <w:rsid w:val="00824320"/>
    <w:rsid w:val="00824A2B"/>
    <w:rsid w:val="00824B57"/>
    <w:rsid w:val="00824E5E"/>
    <w:rsid w:val="00825069"/>
    <w:rsid w:val="008250D1"/>
    <w:rsid w:val="008252F6"/>
    <w:rsid w:val="008253C1"/>
    <w:rsid w:val="0082571A"/>
    <w:rsid w:val="0082584E"/>
    <w:rsid w:val="00825C9E"/>
    <w:rsid w:val="0082605C"/>
    <w:rsid w:val="00826570"/>
    <w:rsid w:val="008265C8"/>
    <w:rsid w:val="00826654"/>
    <w:rsid w:val="008268BD"/>
    <w:rsid w:val="00826A10"/>
    <w:rsid w:val="00826C61"/>
    <w:rsid w:val="00826C9F"/>
    <w:rsid w:val="008272DD"/>
    <w:rsid w:val="00827395"/>
    <w:rsid w:val="008273AC"/>
    <w:rsid w:val="008274F2"/>
    <w:rsid w:val="00827611"/>
    <w:rsid w:val="00827712"/>
    <w:rsid w:val="00827762"/>
    <w:rsid w:val="008278B0"/>
    <w:rsid w:val="00827AF4"/>
    <w:rsid w:val="00830111"/>
    <w:rsid w:val="008309B6"/>
    <w:rsid w:val="00830B0D"/>
    <w:rsid w:val="00830E29"/>
    <w:rsid w:val="008311D8"/>
    <w:rsid w:val="0083122C"/>
    <w:rsid w:val="008312C2"/>
    <w:rsid w:val="008313B5"/>
    <w:rsid w:val="008315C2"/>
    <w:rsid w:val="008317D1"/>
    <w:rsid w:val="00831A04"/>
    <w:rsid w:val="00831AC8"/>
    <w:rsid w:val="00831B99"/>
    <w:rsid w:val="00831D58"/>
    <w:rsid w:val="00831E24"/>
    <w:rsid w:val="00832217"/>
    <w:rsid w:val="00832336"/>
    <w:rsid w:val="008324EF"/>
    <w:rsid w:val="00832528"/>
    <w:rsid w:val="00832E28"/>
    <w:rsid w:val="00832EB9"/>
    <w:rsid w:val="00832ED2"/>
    <w:rsid w:val="00832FC8"/>
    <w:rsid w:val="00833407"/>
    <w:rsid w:val="00833731"/>
    <w:rsid w:val="0083392C"/>
    <w:rsid w:val="00833A34"/>
    <w:rsid w:val="00834220"/>
    <w:rsid w:val="00834944"/>
    <w:rsid w:val="00834BD5"/>
    <w:rsid w:val="00834CAD"/>
    <w:rsid w:val="00834E97"/>
    <w:rsid w:val="00834F6A"/>
    <w:rsid w:val="00835225"/>
    <w:rsid w:val="00835283"/>
    <w:rsid w:val="008356AF"/>
    <w:rsid w:val="00835A9E"/>
    <w:rsid w:val="00835D05"/>
    <w:rsid w:val="00835DB9"/>
    <w:rsid w:val="00835DEA"/>
    <w:rsid w:val="00835E23"/>
    <w:rsid w:val="00836065"/>
    <w:rsid w:val="00836150"/>
    <w:rsid w:val="008362E5"/>
    <w:rsid w:val="00836500"/>
    <w:rsid w:val="0083655A"/>
    <w:rsid w:val="008368AF"/>
    <w:rsid w:val="00836D89"/>
    <w:rsid w:val="00837473"/>
    <w:rsid w:val="00837760"/>
    <w:rsid w:val="0083782A"/>
    <w:rsid w:val="00837B4E"/>
    <w:rsid w:val="00837BB9"/>
    <w:rsid w:val="00837CE5"/>
    <w:rsid w:val="00837CEE"/>
    <w:rsid w:val="00840683"/>
    <w:rsid w:val="00840694"/>
    <w:rsid w:val="008407FC"/>
    <w:rsid w:val="00840BE1"/>
    <w:rsid w:val="00840C85"/>
    <w:rsid w:val="00841349"/>
    <w:rsid w:val="00841400"/>
    <w:rsid w:val="00841B50"/>
    <w:rsid w:val="00841D3A"/>
    <w:rsid w:val="00841D70"/>
    <w:rsid w:val="00841ED4"/>
    <w:rsid w:val="0084246F"/>
    <w:rsid w:val="008426EA"/>
    <w:rsid w:val="0084287E"/>
    <w:rsid w:val="00842B84"/>
    <w:rsid w:val="00842C12"/>
    <w:rsid w:val="00842CE7"/>
    <w:rsid w:val="00842D9F"/>
    <w:rsid w:val="00842E51"/>
    <w:rsid w:val="00842E72"/>
    <w:rsid w:val="00842EF9"/>
    <w:rsid w:val="00843384"/>
    <w:rsid w:val="00843A32"/>
    <w:rsid w:val="00843A68"/>
    <w:rsid w:val="00844030"/>
    <w:rsid w:val="00844199"/>
    <w:rsid w:val="008442F1"/>
    <w:rsid w:val="00844611"/>
    <w:rsid w:val="00844655"/>
    <w:rsid w:val="00844856"/>
    <w:rsid w:val="00844930"/>
    <w:rsid w:val="00844E7A"/>
    <w:rsid w:val="008451EF"/>
    <w:rsid w:val="0084526C"/>
    <w:rsid w:val="0084542A"/>
    <w:rsid w:val="00845D4D"/>
    <w:rsid w:val="008465E8"/>
    <w:rsid w:val="00846647"/>
    <w:rsid w:val="008466F1"/>
    <w:rsid w:val="00846A80"/>
    <w:rsid w:val="00846EC6"/>
    <w:rsid w:val="008472AC"/>
    <w:rsid w:val="008474E8"/>
    <w:rsid w:val="008476B0"/>
    <w:rsid w:val="008477ED"/>
    <w:rsid w:val="00847884"/>
    <w:rsid w:val="00847963"/>
    <w:rsid w:val="00847B47"/>
    <w:rsid w:val="00847E04"/>
    <w:rsid w:val="00850830"/>
    <w:rsid w:val="00850B55"/>
    <w:rsid w:val="00850D48"/>
    <w:rsid w:val="008510A0"/>
    <w:rsid w:val="00851113"/>
    <w:rsid w:val="008512C7"/>
    <w:rsid w:val="00851651"/>
    <w:rsid w:val="00851936"/>
    <w:rsid w:val="00851AC9"/>
    <w:rsid w:val="00851B69"/>
    <w:rsid w:val="008521F9"/>
    <w:rsid w:val="00852291"/>
    <w:rsid w:val="0085242F"/>
    <w:rsid w:val="00852511"/>
    <w:rsid w:val="0085257A"/>
    <w:rsid w:val="008527AE"/>
    <w:rsid w:val="008527CF"/>
    <w:rsid w:val="008527D4"/>
    <w:rsid w:val="00852813"/>
    <w:rsid w:val="00852981"/>
    <w:rsid w:val="00852A0F"/>
    <w:rsid w:val="00852FD8"/>
    <w:rsid w:val="008538D7"/>
    <w:rsid w:val="008538E2"/>
    <w:rsid w:val="00853A04"/>
    <w:rsid w:val="008541AF"/>
    <w:rsid w:val="008541E8"/>
    <w:rsid w:val="008545CD"/>
    <w:rsid w:val="008545F4"/>
    <w:rsid w:val="0085471A"/>
    <w:rsid w:val="00854E7B"/>
    <w:rsid w:val="00854E9F"/>
    <w:rsid w:val="00855506"/>
    <w:rsid w:val="008555A9"/>
    <w:rsid w:val="008557BE"/>
    <w:rsid w:val="008557DA"/>
    <w:rsid w:val="008557E8"/>
    <w:rsid w:val="0085585E"/>
    <w:rsid w:val="00855B15"/>
    <w:rsid w:val="00855DC5"/>
    <w:rsid w:val="00855DDE"/>
    <w:rsid w:val="00855E7B"/>
    <w:rsid w:val="00855F83"/>
    <w:rsid w:val="00856438"/>
    <w:rsid w:val="0085668F"/>
    <w:rsid w:val="00856AFE"/>
    <w:rsid w:val="00856B7D"/>
    <w:rsid w:val="00856CBD"/>
    <w:rsid w:val="0085743B"/>
    <w:rsid w:val="00857545"/>
    <w:rsid w:val="00857A9B"/>
    <w:rsid w:val="00857E02"/>
    <w:rsid w:val="00857F04"/>
    <w:rsid w:val="00860215"/>
    <w:rsid w:val="00860233"/>
    <w:rsid w:val="00860263"/>
    <w:rsid w:val="008608C8"/>
    <w:rsid w:val="00860E2A"/>
    <w:rsid w:val="00860E5E"/>
    <w:rsid w:val="0086144B"/>
    <w:rsid w:val="00861481"/>
    <w:rsid w:val="0086189D"/>
    <w:rsid w:val="00861B97"/>
    <w:rsid w:val="00861D8B"/>
    <w:rsid w:val="008620F1"/>
    <w:rsid w:val="008622C2"/>
    <w:rsid w:val="00862500"/>
    <w:rsid w:val="008626E7"/>
    <w:rsid w:val="00862B30"/>
    <w:rsid w:val="00862BA8"/>
    <w:rsid w:val="00862F28"/>
    <w:rsid w:val="0086324D"/>
    <w:rsid w:val="008635DD"/>
    <w:rsid w:val="0086364A"/>
    <w:rsid w:val="008637CA"/>
    <w:rsid w:val="00863A58"/>
    <w:rsid w:val="00863C9B"/>
    <w:rsid w:val="00863E0E"/>
    <w:rsid w:val="00863F82"/>
    <w:rsid w:val="008643C1"/>
    <w:rsid w:val="008643C5"/>
    <w:rsid w:val="008645D8"/>
    <w:rsid w:val="00864648"/>
    <w:rsid w:val="00864685"/>
    <w:rsid w:val="00864C03"/>
    <w:rsid w:val="00864DB4"/>
    <w:rsid w:val="00864F06"/>
    <w:rsid w:val="008652A0"/>
    <w:rsid w:val="00865393"/>
    <w:rsid w:val="008653C2"/>
    <w:rsid w:val="008655EF"/>
    <w:rsid w:val="00865908"/>
    <w:rsid w:val="00865AF2"/>
    <w:rsid w:val="00865B1B"/>
    <w:rsid w:val="00865B1C"/>
    <w:rsid w:val="00865E74"/>
    <w:rsid w:val="008663B0"/>
    <w:rsid w:val="008666A8"/>
    <w:rsid w:val="0086691E"/>
    <w:rsid w:val="00866B25"/>
    <w:rsid w:val="00866BE8"/>
    <w:rsid w:val="00866CCC"/>
    <w:rsid w:val="00866F54"/>
    <w:rsid w:val="008670FB"/>
    <w:rsid w:val="00867A02"/>
    <w:rsid w:val="00867CE9"/>
    <w:rsid w:val="00867DBE"/>
    <w:rsid w:val="00867F5E"/>
    <w:rsid w:val="00870064"/>
    <w:rsid w:val="00870123"/>
    <w:rsid w:val="0087012D"/>
    <w:rsid w:val="0087031E"/>
    <w:rsid w:val="0087072E"/>
    <w:rsid w:val="008709EA"/>
    <w:rsid w:val="00870B7A"/>
    <w:rsid w:val="00870BE2"/>
    <w:rsid w:val="00870F99"/>
    <w:rsid w:val="00871343"/>
    <w:rsid w:val="008713BD"/>
    <w:rsid w:val="0087166C"/>
    <w:rsid w:val="0087179C"/>
    <w:rsid w:val="00871823"/>
    <w:rsid w:val="008718B1"/>
    <w:rsid w:val="00871F3D"/>
    <w:rsid w:val="00872846"/>
    <w:rsid w:val="00872B85"/>
    <w:rsid w:val="00873388"/>
    <w:rsid w:val="008733FD"/>
    <w:rsid w:val="008736F7"/>
    <w:rsid w:val="008737C1"/>
    <w:rsid w:val="008738A7"/>
    <w:rsid w:val="0087391F"/>
    <w:rsid w:val="00873959"/>
    <w:rsid w:val="00873A24"/>
    <w:rsid w:val="00873AC6"/>
    <w:rsid w:val="008742C1"/>
    <w:rsid w:val="00874302"/>
    <w:rsid w:val="008744E6"/>
    <w:rsid w:val="00874AB3"/>
    <w:rsid w:val="00874AD1"/>
    <w:rsid w:val="00874E1B"/>
    <w:rsid w:val="00874F10"/>
    <w:rsid w:val="00875A3D"/>
    <w:rsid w:val="00875B9D"/>
    <w:rsid w:val="00875D7E"/>
    <w:rsid w:val="00875E04"/>
    <w:rsid w:val="008760A6"/>
    <w:rsid w:val="008763CC"/>
    <w:rsid w:val="008769C3"/>
    <w:rsid w:val="00876E5A"/>
    <w:rsid w:val="00876E73"/>
    <w:rsid w:val="0087722D"/>
    <w:rsid w:val="0087742B"/>
    <w:rsid w:val="00877B0A"/>
    <w:rsid w:val="00877C03"/>
    <w:rsid w:val="00880030"/>
    <w:rsid w:val="00880909"/>
    <w:rsid w:val="00880961"/>
    <w:rsid w:val="008813DF"/>
    <w:rsid w:val="00881439"/>
    <w:rsid w:val="00881596"/>
    <w:rsid w:val="00881D0B"/>
    <w:rsid w:val="00882319"/>
    <w:rsid w:val="0088235D"/>
    <w:rsid w:val="00882C10"/>
    <w:rsid w:val="00882E09"/>
    <w:rsid w:val="00883202"/>
    <w:rsid w:val="00883270"/>
    <w:rsid w:val="00883343"/>
    <w:rsid w:val="00883466"/>
    <w:rsid w:val="008839C8"/>
    <w:rsid w:val="00883A37"/>
    <w:rsid w:val="00884067"/>
    <w:rsid w:val="008840F9"/>
    <w:rsid w:val="0088447D"/>
    <w:rsid w:val="00884491"/>
    <w:rsid w:val="008846D9"/>
    <w:rsid w:val="00884E24"/>
    <w:rsid w:val="0088503A"/>
    <w:rsid w:val="008850A2"/>
    <w:rsid w:val="00885183"/>
    <w:rsid w:val="0088537C"/>
    <w:rsid w:val="0088558A"/>
    <w:rsid w:val="008855FA"/>
    <w:rsid w:val="008857F1"/>
    <w:rsid w:val="00885845"/>
    <w:rsid w:val="008859E6"/>
    <w:rsid w:val="00885A56"/>
    <w:rsid w:val="00885AE7"/>
    <w:rsid w:val="00885AF6"/>
    <w:rsid w:val="00886520"/>
    <w:rsid w:val="008865EB"/>
    <w:rsid w:val="00887085"/>
    <w:rsid w:val="008873A4"/>
    <w:rsid w:val="008873E1"/>
    <w:rsid w:val="008874B1"/>
    <w:rsid w:val="008875AA"/>
    <w:rsid w:val="00887802"/>
    <w:rsid w:val="008879A3"/>
    <w:rsid w:val="00887CC9"/>
    <w:rsid w:val="00887D0F"/>
    <w:rsid w:val="00890102"/>
    <w:rsid w:val="008901EB"/>
    <w:rsid w:val="0089034D"/>
    <w:rsid w:val="00890775"/>
    <w:rsid w:val="0089079C"/>
    <w:rsid w:val="008908BF"/>
    <w:rsid w:val="008908C8"/>
    <w:rsid w:val="00891363"/>
    <w:rsid w:val="00891432"/>
    <w:rsid w:val="0089145C"/>
    <w:rsid w:val="00891816"/>
    <w:rsid w:val="008918D7"/>
    <w:rsid w:val="00891C41"/>
    <w:rsid w:val="008920A3"/>
    <w:rsid w:val="008923FB"/>
    <w:rsid w:val="00892714"/>
    <w:rsid w:val="00892AA1"/>
    <w:rsid w:val="00892BAB"/>
    <w:rsid w:val="00892C88"/>
    <w:rsid w:val="00892D9D"/>
    <w:rsid w:val="00892EB6"/>
    <w:rsid w:val="00892FC8"/>
    <w:rsid w:val="0089305C"/>
    <w:rsid w:val="008931AF"/>
    <w:rsid w:val="0089349F"/>
    <w:rsid w:val="008939BB"/>
    <w:rsid w:val="00893B68"/>
    <w:rsid w:val="0089439E"/>
    <w:rsid w:val="008945CA"/>
    <w:rsid w:val="008946A4"/>
    <w:rsid w:val="008948AB"/>
    <w:rsid w:val="00894E66"/>
    <w:rsid w:val="00894EB8"/>
    <w:rsid w:val="00894F62"/>
    <w:rsid w:val="00894F94"/>
    <w:rsid w:val="00895073"/>
    <w:rsid w:val="008950FA"/>
    <w:rsid w:val="00895222"/>
    <w:rsid w:val="008953D0"/>
    <w:rsid w:val="00895477"/>
    <w:rsid w:val="0089591B"/>
    <w:rsid w:val="00896220"/>
    <w:rsid w:val="00896456"/>
    <w:rsid w:val="0089662F"/>
    <w:rsid w:val="008967E2"/>
    <w:rsid w:val="00896AD1"/>
    <w:rsid w:val="00896D21"/>
    <w:rsid w:val="00896E34"/>
    <w:rsid w:val="00896E38"/>
    <w:rsid w:val="0089757F"/>
    <w:rsid w:val="008976CD"/>
    <w:rsid w:val="00897789"/>
    <w:rsid w:val="00897858"/>
    <w:rsid w:val="00897A24"/>
    <w:rsid w:val="00897CD9"/>
    <w:rsid w:val="00897E5B"/>
    <w:rsid w:val="008A0259"/>
    <w:rsid w:val="008A0796"/>
    <w:rsid w:val="008A09B5"/>
    <w:rsid w:val="008A0ABD"/>
    <w:rsid w:val="008A0B2C"/>
    <w:rsid w:val="008A1167"/>
    <w:rsid w:val="008A12D2"/>
    <w:rsid w:val="008A131A"/>
    <w:rsid w:val="008A147A"/>
    <w:rsid w:val="008A150A"/>
    <w:rsid w:val="008A15D7"/>
    <w:rsid w:val="008A1A8F"/>
    <w:rsid w:val="008A1C47"/>
    <w:rsid w:val="008A1E26"/>
    <w:rsid w:val="008A1F5B"/>
    <w:rsid w:val="008A22BA"/>
    <w:rsid w:val="008A25C5"/>
    <w:rsid w:val="008A2854"/>
    <w:rsid w:val="008A2B2A"/>
    <w:rsid w:val="008A2CB3"/>
    <w:rsid w:val="008A2D40"/>
    <w:rsid w:val="008A2F38"/>
    <w:rsid w:val="008A3239"/>
    <w:rsid w:val="008A34EC"/>
    <w:rsid w:val="008A3DCA"/>
    <w:rsid w:val="008A3ED0"/>
    <w:rsid w:val="008A44BB"/>
    <w:rsid w:val="008A46AF"/>
    <w:rsid w:val="008A4870"/>
    <w:rsid w:val="008A499A"/>
    <w:rsid w:val="008A4AE6"/>
    <w:rsid w:val="008A4CE8"/>
    <w:rsid w:val="008A4E99"/>
    <w:rsid w:val="008A4F03"/>
    <w:rsid w:val="008A529D"/>
    <w:rsid w:val="008A5836"/>
    <w:rsid w:val="008A5AE0"/>
    <w:rsid w:val="008A5DEE"/>
    <w:rsid w:val="008A5FBD"/>
    <w:rsid w:val="008A6262"/>
    <w:rsid w:val="008A666E"/>
    <w:rsid w:val="008A67AA"/>
    <w:rsid w:val="008A6B94"/>
    <w:rsid w:val="008A6C04"/>
    <w:rsid w:val="008A6F51"/>
    <w:rsid w:val="008A7041"/>
    <w:rsid w:val="008A70AB"/>
    <w:rsid w:val="008A7519"/>
    <w:rsid w:val="008A764D"/>
    <w:rsid w:val="008A76F8"/>
    <w:rsid w:val="008A7D15"/>
    <w:rsid w:val="008B0108"/>
    <w:rsid w:val="008B01A3"/>
    <w:rsid w:val="008B0A6C"/>
    <w:rsid w:val="008B0FF2"/>
    <w:rsid w:val="008B10F6"/>
    <w:rsid w:val="008B1373"/>
    <w:rsid w:val="008B17EA"/>
    <w:rsid w:val="008B1878"/>
    <w:rsid w:val="008B2025"/>
    <w:rsid w:val="008B238C"/>
    <w:rsid w:val="008B26E7"/>
    <w:rsid w:val="008B27CC"/>
    <w:rsid w:val="008B29A4"/>
    <w:rsid w:val="008B319B"/>
    <w:rsid w:val="008B3294"/>
    <w:rsid w:val="008B34D7"/>
    <w:rsid w:val="008B3520"/>
    <w:rsid w:val="008B3534"/>
    <w:rsid w:val="008B36B2"/>
    <w:rsid w:val="008B3B37"/>
    <w:rsid w:val="008B3B70"/>
    <w:rsid w:val="008B3C0F"/>
    <w:rsid w:val="008B3CF4"/>
    <w:rsid w:val="008B3EC1"/>
    <w:rsid w:val="008B400A"/>
    <w:rsid w:val="008B4362"/>
    <w:rsid w:val="008B4CF4"/>
    <w:rsid w:val="008B50BF"/>
    <w:rsid w:val="008B56B3"/>
    <w:rsid w:val="008B5A0B"/>
    <w:rsid w:val="008B5C6E"/>
    <w:rsid w:val="008B5E1C"/>
    <w:rsid w:val="008B5FA1"/>
    <w:rsid w:val="008B6118"/>
    <w:rsid w:val="008B6808"/>
    <w:rsid w:val="008B6A23"/>
    <w:rsid w:val="008B6B6E"/>
    <w:rsid w:val="008B6FD4"/>
    <w:rsid w:val="008B7015"/>
    <w:rsid w:val="008B71C4"/>
    <w:rsid w:val="008B75CE"/>
    <w:rsid w:val="008B7DCC"/>
    <w:rsid w:val="008B7E93"/>
    <w:rsid w:val="008B7F33"/>
    <w:rsid w:val="008B7FBF"/>
    <w:rsid w:val="008C01B9"/>
    <w:rsid w:val="008C0705"/>
    <w:rsid w:val="008C0987"/>
    <w:rsid w:val="008C0C3F"/>
    <w:rsid w:val="008C10AB"/>
    <w:rsid w:val="008C1642"/>
    <w:rsid w:val="008C2037"/>
    <w:rsid w:val="008C22E6"/>
    <w:rsid w:val="008C26B5"/>
    <w:rsid w:val="008C2B32"/>
    <w:rsid w:val="008C2E2F"/>
    <w:rsid w:val="008C2E6E"/>
    <w:rsid w:val="008C2FAC"/>
    <w:rsid w:val="008C3197"/>
    <w:rsid w:val="008C3428"/>
    <w:rsid w:val="008C3660"/>
    <w:rsid w:val="008C3702"/>
    <w:rsid w:val="008C37FA"/>
    <w:rsid w:val="008C392E"/>
    <w:rsid w:val="008C3A74"/>
    <w:rsid w:val="008C3E90"/>
    <w:rsid w:val="008C3F21"/>
    <w:rsid w:val="008C41C9"/>
    <w:rsid w:val="008C4293"/>
    <w:rsid w:val="008C4487"/>
    <w:rsid w:val="008C4814"/>
    <w:rsid w:val="008C489E"/>
    <w:rsid w:val="008C4B1B"/>
    <w:rsid w:val="008C4C44"/>
    <w:rsid w:val="008C4DD3"/>
    <w:rsid w:val="008C4F05"/>
    <w:rsid w:val="008C5180"/>
    <w:rsid w:val="008C51FE"/>
    <w:rsid w:val="008C5572"/>
    <w:rsid w:val="008C5591"/>
    <w:rsid w:val="008C5615"/>
    <w:rsid w:val="008C5713"/>
    <w:rsid w:val="008C5810"/>
    <w:rsid w:val="008C5836"/>
    <w:rsid w:val="008C59BD"/>
    <w:rsid w:val="008C5A89"/>
    <w:rsid w:val="008C5EE9"/>
    <w:rsid w:val="008C6163"/>
    <w:rsid w:val="008C6618"/>
    <w:rsid w:val="008C6755"/>
    <w:rsid w:val="008C6777"/>
    <w:rsid w:val="008C684F"/>
    <w:rsid w:val="008C6C74"/>
    <w:rsid w:val="008C6D69"/>
    <w:rsid w:val="008C6DD6"/>
    <w:rsid w:val="008C70D5"/>
    <w:rsid w:val="008C7506"/>
    <w:rsid w:val="008C75BF"/>
    <w:rsid w:val="008C7B6C"/>
    <w:rsid w:val="008C7C15"/>
    <w:rsid w:val="008C7DAF"/>
    <w:rsid w:val="008D002A"/>
    <w:rsid w:val="008D0081"/>
    <w:rsid w:val="008D02FC"/>
    <w:rsid w:val="008D0702"/>
    <w:rsid w:val="008D07A3"/>
    <w:rsid w:val="008D0A31"/>
    <w:rsid w:val="008D0A8A"/>
    <w:rsid w:val="008D0ADD"/>
    <w:rsid w:val="008D0B2B"/>
    <w:rsid w:val="008D0E06"/>
    <w:rsid w:val="008D0E88"/>
    <w:rsid w:val="008D1029"/>
    <w:rsid w:val="008D1105"/>
    <w:rsid w:val="008D112F"/>
    <w:rsid w:val="008D1703"/>
    <w:rsid w:val="008D1A4F"/>
    <w:rsid w:val="008D1A6D"/>
    <w:rsid w:val="008D1A7B"/>
    <w:rsid w:val="008D1C4A"/>
    <w:rsid w:val="008D1D34"/>
    <w:rsid w:val="008D20A8"/>
    <w:rsid w:val="008D2121"/>
    <w:rsid w:val="008D21AD"/>
    <w:rsid w:val="008D22BE"/>
    <w:rsid w:val="008D2739"/>
    <w:rsid w:val="008D2CF2"/>
    <w:rsid w:val="008D3541"/>
    <w:rsid w:val="008D358D"/>
    <w:rsid w:val="008D365B"/>
    <w:rsid w:val="008D380E"/>
    <w:rsid w:val="008D3D9B"/>
    <w:rsid w:val="008D3E8F"/>
    <w:rsid w:val="008D3F32"/>
    <w:rsid w:val="008D4897"/>
    <w:rsid w:val="008D4BB0"/>
    <w:rsid w:val="008D4D5D"/>
    <w:rsid w:val="008D4EE0"/>
    <w:rsid w:val="008D4F11"/>
    <w:rsid w:val="008D51DB"/>
    <w:rsid w:val="008D5219"/>
    <w:rsid w:val="008D5416"/>
    <w:rsid w:val="008D580F"/>
    <w:rsid w:val="008D582B"/>
    <w:rsid w:val="008D587A"/>
    <w:rsid w:val="008D5976"/>
    <w:rsid w:val="008D5A39"/>
    <w:rsid w:val="008D5BF7"/>
    <w:rsid w:val="008D5D8B"/>
    <w:rsid w:val="008D5EA4"/>
    <w:rsid w:val="008D61D4"/>
    <w:rsid w:val="008D620C"/>
    <w:rsid w:val="008D648D"/>
    <w:rsid w:val="008D669F"/>
    <w:rsid w:val="008D6EB1"/>
    <w:rsid w:val="008D78FE"/>
    <w:rsid w:val="008D792B"/>
    <w:rsid w:val="008D7BEB"/>
    <w:rsid w:val="008E0127"/>
    <w:rsid w:val="008E0161"/>
    <w:rsid w:val="008E0756"/>
    <w:rsid w:val="008E08F7"/>
    <w:rsid w:val="008E0EA4"/>
    <w:rsid w:val="008E1812"/>
    <w:rsid w:val="008E1BDA"/>
    <w:rsid w:val="008E1E45"/>
    <w:rsid w:val="008E1F4C"/>
    <w:rsid w:val="008E253C"/>
    <w:rsid w:val="008E27AB"/>
    <w:rsid w:val="008E2848"/>
    <w:rsid w:val="008E29FB"/>
    <w:rsid w:val="008E2B92"/>
    <w:rsid w:val="008E2F62"/>
    <w:rsid w:val="008E2F80"/>
    <w:rsid w:val="008E3C50"/>
    <w:rsid w:val="008E3C53"/>
    <w:rsid w:val="008E3D72"/>
    <w:rsid w:val="008E3DE3"/>
    <w:rsid w:val="008E3E3C"/>
    <w:rsid w:val="008E4096"/>
    <w:rsid w:val="008E4159"/>
    <w:rsid w:val="008E4193"/>
    <w:rsid w:val="008E43D7"/>
    <w:rsid w:val="008E4753"/>
    <w:rsid w:val="008E47FD"/>
    <w:rsid w:val="008E48E4"/>
    <w:rsid w:val="008E4917"/>
    <w:rsid w:val="008E491C"/>
    <w:rsid w:val="008E4A06"/>
    <w:rsid w:val="008E4D1A"/>
    <w:rsid w:val="008E4D34"/>
    <w:rsid w:val="008E4EC8"/>
    <w:rsid w:val="008E536B"/>
    <w:rsid w:val="008E57D7"/>
    <w:rsid w:val="008E5DC6"/>
    <w:rsid w:val="008E5E94"/>
    <w:rsid w:val="008E5EFE"/>
    <w:rsid w:val="008E5FFB"/>
    <w:rsid w:val="008E63B5"/>
    <w:rsid w:val="008E693D"/>
    <w:rsid w:val="008E6AC8"/>
    <w:rsid w:val="008E6AD7"/>
    <w:rsid w:val="008E6B7B"/>
    <w:rsid w:val="008E6BD7"/>
    <w:rsid w:val="008E7087"/>
    <w:rsid w:val="008E7467"/>
    <w:rsid w:val="008E7501"/>
    <w:rsid w:val="008E77A2"/>
    <w:rsid w:val="008E7954"/>
    <w:rsid w:val="008E7E60"/>
    <w:rsid w:val="008E7F1C"/>
    <w:rsid w:val="008E7F87"/>
    <w:rsid w:val="008F0257"/>
    <w:rsid w:val="008F0264"/>
    <w:rsid w:val="008F0339"/>
    <w:rsid w:val="008F0C98"/>
    <w:rsid w:val="008F10A0"/>
    <w:rsid w:val="008F117A"/>
    <w:rsid w:val="008F120A"/>
    <w:rsid w:val="008F1511"/>
    <w:rsid w:val="008F1B56"/>
    <w:rsid w:val="008F1F72"/>
    <w:rsid w:val="008F2265"/>
    <w:rsid w:val="008F2733"/>
    <w:rsid w:val="008F28A8"/>
    <w:rsid w:val="008F2BA6"/>
    <w:rsid w:val="008F2D5B"/>
    <w:rsid w:val="008F2DC2"/>
    <w:rsid w:val="008F2F2A"/>
    <w:rsid w:val="008F327F"/>
    <w:rsid w:val="008F32F7"/>
    <w:rsid w:val="008F3335"/>
    <w:rsid w:val="008F34E8"/>
    <w:rsid w:val="008F39C8"/>
    <w:rsid w:val="008F3EFA"/>
    <w:rsid w:val="008F430D"/>
    <w:rsid w:val="008F48F4"/>
    <w:rsid w:val="008F4C49"/>
    <w:rsid w:val="008F5145"/>
    <w:rsid w:val="008F57F8"/>
    <w:rsid w:val="008F59E4"/>
    <w:rsid w:val="008F5AD3"/>
    <w:rsid w:val="008F5B58"/>
    <w:rsid w:val="008F5BC3"/>
    <w:rsid w:val="008F5DC7"/>
    <w:rsid w:val="008F606A"/>
    <w:rsid w:val="008F6089"/>
    <w:rsid w:val="008F6137"/>
    <w:rsid w:val="008F62F4"/>
    <w:rsid w:val="008F673C"/>
    <w:rsid w:val="008F6863"/>
    <w:rsid w:val="008F6DBF"/>
    <w:rsid w:val="008F6FF4"/>
    <w:rsid w:val="008F7027"/>
    <w:rsid w:val="008F70CF"/>
    <w:rsid w:val="008F7443"/>
    <w:rsid w:val="008F7558"/>
    <w:rsid w:val="008F7721"/>
    <w:rsid w:val="008F775D"/>
    <w:rsid w:val="008F7BF6"/>
    <w:rsid w:val="008F7F3A"/>
    <w:rsid w:val="009001BF"/>
    <w:rsid w:val="0090020D"/>
    <w:rsid w:val="00900259"/>
    <w:rsid w:val="00900318"/>
    <w:rsid w:val="0090049C"/>
    <w:rsid w:val="00900C0A"/>
    <w:rsid w:val="009014D3"/>
    <w:rsid w:val="00901880"/>
    <w:rsid w:val="00901B51"/>
    <w:rsid w:val="00901C15"/>
    <w:rsid w:val="00901E0B"/>
    <w:rsid w:val="00901FEB"/>
    <w:rsid w:val="00902005"/>
    <w:rsid w:val="00902237"/>
    <w:rsid w:val="00902296"/>
    <w:rsid w:val="009022BE"/>
    <w:rsid w:val="009029BF"/>
    <w:rsid w:val="00902C7C"/>
    <w:rsid w:val="009030C8"/>
    <w:rsid w:val="009030F8"/>
    <w:rsid w:val="009031F8"/>
    <w:rsid w:val="00903492"/>
    <w:rsid w:val="009034E3"/>
    <w:rsid w:val="0090361E"/>
    <w:rsid w:val="00903800"/>
    <w:rsid w:val="009039A7"/>
    <w:rsid w:val="009039D1"/>
    <w:rsid w:val="00903A28"/>
    <w:rsid w:val="00903E59"/>
    <w:rsid w:val="00903ED3"/>
    <w:rsid w:val="009046D6"/>
    <w:rsid w:val="00904897"/>
    <w:rsid w:val="00904B91"/>
    <w:rsid w:val="00904CF8"/>
    <w:rsid w:val="00904D41"/>
    <w:rsid w:val="00904E8C"/>
    <w:rsid w:val="009058D2"/>
    <w:rsid w:val="0090629B"/>
    <w:rsid w:val="00906601"/>
    <w:rsid w:val="00906992"/>
    <w:rsid w:val="00906D21"/>
    <w:rsid w:val="00906D7F"/>
    <w:rsid w:val="00907320"/>
    <w:rsid w:val="0090771B"/>
    <w:rsid w:val="00907ED8"/>
    <w:rsid w:val="0091065A"/>
    <w:rsid w:val="009108B3"/>
    <w:rsid w:val="009108CA"/>
    <w:rsid w:val="00910E98"/>
    <w:rsid w:val="00911150"/>
    <w:rsid w:val="009114C0"/>
    <w:rsid w:val="00911537"/>
    <w:rsid w:val="009115A4"/>
    <w:rsid w:val="0091162E"/>
    <w:rsid w:val="00911A58"/>
    <w:rsid w:val="00911D45"/>
    <w:rsid w:val="00911DBD"/>
    <w:rsid w:val="00911DCF"/>
    <w:rsid w:val="00911F10"/>
    <w:rsid w:val="00912073"/>
    <w:rsid w:val="0091212E"/>
    <w:rsid w:val="009122E3"/>
    <w:rsid w:val="00912366"/>
    <w:rsid w:val="0091255B"/>
    <w:rsid w:val="0091257E"/>
    <w:rsid w:val="00912673"/>
    <w:rsid w:val="00912697"/>
    <w:rsid w:val="00912879"/>
    <w:rsid w:val="009128BD"/>
    <w:rsid w:val="00912903"/>
    <w:rsid w:val="00912B46"/>
    <w:rsid w:val="00912C59"/>
    <w:rsid w:val="00912DB5"/>
    <w:rsid w:val="009131A0"/>
    <w:rsid w:val="00913315"/>
    <w:rsid w:val="009133D8"/>
    <w:rsid w:val="009135C8"/>
    <w:rsid w:val="00913658"/>
    <w:rsid w:val="0091388B"/>
    <w:rsid w:val="00913B19"/>
    <w:rsid w:val="00913F13"/>
    <w:rsid w:val="00913FDE"/>
    <w:rsid w:val="00914196"/>
    <w:rsid w:val="00914457"/>
    <w:rsid w:val="0091461F"/>
    <w:rsid w:val="00914989"/>
    <w:rsid w:val="00914BC7"/>
    <w:rsid w:val="00914DFA"/>
    <w:rsid w:val="0091523E"/>
    <w:rsid w:val="009158F0"/>
    <w:rsid w:val="00916860"/>
    <w:rsid w:val="009168E3"/>
    <w:rsid w:val="00916A4E"/>
    <w:rsid w:val="00916AE3"/>
    <w:rsid w:val="00916BAE"/>
    <w:rsid w:val="00916C01"/>
    <w:rsid w:val="00916CB9"/>
    <w:rsid w:val="00916D87"/>
    <w:rsid w:val="00917148"/>
    <w:rsid w:val="009171E6"/>
    <w:rsid w:val="00917365"/>
    <w:rsid w:val="009173DA"/>
    <w:rsid w:val="00917B87"/>
    <w:rsid w:val="00917BD4"/>
    <w:rsid w:val="00917CF7"/>
    <w:rsid w:val="00917E67"/>
    <w:rsid w:val="00917ECA"/>
    <w:rsid w:val="00920238"/>
    <w:rsid w:val="0092035D"/>
    <w:rsid w:val="009205E0"/>
    <w:rsid w:val="0092061B"/>
    <w:rsid w:val="00920860"/>
    <w:rsid w:val="009209BE"/>
    <w:rsid w:val="00920C46"/>
    <w:rsid w:val="00920DDF"/>
    <w:rsid w:val="00920E5C"/>
    <w:rsid w:val="00920F8F"/>
    <w:rsid w:val="0092129D"/>
    <w:rsid w:val="009212E3"/>
    <w:rsid w:val="0092131A"/>
    <w:rsid w:val="009214C6"/>
    <w:rsid w:val="009215A8"/>
    <w:rsid w:val="00921621"/>
    <w:rsid w:val="009217C8"/>
    <w:rsid w:val="00921D22"/>
    <w:rsid w:val="00922078"/>
    <w:rsid w:val="009220E4"/>
    <w:rsid w:val="009221ED"/>
    <w:rsid w:val="00922547"/>
    <w:rsid w:val="00922B6C"/>
    <w:rsid w:val="00922C15"/>
    <w:rsid w:val="00922FE8"/>
    <w:rsid w:val="0092343D"/>
    <w:rsid w:val="00923C6F"/>
    <w:rsid w:val="00923EB5"/>
    <w:rsid w:val="00924A61"/>
    <w:rsid w:val="00924A8D"/>
    <w:rsid w:val="00924B73"/>
    <w:rsid w:val="00924BE2"/>
    <w:rsid w:val="00924D55"/>
    <w:rsid w:val="0092505A"/>
    <w:rsid w:val="009251EC"/>
    <w:rsid w:val="009253A0"/>
    <w:rsid w:val="009256E8"/>
    <w:rsid w:val="0092576C"/>
    <w:rsid w:val="009257FB"/>
    <w:rsid w:val="00925938"/>
    <w:rsid w:val="00925A1B"/>
    <w:rsid w:val="00925EDD"/>
    <w:rsid w:val="00925EF4"/>
    <w:rsid w:val="00925FC4"/>
    <w:rsid w:val="00925FCF"/>
    <w:rsid w:val="00926206"/>
    <w:rsid w:val="00926656"/>
    <w:rsid w:val="00926C07"/>
    <w:rsid w:val="00926D9E"/>
    <w:rsid w:val="00926DDC"/>
    <w:rsid w:val="0092720C"/>
    <w:rsid w:val="009272BA"/>
    <w:rsid w:val="009274F4"/>
    <w:rsid w:val="009275E8"/>
    <w:rsid w:val="009276BA"/>
    <w:rsid w:val="00927AF2"/>
    <w:rsid w:val="00927EE3"/>
    <w:rsid w:val="009300DE"/>
    <w:rsid w:val="009303A4"/>
    <w:rsid w:val="00930A43"/>
    <w:rsid w:val="00930D4E"/>
    <w:rsid w:val="00930DD2"/>
    <w:rsid w:val="00931393"/>
    <w:rsid w:val="0093166D"/>
    <w:rsid w:val="00931856"/>
    <w:rsid w:val="009318B1"/>
    <w:rsid w:val="00931A3F"/>
    <w:rsid w:val="00931C43"/>
    <w:rsid w:val="00931D3F"/>
    <w:rsid w:val="00931E4A"/>
    <w:rsid w:val="00932021"/>
    <w:rsid w:val="00932051"/>
    <w:rsid w:val="0093225B"/>
    <w:rsid w:val="0093247E"/>
    <w:rsid w:val="00933173"/>
    <w:rsid w:val="009331CF"/>
    <w:rsid w:val="00933793"/>
    <w:rsid w:val="00933982"/>
    <w:rsid w:val="00933A0D"/>
    <w:rsid w:val="00933D28"/>
    <w:rsid w:val="00933E03"/>
    <w:rsid w:val="00933ED5"/>
    <w:rsid w:val="0093411C"/>
    <w:rsid w:val="00934186"/>
    <w:rsid w:val="0093426D"/>
    <w:rsid w:val="009342DE"/>
    <w:rsid w:val="0093441D"/>
    <w:rsid w:val="0093476A"/>
    <w:rsid w:val="009347CD"/>
    <w:rsid w:val="00934A92"/>
    <w:rsid w:val="00934C49"/>
    <w:rsid w:val="00934C84"/>
    <w:rsid w:val="00934CE9"/>
    <w:rsid w:val="00934D57"/>
    <w:rsid w:val="009354B6"/>
    <w:rsid w:val="009355EA"/>
    <w:rsid w:val="009357A9"/>
    <w:rsid w:val="00935FE0"/>
    <w:rsid w:val="009361C7"/>
    <w:rsid w:val="009363BC"/>
    <w:rsid w:val="00936640"/>
    <w:rsid w:val="00936667"/>
    <w:rsid w:val="009368B2"/>
    <w:rsid w:val="00936A7B"/>
    <w:rsid w:val="00936BD5"/>
    <w:rsid w:val="00936D89"/>
    <w:rsid w:val="00937012"/>
    <w:rsid w:val="00937149"/>
    <w:rsid w:val="00937233"/>
    <w:rsid w:val="0093753A"/>
    <w:rsid w:val="00937816"/>
    <w:rsid w:val="00937CA0"/>
    <w:rsid w:val="00937CF4"/>
    <w:rsid w:val="009403B8"/>
    <w:rsid w:val="0094067C"/>
    <w:rsid w:val="00940769"/>
    <w:rsid w:val="009407B6"/>
    <w:rsid w:val="00940975"/>
    <w:rsid w:val="00940BB9"/>
    <w:rsid w:val="00940C5C"/>
    <w:rsid w:val="00940C80"/>
    <w:rsid w:val="009413F3"/>
    <w:rsid w:val="0094159E"/>
    <w:rsid w:val="009418F5"/>
    <w:rsid w:val="00941967"/>
    <w:rsid w:val="00941A46"/>
    <w:rsid w:val="00941E7F"/>
    <w:rsid w:val="00942180"/>
    <w:rsid w:val="00942446"/>
    <w:rsid w:val="0094253A"/>
    <w:rsid w:val="00942835"/>
    <w:rsid w:val="00942CE0"/>
    <w:rsid w:val="00943493"/>
    <w:rsid w:val="009434A2"/>
    <w:rsid w:val="009435EE"/>
    <w:rsid w:val="0094387C"/>
    <w:rsid w:val="0094395C"/>
    <w:rsid w:val="00943C64"/>
    <w:rsid w:val="00943CA0"/>
    <w:rsid w:val="00944435"/>
    <w:rsid w:val="0094450D"/>
    <w:rsid w:val="0094452B"/>
    <w:rsid w:val="009446AE"/>
    <w:rsid w:val="009446E7"/>
    <w:rsid w:val="00944825"/>
    <w:rsid w:val="0094497A"/>
    <w:rsid w:val="00944AF9"/>
    <w:rsid w:val="00944B0E"/>
    <w:rsid w:val="00944CB9"/>
    <w:rsid w:val="00945325"/>
    <w:rsid w:val="009454E7"/>
    <w:rsid w:val="00945697"/>
    <w:rsid w:val="00945988"/>
    <w:rsid w:val="00945A1D"/>
    <w:rsid w:val="00945F22"/>
    <w:rsid w:val="00946230"/>
    <w:rsid w:val="00946861"/>
    <w:rsid w:val="00946B52"/>
    <w:rsid w:val="00946EAE"/>
    <w:rsid w:val="009474B8"/>
    <w:rsid w:val="009475FD"/>
    <w:rsid w:val="00947C37"/>
    <w:rsid w:val="00947C7C"/>
    <w:rsid w:val="00950268"/>
    <w:rsid w:val="00950670"/>
    <w:rsid w:val="00950745"/>
    <w:rsid w:val="0095076C"/>
    <w:rsid w:val="00950775"/>
    <w:rsid w:val="00950C64"/>
    <w:rsid w:val="00950C91"/>
    <w:rsid w:val="00950CEE"/>
    <w:rsid w:val="00950D77"/>
    <w:rsid w:val="00951249"/>
    <w:rsid w:val="00951693"/>
    <w:rsid w:val="0095174D"/>
    <w:rsid w:val="009519DA"/>
    <w:rsid w:val="00951C5E"/>
    <w:rsid w:val="009521BB"/>
    <w:rsid w:val="00952555"/>
    <w:rsid w:val="009526E6"/>
    <w:rsid w:val="009527C2"/>
    <w:rsid w:val="009527D4"/>
    <w:rsid w:val="00953194"/>
    <w:rsid w:val="00954263"/>
    <w:rsid w:val="009543A1"/>
    <w:rsid w:val="009543B1"/>
    <w:rsid w:val="0095471E"/>
    <w:rsid w:val="009548B6"/>
    <w:rsid w:val="00954963"/>
    <w:rsid w:val="00954BB2"/>
    <w:rsid w:val="009551C5"/>
    <w:rsid w:val="0095571B"/>
    <w:rsid w:val="00955BDA"/>
    <w:rsid w:val="00955EDE"/>
    <w:rsid w:val="00956658"/>
    <w:rsid w:val="0095690F"/>
    <w:rsid w:val="00956A95"/>
    <w:rsid w:val="00956B4E"/>
    <w:rsid w:val="00957067"/>
    <w:rsid w:val="009574A2"/>
    <w:rsid w:val="00957512"/>
    <w:rsid w:val="009575E6"/>
    <w:rsid w:val="00957807"/>
    <w:rsid w:val="00957C25"/>
    <w:rsid w:val="00957CA7"/>
    <w:rsid w:val="0096011C"/>
    <w:rsid w:val="00960282"/>
    <w:rsid w:val="0096048A"/>
    <w:rsid w:val="0096068D"/>
    <w:rsid w:val="00960783"/>
    <w:rsid w:val="0096093C"/>
    <w:rsid w:val="00960A59"/>
    <w:rsid w:val="00960B6D"/>
    <w:rsid w:val="00960C61"/>
    <w:rsid w:val="00960E82"/>
    <w:rsid w:val="00960E86"/>
    <w:rsid w:val="009610B9"/>
    <w:rsid w:val="0096142C"/>
    <w:rsid w:val="00961558"/>
    <w:rsid w:val="00961573"/>
    <w:rsid w:val="0096197E"/>
    <w:rsid w:val="00961A91"/>
    <w:rsid w:val="00961B06"/>
    <w:rsid w:val="00961CE5"/>
    <w:rsid w:val="00961FE4"/>
    <w:rsid w:val="00962006"/>
    <w:rsid w:val="00962267"/>
    <w:rsid w:val="009623CC"/>
    <w:rsid w:val="00962536"/>
    <w:rsid w:val="00962C5C"/>
    <w:rsid w:val="00962EC6"/>
    <w:rsid w:val="00963448"/>
    <w:rsid w:val="00963B2C"/>
    <w:rsid w:val="00963FEA"/>
    <w:rsid w:val="009647F2"/>
    <w:rsid w:val="00964A20"/>
    <w:rsid w:val="00964B57"/>
    <w:rsid w:val="00964CB3"/>
    <w:rsid w:val="009650C9"/>
    <w:rsid w:val="00965360"/>
    <w:rsid w:val="009654A2"/>
    <w:rsid w:val="009656A1"/>
    <w:rsid w:val="009656BD"/>
    <w:rsid w:val="009657AB"/>
    <w:rsid w:val="009658D7"/>
    <w:rsid w:val="0096593F"/>
    <w:rsid w:val="00965E3E"/>
    <w:rsid w:val="009661B0"/>
    <w:rsid w:val="009662FA"/>
    <w:rsid w:val="00966494"/>
    <w:rsid w:val="00966531"/>
    <w:rsid w:val="00966A50"/>
    <w:rsid w:val="00966C6D"/>
    <w:rsid w:val="00967451"/>
    <w:rsid w:val="00967A89"/>
    <w:rsid w:val="00967CC3"/>
    <w:rsid w:val="00967E35"/>
    <w:rsid w:val="0097105B"/>
    <w:rsid w:val="00971345"/>
    <w:rsid w:val="009713A2"/>
    <w:rsid w:val="0097171F"/>
    <w:rsid w:val="00971840"/>
    <w:rsid w:val="009720D0"/>
    <w:rsid w:val="009721D6"/>
    <w:rsid w:val="0097226A"/>
    <w:rsid w:val="009723BD"/>
    <w:rsid w:val="00972598"/>
    <w:rsid w:val="009729BC"/>
    <w:rsid w:val="00972A83"/>
    <w:rsid w:val="00973327"/>
    <w:rsid w:val="0097334E"/>
    <w:rsid w:val="009733CC"/>
    <w:rsid w:val="0097343A"/>
    <w:rsid w:val="009736A0"/>
    <w:rsid w:val="00973905"/>
    <w:rsid w:val="00973DC4"/>
    <w:rsid w:val="00973DCB"/>
    <w:rsid w:val="00974515"/>
    <w:rsid w:val="009749CC"/>
    <w:rsid w:val="00974F2D"/>
    <w:rsid w:val="009752CD"/>
    <w:rsid w:val="00975508"/>
    <w:rsid w:val="00975628"/>
    <w:rsid w:val="00975921"/>
    <w:rsid w:val="00975979"/>
    <w:rsid w:val="00975A89"/>
    <w:rsid w:val="00975E72"/>
    <w:rsid w:val="0097669D"/>
    <w:rsid w:val="009768AC"/>
    <w:rsid w:val="00976F22"/>
    <w:rsid w:val="00977456"/>
    <w:rsid w:val="00977535"/>
    <w:rsid w:val="0097772F"/>
    <w:rsid w:val="00977877"/>
    <w:rsid w:val="009778FB"/>
    <w:rsid w:val="00977F43"/>
    <w:rsid w:val="00980370"/>
    <w:rsid w:val="0098069A"/>
    <w:rsid w:val="009806F7"/>
    <w:rsid w:val="00980714"/>
    <w:rsid w:val="00980AB0"/>
    <w:rsid w:val="00980D4C"/>
    <w:rsid w:val="00980F98"/>
    <w:rsid w:val="009817D9"/>
    <w:rsid w:val="00981DB3"/>
    <w:rsid w:val="00981DC8"/>
    <w:rsid w:val="00981FA8"/>
    <w:rsid w:val="009823EA"/>
    <w:rsid w:val="009829D5"/>
    <w:rsid w:val="0098307F"/>
    <w:rsid w:val="009830B8"/>
    <w:rsid w:val="00983185"/>
    <w:rsid w:val="0098343F"/>
    <w:rsid w:val="00983470"/>
    <w:rsid w:val="0098348C"/>
    <w:rsid w:val="00983629"/>
    <w:rsid w:val="0098365B"/>
    <w:rsid w:val="00983709"/>
    <w:rsid w:val="009839B8"/>
    <w:rsid w:val="009846CB"/>
    <w:rsid w:val="00984C1B"/>
    <w:rsid w:val="00984EF0"/>
    <w:rsid w:val="00984FE1"/>
    <w:rsid w:val="0098557B"/>
    <w:rsid w:val="0098567C"/>
    <w:rsid w:val="009857DE"/>
    <w:rsid w:val="00985CD7"/>
    <w:rsid w:val="00985F56"/>
    <w:rsid w:val="009861B8"/>
    <w:rsid w:val="009867A3"/>
    <w:rsid w:val="009868F9"/>
    <w:rsid w:val="00986EB1"/>
    <w:rsid w:val="00986FC4"/>
    <w:rsid w:val="009879A6"/>
    <w:rsid w:val="009879C6"/>
    <w:rsid w:val="00987B88"/>
    <w:rsid w:val="00987C63"/>
    <w:rsid w:val="00987C70"/>
    <w:rsid w:val="00987D66"/>
    <w:rsid w:val="00987F16"/>
    <w:rsid w:val="009900FA"/>
    <w:rsid w:val="0099052F"/>
    <w:rsid w:val="00990916"/>
    <w:rsid w:val="00990943"/>
    <w:rsid w:val="00990A21"/>
    <w:rsid w:val="00990AEA"/>
    <w:rsid w:val="00990DAA"/>
    <w:rsid w:val="0099108C"/>
    <w:rsid w:val="009918CD"/>
    <w:rsid w:val="0099199D"/>
    <w:rsid w:val="009919B4"/>
    <w:rsid w:val="00991A7A"/>
    <w:rsid w:val="00991CAF"/>
    <w:rsid w:val="0099217A"/>
    <w:rsid w:val="0099291C"/>
    <w:rsid w:val="00992B2D"/>
    <w:rsid w:val="00992B3F"/>
    <w:rsid w:val="00992B60"/>
    <w:rsid w:val="00992D29"/>
    <w:rsid w:val="00992F47"/>
    <w:rsid w:val="0099343D"/>
    <w:rsid w:val="00993554"/>
    <w:rsid w:val="0099362F"/>
    <w:rsid w:val="009938C5"/>
    <w:rsid w:val="009939C1"/>
    <w:rsid w:val="00993AA8"/>
    <w:rsid w:val="00993BD1"/>
    <w:rsid w:val="00993BD9"/>
    <w:rsid w:val="00993E87"/>
    <w:rsid w:val="00993E9E"/>
    <w:rsid w:val="00993FD0"/>
    <w:rsid w:val="0099413D"/>
    <w:rsid w:val="00994584"/>
    <w:rsid w:val="009947BD"/>
    <w:rsid w:val="00994E38"/>
    <w:rsid w:val="009956B5"/>
    <w:rsid w:val="0099587A"/>
    <w:rsid w:val="00995B9A"/>
    <w:rsid w:val="00995FA0"/>
    <w:rsid w:val="00996392"/>
    <w:rsid w:val="009964FF"/>
    <w:rsid w:val="00996531"/>
    <w:rsid w:val="009967B8"/>
    <w:rsid w:val="00996824"/>
    <w:rsid w:val="0099687B"/>
    <w:rsid w:val="00996BFE"/>
    <w:rsid w:val="00996EFF"/>
    <w:rsid w:val="0099710B"/>
    <w:rsid w:val="0099725C"/>
    <w:rsid w:val="00997413"/>
    <w:rsid w:val="00997769"/>
    <w:rsid w:val="00997889"/>
    <w:rsid w:val="00997A12"/>
    <w:rsid w:val="00997B90"/>
    <w:rsid w:val="00997F39"/>
    <w:rsid w:val="00997F8A"/>
    <w:rsid w:val="009A01E2"/>
    <w:rsid w:val="009A0290"/>
    <w:rsid w:val="009A035E"/>
    <w:rsid w:val="009A061C"/>
    <w:rsid w:val="009A0785"/>
    <w:rsid w:val="009A0A95"/>
    <w:rsid w:val="009A1363"/>
    <w:rsid w:val="009A1547"/>
    <w:rsid w:val="009A1B87"/>
    <w:rsid w:val="009A1E58"/>
    <w:rsid w:val="009A2533"/>
    <w:rsid w:val="009A2901"/>
    <w:rsid w:val="009A314E"/>
    <w:rsid w:val="009A32F5"/>
    <w:rsid w:val="009A34D3"/>
    <w:rsid w:val="009A39EA"/>
    <w:rsid w:val="009A3A43"/>
    <w:rsid w:val="009A3DF4"/>
    <w:rsid w:val="009A3E2A"/>
    <w:rsid w:val="009A3F00"/>
    <w:rsid w:val="009A42F3"/>
    <w:rsid w:val="009A4350"/>
    <w:rsid w:val="009A4838"/>
    <w:rsid w:val="009A4A3F"/>
    <w:rsid w:val="009A4B64"/>
    <w:rsid w:val="009A4B9F"/>
    <w:rsid w:val="009A4BD8"/>
    <w:rsid w:val="009A4CAA"/>
    <w:rsid w:val="009A4ED6"/>
    <w:rsid w:val="009A515F"/>
    <w:rsid w:val="009A55F6"/>
    <w:rsid w:val="009A59D2"/>
    <w:rsid w:val="009A5B31"/>
    <w:rsid w:val="009A5D13"/>
    <w:rsid w:val="009A5E7F"/>
    <w:rsid w:val="009A5F90"/>
    <w:rsid w:val="009A60AA"/>
    <w:rsid w:val="009A6538"/>
    <w:rsid w:val="009A6812"/>
    <w:rsid w:val="009A69D0"/>
    <w:rsid w:val="009A69DE"/>
    <w:rsid w:val="009A7050"/>
    <w:rsid w:val="009A718C"/>
    <w:rsid w:val="009A7262"/>
    <w:rsid w:val="009A72AD"/>
    <w:rsid w:val="009A72E3"/>
    <w:rsid w:val="009A74E5"/>
    <w:rsid w:val="009A7606"/>
    <w:rsid w:val="009A7C7B"/>
    <w:rsid w:val="009A7DE2"/>
    <w:rsid w:val="009A7DFA"/>
    <w:rsid w:val="009A7E79"/>
    <w:rsid w:val="009B05CD"/>
    <w:rsid w:val="009B082D"/>
    <w:rsid w:val="009B0FCF"/>
    <w:rsid w:val="009B1524"/>
    <w:rsid w:val="009B161B"/>
    <w:rsid w:val="009B206E"/>
    <w:rsid w:val="009B2152"/>
    <w:rsid w:val="009B24DA"/>
    <w:rsid w:val="009B28D7"/>
    <w:rsid w:val="009B2AD0"/>
    <w:rsid w:val="009B2CF3"/>
    <w:rsid w:val="009B2D4E"/>
    <w:rsid w:val="009B314E"/>
    <w:rsid w:val="009B33BF"/>
    <w:rsid w:val="009B35D5"/>
    <w:rsid w:val="009B3E46"/>
    <w:rsid w:val="009B3F7C"/>
    <w:rsid w:val="009B40F9"/>
    <w:rsid w:val="009B4204"/>
    <w:rsid w:val="009B4235"/>
    <w:rsid w:val="009B4A03"/>
    <w:rsid w:val="009B4EE8"/>
    <w:rsid w:val="009B5214"/>
    <w:rsid w:val="009B5219"/>
    <w:rsid w:val="009B5B94"/>
    <w:rsid w:val="009B5D0A"/>
    <w:rsid w:val="009B5E24"/>
    <w:rsid w:val="009B5EE2"/>
    <w:rsid w:val="009B5F3E"/>
    <w:rsid w:val="009B62F2"/>
    <w:rsid w:val="009B6A96"/>
    <w:rsid w:val="009B6D1A"/>
    <w:rsid w:val="009B6D39"/>
    <w:rsid w:val="009B6F57"/>
    <w:rsid w:val="009B7071"/>
    <w:rsid w:val="009B70FB"/>
    <w:rsid w:val="009B737A"/>
    <w:rsid w:val="009B7527"/>
    <w:rsid w:val="009B754F"/>
    <w:rsid w:val="009B76F1"/>
    <w:rsid w:val="009B7961"/>
    <w:rsid w:val="009B7CA1"/>
    <w:rsid w:val="009C030B"/>
    <w:rsid w:val="009C0831"/>
    <w:rsid w:val="009C0842"/>
    <w:rsid w:val="009C0949"/>
    <w:rsid w:val="009C0C73"/>
    <w:rsid w:val="009C1252"/>
    <w:rsid w:val="009C1436"/>
    <w:rsid w:val="009C161E"/>
    <w:rsid w:val="009C1738"/>
    <w:rsid w:val="009C18A1"/>
    <w:rsid w:val="009C1C04"/>
    <w:rsid w:val="009C1C8C"/>
    <w:rsid w:val="009C1E60"/>
    <w:rsid w:val="009C1EBC"/>
    <w:rsid w:val="009C2077"/>
    <w:rsid w:val="009C215D"/>
    <w:rsid w:val="009C22FF"/>
    <w:rsid w:val="009C2365"/>
    <w:rsid w:val="009C237C"/>
    <w:rsid w:val="009C2A95"/>
    <w:rsid w:val="009C2C3C"/>
    <w:rsid w:val="009C30AA"/>
    <w:rsid w:val="009C30AF"/>
    <w:rsid w:val="009C31A9"/>
    <w:rsid w:val="009C349A"/>
    <w:rsid w:val="009C349F"/>
    <w:rsid w:val="009C34F5"/>
    <w:rsid w:val="009C375F"/>
    <w:rsid w:val="009C3A05"/>
    <w:rsid w:val="009C3A57"/>
    <w:rsid w:val="009C3BC0"/>
    <w:rsid w:val="009C4AA4"/>
    <w:rsid w:val="009C4BBA"/>
    <w:rsid w:val="009C4CA4"/>
    <w:rsid w:val="009C4EC7"/>
    <w:rsid w:val="009C4F2D"/>
    <w:rsid w:val="009C50AD"/>
    <w:rsid w:val="009C5226"/>
    <w:rsid w:val="009C5385"/>
    <w:rsid w:val="009C5A95"/>
    <w:rsid w:val="009C5C1B"/>
    <w:rsid w:val="009C61D4"/>
    <w:rsid w:val="009C632A"/>
    <w:rsid w:val="009C6464"/>
    <w:rsid w:val="009C700E"/>
    <w:rsid w:val="009C702E"/>
    <w:rsid w:val="009C7178"/>
    <w:rsid w:val="009C73AD"/>
    <w:rsid w:val="009C7B23"/>
    <w:rsid w:val="009C7E7A"/>
    <w:rsid w:val="009D000D"/>
    <w:rsid w:val="009D012D"/>
    <w:rsid w:val="009D0349"/>
    <w:rsid w:val="009D0373"/>
    <w:rsid w:val="009D04F3"/>
    <w:rsid w:val="009D0A77"/>
    <w:rsid w:val="009D1452"/>
    <w:rsid w:val="009D17B9"/>
    <w:rsid w:val="009D17C5"/>
    <w:rsid w:val="009D1B29"/>
    <w:rsid w:val="009D1B41"/>
    <w:rsid w:val="009D1BB0"/>
    <w:rsid w:val="009D1D3C"/>
    <w:rsid w:val="009D1F83"/>
    <w:rsid w:val="009D20A1"/>
    <w:rsid w:val="009D2182"/>
    <w:rsid w:val="009D2B31"/>
    <w:rsid w:val="009D2BFA"/>
    <w:rsid w:val="009D2C0C"/>
    <w:rsid w:val="009D2DBF"/>
    <w:rsid w:val="009D2E7A"/>
    <w:rsid w:val="009D2FAC"/>
    <w:rsid w:val="009D306F"/>
    <w:rsid w:val="009D340F"/>
    <w:rsid w:val="009D34F9"/>
    <w:rsid w:val="009D363C"/>
    <w:rsid w:val="009D37D1"/>
    <w:rsid w:val="009D3810"/>
    <w:rsid w:val="009D425E"/>
    <w:rsid w:val="009D4290"/>
    <w:rsid w:val="009D44C6"/>
    <w:rsid w:val="009D4543"/>
    <w:rsid w:val="009D461E"/>
    <w:rsid w:val="009D4DDD"/>
    <w:rsid w:val="009D5366"/>
    <w:rsid w:val="009D54FE"/>
    <w:rsid w:val="009D55C3"/>
    <w:rsid w:val="009D5B78"/>
    <w:rsid w:val="009D5C25"/>
    <w:rsid w:val="009D5DC8"/>
    <w:rsid w:val="009D5E63"/>
    <w:rsid w:val="009D6008"/>
    <w:rsid w:val="009D6152"/>
    <w:rsid w:val="009D62B6"/>
    <w:rsid w:val="009D6457"/>
    <w:rsid w:val="009D64F6"/>
    <w:rsid w:val="009D6731"/>
    <w:rsid w:val="009D6A39"/>
    <w:rsid w:val="009D6AC8"/>
    <w:rsid w:val="009D6C87"/>
    <w:rsid w:val="009D6D3F"/>
    <w:rsid w:val="009D6D4B"/>
    <w:rsid w:val="009D7070"/>
    <w:rsid w:val="009D73FE"/>
    <w:rsid w:val="009D751F"/>
    <w:rsid w:val="009D76EF"/>
    <w:rsid w:val="009D7D56"/>
    <w:rsid w:val="009D7F61"/>
    <w:rsid w:val="009D7F63"/>
    <w:rsid w:val="009E017D"/>
    <w:rsid w:val="009E0547"/>
    <w:rsid w:val="009E060A"/>
    <w:rsid w:val="009E0718"/>
    <w:rsid w:val="009E072F"/>
    <w:rsid w:val="009E0975"/>
    <w:rsid w:val="009E1768"/>
    <w:rsid w:val="009E1855"/>
    <w:rsid w:val="009E1BD5"/>
    <w:rsid w:val="009E1CE0"/>
    <w:rsid w:val="009E1D61"/>
    <w:rsid w:val="009E2703"/>
    <w:rsid w:val="009E2728"/>
    <w:rsid w:val="009E2BC5"/>
    <w:rsid w:val="009E342C"/>
    <w:rsid w:val="009E3C6B"/>
    <w:rsid w:val="009E4449"/>
    <w:rsid w:val="009E4876"/>
    <w:rsid w:val="009E48AD"/>
    <w:rsid w:val="009E48B7"/>
    <w:rsid w:val="009E49B9"/>
    <w:rsid w:val="009E4C38"/>
    <w:rsid w:val="009E4DB7"/>
    <w:rsid w:val="009E4E68"/>
    <w:rsid w:val="009E4ED7"/>
    <w:rsid w:val="009E4FE4"/>
    <w:rsid w:val="009E5200"/>
    <w:rsid w:val="009E529B"/>
    <w:rsid w:val="009E5730"/>
    <w:rsid w:val="009E5D02"/>
    <w:rsid w:val="009E5E0B"/>
    <w:rsid w:val="009E6476"/>
    <w:rsid w:val="009E6680"/>
    <w:rsid w:val="009E6746"/>
    <w:rsid w:val="009E6CAA"/>
    <w:rsid w:val="009E6DEC"/>
    <w:rsid w:val="009E7087"/>
    <w:rsid w:val="009E7384"/>
    <w:rsid w:val="009E7430"/>
    <w:rsid w:val="009E755D"/>
    <w:rsid w:val="009E760E"/>
    <w:rsid w:val="009E7855"/>
    <w:rsid w:val="009E7D36"/>
    <w:rsid w:val="009F0890"/>
    <w:rsid w:val="009F0A67"/>
    <w:rsid w:val="009F0B5E"/>
    <w:rsid w:val="009F0B8D"/>
    <w:rsid w:val="009F0E9C"/>
    <w:rsid w:val="009F118C"/>
    <w:rsid w:val="009F13EC"/>
    <w:rsid w:val="009F1732"/>
    <w:rsid w:val="009F18B1"/>
    <w:rsid w:val="009F1A67"/>
    <w:rsid w:val="009F1C5A"/>
    <w:rsid w:val="009F1E58"/>
    <w:rsid w:val="009F1F9D"/>
    <w:rsid w:val="009F22C7"/>
    <w:rsid w:val="009F2324"/>
    <w:rsid w:val="009F240A"/>
    <w:rsid w:val="009F24D7"/>
    <w:rsid w:val="009F274F"/>
    <w:rsid w:val="009F279A"/>
    <w:rsid w:val="009F2DF1"/>
    <w:rsid w:val="009F30CE"/>
    <w:rsid w:val="009F31B0"/>
    <w:rsid w:val="009F34D7"/>
    <w:rsid w:val="009F36EE"/>
    <w:rsid w:val="009F38B4"/>
    <w:rsid w:val="009F393D"/>
    <w:rsid w:val="009F406A"/>
    <w:rsid w:val="009F41EB"/>
    <w:rsid w:val="009F4807"/>
    <w:rsid w:val="009F4832"/>
    <w:rsid w:val="009F492A"/>
    <w:rsid w:val="009F4BC5"/>
    <w:rsid w:val="009F4C8C"/>
    <w:rsid w:val="009F565F"/>
    <w:rsid w:val="009F57A0"/>
    <w:rsid w:val="009F5910"/>
    <w:rsid w:val="009F5BFC"/>
    <w:rsid w:val="009F5D65"/>
    <w:rsid w:val="009F5E89"/>
    <w:rsid w:val="009F5F13"/>
    <w:rsid w:val="009F6327"/>
    <w:rsid w:val="009F658C"/>
    <w:rsid w:val="009F66D9"/>
    <w:rsid w:val="009F67F0"/>
    <w:rsid w:val="009F68EE"/>
    <w:rsid w:val="009F69F8"/>
    <w:rsid w:val="009F6AF4"/>
    <w:rsid w:val="009F7146"/>
    <w:rsid w:val="009F721B"/>
    <w:rsid w:val="009F73F8"/>
    <w:rsid w:val="009F747B"/>
    <w:rsid w:val="009F76B7"/>
    <w:rsid w:val="009F7954"/>
    <w:rsid w:val="009F79B1"/>
    <w:rsid w:val="009F7BEF"/>
    <w:rsid w:val="00A000C7"/>
    <w:rsid w:val="00A00302"/>
    <w:rsid w:val="00A005DF"/>
    <w:rsid w:val="00A0072D"/>
    <w:rsid w:val="00A00982"/>
    <w:rsid w:val="00A00AE6"/>
    <w:rsid w:val="00A00C04"/>
    <w:rsid w:val="00A00C17"/>
    <w:rsid w:val="00A01127"/>
    <w:rsid w:val="00A0120D"/>
    <w:rsid w:val="00A01325"/>
    <w:rsid w:val="00A01623"/>
    <w:rsid w:val="00A01812"/>
    <w:rsid w:val="00A019ED"/>
    <w:rsid w:val="00A01CEF"/>
    <w:rsid w:val="00A01D0C"/>
    <w:rsid w:val="00A01F55"/>
    <w:rsid w:val="00A0203A"/>
    <w:rsid w:val="00A02210"/>
    <w:rsid w:val="00A0222A"/>
    <w:rsid w:val="00A0258C"/>
    <w:rsid w:val="00A0283C"/>
    <w:rsid w:val="00A02982"/>
    <w:rsid w:val="00A02AFD"/>
    <w:rsid w:val="00A02D1F"/>
    <w:rsid w:val="00A02DB8"/>
    <w:rsid w:val="00A02DDF"/>
    <w:rsid w:val="00A03049"/>
    <w:rsid w:val="00A0308C"/>
    <w:rsid w:val="00A0377A"/>
    <w:rsid w:val="00A03792"/>
    <w:rsid w:val="00A037F5"/>
    <w:rsid w:val="00A038E8"/>
    <w:rsid w:val="00A03A97"/>
    <w:rsid w:val="00A03B4D"/>
    <w:rsid w:val="00A03B52"/>
    <w:rsid w:val="00A03D9C"/>
    <w:rsid w:val="00A03F6E"/>
    <w:rsid w:val="00A03FC9"/>
    <w:rsid w:val="00A040B7"/>
    <w:rsid w:val="00A0454C"/>
    <w:rsid w:val="00A04619"/>
    <w:rsid w:val="00A04763"/>
    <w:rsid w:val="00A0482D"/>
    <w:rsid w:val="00A04D4E"/>
    <w:rsid w:val="00A04F1C"/>
    <w:rsid w:val="00A05020"/>
    <w:rsid w:val="00A05EC7"/>
    <w:rsid w:val="00A05FBE"/>
    <w:rsid w:val="00A060EF"/>
    <w:rsid w:val="00A060FD"/>
    <w:rsid w:val="00A061E2"/>
    <w:rsid w:val="00A062C0"/>
    <w:rsid w:val="00A06A79"/>
    <w:rsid w:val="00A06E35"/>
    <w:rsid w:val="00A06E84"/>
    <w:rsid w:val="00A06EEF"/>
    <w:rsid w:val="00A06F3B"/>
    <w:rsid w:val="00A06FD9"/>
    <w:rsid w:val="00A072BD"/>
    <w:rsid w:val="00A07846"/>
    <w:rsid w:val="00A07BF1"/>
    <w:rsid w:val="00A100BF"/>
    <w:rsid w:val="00A10218"/>
    <w:rsid w:val="00A103C3"/>
    <w:rsid w:val="00A10671"/>
    <w:rsid w:val="00A106E1"/>
    <w:rsid w:val="00A1090C"/>
    <w:rsid w:val="00A10B63"/>
    <w:rsid w:val="00A10BF2"/>
    <w:rsid w:val="00A10D31"/>
    <w:rsid w:val="00A10D9E"/>
    <w:rsid w:val="00A11242"/>
    <w:rsid w:val="00A1157C"/>
    <w:rsid w:val="00A118BC"/>
    <w:rsid w:val="00A1200C"/>
    <w:rsid w:val="00A12A15"/>
    <w:rsid w:val="00A12A88"/>
    <w:rsid w:val="00A12DE2"/>
    <w:rsid w:val="00A12F8C"/>
    <w:rsid w:val="00A137B4"/>
    <w:rsid w:val="00A137C1"/>
    <w:rsid w:val="00A13C00"/>
    <w:rsid w:val="00A13CBE"/>
    <w:rsid w:val="00A14002"/>
    <w:rsid w:val="00A1406D"/>
    <w:rsid w:val="00A1472F"/>
    <w:rsid w:val="00A14850"/>
    <w:rsid w:val="00A14A10"/>
    <w:rsid w:val="00A14AF6"/>
    <w:rsid w:val="00A14B21"/>
    <w:rsid w:val="00A1515C"/>
    <w:rsid w:val="00A15527"/>
    <w:rsid w:val="00A156BC"/>
    <w:rsid w:val="00A157AC"/>
    <w:rsid w:val="00A15CBA"/>
    <w:rsid w:val="00A160B6"/>
    <w:rsid w:val="00A16135"/>
    <w:rsid w:val="00A1637B"/>
    <w:rsid w:val="00A16529"/>
    <w:rsid w:val="00A1693F"/>
    <w:rsid w:val="00A16B47"/>
    <w:rsid w:val="00A17E6F"/>
    <w:rsid w:val="00A20363"/>
    <w:rsid w:val="00A204E6"/>
    <w:rsid w:val="00A20508"/>
    <w:rsid w:val="00A205BB"/>
    <w:rsid w:val="00A20824"/>
    <w:rsid w:val="00A208B4"/>
    <w:rsid w:val="00A2098A"/>
    <w:rsid w:val="00A20D2D"/>
    <w:rsid w:val="00A2107A"/>
    <w:rsid w:val="00A21192"/>
    <w:rsid w:val="00A213C2"/>
    <w:rsid w:val="00A214BA"/>
    <w:rsid w:val="00A214D9"/>
    <w:rsid w:val="00A2168E"/>
    <w:rsid w:val="00A21D2D"/>
    <w:rsid w:val="00A21FF1"/>
    <w:rsid w:val="00A2295E"/>
    <w:rsid w:val="00A22B74"/>
    <w:rsid w:val="00A236F9"/>
    <w:rsid w:val="00A238AF"/>
    <w:rsid w:val="00A23968"/>
    <w:rsid w:val="00A23B7B"/>
    <w:rsid w:val="00A24230"/>
    <w:rsid w:val="00A242E2"/>
    <w:rsid w:val="00A24353"/>
    <w:rsid w:val="00A24E70"/>
    <w:rsid w:val="00A24EFE"/>
    <w:rsid w:val="00A252B8"/>
    <w:rsid w:val="00A2589B"/>
    <w:rsid w:val="00A25A6C"/>
    <w:rsid w:val="00A25EB7"/>
    <w:rsid w:val="00A25F66"/>
    <w:rsid w:val="00A264D1"/>
    <w:rsid w:val="00A2698A"/>
    <w:rsid w:val="00A26C6A"/>
    <w:rsid w:val="00A26DCD"/>
    <w:rsid w:val="00A26EDB"/>
    <w:rsid w:val="00A26F62"/>
    <w:rsid w:val="00A27084"/>
    <w:rsid w:val="00A27407"/>
    <w:rsid w:val="00A27A53"/>
    <w:rsid w:val="00A27D71"/>
    <w:rsid w:val="00A30245"/>
    <w:rsid w:val="00A30542"/>
    <w:rsid w:val="00A305CF"/>
    <w:rsid w:val="00A305D9"/>
    <w:rsid w:val="00A30B18"/>
    <w:rsid w:val="00A30C31"/>
    <w:rsid w:val="00A30F50"/>
    <w:rsid w:val="00A3104A"/>
    <w:rsid w:val="00A31051"/>
    <w:rsid w:val="00A31143"/>
    <w:rsid w:val="00A31882"/>
    <w:rsid w:val="00A31890"/>
    <w:rsid w:val="00A31A3D"/>
    <w:rsid w:val="00A31B7B"/>
    <w:rsid w:val="00A31CB4"/>
    <w:rsid w:val="00A31E69"/>
    <w:rsid w:val="00A321A5"/>
    <w:rsid w:val="00A32200"/>
    <w:rsid w:val="00A32235"/>
    <w:rsid w:val="00A325ED"/>
    <w:rsid w:val="00A325EE"/>
    <w:rsid w:val="00A327C6"/>
    <w:rsid w:val="00A3292B"/>
    <w:rsid w:val="00A32DB8"/>
    <w:rsid w:val="00A330D4"/>
    <w:rsid w:val="00A33391"/>
    <w:rsid w:val="00A33716"/>
    <w:rsid w:val="00A33E4A"/>
    <w:rsid w:val="00A34562"/>
    <w:rsid w:val="00A34847"/>
    <w:rsid w:val="00A3485C"/>
    <w:rsid w:val="00A34909"/>
    <w:rsid w:val="00A34A8F"/>
    <w:rsid w:val="00A34BCB"/>
    <w:rsid w:val="00A34DCB"/>
    <w:rsid w:val="00A34F0D"/>
    <w:rsid w:val="00A3500E"/>
    <w:rsid w:val="00A350E2"/>
    <w:rsid w:val="00A351E0"/>
    <w:rsid w:val="00A35223"/>
    <w:rsid w:val="00A35707"/>
    <w:rsid w:val="00A35CE5"/>
    <w:rsid w:val="00A35CED"/>
    <w:rsid w:val="00A3650B"/>
    <w:rsid w:val="00A3742E"/>
    <w:rsid w:val="00A37481"/>
    <w:rsid w:val="00A374AE"/>
    <w:rsid w:val="00A3790D"/>
    <w:rsid w:val="00A3791E"/>
    <w:rsid w:val="00A37C5E"/>
    <w:rsid w:val="00A4053A"/>
    <w:rsid w:val="00A40687"/>
    <w:rsid w:val="00A406E5"/>
    <w:rsid w:val="00A40788"/>
    <w:rsid w:val="00A411A8"/>
    <w:rsid w:val="00A41210"/>
    <w:rsid w:val="00A413AB"/>
    <w:rsid w:val="00A414D7"/>
    <w:rsid w:val="00A415D1"/>
    <w:rsid w:val="00A4173C"/>
    <w:rsid w:val="00A417E2"/>
    <w:rsid w:val="00A41B0A"/>
    <w:rsid w:val="00A41E00"/>
    <w:rsid w:val="00A41E96"/>
    <w:rsid w:val="00A420F0"/>
    <w:rsid w:val="00A421C4"/>
    <w:rsid w:val="00A42477"/>
    <w:rsid w:val="00A424A3"/>
    <w:rsid w:val="00A425A2"/>
    <w:rsid w:val="00A425C7"/>
    <w:rsid w:val="00A42859"/>
    <w:rsid w:val="00A429FA"/>
    <w:rsid w:val="00A43727"/>
    <w:rsid w:val="00A4377A"/>
    <w:rsid w:val="00A437A4"/>
    <w:rsid w:val="00A439C4"/>
    <w:rsid w:val="00A43AF4"/>
    <w:rsid w:val="00A43AFE"/>
    <w:rsid w:val="00A43C50"/>
    <w:rsid w:val="00A43EC7"/>
    <w:rsid w:val="00A445EB"/>
    <w:rsid w:val="00A44729"/>
    <w:rsid w:val="00A4489D"/>
    <w:rsid w:val="00A44A98"/>
    <w:rsid w:val="00A44F84"/>
    <w:rsid w:val="00A44F96"/>
    <w:rsid w:val="00A4504A"/>
    <w:rsid w:val="00A456BC"/>
    <w:rsid w:val="00A457F8"/>
    <w:rsid w:val="00A45C31"/>
    <w:rsid w:val="00A45E09"/>
    <w:rsid w:val="00A45F7E"/>
    <w:rsid w:val="00A46491"/>
    <w:rsid w:val="00A46971"/>
    <w:rsid w:val="00A46A9D"/>
    <w:rsid w:val="00A46BA1"/>
    <w:rsid w:val="00A46F1A"/>
    <w:rsid w:val="00A473C9"/>
    <w:rsid w:val="00A47699"/>
    <w:rsid w:val="00A476B0"/>
    <w:rsid w:val="00A4787E"/>
    <w:rsid w:val="00A4794E"/>
    <w:rsid w:val="00A47BC5"/>
    <w:rsid w:val="00A47D35"/>
    <w:rsid w:val="00A47DD1"/>
    <w:rsid w:val="00A47DF2"/>
    <w:rsid w:val="00A47EE8"/>
    <w:rsid w:val="00A50054"/>
    <w:rsid w:val="00A5077C"/>
    <w:rsid w:val="00A50786"/>
    <w:rsid w:val="00A50821"/>
    <w:rsid w:val="00A5082A"/>
    <w:rsid w:val="00A50B00"/>
    <w:rsid w:val="00A50CE1"/>
    <w:rsid w:val="00A50E7D"/>
    <w:rsid w:val="00A5114F"/>
    <w:rsid w:val="00A51D2D"/>
    <w:rsid w:val="00A5234C"/>
    <w:rsid w:val="00A523B7"/>
    <w:rsid w:val="00A5248B"/>
    <w:rsid w:val="00A524AD"/>
    <w:rsid w:val="00A52549"/>
    <w:rsid w:val="00A527B1"/>
    <w:rsid w:val="00A5296A"/>
    <w:rsid w:val="00A529C6"/>
    <w:rsid w:val="00A52CB9"/>
    <w:rsid w:val="00A52CCE"/>
    <w:rsid w:val="00A52D96"/>
    <w:rsid w:val="00A53641"/>
    <w:rsid w:val="00A5398E"/>
    <w:rsid w:val="00A53F2A"/>
    <w:rsid w:val="00A5468C"/>
    <w:rsid w:val="00A54A04"/>
    <w:rsid w:val="00A54B07"/>
    <w:rsid w:val="00A54C3F"/>
    <w:rsid w:val="00A54C68"/>
    <w:rsid w:val="00A54F86"/>
    <w:rsid w:val="00A54F9F"/>
    <w:rsid w:val="00A5504B"/>
    <w:rsid w:val="00A55071"/>
    <w:rsid w:val="00A55163"/>
    <w:rsid w:val="00A55174"/>
    <w:rsid w:val="00A55196"/>
    <w:rsid w:val="00A55237"/>
    <w:rsid w:val="00A5533F"/>
    <w:rsid w:val="00A55785"/>
    <w:rsid w:val="00A55A43"/>
    <w:rsid w:val="00A55BD0"/>
    <w:rsid w:val="00A561B6"/>
    <w:rsid w:val="00A56670"/>
    <w:rsid w:val="00A5673E"/>
    <w:rsid w:val="00A568BA"/>
    <w:rsid w:val="00A569EF"/>
    <w:rsid w:val="00A56EFD"/>
    <w:rsid w:val="00A56F1E"/>
    <w:rsid w:val="00A5719B"/>
    <w:rsid w:val="00A57445"/>
    <w:rsid w:val="00A5754C"/>
    <w:rsid w:val="00A5758F"/>
    <w:rsid w:val="00A57611"/>
    <w:rsid w:val="00A57801"/>
    <w:rsid w:val="00A57A27"/>
    <w:rsid w:val="00A57A51"/>
    <w:rsid w:val="00A57E68"/>
    <w:rsid w:val="00A60095"/>
    <w:rsid w:val="00A60258"/>
    <w:rsid w:val="00A60B2C"/>
    <w:rsid w:val="00A6110D"/>
    <w:rsid w:val="00A61208"/>
    <w:rsid w:val="00A61655"/>
    <w:rsid w:val="00A616A1"/>
    <w:rsid w:val="00A619D2"/>
    <w:rsid w:val="00A61A07"/>
    <w:rsid w:val="00A61BA3"/>
    <w:rsid w:val="00A61D4E"/>
    <w:rsid w:val="00A61FBB"/>
    <w:rsid w:val="00A627C8"/>
    <w:rsid w:val="00A62B40"/>
    <w:rsid w:val="00A62BF3"/>
    <w:rsid w:val="00A62CF3"/>
    <w:rsid w:val="00A63629"/>
    <w:rsid w:val="00A63A88"/>
    <w:rsid w:val="00A63B68"/>
    <w:rsid w:val="00A63BD6"/>
    <w:rsid w:val="00A63DDF"/>
    <w:rsid w:val="00A641E7"/>
    <w:rsid w:val="00A64532"/>
    <w:rsid w:val="00A64775"/>
    <w:rsid w:val="00A64A6E"/>
    <w:rsid w:val="00A64B37"/>
    <w:rsid w:val="00A64FB0"/>
    <w:rsid w:val="00A64FB9"/>
    <w:rsid w:val="00A6525E"/>
    <w:rsid w:val="00A652A1"/>
    <w:rsid w:val="00A656F4"/>
    <w:rsid w:val="00A65A8F"/>
    <w:rsid w:val="00A65C0B"/>
    <w:rsid w:val="00A65DC2"/>
    <w:rsid w:val="00A65E5E"/>
    <w:rsid w:val="00A65EAE"/>
    <w:rsid w:val="00A6628E"/>
    <w:rsid w:val="00A66672"/>
    <w:rsid w:val="00A66B4C"/>
    <w:rsid w:val="00A66DB4"/>
    <w:rsid w:val="00A677D9"/>
    <w:rsid w:val="00A678A6"/>
    <w:rsid w:val="00A67AD5"/>
    <w:rsid w:val="00A67F89"/>
    <w:rsid w:val="00A7029D"/>
    <w:rsid w:val="00A7044D"/>
    <w:rsid w:val="00A7051A"/>
    <w:rsid w:val="00A706D1"/>
    <w:rsid w:val="00A706F8"/>
    <w:rsid w:val="00A70880"/>
    <w:rsid w:val="00A7098E"/>
    <w:rsid w:val="00A70A79"/>
    <w:rsid w:val="00A70DD5"/>
    <w:rsid w:val="00A70E66"/>
    <w:rsid w:val="00A71A60"/>
    <w:rsid w:val="00A71CE8"/>
    <w:rsid w:val="00A71EBA"/>
    <w:rsid w:val="00A728D9"/>
    <w:rsid w:val="00A72B5E"/>
    <w:rsid w:val="00A72DDE"/>
    <w:rsid w:val="00A72E60"/>
    <w:rsid w:val="00A72E61"/>
    <w:rsid w:val="00A731AD"/>
    <w:rsid w:val="00A735F0"/>
    <w:rsid w:val="00A7364C"/>
    <w:rsid w:val="00A73695"/>
    <w:rsid w:val="00A736A9"/>
    <w:rsid w:val="00A736C7"/>
    <w:rsid w:val="00A73B58"/>
    <w:rsid w:val="00A73D5B"/>
    <w:rsid w:val="00A74193"/>
    <w:rsid w:val="00A74660"/>
    <w:rsid w:val="00A747BB"/>
    <w:rsid w:val="00A7491D"/>
    <w:rsid w:val="00A74A34"/>
    <w:rsid w:val="00A74ABA"/>
    <w:rsid w:val="00A74ABE"/>
    <w:rsid w:val="00A74B01"/>
    <w:rsid w:val="00A74C5C"/>
    <w:rsid w:val="00A74D51"/>
    <w:rsid w:val="00A75172"/>
    <w:rsid w:val="00A751A5"/>
    <w:rsid w:val="00A752EF"/>
    <w:rsid w:val="00A75867"/>
    <w:rsid w:val="00A75DC9"/>
    <w:rsid w:val="00A75E2A"/>
    <w:rsid w:val="00A761C2"/>
    <w:rsid w:val="00A7648C"/>
    <w:rsid w:val="00A76813"/>
    <w:rsid w:val="00A76C5E"/>
    <w:rsid w:val="00A76F52"/>
    <w:rsid w:val="00A76FFA"/>
    <w:rsid w:val="00A7715C"/>
    <w:rsid w:val="00A776B9"/>
    <w:rsid w:val="00A77AA5"/>
    <w:rsid w:val="00A8013A"/>
    <w:rsid w:val="00A80630"/>
    <w:rsid w:val="00A80657"/>
    <w:rsid w:val="00A80725"/>
    <w:rsid w:val="00A809DC"/>
    <w:rsid w:val="00A80B3E"/>
    <w:rsid w:val="00A80C8F"/>
    <w:rsid w:val="00A80F0E"/>
    <w:rsid w:val="00A80F54"/>
    <w:rsid w:val="00A81094"/>
    <w:rsid w:val="00A81146"/>
    <w:rsid w:val="00A81335"/>
    <w:rsid w:val="00A813E7"/>
    <w:rsid w:val="00A815FB"/>
    <w:rsid w:val="00A8169F"/>
    <w:rsid w:val="00A8192C"/>
    <w:rsid w:val="00A81AAD"/>
    <w:rsid w:val="00A81D51"/>
    <w:rsid w:val="00A81F7C"/>
    <w:rsid w:val="00A8200D"/>
    <w:rsid w:val="00A82449"/>
    <w:rsid w:val="00A82667"/>
    <w:rsid w:val="00A82E98"/>
    <w:rsid w:val="00A832B4"/>
    <w:rsid w:val="00A834D3"/>
    <w:rsid w:val="00A835E1"/>
    <w:rsid w:val="00A83673"/>
    <w:rsid w:val="00A837E3"/>
    <w:rsid w:val="00A83A60"/>
    <w:rsid w:val="00A83D04"/>
    <w:rsid w:val="00A83D1B"/>
    <w:rsid w:val="00A84289"/>
    <w:rsid w:val="00A84726"/>
    <w:rsid w:val="00A8493B"/>
    <w:rsid w:val="00A84C66"/>
    <w:rsid w:val="00A84F51"/>
    <w:rsid w:val="00A852B3"/>
    <w:rsid w:val="00A85687"/>
    <w:rsid w:val="00A86020"/>
    <w:rsid w:val="00A86148"/>
    <w:rsid w:val="00A866BD"/>
    <w:rsid w:val="00A8679B"/>
    <w:rsid w:val="00A86878"/>
    <w:rsid w:val="00A86CB8"/>
    <w:rsid w:val="00A86F57"/>
    <w:rsid w:val="00A8719D"/>
    <w:rsid w:val="00A87917"/>
    <w:rsid w:val="00A902FF"/>
    <w:rsid w:val="00A90403"/>
    <w:rsid w:val="00A9046D"/>
    <w:rsid w:val="00A905AC"/>
    <w:rsid w:val="00A90A2B"/>
    <w:rsid w:val="00A90B21"/>
    <w:rsid w:val="00A90D04"/>
    <w:rsid w:val="00A90D52"/>
    <w:rsid w:val="00A910F8"/>
    <w:rsid w:val="00A912B4"/>
    <w:rsid w:val="00A912D1"/>
    <w:rsid w:val="00A9139E"/>
    <w:rsid w:val="00A91935"/>
    <w:rsid w:val="00A919C6"/>
    <w:rsid w:val="00A91A1C"/>
    <w:rsid w:val="00A91AEA"/>
    <w:rsid w:val="00A91EF1"/>
    <w:rsid w:val="00A91F2A"/>
    <w:rsid w:val="00A923E8"/>
    <w:rsid w:val="00A92A17"/>
    <w:rsid w:val="00A92A51"/>
    <w:rsid w:val="00A932AB"/>
    <w:rsid w:val="00A933FF"/>
    <w:rsid w:val="00A934B8"/>
    <w:rsid w:val="00A93729"/>
    <w:rsid w:val="00A93824"/>
    <w:rsid w:val="00A93BA2"/>
    <w:rsid w:val="00A94426"/>
    <w:rsid w:val="00A944E3"/>
    <w:rsid w:val="00A9464C"/>
    <w:rsid w:val="00A9467A"/>
    <w:rsid w:val="00A94869"/>
    <w:rsid w:val="00A94B09"/>
    <w:rsid w:val="00A94B2B"/>
    <w:rsid w:val="00A94D4C"/>
    <w:rsid w:val="00A94D97"/>
    <w:rsid w:val="00A94E57"/>
    <w:rsid w:val="00A952D5"/>
    <w:rsid w:val="00A953B6"/>
    <w:rsid w:val="00A953EE"/>
    <w:rsid w:val="00A954E9"/>
    <w:rsid w:val="00A95567"/>
    <w:rsid w:val="00A9562C"/>
    <w:rsid w:val="00A95D52"/>
    <w:rsid w:val="00A95EFA"/>
    <w:rsid w:val="00A9617A"/>
    <w:rsid w:val="00A9619E"/>
    <w:rsid w:val="00A96295"/>
    <w:rsid w:val="00A962EF"/>
    <w:rsid w:val="00A963C4"/>
    <w:rsid w:val="00A9676B"/>
    <w:rsid w:val="00A96B7C"/>
    <w:rsid w:val="00A970E2"/>
    <w:rsid w:val="00A9717D"/>
    <w:rsid w:val="00A97292"/>
    <w:rsid w:val="00A9744A"/>
    <w:rsid w:val="00A976BF"/>
    <w:rsid w:val="00A97B2F"/>
    <w:rsid w:val="00A97BC8"/>
    <w:rsid w:val="00A97E3B"/>
    <w:rsid w:val="00AA01CA"/>
    <w:rsid w:val="00AA07AE"/>
    <w:rsid w:val="00AA0BDD"/>
    <w:rsid w:val="00AA0D4B"/>
    <w:rsid w:val="00AA0E87"/>
    <w:rsid w:val="00AA1335"/>
    <w:rsid w:val="00AA1367"/>
    <w:rsid w:val="00AA1655"/>
    <w:rsid w:val="00AA166A"/>
    <w:rsid w:val="00AA1831"/>
    <w:rsid w:val="00AA1BE3"/>
    <w:rsid w:val="00AA1DFA"/>
    <w:rsid w:val="00AA1EAA"/>
    <w:rsid w:val="00AA233D"/>
    <w:rsid w:val="00AA25B2"/>
    <w:rsid w:val="00AA2727"/>
    <w:rsid w:val="00AA275A"/>
    <w:rsid w:val="00AA2B47"/>
    <w:rsid w:val="00AA2CCE"/>
    <w:rsid w:val="00AA2EFA"/>
    <w:rsid w:val="00AA31C5"/>
    <w:rsid w:val="00AA350B"/>
    <w:rsid w:val="00AA367B"/>
    <w:rsid w:val="00AA3732"/>
    <w:rsid w:val="00AA37D9"/>
    <w:rsid w:val="00AA392F"/>
    <w:rsid w:val="00AA3B5E"/>
    <w:rsid w:val="00AA3EEE"/>
    <w:rsid w:val="00AA3F1F"/>
    <w:rsid w:val="00AA42F3"/>
    <w:rsid w:val="00AA451A"/>
    <w:rsid w:val="00AA4936"/>
    <w:rsid w:val="00AA4B54"/>
    <w:rsid w:val="00AA4BEC"/>
    <w:rsid w:val="00AA4CBB"/>
    <w:rsid w:val="00AA4E3C"/>
    <w:rsid w:val="00AA51C3"/>
    <w:rsid w:val="00AA55EF"/>
    <w:rsid w:val="00AA5772"/>
    <w:rsid w:val="00AA5A3D"/>
    <w:rsid w:val="00AA6434"/>
    <w:rsid w:val="00AA674A"/>
    <w:rsid w:val="00AA6888"/>
    <w:rsid w:val="00AA6CA2"/>
    <w:rsid w:val="00AA73F4"/>
    <w:rsid w:val="00AA78EB"/>
    <w:rsid w:val="00AA79D9"/>
    <w:rsid w:val="00AA7B9D"/>
    <w:rsid w:val="00AB0331"/>
    <w:rsid w:val="00AB047D"/>
    <w:rsid w:val="00AB05D4"/>
    <w:rsid w:val="00AB0620"/>
    <w:rsid w:val="00AB06CD"/>
    <w:rsid w:val="00AB07B2"/>
    <w:rsid w:val="00AB091A"/>
    <w:rsid w:val="00AB10D3"/>
    <w:rsid w:val="00AB1385"/>
    <w:rsid w:val="00AB1AEE"/>
    <w:rsid w:val="00AB1D93"/>
    <w:rsid w:val="00AB1ECB"/>
    <w:rsid w:val="00AB1FDE"/>
    <w:rsid w:val="00AB22B3"/>
    <w:rsid w:val="00AB2429"/>
    <w:rsid w:val="00AB2551"/>
    <w:rsid w:val="00AB28B0"/>
    <w:rsid w:val="00AB2C75"/>
    <w:rsid w:val="00AB348D"/>
    <w:rsid w:val="00AB3DB9"/>
    <w:rsid w:val="00AB3EAD"/>
    <w:rsid w:val="00AB444E"/>
    <w:rsid w:val="00AB457A"/>
    <w:rsid w:val="00AB4A2E"/>
    <w:rsid w:val="00AB4A7C"/>
    <w:rsid w:val="00AB4BB6"/>
    <w:rsid w:val="00AB4EE8"/>
    <w:rsid w:val="00AB53B5"/>
    <w:rsid w:val="00AB5950"/>
    <w:rsid w:val="00AB5ACB"/>
    <w:rsid w:val="00AB5BE0"/>
    <w:rsid w:val="00AB6053"/>
    <w:rsid w:val="00AB61CD"/>
    <w:rsid w:val="00AB6269"/>
    <w:rsid w:val="00AB62BF"/>
    <w:rsid w:val="00AB6701"/>
    <w:rsid w:val="00AB69B1"/>
    <w:rsid w:val="00AB6A46"/>
    <w:rsid w:val="00AB6B48"/>
    <w:rsid w:val="00AB6FB6"/>
    <w:rsid w:val="00AB74F1"/>
    <w:rsid w:val="00AB7C22"/>
    <w:rsid w:val="00AB7D06"/>
    <w:rsid w:val="00AB7DF8"/>
    <w:rsid w:val="00AB7E6D"/>
    <w:rsid w:val="00AC0320"/>
    <w:rsid w:val="00AC033C"/>
    <w:rsid w:val="00AC0407"/>
    <w:rsid w:val="00AC04B2"/>
    <w:rsid w:val="00AC0697"/>
    <w:rsid w:val="00AC0841"/>
    <w:rsid w:val="00AC10E5"/>
    <w:rsid w:val="00AC13A2"/>
    <w:rsid w:val="00AC1675"/>
    <w:rsid w:val="00AC186D"/>
    <w:rsid w:val="00AC1A5D"/>
    <w:rsid w:val="00AC1C19"/>
    <w:rsid w:val="00AC1CF5"/>
    <w:rsid w:val="00AC1D82"/>
    <w:rsid w:val="00AC1DC3"/>
    <w:rsid w:val="00AC21A0"/>
    <w:rsid w:val="00AC22B2"/>
    <w:rsid w:val="00AC25E4"/>
    <w:rsid w:val="00AC2BE2"/>
    <w:rsid w:val="00AC2DD1"/>
    <w:rsid w:val="00AC2F29"/>
    <w:rsid w:val="00AC36E4"/>
    <w:rsid w:val="00AC3894"/>
    <w:rsid w:val="00AC3B70"/>
    <w:rsid w:val="00AC426E"/>
    <w:rsid w:val="00AC4641"/>
    <w:rsid w:val="00AC4F12"/>
    <w:rsid w:val="00AC4F51"/>
    <w:rsid w:val="00AC5113"/>
    <w:rsid w:val="00AC53DE"/>
    <w:rsid w:val="00AC542D"/>
    <w:rsid w:val="00AC5810"/>
    <w:rsid w:val="00AC585D"/>
    <w:rsid w:val="00AC591B"/>
    <w:rsid w:val="00AC5B3E"/>
    <w:rsid w:val="00AC5CE7"/>
    <w:rsid w:val="00AC5CF2"/>
    <w:rsid w:val="00AC6247"/>
    <w:rsid w:val="00AC653E"/>
    <w:rsid w:val="00AC69D2"/>
    <w:rsid w:val="00AC6AE1"/>
    <w:rsid w:val="00AC6B9B"/>
    <w:rsid w:val="00AC6EBB"/>
    <w:rsid w:val="00AC6EEB"/>
    <w:rsid w:val="00AC70AD"/>
    <w:rsid w:val="00AC715F"/>
    <w:rsid w:val="00AC7406"/>
    <w:rsid w:val="00AC74FF"/>
    <w:rsid w:val="00AC76D9"/>
    <w:rsid w:val="00AC76FA"/>
    <w:rsid w:val="00AC7779"/>
    <w:rsid w:val="00AC77E3"/>
    <w:rsid w:val="00AC793C"/>
    <w:rsid w:val="00AC79A6"/>
    <w:rsid w:val="00AC7A22"/>
    <w:rsid w:val="00AC7E42"/>
    <w:rsid w:val="00AC7EAB"/>
    <w:rsid w:val="00AD031C"/>
    <w:rsid w:val="00AD0742"/>
    <w:rsid w:val="00AD0B76"/>
    <w:rsid w:val="00AD158D"/>
    <w:rsid w:val="00AD167D"/>
    <w:rsid w:val="00AD176A"/>
    <w:rsid w:val="00AD185E"/>
    <w:rsid w:val="00AD19F4"/>
    <w:rsid w:val="00AD1D2F"/>
    <w:rsid w:val="00AD1D84"/>
    <w:rsid w:val="00AD2261"/>
    <w:rsid w:val="00AD2316"/>
    <w:rsid w:val="00AD2473"/>
    <w:rsid w:val="00AD26A1"/>
    <w:rsid w:val="00AD2A56"/>
    <w:rsid w:val="00AD2A8D"/>
    <w:rsid w:val="00AD2C7B"/>
    <w:rsid w:val="00AD2F2B"/>
    <w:rsid w:val="00AD30C1"/>
    <w:rsid w:val="00AD3124"/>
    <w:rsid w:val="00AD31AE"/>
    <w:rsid w:val="00AD342C"/>
    <w:rsid w:val="00AD382C"/>
    <w:rsid w:val="00AD39BE"/>
    <w:rsid w:val="00AD3AE4"/>
    <w:rsid w:val="00AD40D9"/>
    <w:rsid w:val="00AD4222"/>
    <w:rsid w:val="00AD47A0"/>
    <w:rsid w:val="00AD4AAF"/>
    <w:rsid w:val="00AD4DB0"/>
    <w:rsid w:val="00AD4FD2"/>
    <w:rsid w:val="00AD5119"/>
    <w:rsid w:val="00AD5364"/>
    <w:rsid w:val="00AD598D"/>
    <w:rsid w:val="00AD5A12"/>
    <w:rsid w:val="00AD5AA9"/>
    <w:rsid w:val="00AD5B19"/>
    <w:rsid w:val="00AD5BA3"/>
    <w:rsid w:val="00AD5CEB"/>
    <w:rsid w:val="00AD6190"/>
    <w:rsid w:val="00AD632A"/>
    <w:rsid w:val="00AD6748"/>
    <w:rsid w:val="00AD6769"/>
    <w:rsid w:val="00AD7002"/>
    <w:rsid w:val="00AD7206"/>
    <w:rsid w:val="00AD760C"/>
    <w:rsid w:val="00AD783F"/>
    <w:rsid w:val="00AD7B2C"/>
    <w:rsid w:val="00AD7D2A"/>
    <w:rsid w:val="00AD7D3E"/>
    <w:rsid w:val="00AE02AB"/>
    <w:rsid w:val="00AE0327"/>
    <w:rsid w:val="00AE0556"/>
    <w:rsid w:val="00AE0A46"/>
    <w:rsid w:val="00AE0BDF"/>
    <w:rsid w:val="00AE0DE2"/>
    <w:rsid w:val="00AE13FD"/>
    <w:rsid w:val="00AE153A"/>
    <w:rsid w:val="00AE1582"/>
    <w:rsid w:val="00AE16B0"/>
    <w:rsid w:val="00AE1806"/>
    <w:rsid w:val="00AE1839"/>
    <w:rsid w:val="00AE1E6C"/>
    <w:rsid w:val="00AE1F3E"/>
    <w:rsid w:val="00AE1F76"/>
    <w:rsid w:val="00AE2913"/>
    <w:rsid w:val="00AE29BC"/>
    <w:rsid w:val="00AE3392"/>
    <w:rsid w:val="00AE3B8C"/>
    <w:rsid w:val="00AE3C1A"/>
    <w:rsid w:val="00AE3C5D"/>
    <w:rsid w:val="00AE3D71"/>
    <w:rsid w:val="00AE3D9C"/>
    <w:rsid w:val="00AE40B1"/>
    <w:rsid w:val="00AE436C"/>
    <w:rsid w:val="00AE4A4C"/>
    <w:rsid w:val="00AE4AEB"/>
    <w:rsid w:val="00AE4B59"/>
    <w:rsid w:val="00AE4B9E"/>
    <w:rsid w:val="00AE4C3C"/>
    <w:rsid w:val="00AE4D36"/>
    <w:rsid w:val="00AE4DE0"/>
    <w:rsid w:val="00AE5102"/>
    <w:rsid w:val="00AE51B6"/>
    <w:rsid w:val="00AE51E5"/>
    <w:rsid w:val="00AE530D"/>
    <w:rsid w:val="00AE559B"/>
    <w:rsid w:val="00AE5682"/>
    <w:rsid w:val="00AE56E4"/>
    <w:rsid w:val="00AE56F3"/>
    <w:rsid w:val="00AE573D"/>
    <w:rsid w:val="00AE5917"/>
    <w:rsid w:val="00AE5E94"/>
    <w:rsid w:val="00AE5F0B"/>
    <w:rsid w:val="00AE61BF"/>
    <w:rsid w:val="00AE6842"/>
    <w:rsid w:val="00AE70A1"/>
    <w:rsid w:val="00AE786A"/>
    <w:rsid w:val="00AE7BE9"/>
    <w:rsid w:val="00AE7EE7"/>
    <w:rsid w:val="00AF007C"/>
    <w:rsid w:val="00AF0306"/>
    <w:rsid w:val="00AF03A8"/>
    <w:rsid w:val="00AF06BD"/>
    <w:rsid w:val="00AF08E2"/>
    <w:rsid w:val="00AF10F9"/>
    <w:rsid w:val="00AF15FC"/>
    <w:rsid w:val="00AF17EE"/>
    <w:rsid w:val="00AF22F8"/>
    <w:rsid w:val="00AF2403"/>
    <w:rsid w:val="00AF28E0"/>
    <w:rsid w:val="00AF2993"/>
    <w:rsid w:val="00AF2AEF"/>
    <w:rsid w:val="00AF2B94"/>
    <w:rsid w:val="00AF3827"/>
    <w:rsid w:val="00AF3906"/>
    <w:rsid w:val="00AF3965"/>
    <w:rsid w:val="00AF3C51"/>
    <w:rsid w:val="00AF41AA"/>
    <w:rsid w:val="00AF43E4"/>
    <w:rsid w:val="00AF4519"/>
    <w:rsid w:val="00AF4B28"/>
    <w:rsid w:val="00AF4D6C"/>
    <w:rsid w:val="00AF5473"/>
    <w:rsid w:val="00AF54AB"/>
    <w:rsid w:val="00AF55B5"/>
    <w:rsid w:val="00AF55DB"/>
    <w:rsid w:val="00AF5775"/>
    <w:rsid w:val="00AF57E2"/>
    <w:rsid w:val="00AF5949"/>
    <w:rsid w:val="00AF5A02"/>
    <w:rsid w:val="00AF5F20"/>
    <w:rsid w:val="00AF5FB5"/>
    <w:rsid w:val="00AF610C"/>
    <w:rsid w:val="00AF6208"/>
    <w:rsid w:val="00AF6247"/>
    <w:rsid w:val="00AF630E"/>
    <w:rsid w:val="00AF638E"/>
    <w:rsid w:val="00AF6757"/>
    <w:rsid w:val="00AF6C2B"/>
    <w:rsid w:val="00AF6D79"/>
    <w:rsid w:val="00AF6F3E"/>
    <w:rsid w:val="00AF6F4B"/>
    <w:rsid w:val="00AF6FE0"/>
    <w:rsid w:val="00AF73E2"/>
    <w:rsid w:val="00AF73FE"/>
    <w:rsid w:val="00AF7453"/>
    <w:rsid w:val="00AF7573"/>
    <w:rsid w:val="00AF7B84"/>
    <w:rsid w:val="00AF7D12"/>
    <w:rsid w:val="00B004D9"/>
    <w:rsid w:val="00B008CA"/>
    <w:rsid w:val="00B008EB"/>
    <w:rsid w:val="00B00A2D"/>
    <w:rsid w:val="00B00A44"/>
    <w:rsid w:val="00B00C91"/>
    <w:rsid w:val="00B00E16"/>
    <w:rsid w:val="00B0103D"/>
    <w:rsid w:val="00B010A9"/>
    <w:rsid w:val="00B011E8"/>
    <w:rsid w:val="00B0125F"/>
    <w:rsid w:val="00B015D7"/>
    <w:rsid w:val="00B01682"/>
    <w:rsid w:val="00B017C0"/>
    <w:rsid w:val="00B01A47"/>
    <w:rsid w:val="00B01A99"/>
    <w:rsid w:val="00B0207B"/>
    <w:rsid w:val="00B0226D"/>
    <w:rsid w:val="00B02397"/>
    <w:rsid w:val="00B02714"/>
    <w:rsid w:val="00B02B7D"/>
    <w:rsid w:val="00B02C86"/>
    <w:rsid w:val="00B02ECB"/>
    <w:rsid w:val="00B02FEF"/>
    <w:rsid w:val="00B03141"/>
    <w:rsid w:val="00B031EE"/>
    <w:rsid w:val="00B032A0"/>
    <w:rsid w:val="00B033C4"/>
    <w:rsid w:val="00B03A09"/>
    <w:rsid w:val="00B03F42"/>
    <w:rsid w:val="00B049AB"/>
    <w:rsid w:val="00B0500B"/>
    <w:rsid w:val="00B0517D"/>
    <w:rsid w:val="00B053CD"/>
    <w:rsid w:val="00B056DE"/>
    <w:rsid w:val="00B057E5"/>
    <w:rsid w:val="00B0593E"/>
    <w:rsid w:val="00B05E9E"/>
    <w:rsid w:val="00B060C2"/>
    <w:rsid w:val="00B062B0"/>
    <w:rsid w:val="00B065C8"/>
    <w:rsid w:val="00B06857"/>
    <w:rsid w:val="00B068F3"/>
    <w:rsid w:val="00B06B99"/>
    <w:rsid w:val="00B06BCE"/>
    <w:rsid w:val="00B06D12"/>
    <w:rsid w:val="00B06DD5"/>
    <w:rsid w:val="00B06FEE"/>
    <w:rsid w:val="00B07CCA"/>
    <w:rsid w:val="00B07ED4"/>
    <w:rsid w:val="00B07F2B"/>
    <w:rsid w:val="00B10E88"/>
    <w:rsid w:val="00B110F9"/>
    <w:rsid w:val="00B116A0"/>
    <w:rsid w:val="00B1171E"/>
    <w:rsid w:val="00B118C7"/>
    <w:rsid w:val="00B11FED"/>
    <w:rsid w:val="00B120BA"/>
    <w:rsid w:val="00B121AA"/>
    <w:rsid w:val="00B12217"/>
    <w:rsid w:val="00B12263"/>
    <w:rsid w:val="00B124DA"/>
    <w:rsid w:val="00B126E8"/>
    <w:rsid w:val="00B12886"/>
    <w:rsid w:val="00B129C4"/>
    <w:rsid w:val="00B12D01"/>
    <w:rsid w:val="00B13120"/>
    <w:rsid w:val="00B1318D"/>
    <w:rsid w:val="00B13499"/>
    <w:rsid w:val="00B1356F"/>
    <w:rsid w:val="00B138B7"/>
    <w:rsid w:val="00B13A44"/>
    <w:rsid w:val="00B13A93"/>
    <w:rsid w:val="00B13BDB"/>
    <w:rsid w:val="00B13CC1"/>
    <w:rsid w:val="00B141FF"/>
    <w:rsid w:val="00B14360"/>
    <w:rsid w:val="00B14383"/>
    <w:rsid w:val="00B14B61"/>
    <w:rsid w:val="00B14C25"/>
    <w:rsid w:val="00B14C64"/>
    <w:rsid w:val="00B14EAD"/>
    <w:rsid w:val="00B1547B"/>
    <w:rsid w:val="00B154C9"/>
    <w:rsid w:val="00B1584F"/>
    <w:rsid w:val="00B15B1E"/>
    <w:rsid w:val="00B16269"/>
    <w:rsid w:val="00B16682"/>
    <w:rsid w:val="00B166E2"/>
    <w:rsid w:val="00B16756"/>
    <w:rsid w:val="00B16AF4"/>
    <w:rsid w:val="00B16CBE"/>
    <w:rsid w:val="00B16CD0"/>
    <w:rsid w:val="00B16D66"/>
    <w:rsid w:val="00B1736A"/>
    <w:rsid w:val="00B17403"/>
    <w:rsid w:val="00B17472"/>
    <w:rsid w:val="00B1786D"/>
    <w:rsid w:val="00B17963"/>
    <w:rsid w:val="00B17A5E"/>
    <w:rsid w:val="00B17AE6"/>
    <w:rsid w:val="00B200F3"/>
    <w:rsid w:val="00B20162"/>
    <w:rsid w:val="00B20328"/>
    <w:rsid w:val="00B20926"/>
    <w:rsid w:val="00B209AF"/>
    <w:rsid w:val="00B20AD2"/>
    <w:rsid w:val="00B20B58"/>
    <w:rsid w:val="00B20D48"/>
    <w:rsid w:val="00B20DCA"/>
    <w:rsid w:val="00B21151"/>
    <w:rsid w:val="00B2120D"/>
    <w:rsid w:val="00B21552"/>
    <w:rsid w:val="00B21672"/>
    <w:rsid w:val="00B217B1"/>
    <w:rsid w:val="00B21881"/>
    <w:rsid w:val="00B218EB"/>
    <w:rsid w:val="00B21A29"/>
    <w:rsid w:val="00B21C87"/>
    <w:rsid w:val="00B21F06"/>
    <w:rsid w:val="00B21F70"/>
    <w:rsid w:val="00B22AFF"/>
    <w:rsid w:val="00B22BE0"/>
    <w:rsid w:val="00B22ED2"/>
    <w:rsid w:val="00B2360F"/>
    <w:rsid w:val="00B239BA"/>
    <w:rsid w:val="00B23A68"/>
    <w:rsid w:val="00B23AFC"/>
    <w:rsid w:val="00B24135"/>
    <w:rsid w:val="00B241A1"/>
    <w:rsid w:val="00B24362"/>
    <w:rsid w:val="00B24A01"/>
    <w:rsid w:val="00B24AF8"/>
    <w:rsid w:val="00B24B21"/>
    <w:rsid w:val="00B24B35"/>
    <w:rsid w:val="00B24DDE"/>
    <w:rsid w:val="00B2506D"/>
    <w:rsid w:val="00B251C6"/>
    <w:rsid w:val="00B2527B"/>
    <w:rsid w:val="00B25729"/>
    <w:rsid w:val="00B25ABB"/>
    <w:rsid w:val="00B25B87"/>
    <w:rsid w:val="00B2621D"/>
    <w:rsid w:val="00B262E3"/>
    <w:rsid w:val="00B268C0"/>
    <w:rsid w:val="00B26B2B"/>
    <w:rsid w:val="00B26C29"/>
    <w:rsid w:val="00B26D63"/>
    <w:rsid w:val="00B26DAC"/>
    <w:rsid w:val="00B27591"/>
    <w:rsid w:val="00B27700"/>
    <w:rsid w:val="00B2770D"/>
    <w:rsid w:val="00B27877"/>
    <w:rsid w:val="00B27E2A"/>
    <w:rsid w:val="00B304DE"/>
    <w:rsid w:val="00B30771"/>
    <w:rsid w:val="00B30E6A"/>
    <w:rsid w:val="00B30FBE"/>
    <w:rsid w:val="00B31108"/>
    <w:rsid w:val="00B31479"/>
    <w:rsid w:val="00B31729"/>
    <w:rsid w:val="00B3185D"/>
    <w:rsid w:val="00B31925"/>
    <w:rsid w:val="00B31B26"/>
    <w:rsid w:val="00B31B92"/>
    <w:rsid w:val="00B31CCB"/>
    <w:rsid w:val="00B31E83"/>
    <w:rsid w:val="00B32110"/>
    <w:rsid w:val="00B3231E"/>
    <w:rsid w:val="00B324E4"/>
    <w:rsid w:val="00B325FE"/>
    <w:rsid w:val="00B32610"/>
    <w:rsid w:val="00B32AC7"/>
    <w:rsid w:val="00B32DDF"/>
    <w:rsid w:val="00B32F10"/>
    <w:rsid w:val="00B3307C"/>
    <w:rsid w:val="00B33503"/>
    <w:rsid w:val="00B3395E"/>
    <w:rsid w:val="00B33A0F"/>
    <w:rsid w:val="00B33A57"/>
    <w:rsid w:val="00B33BF0"/>
    <w:rsid w:val="00B33C36"/>
    <w:rsid w:val="00B33FEA"/>
    <w:rsid w:val="00B34447"/>
    <w:rsid w:val="00B345DE"/>
    <w:rsid w:val="00B3461E"/>
    <w:rsid w:val="00B346C1"/>
    <w:rsid w:val="00B347B0"/>
    <w:rsid w:val="00B348BD"/>
    <w:rsid w:val="00B34925"/>
    <w:rsid w:val="00B34AFD"/>
    <w:rsid w:val="00B34D45"/>
    <w:rsid w:val="00B3518A"/>
    <w:rsid w:val="00B3543D"/>
    <w:rsid w:val="00B35724"/>
    <w:rsid w:val="00B3573D"/>
    <w:rsid w:val="00B35C14"/>
    <w:rsid w:val="00B35DB4"/>
    <w:rsid w:val="00B35E0C"/>
    <w:rsid w:val="00B35E8A"/>
    <w:rsid w:val="00B35F60"/>
    <w:rsid w:val="00B36235"/>
    <w:rsid w:val="00B3623F"/>
    <w:rsid w:val="00B363B2"/>
    <w:rsid w:val="00B36598"/>
    <w:rsid w:val="00B36630"/>
    <w:rsid w:val="00B3705E"/>
    <w:rsid w:val="00B37100"/>
    <w:rsid w:val="00B37164"/>
    <w:rsid w:val="00B37254"/>
    <w:rsid w:val="00B37395"/>
    <w:rsid w:val="00B37B3C"/>
    <w:rsid w:val="00B37C66"/>
    <w:rsid w:val="00B37F8C"/>
    <w:rsid w:val="00B4042E"/>
    <w:rsid w:val="00B40697"/>
    <w:rsid w:val="00B4077F"/>
    <w:rsid w:val="00B40802"/>
    <w:rsid w:val="00B408EA"/>
    <w:rsid w:val="00B40BBD"/>
    <w:rsid w:val="00B416DE"/>
    <w:rsid w:val="00B417D3"/>
    <w:rsid w:val="00B4215E"/>
    <w:rsid w:val="00B429B4"/>
    <w:rsid w:val="00B429E1"/>
    <w:rsid w:val="00B42B8F"/>
    <w:rsid w:val="00B42D3E"/>
    <w:rsid w:val="00B42F92"/>
    <w:rsid w:val="00B43409"/>
    <w:rsid w:val="00B43436"/>
    <w:rsid w:val="00B439B1"/>
    <w:rsid w:val="00B43DD1"/>
    <w:rsid w:val="00B4411B"/>
    <w:rsid w:val="00B44349"/>
    <w:rsid w:val="00B44575"/>
    <w:rsid w:val="00B446FD"/>
    <w:rsid w:val="00B44B36"/>
    <w:rsid w:val="00B44BED"/>
    <w:rsid w:val="00B44EEE"/>
    <w:rsid w:val="00B4517C"/>
    <w:rsid w:val="00B45226"/>
    <w:rsid w:val="00B4534F"/>
    <w:rsid w:val="00B45741"/>
    <w:rsid w:val="00B45B5F"/>
    <w:rsid w:val="00B45CCC"/>
    <w:rsid w:val="00B463FF"/>
    <w:rsid w:val="00B46519"/>
    <w:rsid w:val="00B465B0"/>
    <w:rsid w:val="00B466D5"/>
    <w:rsid w:val="00B46706"/>
    <w:rsid w:val="00B46CB5"/>
    <w:rsid w:val="00B4733E"/>
    <w:rsid w:val="00B474CA"/>
    <w:rsid w:val="00B476B4"/>
    <w:rsid w:val="00B4772E"/>
    <w:rsid w:val="00B4775F"/>
    <w:rsid w:val="00B47A7B"/>
    <w:rsid w:val="00B47DC1"/>
    <w:rsid w:val="00B47DFA"/>
    <w:rsid w:val="00B47E3E"/>
    <w:rsid w:val="00B47EFB"/>
    <w:rsid w:val="00B50187"/>
    <w:rsid w:val="00B503D8"/>
    <w:rsid w:val="00B5052E"/>
    <w:rsid w:val="00B50728"/>
    <w:rsid w:val="00B509AA"/>
    <w:rsid w:val="00B50C65"/>
    <w:rsid w:val="00B50CFF"/>
    <w:rsid w:val="00B50F5C"/>
    <w:rsid w:val="00B51053"/>
    <w:rsid w:val="00B51207"/>
    <w:rsid w:val="00B5124D"/>
    <w:rsid w:val="00B5137C"/>
    <w:rsid w:val="00B51452"/>
    <w:rsid w:val="00B51963"/>
    <w:rsid w:val="00B5198E"/>
    <w:rsid w:val="00B519AF"/>
    <w:rsid w:val="00B51BB7"/>
    <w:rsid w:val="00B51BDF"/>
    <w:rsid w:val="00B51CF0"/>
    <w:rsid w:val="00B521D9"/>
    <w:rsid w:val="00B523AD"/>
    <w:rsid w:val="00B5264A"/>
    <w:rsid w:val="00B52898"/>
    <w:rsid w:val="00B52C42"/>
    <w:rsid w:val="00B52D1B"/>
    <w:rsid w:val="00B53A48"/>
    <w:rsid w:val="00B53A86"/>
    <w:rsid w:val="00B54304"/>
    <w:rsid w:val="00B54370"/>
    <w:rsid w:val="00B54426"/>
    <w:rsid w:val="00B5455A"/>
    <w:rsid w:val="00B545B9"/>
    <w:rsid w:val="00B54F0A"/>
    <w:rsid w:val="00B5517F"/>
    <w:rsid w:val="00B55649"/>
    <w:rsid w:val="00B556D2"/>
    <w:rsid w:val="00B558CC"/>
    <w:rsid w:val="00B5592E"/>
    <w:rsid w:val="00B55A8B"/>
    <w:rsid w:val="00B55AAC"/>
    <w:rsid w:val="00B55B30"/>
    <w:rsid w:val="00B55CE5"/>
    <w:rsid w:val="00B55EFD"/>
    <w:rsid w:val="00B55FBB"/>
    <w:rsid w:val="00B561D6"/>
    <w:rsid w:val="00B56392"/>
    <w:rsid w:val="00B564A7"/>
    <w:rsid w:val="00B56660"/>
    <w:rsid w:val="00B56839"/>
    <w:rsid w:val="00B569FA"/>
    <w:rsid w:val="00B56C0D"/>
    <w:rsid w:val="00B56D67"/>
    <w:rsid w:val="00B57082"/>
    <w:rsid w:val="00B57649"/>
    <w:rsid w:val="00B57AC0"/>
    <w:rsid w:val="00B60056"/>
    <w:rsid w:val="00B604FD"/>
    <w:rsid w:val="00B605F8"/>
    <w:rsid w:val="00B60964"/>
    <w:rsid w:val="00B6145F"/>
    <w:rsid w:val="00B6158C"/>
    <w:rsid w:val="00B618C5"/>
    <w:rsid w:val="00B61A38"/>
    <w:rsid w:val="00B61ACC"/>
    <w:rsid w:val="00B61B33"/>
    <w:rsid w:val="00B61B8C"/>
    <w:rsid w:val="00B61E39"/>
    <w:rsid w:val="00B62015"/>
    <w:rsid w:val="00B620DF"/>
    <w:rsid w:val="00B62872"/>
    <w:rsid w:val="00B62C5F"/>
    <w:rsid w:val="00B62F3A"/>
    <w:rsid w:val="00B62F94"/>
    <w:rsid w:val="00B63171"/>
    <w:rsid w:val="00B6317C"/>
    <w:rsid w:val="00B6326F"/>
    <w:rsid w:val="00B6330C"/>
    <w:rsid w:val="00B633AD"/>
    <w:rsid w:val="00B63723"/>
    <w:rsid w:val="00B63ACF"/>
    <w:rsid w:val="00B63B44"/>
    <w:rsid w:val="00B63B46"/>
    <w:rsid w:val="00B63BA7"/>
    <w:rsid w:val="00B63CAF"/>
    <w:rsid w:val="00B64132"/>
    <w:rsid w:val="00B6425E"/>
    <w:rsid w:val="00B64347"/>
    <w:rsid w:val="00B64424"/>
    <w:rsid w:val="00B64AB6"/>
    <w:rsid w:val="00B64BEB"/>
    <w:rsid w:val="00B65404"/>
    <w:rsid w:val="00B65805"/>
    <w:rsid w:val="00B65922"/>
    <w:rsid w:val="00B6595A"/>
    <w:rsid w:val="00B65A18"/>
    <w:rsid w:val="00B65CC6"/>
    <w:rsid w:val="00B6600B"/>
    <w:rsid w:val="00B66326"/>
    <w:rsid w:val="00B6638C"/>
    <w:rsid w:val="00B663F4"/>
    <w:rsid w:val="00B669D3"/>
    <w:rsid w:val="00B66A99"/>
    <w:rsid w:val="00B66E73"/>
    <w:rsid w:val="00B67450"/>
    <w:rsid w:val="00B6782D"/>
    <w:rsid w:val="00B67BFB"/>
    <w:rsid w:val="00B708EC"/>
    <w:rsid w:val="00B70C19"/>
    <w:rsid w:val="00B70D59"/>
    <w:rsid w:val="00B70DAA"/>
    <w:rsid w:val="00B7122F"/>
    <w:rsid w:val="00B71857"/>
    <w:rsid w:val="00B718B1"/>
    <w:rsid w:val="00B71BD1"/>
    <w:rsid w:val="00B71EDB"/>
    <w:rsid w:val="00B72432"/>
    <w:rsid w:val="00B724C3"/>
    <w:rsid w:val="00B72821"/>
    <w:rsid w:val="00B72A27"/>
    <w:rsid w:val="00B72AC7"/>
    <w:rsid w:val="00B72D12"/>
    <w:rsid w:val="00B72FB6"/>
    <w:rsid w:val="00B732D5"/>
    <w:rsid w:val="00B73354"/>
    <w:rsid w:val="00B73480"/>
    <w:rsid w:val="00B735A8"/>
    <w:rsid w:val="00B737A5"/>
    <w:rsid w:val="00B73AD7"/>
    <w:rsid w:val="00B73B98"/>
    <w:rsid w:val="00B73FD3"/>
    <w:rsid w:val="00B740BA"/>
    <w:rsid w:val="00B74397"/>
    <w:rsid w:val="00B74599"/>
    <w:rsid w:val="00B74833"/>
    <w:rsid w:val="00B74955"/>
    <w:rsid w:val="00B74B1D"/>
    <w:rsid w:val="00B74B62"/>
    <w:rsid w:val="00B74C43"/>
    <w:rsid w:val="00B74F68"/>
    <w:rsid w:val="00B754F2"/>
    <w:rsid w:val="00B75716"/>
    <w:rsid w:val="00B7584C"/>
    <w:rsid w:val="00B758AA"/>
    <w:rsid w:val="00B758DE"/>
    <w:rsid w:val="00B758EA"/>
    <w:rsid w:val="00B75C04"/>
    <w:rsid w:val="00B75E91"/>
    <w:rsid w:val="00B75EF3"/>
    <w:rsid w:val="00B7625F"/>
    <w:rsid w:val="00B76526"/>
    <w:rsid w:val="00B766E9"/>
    <w:rsid w:val="00B76763"/>
    <w:rsid w:val="00B768D3"/>
    <w:rsid w:val="00B7694A"/>
    <w:rsid w:val="00B76B12"/>
    <w:rsid w:val="00B76CD7"/>
    <w:rsid w:val="00B76D47"/>
    <w:rsid w:val="00B76E2F"/>
    <w:rsid w:val="00B76FA9"/>
    <w:rsid w:val="00B7711B"/>
    <w:rsid w:val="00B771B3"/>
    <w:rsid w:val="00B7725D"/>
    <w:rsid w:val="00B7729C"/>
    <w:rsid w:val="00B777BB"/>
    <w:rsid w:val="00B77A63"/>
    <w:rsid w:val="00B77A84"/>
    <w:rsid w:val="00B77DB6"/>
    <w:rsid w:val="00B77FFA"/>
    <w:rsid w:val="00B806F9"/>
    <w:rsid w:val="00B807C0"/>
    <w:rsid w:val="00B80B7A"/>
    <w:rsid w:val="00B80E5C"/>
    <w:rsid w:val="00B8103F"/>
    <w:rsid w:val="00B814A3"/>
    <w:rsid w:val="00B814C0"/>
    <w:rsid w:val="00B815C0"/>
    <w:rsid w:val="00B816B1"/>
    <w:rsid w:val="00B81BA0"/>
    <w:rsid w:val="00B81DF2"/>
    <w:rsid w:val="00B81F6A"/>
    <w:rsid w:val="00B82085"/>
    <w:rsid w:val="00B82086"/>
    <w:rsid w:val="00B823CE"/>
    <w:rsid w:val="00B824EB"/>
    <w:rsid w:val="00B82FC3"/>
    <w:rsid w:val="00B82FE1"/>
    <w:rsid w:val="00B834E1"/>
    <w:rsid w:val="00B837ED"/>
    <w:rsid w:val="00B8383B"/>
    <w:rsid w:val="00B83875"/>
    <w:rsid w:val="00B8395C"/>
    <w:rsid w:val="00B83B1B"/>
    <w:rsid w:val="00B83F26"/>
    <w:rsid w:val="00B83F40"/>
    <w:rsid w:val="00B83F58"/>
    <w:rsid w:val="00B84178"/>
    <w:rsid w:val="00B84190"/>
    <w:rsid w:val="00B84271"/>
    <w:rsid w:val="00B8428F"/>
    <w:rsid w:val="00B844A3"/>
    <w:rsid w:val="00B84629"/>
    <w:rsid w:val="00B8464D"/>
    <w:rsid w:val="00B84B8D"/>
    <w:rsid w:val="00B84BEE"/>
    <w:rsid w:val="00B84D50"/>
    <w:rsid w:val="00B84EAD"/>
    <w:rsid w:val="00B85064"/>
    <w:rsid w:val="00B850CB"/>
    <w:rsid w:val="00B850F5"/>
    <w:rsid w:val="00B852AD"/>
    <w:rsid w:val="00B853A0"/>
    <w:rsid w:val="00B859BD"/>
    <w:rsid w:val="00B8605B"/>
    <w:rsid w:val="00B866A3"/>
    <w:rsid w:val="00B8694D"/>
    <w:rsid w:val="00B86B19"/>
    <w:rsid w:val="00B86B2B"/>
    <w:rsid w:val="00B86D88"/>
    <w:rsid w:val="00B86E2C"/>
    <w:rsid w:val="00B86F8B"/>
    <w:rsid w:val="00B8714F"/>
    <w:rsid w:val="00B873A8"/>
    <w:rsid w:val="00B87706"/>
    <w:rsid w:val="00B87836"/>
    <w:rsid w:val="00B879DD"/>
    <w:rsid w:val="00B87D0E"/>
    <w:rsid w:val="00B87EFB"/>
    <w:rsid w:val="00B900EC"/>
    <w:rsid w:val="00B901F4"/>
    <w:rsid w:val="00B90690"/>
    <w:rsid w:val="00B90923"/>
    <w:rsid w:val="00B90A12"/>
    <w:rsid w:val="00B91051"/>
    <w:rsid w:val="00B910E2"/>
    <w:rsid w:val="00B914F7"/>
    <w:rsid w:val="00B9163B"/>
    <w:rsid w:val="00B91731"/>
    <w:rsid w:val="00B919D2"/>
    <w:rsid w:val="00B91CBC"/>
    <w:rsid w:val="00B9298E"/>
    <w:rsid w:val="00B92A89"/>
    <w:rsid w:val="00B92CB4"/>
    <w:rsid w:val="00B92EEF"/>
    <w:rsid w:val="00B93211"/>
    <w:rsid w:val="00B937A2"/>
    <w:rsid w:val="00B93859"/>
    <w:rsid w:val="00B9394D"/>
    <w:rsid w:val="00B93972"/>
    <w:rsid w:val="00B93CDF"/>
    <w:rsid w:val="00B93F62"/>
    <w:rsid w:val="00B941AA"/>
    <w:rsid w:val="00B944E0"/>
    <w:rsid w:val="00B94532"/>
    <w:rsid w:val="00B9457D"/>
    <w:rsid w:val="00B94728"/>
    <w:rsid w:val="00B949EA"/>
    <w:rsid w:val="00B94A55"/>
    <w:rsid w:val="00B94BF4"/>
    <w:rsid w:val="00B94CEC"/>
    <w:rsid w:val="00B95114"/>
    <w:rsid w:val="00B951F5"/>
    <w:rsid w:val="00B959C0"/>
    <w:rsid w:val="00B95B61"/>
    <w:rsid w:val="00B95EB7"/>
    <w:rsid w:val="00B95EE6"/>
    <w:rsid w:val="00B95F14"/>
    <w:rsid w:val="00B9600E"/>
    <w:rsid w:val="00B96108"/>
    <w:rsid w:val="00B96392"/>
    <w:rsid w:val="00B96441"/>
    <w:rsid w:val="00B968DE"/>
    <w:rsid w:val="00B96919"/>
    <w:rsid w:val="00B96AF5"/>
    <w:rsid w:val="00B96D74"/>
    <w:rsid w:val="00B9705B"/>
    <w:rsid w:val="00B971E6"/>
    <w:rsid w:val="00B9734F"/>
    <w:rsid w:val="00B9737A"/>
    <w:rsid w:val="00B97421"/>
    <w:rsid w:val="00B97461"/>
    <w:rsid w:val="00B976D0"/>
    <w:rsid w:val="00B977AB"/>
    <w:rsid w:val="00B979B9"/>
    <w:rsid w:val="00B979E2"/>
    <w:rsid w:val="00B97BC0"/>
    <w:rsid w:val="00B97BD1"/>
    <w:rsid w:val="00B97D48"/>
    <w:rsid w:val="00BA034F"/>
    <w:rsid w:val="00BA0356"/>
    <w:rsid w:val="00BA0547"/>
    <w:rsid w:val="00BA07C9"/>
    <w:rsid w:val="00BA122E"/>
    <w:rsid w:val="00BA1516"/>
    <w:rsid w:val="00BA15F2"/>
    <w:rsid w:val="00BA1711"/>
    <w:rsid w:val="00BA2A36"/>
    <w:rsid w:val="00BA2B21"/>
    <w:rsid w:val="00BA2B2D"/>
    <w:rsid w:val="00BA2DE9"/>
    <w:rsid w:val="00BA3039"/>
    <w:rsid w:val="00BA30D1"/>
    <w:rsid w:val="00BA3277"/>
    <w:rsid w:val="00BA3481"/>
    <w:rsid w:val="00BA35CF"/>
    <w:rsid w:val="00BA366A"/>
    <w:rsid w:val="00BA3822"/>
    <w:rsid w:val="00BA3B9B"/>
    <w:rsid w:val="00BA47AF"/>
    <w:rsid w:val="00BA4A53"/>
    <w:rsid w:val="00BA5195"/>
    <w:rsid w:val="00BA5338"/>
    <w:rsid w:val="00BA536B"/>
    <w:rsid w:val="00BA5D77"/>
    <w:rsid w:val="00BA612E"/>
    <w:rsid w:val="00BA62F3"/>
    <w:rsid w:val="00BA65F4"/>
    <w:rsid w:val="00BA7344"/>
    <w:rsid w:val="00BA76B0"/>
    <w:rsid w:val="00BA76C6"/>
    <w:rsid w:val="00BA7CFE"/>
    <w:rsid w:val="00BB0059"/>
    <w:rsid w:val="00BB01DB"/>
    <w:rsid w:val="00BB034C"/>
    <w:rsid w:val="00BB0612"/>
    <w:rsid w:val="00BB0903"/>
    <w:rsid w:val="00BB0D58"/>
    <w:rsid w:val="00BB0E29"/>
    <w:rsid w:val="00BB0E6A"/>
    <w:rsid w:val="00BB0F94"/>
    <w:rsid w:val="00BB12B4"/>
    <w:rsid w:val="00BB1333"/>
    <w:rsid w:val="00BB13D7"/>
    <w:rsid w:val="00BB1403"/>
    <w:rsid w:val="00BB172A"/>
    <w:rsid w:val="00BB1884"/>
    <w:rsid w:val="00BB18C0"/>
    <w:rsid w:val="00BB1A6A"/>
    <w:rsid w:val="00BB1ACA"/>
    <w:rsid w:val="00BB1C1A"/>
    <w:rsid w:val="00BB1E0B"/>
    <w:rsid w:val="00BB1E0D"/>
    <w:rsid w:val="00BB2422"/>
    <w:rsid w:val="00BB2452"/>
    <w:rsid w:val="00BB248D"/>
    <w:rsid w:val="00BB26B6"/>
    <w:rsid w:val="00BB2922"/>
    <w:rsid w:val="00BB2EC8"/>
    <w:rsid w:val="00BB2FEB"/>
    <w:rsid w:val="00BB33F3"/>
    <w:rsid w:val="00BB374B"/>
    <w:rsid w:val="00BB379A"/>
    <w:rsid w:val="00BB3911"/>
    <w:rsid w:val="00BB3C0E"/>
    <w:rsid w:val="00BB3FEE"/>
    <w:rsid w:val="00BB427B"/>
    <w:rsid w:val="00BB485B"/>
    <w:rsid w:val="00BB4AE1"/>
    <w:rsid w:val="00BB4C63"/>
    <w:rsid w:val="00BB4C93"/>
    <w:rsid w:val="00BB4CC5"/>
    <w:rsid w:val="00BB53B1"/>
    <w:rsid w:val="00BB53D6"/>
    <w:rsid w:val="00BB5702"/>
    <w:rsid w:val="00BB5797"/>
    <w:rsid w:val="00BB5A34"/>
    <w:rsid w:val="00BB5C26"/>
    <w:rsid w:val="00BB5F10"/>
    <w:rsid w:val="00BB602D"/>
    <w:rsid w:val="00BB612A"/>
    <w:rsid w:val="00BB638A"/>
    <w:rsid w:val="00BB64CC"/>
    <w:rsid w:val="00BB6B02"/>
    <w:rsid w:val="00BB6B30"/>
    <w:rsid w:val="00BB6C3C"/>
    <w:rsid w:val="00BB6CED"/>
    <w:rsid w:val="00BB70B0"/>
    <w:rsid w:val="00BB7123"/>
    <w:rsid w:val="00BB72E0"/>
    <w:rsid w:val="00BB743F"/>
    <w:rsid w:val="00BB7D43"/>
    <w:rsid w:val="00BB7F63"/>
    <w:rsid w:val="00BC028D"/>
    <w:rsid w:val="00BC03F8"/>
    <w:rsid w:val="00BC04D8"/>
    <w:rsid w:val="00BC0705"/>
    <w:rsid w:val="00BC07A6"/>
    <w:rsid w:val="00BC082F"/>
    <w:rsid w:val="00BC085D"/>
    <w:rsid w:val="00BC0B05"/>
    <w:rsid w:val="00BC0BB6"/>
    <w:rsid w:val="00BC0C88"/>
    <w:rsid w:val="00BC0D70"/>
    <w:rsid w:val="00BC0DAD"/>
    <w:rsid w:val="00BC0E40"/>
    <w:rsid w:val="00BC0F52"/>
    <w:rsid w:val="00BC0FF6"/>
    <w:rsid w:val="00BC1421"/>
    <w:rsid w:val="00BC1AB6"/>
    <w:rsid w:val="00BC1CC9"/>
    <w:rsid w:val="00BC1D23"/>
    <w:rsid w:val="00BC1DDE"/>
    <w:rsid w:val="00BC1EE1"/>
    <w:rsid w:val="00BC2075"/>
    <w:rsid w:val="00BC29D1"/>
    <w:rsid w:val="00BC2C4B"/>
    <w:rsid w:val="00BC2EAE"/>
    <w:rsid w:val="00BC3102"/>
    <w:rsid w:val="00BC335B"/>
    <w:rsid w:val="00BC337C"/>
    <w:rsid w:val="00BC389D"/>
    <w:rsid w:val="00BC3E1D"/>
    <w:rsid w:val="00BC3E66"/>
    <w:rsid w:val="00BC3F06"/>
    <w:rsid w:val="00BC408E"/>
    <w:rsid w:val="00BC42C5"/>
    <w:rsid w:val="00BC43B0"/>
    <w:rsid w:val="00BC4713"/>
    <w:rsid w:val="00BC4819"/>
    <w:rsid w:val="00BC4F76"/>
    <w:rsid w:val="00BC52DE"/>
    <w:rsid w:val="00BC54CC"/>
    <w:rsid w:val="00BC560E"/>
    <w:rsid w:val="00BC5996"/>
    <w:rsid w:val="00BC5B37"/>
    <w:rsid w:val="00BC5F89"/>
    <w:rsid w:val="00BC5FEB"/>
    <w:rsid w:val="00BC61A4"/>
    <w:rsid w:val="00BC64A6"/>
    <w:rsid w:val="00BC6FF4"/>
    <w:rsid w:val="00BC7099"/>
    <w:rsid w:val="00BC73D2"/>
    <w:rsid w:val="00BC747A"/>
    <w:rsid w:val="00BC755B"/>
    <w:rsid w:val="00BC76BB"/>
    <w:rsid w:val="00BC7831"/>
    <w:rsid w:val="00BC78AA"/>
    <w:rsid w:val="00BC79B5"/>
    <w:rsid w:val="00BC7CD2"/>
    <w:rsid w:val="00BC7DC8"/>
    <w:rsid w:val="00BC7DFF"/>
    <w:rsid w:val="00BC7E4F"/>
    <w:rsid w:val="00BC7F00"/>
    <w:rsid w:val="00BC7F2C"/>
    <w:rsid w:val="00BD0221"/>
    <w:rsid w:val="00BD07D6"/>
    <w:rsid w:val="00BD0858"/>
    <w:rsid w:val="00BD088F"/>
    <w:rsid w:val="00BD0892"/>
    <w:rsid w:val="00BD0BFB"/>
    <w:rsid w:val="00BD0E7B"/>
    <w:rsid w:val="00BD0FCB"/>
    <w:rsid w:val="00BD1124"/>
    <w:rsid w:val="00BD1141"/>
    <w:rsid w:val="00BD117B"/>
    <w:rsid w:val="00BD1511"/>
    <w:rsid w:val="00BD1B2C"/>
    <w:rsid w:val="00BD1DFD"/>
    <w:rsid w:val="00BD2457"/>
    <w:rsid w:val="00BD25D3"/>
    <w:rsid w:val="00BD262F"/>
    <w:rsid w:val="00BD2ADA"/>
    <w:rsid w:val="00BD2E15"/>
    <w:rsid w:val="00BD2E57"/>
    <w:rsid w:val="00BD30A7"/>
    <w:rsid w:val="00BD3156"/>
    <w:rsid w:val="00BD35FD"/>
    <w:rsid w:val="00BD39E2"/>
    <w:rsid w:val="00BD3A4E"/>
    <w:rsid w:val="00BD3A56"/>
    <w:rsid w:val="00BD3ADC"/>
    <w:rsid w:val="00BD3B39"/>
    <w:rsid w:val="00BD3CDE"/>
    <w:rsid w:val="00BD4428"/>
    <w:rsid w:val="00BD4A72"/>
    <w:rsid w:val="00BD4E7D"/>
    <w:rsid w:val="00BD5347"/>
    <w:rsid w:val="00BD56F8"/>
    <w:rsid w:val="00BD5852"/>
    <w:rsid w:val="00BD5FBD"/>
    <w:rsid w:val="00BD6441"/>
    <w:rsid w:val="00BD645B"/>
    <w:rsid w:val="00BD67AE"/>
    <w:rsid w:val="00BD6B29"/>
    <w:rsid w:val="00BD6CCD"/>
    <w:rsid w:val="00BD6E67"/>
    <w:rsid w:val="00BD7128"/>
    <w:rsid w:val="00BD71A0"/>
    <w:rsid w:val="00BD72B7"/>
    <w:rsid w:val="00BD748A"/>
    <w:rsid w:val="00BD7782"/>
    <w:rsid w:val="00BD79DE"/>
    <w:rsid w:val="00BD7E69"/>
    <w:rsid w:val="00BD7F70"/>
    <w:rsid w:val="00BE0038"/>
    <w:rsid w:val="00BE05AB"/>
    <w:rsid w:val="00BE0635"/>
    <w:rsid w:val="00BE0BA1"/>
    <w:rsid w:val="00BE0CE2"/>
    <w:rsid w:val="00BE0D94"/>
    <w:rsid w:val="00BE0F58"/>
    <w:rsid w:val="00BE0FD0"/>
    <w:rsid w:val="00BE115F"/>
    <w:rsid w:val="00BE15D0"/>
    <w:rsid w:val="00BE195C"/>
    <w:rsid w:val="00BE1A8B"/>
    <w:rsid w:val="00BE1C9A"/>
    <w:rsid w:val="00BE1E25"/>
    <w:rsid w:val="00BE21A2"/>
    <w:rsid w:val="00BE2695"/>
    <w:rsid w:val="00BE26CC"/>
    <w:rsid w:val="00BE28BA"/>
    <w:rsid w:val="00BE2D76"/>
    <w:rsid w:val="00BE2EE4"/>
    <w:rsid w:val="00BE334C"/>
    <w:rsid w:val="00BE336B"/>
    <w:rsid w:val="00BE336C"/>
    <w:rsid w:val="00BE378E"/>
    <w:rsid w:val="00BE3C40"/>
    <w:rsid w:val="00BE3F56"/>
    <w:rsid w:val="00BE4368"/>
    <w:rsid w:val="00BE45FE"/>
    <w:rsid w:val="00BE4695"/>
    <w:rsid w:val="00BE5073"/>
    <w:rsid w:val="00BE56D1"/>
    <w:rsid w:val="00BE5850"/>
    <w:rsid w:val="00BE59B7"/>
    <w:rsid w:val="00BE59D3"/>
    <w:rsid w:val="00BE5E86"/>
    <w:rsid w:val="00BE5F3C"/>
    <w:rsid w:val="00BE6116"/>
    <w:rsid w:val="00BE6294"/>
    <w:rsid w:val="00BE6705"/>
    <w:rsid w:val="00BE6839"/>
    <w:rsid w:val="00BE6B7E"/>
    <w:rsid w:val="00BE6B84"/>
    <w:rsid w:val="00BE6D18"/>
    <w:rsid w:val="00BE7493"/>
    <w:rsid w:val="00BE7993"/>
    <w:rsid w:val="00BE7F20"/>
    <w:rsid w:val="00BF0B6C"/>
    <w:rsid w:val="00BF0E97"/>
    <w:rsid w:val="00BF1121"/>
    <w:rsid w:val="00BF13C6"/>
    <w:rsid w:val="00BF1425"/>
    <w:rsid w:val="00BF1644"/>
    <w:rsid w:val="00BF1688"/>
    <w:rsid w:val="00BF1736"/>
    <w:rsid w:val="00BF189E"/>
    <w:rsid w:val="00BF19A5"/>
    <w:rsid w:val="00BF1D21"/>
    <w:rsid w:val="00BF1D87"/>
    <w:rsid w:val="00BF208A"/>
    <w:rsid w:val="00BF2256"/>
    <w:rsid w:val="00BF23FE"/>
    <w:rsid w:val="00BF249F"/>
    <w:rsid w:val="00BF24C6"/>
    <w:rsid w:val="00BF25FF"/>
    <w:rsid w:val="00BF2665"/>
    <w:rsid w:val="00BF26ED"/>
    <w:rsid w:val="00BF2ADE"/>
    <w:rsid w:val="00BF2C23"/>
    <w:rsid w:val="00BF30C4"/>
    <w:rsid w:val="00BF3408"/>
    <w:rsid w:val="00BF36E9"/>
    <w:rsid w:val="00BF3E25"/>
    <w:rsid w:val="00BF3F85"/>
    <w:rsid w:val="00BF408F"/>
    <w:rsid w:val="00BF4120"/>
    <w:rsid w:val="00BF424B"/>
    <w:rsid w:val="00BF4E68"/>
    <w:rsid w:val="00BF5633"/>
    <w:rsid w:val="00BF5858"/>
    <w:rsid w:val="00BF5A2D"/>
    <w:rsid w:val="00BF5BB0"/>
    <w:rsid w:val="00BF612D"/>
    <w:rsid w:val="00BF6155"/>
    <w:rsid w:val="00BF62E0"/>
    <w:rsid w:val="00BF6699"/>
    <w:rsid w:val="00BF675C"/>
    <w:rsid w:val="00BF68A8"/>
    <w:rsid w:val="00BF6971"/>
    <w:rsid w:val="00BF6CD1"/>
    <w:rsid w:val="00BF741C"/>
    <w:rsid w:val="00BF749F"/>
    <w:rsid w:val="00BF751A"/>
    <w:rsid w:val="00BF7547"/>
    <w:rsid w:val="00BF77F3"/>
    <w:rsid w:val="00BF7C26"/>
    <w:rsid w:val="00BF7D30"/>
    <w:rsid w:val="00BF7DD9"/>
    <w:rsid w:val="00BF7E28"/>
    <w:rsid w:val="00BF7EBF"/>
    <w:rsid w:val="00BF7ED3"/>
    <w:rsid w:val="00BF7FE8"/>
    <w:rsid w:val="00C00307"/>
    <w:rsid w:val="00C003AE"/>
    <w:rsid w:val="00C0093D"/>
    <w:rsid w:val="00C01098"/>
    <w:rsid w:val="00C011C0"/>
    <w:rsid w:val="00C01224"/>
    <w:rsid w:val="00C01552"/>
    <w:rsid w:val="00C01B70"/>
    <w:rsid w:val="00C01BF6"/>
    <w:rsid w:val="00C01D03"/>
    <w:rsid w:val="00C01F27"/>
    <w:rsid w:val="00C01FF4"/>
    <w:rsid w:val="00C0217C"/>
    <w:rsid w:val="00C02488"/>
    <w:rsid w:val="00C024CB"/>
    <w:rsid w:val="00C02795"/>
    <w:rsid w:val="00C02A6B"/>
    <w:rsid w:val="00C02E3E"/>
    <w:rsid w:val="00C02EC8"/>
    <w:rsid w:val="00C02F82"/>
    <w:rsid w:val="00C0396F"/>
    <w:rsid w:val="00C03B29"/>
    <w:rsid w:val="00C03B7C"/>
    <w:rsid w:val="00C03C8A"/>
    <w:rsid w:val="00C03F0C"/>
    <w:rsid w:val="00C04303"/>
    <w:rsid w:val="00C04612"/>
    <w:rsid w:val="00C04780"/>
    <w:rsid w:val="00C04BE4"/>
    <w:rsid w:val="00C04DAF"/>
    <w:rsid w:val="00C050FF"/>
    <w:rsid w:val="00C051AE"/>
    <w:rsid w:val="00C054AD"/>
    <w:rsid w:val="00C056DC"/>
    <w:rsid w:val="00C05CC8"/>
    <w:rsid w:val="00C05E52"/>
    <w:rsid w:val="00C061FF"/>
    <w:rsid w:val="00C06367"/>
    <w:rsid w:val="00C0652F"/>
    <w:rsid w:val="00C0664C"/>
    <w:rsid w:val="00C06840"/>
    <w:rsid w:val="00C0686E"/>
    <w:rsid w:val="00C06B55"/>
    <w:rsid w:val="00C06F05"/>
    <w:rsid w:val="00C077AD"/>
    <w:rsid w:val="00C0797A"/>
    <w:rsid w:val="00C07C08"/>
    <w:rsid w:val="00C07D68"/>
    <w:rsid w:val="00C07DA5"/>
    <w:rsid w:val="00C100EE"/>
    <w:rsid w:val="00C101B5"/>
    <w:rsid w:val="00C103C4"/>
    <w:rsid w:val="00C103DB"/>
    <w:rsid w:val="00C109C8"/>
    <w:rsid w:val="00C10B08"/>
    <w:rsid w:val="00C10E51"/>
    <w:rsid w:val="00C114AC"/>
    <w:rsid w:val="00C115F7"/>
    <w:rsid w:val="00C11858"/>
    <w:rsid w:val="00C1194A"/>
    <w:rsid w:val="00C11971"/>
    <w:rsid w:val="00C119B1"/>
    <w:rsid w:val="00C12118"/>
    <w:rsid w:val="00C121AD"/>
    <w:rsid w:val="00C1249F"/>
    <w:rsid w:val="00C129D2"/>
    <w:rsid w:val="00C12BA9"/>
    <w:rsid w:val="00C12D58"/>
    <w:rsid w:val="00C13180"/>
    <w:rsid w:val="00C133DA"/>
    <w:rsid w:val="00C13761"/>
    <w:rsid w:val="00C13860"/>
    <w:rsid w:val="00C13CAB"/>
    <w:rsid w:val="00C1421D"/>
    <w:rsid w:val="00C14669"/>
    <w:rsid w:val="00C1468F"/>
    <w:rsid w:val="00C148D8"/>
    <w:rsid w:val="00C14B37"/>
    <w:rsid w:val="00C14DAE"/>
    <w:rsid w:val="00C14E75"/>
    <w:rsid w:val="00C14F4F"/>
    <w:rsid w:val="00C1505C"/>
    <w:rsid w:val="00C153FB"/>
    <w:rsid w:val="00C15462"/>
    <w:rsid w:val="00C154F3"/>
    <w:rsid w:val="00C15C7B"/>
    <w:rsid w:val="00C15E2E"/>
    <w:rsid w:val="00C15E88"/>
    <w:rsid w:val="00C16280"/>
    <w:rsid w:val="00C162D2"/>
    <w:rsid w:val="00C163C3"/>
    <w:rsid w:val="00C166FD"/>
    <w:rsid w:val="00C1680D"/>
    <w:rsid w:val="00C168DC"/>
    <w:rsid w:val="00C16B86"/>
    <w:rsid w:val="00C16F89"/>
    <w:rsid w:val="00C1711B"/>
    <w:rsid w:val="00C17128"/>
    <w:rsid w:val="00C17494"/>
    <w:rsid w:val="00C175C6"/>
    <w:rsid w:val="00C17908"/>
    <w:rsid w:val="00C17AFB"/>
    <w:rsid w:val="00C17BF7"/>
    <w:rsid w:val="00C17D9A"/>
    <w:rsid w:val="00C17F74"/>
    <w:rsid w:val="00C20077"/>
    <w:rsid w:val="00C20459"/>
    <w:rsid w:val="00C20949"/>
    <w:rsid w:val="00C20B50"/>
    <w:rsid w:val="00C20CDE"/>
    <w:rsid w:val="00C21D3D"/>
    <w:rsid w:val="00C21F25"/>
    <w:rsid w:val="00C21FE0"/>
    <w:rsid w:val="00C22343"/>
    <w:rsid w:val="00C2261A"/>
    <w:rsid w:val="00C226A3"/>
    <w:rsid w:val="00C22755"/>
    <w:rsid w:val="00C22886"/>
    <w:rsid w:val="00C22AEA"/>
    <w:rsid w:val="00C22F68"/>
    <w:rsid w:val="00C23084"/>
    <w:rsid w:val="00C23187"/>
    <w:rsid w:val="00C23412"/>
    <w:rsid w:val="00C23508"/>
    <w:rsid w:val="00C2357A"/>
    <w:rsid w:val="00C235FB"/>
    <w:rsid w:val="00C237DB"/>
    <w:rsid w:val="00C23878"/>
    <w:rsid w:val="00C23F20"/>
    <w:rsid w:val="00C245A1"/>
    <w:rsid w:val="00C245B9"/>
    <w:rsid w:val="00C24662"/>
    <w:rsid w:val="00C24672"/>
    <w:rsid w:val="00C247A8"/>
    <w:rsid w:val="00C247CF"/>
    <w:rsid w:val="00C24C54"/>
    <w:rsid w:val="00C24CC0"/>
    <w:rsid w:val="00C24F15"/>
    <w:rsid w:val="00C24FB4"/>
    <w:rsid w:val="00C25120"/>
    <w:rsid w:val="00C251DB"/>
    <w:rsid w:val="00C25383"/>
    <w:rsid w:val="00C254F6"/>
    <w:rsid w:val="00C25979"/>
    <w:rsid w:val="00C263C1"/>
    <w:rsid w:val="00C26724"/>
    <w:rsid w:val="00C26949"/>
    <w:rsid w:val="00C26F7D"/>
    <w:rsid w:val="00C27252"/>
    <w:rsid w:val="00C2731F"/>
    <w:rsid w:val="00C279B6"/>
    <w:rsid w:val="00C279FA"/>
    <w:rsid w:val="00C27A2D"/>
    <w:rsid w:val="00C27CC7"/>
    <w:rsid w:val="00C27E98"/>
    <w:rsid w:val="00C3044C"/>
    <w:rsid w:val="00C3065A"/>
    <w:rsid w:val="00C3090F"/>
    <w:rsid w:val="00C30BAD"/>
    <w:rsid w:val="00C30EB7"/>
    <w:rsid w:val="00C30F3A"/>
    <w:rsid w:val="00C31263"/>
    <w:rsid w:val="00C3170C"/>
    <w:rsid w:val="00C31F0C"/>
    <w:rsid w:val="00C32049"/>
    <w:rsid w:val="00C320A2"/>
    <w:rsid w:val="00C320AA"/>
    <w:rsid w:val="00C3214C"/>
    <w:rsid w:val="00C323D1"/>
    <w:rsid w:val="00C329F1"/>
    <w:rsid w:val="00C32DB7"/>
    <w:rsid w:val="00C33205"/>
    <w:rsid w:val="00C33267"/>
    <w:rsid w:val="00C334C3"/>
    <w:rsid w:val="00C3408E"/>
    <w:rsid w:val="00C343C9"/>
    <w:rsid w:val="00C3485E"/>
    <w:rsid w:val="00C34970"/>
    <w:rsid w:val="00C34A4D"/>
    <w:rsid w:val="00C34A9C"/>
    <w:rsid w:val="00C34D42"/>
    <w:rsid w:val="00C34D8F"/>
    <w:rsid w:val="00C35342"/>
    <w:rsid w:val="00C35956"/>
    <w:rsid w:val="00C35999"/>
    <w:rsid w:val="00C35A92"/>
    <w:rsid w:val="00C35BDB"/>
    <w:rsid w:val="00C35DE4"/>
    <w:rsid w:val="00C35F50"/>
    <w:rsid w:val="00C360CD"/>
    <w:rsid w:val="00C360EE"/>
    <w:rsid w:val="00C36141"/>
    <w:rsid w:val="00C36246"/>
    <w:rsid w:val="00C362B4"/>
    <w:rsid w:val="00C362FE"/>
    <w:rsid w:val="00C36361"/>
    <w:rsid w:val="00C364BF"/>
    <w:rsid w:val="00C36581"/>
    <w:rsid w:val="00C36737"/>
    <w:rsid w:val="00C36834"/>
    <w:rsid w:val="00C368D1"/>
    <w:rsid w:val="00C36E24"/>
    <w:rsid w:val="00C37303"/>
    <w:rsid w:val="00C373E1"/>
    <w:rsid w:val="00C37630"/>
    <w:rsid w:val="00C379AD"/>
    <w:rsid w:val="00C379E7"/>
    <w:rsid w:val="00C37A7B"/>
    <w:rsid w:val="00C37DC0"/>
    <w:rsid w:val="00C37F05"/>
    <w:rsid w:val="00C400D1"/>
    <w:rsid w:val="00C403DF"/>
    <w:rsid w:val="00C403E9"/>
    <w:rsid w:val="00C404D6"/>
    <w:rsid w:val="00C4055F"/>
    <w:rsid w:val="00C405C5"/>
    <w:rsid w:val="00C40B2D"/>
    <w:rsid w:val="00C40CD7"/>
    <w:rsid w:val="00C40CFC"/>
    <w:rsid w:val="00C4102F"/>
    <w:rsid w:val="00C41042"/>
    <w:rsid w:val="00C41277"/>
    <w:rsid w:val="00C415E1"/>
    <w:rsid w:val="00C415EB"/>
    <w:rsid w:val="00C41FD2"/>
    <w:rsid w:val="00C4215A"/>
    <w:rsid w:val="00C4241A"/>
    <w:rsid w:val="00C424B4"/>
    <w:rsid w:val="00C42654"/>
    <w:rsid w:val="00C428ED"/>
    <w:rsid w:val="00C42F84"/>
    <w:rsid w:val="00C43A7F"/>
    <w:rsid w:val="00C43B88"/>
    <w:rsid w:val="00C43C79"/>
    <w:rsid w:val="00C440A6"/>
    <w:rsid w:val="00C44191"/>
    <w:rsid w:val="00C445A0"/>
    <w:rsid w:val="00C445A4"/>
    <w:rsid w:val="00C448BC"/>
    <w:rsid w:val="00C44B9E"/>
    <w:rsid w:val="00C44FFD"/>
    <w:rsid w:val="00C45190"/>
    <w:rsid w:val="00C4533F"/>
    <w:rsid w:val="00C45421"/>
    <w:rsid w:val="00C45830"/>
    <w:rsid w:val="00C45866"/>
    <w:rsid w:val="00C45953"/>
    <w:rsid w:val="00C459D7"/>
    <w:rsid w:val="00C45BDC"/>
    <w:rsid w:val="00C45C5A"/>
    <w:rsid w:val="00C45CF4"/>
    <w:rsid w:val="00C46436"/>
    <w:rsid w:val="00C466D8"/>
    <w:rsid w:val="00C468C2"/>
    <w:rsid w:val="00C46B0C"/>
    <w:rsid w:val="00C46F38"/>
    <w:rsid w:val="00C472E2"/>
    <w:rsid w:val="00C47449"/>
    <w:rsid w:val="00C47593"/>
    <w:rsid w:val="00C47608"/>
    <w:rsid w:val="00C47C96"/>
    <w:rsid w:val="00C47FA8"/>
    <w:rsid w:val="00C500BD"/>
    <w:rsid w:val="00C5047D"/>
    <w:rsid w:val="00C504A7"/>
    <w:rsid w:val="00C50570"/>
    <w:rsid w:val="00C506E3"/>
    <w:rsid w:val="00C50E05"/>
    <w:rsid w:val="00C50F61"/>
    <w:rsid w:val="00C510F3"/>
    <w:rsid w:val="00C5136C"/>
    <w:rsid w:val="00C51616"/>
    <w:rsid w:val="00C519AF"/>
    <w:rsid w:val="00C51C76"/>
    <w:rsid w:val="00C521E6"/>
    <w:rsid w:val="00C5226A"/>
    <w:rsid w:val="00C52429"/>
    <w:rsid w:val="00C527C3"/>
    <w:rsid w:val="00C5289B"/>
    <w:rsid w:val="00C52998"/>
    <w:rsid w:val="00C52B2F"/>
    <w:rsid w:val="00C52B49"/>
    <w:rsid w:val="00C52F33"/>
    <w:rsid w:val="00C532BF"/>
    <w:rsid w:val="00C532E5"/>
    <w:rsid w:val="00C533CC"/>
    <w:rsid w:val="00C537DD"/>
    <w:rsid w:val="00C538B7"/>
    <w:rsid w:val="00C53BE3"/>
    <w:rsid w:val="00C53F92"/>
    <w:rsid w:val="00C54241"/>
    <w:rsid w:val="00C5463E"/>
    <w:rsid w:val="00C54708"/>
    <w:rsid w:val="00C54E0E"/>
    <w:rsid w:val="00C54FE8"/>
    <w:rsid w:val="00C55350"/>
    <w:rsid w:val="00C55499"/>
    <w:rsid w:val="00C55706"/>
    <w:rsid w:val="00C5570E"/>
    <w:rsid w:val="00C55747"/>
    <w:rsid w:val="00C557A3"/>
    <w:rsid w:val="00C5594C"/>
    <w:rsid w:val="00C55C9B"/>
    <w:rsid w:val="00C55F4A"/>
    <w:rsid w:val="00C561A6"/>
    <w:rsid w:val="00C56422"/>
    <w:rsid w:val="00C56458"/>
    <w:rsid w:val="00C572FE"/>
    <w:rsid w:val="00C57395"/>
    <w:rsid w:val="00C57463"/>
    <w:rsid w:val="00C5778D"/>
    <w:rsid w:val="00C578CC"/>
    <w:rsid w:val="00C57EDB"/>
    <w:rsid w:val="00C57EF4"/>
    <w:rsid w:val="00C57F38"/>
    <w:rsid w:val="00C60897"/>
    <w:rsid w:val="00C60AE2"/>
    <w:rsid w:val="00C60D86"/>
    <w:rsid w:val="00C60DA7"/>
    <w:rsid w:val="00C60EC0"/>
    <w:rsid w:val="00C6114E"/>
    <w:rsid w:val="00C6115D"/>
    <w:rsid w:val="00C6115E"/>
    <w:rsid w:val="00C61226"/>
    <w:rsid w:val="00C61602"/>
    <w:rsid w:val="00C616CB"/>
    <w:rsid w:val="00C61718"/>
    <w:rsid w:val="00C6183D"/>
    <w:rsid w:val="00C619F9"/>
    <w:rsid w:val="00C61C25"/>
    <w:rsid w:val="00C61CC9"/>
    <w:rsid w:val="00C61E91"/>
    <w:rsid w:val="00C61EE1"/>
    <w:rsid w:val="00C6207C"/>
    <w:rsid w:val="00C625DF"/>
    <w:rsid w:val="00C62839"/>
    <w:rsid w:val="00C62872"/>
    <w:rsid w:val="00C62A17"/>
    <w:rsid w:val="00C630EE"/>
    <w:rsid w:val="00C6347B"/>
    <w:rsid w:val="00C6355E"/>
    <w:rsid w:val="00C636FA"/>
    <w:rsid w:val="00C63AA0"/>
    <w:rsid w:val="00C63C20"/>
    <w:rsid w:val="00C63F22"/>
    <w:rsid w:val="00C63F5D"/>
    <w:rsid w:val="00C64406"/>
    <w:rsid w:val="00C64474"/>
    <w:rsid w:val="00C6459C"/>
    <w:rsid w:val="00C6473B"/>
    <w:rsid w:val="00C64A66"/>
    <w:rsid w:val="00C64D0C"/>
    <w:rsid w:val="00C6518A"/>
    <w:rsid w:val="00C651AB"/>
    <w:rsid w:val="00C653EF"/>
    <w:rsid w:val="00C65760"/>
    <w:rsid w:val="00C65860"/>
    <w:rsid w:val="00C65AE0"/>
    <w:rsid w:val="00C65E56"/>
    <w:rsid w:val="00C660B9"/>
    <w:rsid w:val="00C66193"/>
    <w:rsid w:val="00C661E8"/>
    <w:rsid w:val="00C662AE"/>
    <w:rsid w:val="00C66391"/>
    <w:rsid w:val="00C66649"/>
    <w:rsid w:val="00C6688D"/>
    <w:rsid w:val="00C668F3"/>
    <w:rsid w:val="00C66969"/>
    <w:rsid w:val="00C66AD4"/>
    <w:rsid w:val="00C66D83"/>
    <w:rsid w:val="00C66F3D"/>
    <w:rsid w:val="00C67121"/>
    <w:rsid w:val="00C67143"/>
    <w:rsid w:val="00C67153"/>
    <w:rsid w:val="00C679B4"/>
    <w:rsid w:val="00C679F0"/>
    <w:rsid w:val="00C7018C"/>
    <w:rsid w:val="00C701D7"/>
    <w:rsid w:val="00C701F6"/>
    <w:rsid w:val="00C702A7"/>
    <w:rsid w:val="00C7044A"/>
    <w:rsid w:val="00C71053"/>
    <w:rsid w:val="00C7120E"/>
    <w:rsid w:val="00C713D9"/>
    <w:rsid w:val="00C716E5"/>
    <w:rsid w:val="00C719E9"/>
    <w:rsid w:val="00C71F2A"/>
    <w:rsid w:val="00C7201E"/>
    <w:rsid w:val="00C72176"/>
    <w:rsid w:val="00C72731"/>
    <w:rsid w:val="00C72AB7"/>
    <w:rsid w:val="00C72ADE"/>
    <w:rsid w:val="00C72FB9"/>
    <w:rsid w:val="00C734FB"/>
    <w:rsid w:val="00C738DC"/>
    <w:rsid w:val="00C73905"/>
    <w:rsid w:val="00C73D52"/>
    <w:rsid w:val="00C73EDA"/>
    <w:rsid w:val="00C741BE"/>
    <w:rsid w:val="00C741DA"/>
    <w:rsid w:val="00C74747"/>
    <w:rsid w:val="00C75094"/>
    <w:rsid w:val="00C751A3"/>
    <w:rsid w:val="00C751D1"/>
    <w:rsid w:val="00C75247"/>
    <w:rsid w:val="00C7543B"/>
    <w:rsid w:val="00C754D0"/>
    <w:rsid w:val="00C7567C"/>
    <w:rsid w:val="00C75789"/>
    <w:rsid w:val="00C757C6"/>
    <w:rsid w:val="00C75848"/>
    <w:rsid w:val="00C75D84"/>
    <w:rsid w:val="00C75FD4"/>
    <w:rsid w:val="00C76171"/>
    <w:rsid w:val="00C76289"/>
    <w:rsid w:val="00C763A7"/>
    <w:rsid w:val="00C763AD"/>
    <w:rsid w:val="00C76533"/>
    <w:rsid w:val="00C76942"/>
    <w:rsid w:val="00C76B60"/>
    <w:rsid w:val="00C76C10"/>
    <w:rsid w:val="00C770CE"/>
    <w:rsid w:val="00C77107"/>
    <w:rsid w:val="00C7725C"/>
    <w:rsid w:val="00C77439"/>
    <w:rsid w:val="00C77655"/>
    <w:rsid w:val="00C777A7"/>
    <w:rsid w:val="00C778E5"/>
    <w:rsid w:val="00C77BDC"/>
    <w:rsid w:val="00C80206"/>
    <w:rsid w:val="00C80B46"/>
    <w:rsid w:val="00C80C35"/>
    <w:rsid w:val="00C80D64"/>
    <w:rsid w:val="00C81332"/>
    <w:rsid w:val="00C819EE"/>
    <w:rsid w:val="00C81F6C"/>
    <w:rsid w:val="00C8249F"/>
    <w:rsid w:val="00C825F0"/>
    <w:rsid w:val="00C8271B"/>
    <w:rsid w:val="00C827A9"/>
    <w:rsid w:val="00C82B02"/>
    <w:rsid w:val="00C82DD9"/>
    <w:rsid w:val="00C82EAF"/>
    <w:rsid w:val="00C8319A"/>
    <w:rsid w:val="00C837BB"/>
    <w:rsid w:val="00C83851"/>
    <w:rsid w:val="00C83B5E"/>
    <w:rsid w:val="00C83C49"/>
    <w:rsid w:val="00C83CC9"/>
    <w:rsid w:val="00C83CDB"/>
    <w:rsid w:val="00C84266"/>
    <w:rsid w:val="00C843BE"/>
    <w:rsid w:val="00C843DC"/>
    <w:rsid w:val="00C84566"/>
    <w:rsid w:val="00C846AC"/>
    <w:rsid w:val="00C8474B"/>
    <w:rsid w:val="00C847CE"/>
    <w:rsid w:val="00C847FE"/>
    <w:rsid w:val="00C848DD"/>
    <w:rsid w:val="00C84AF3"/>
    <w:rsid w:val="00C84B4F"/>
    <w:rsid w:val="00C84C36"/>
    <w:rsid w:val="00C85315"/>
    <w:rsid w:val="00C85328"/>
    <w:rsid w:val="00C854AA"/>
    <w:rsid w:val="00C856E4"/>
    <w:rsid w:val="00C85701"/>
    <w:rsid w:val="00C859F5"/>
    <w:rsid w:val="00C8646A"/>
    <w:rsid w:val="00C8682D"/>
    <w:rsid w:val="00C869EE"/>
    <w:rsid w:val="00C86AC1"/>
    <w:rsid w:val="00C86EAF"/>
    <w:rsid w:val="00C86ECC"/>
    <w:rsid w:val="00C86F17"/>
    <w:rsid w:val="00C8723D"/>
    <w:rsid w:val="00C873F5"/>
    <w:rsid w:val="00C87509"/>
    <w:rsid w:val="00C87B63"/>
    <w:rsid w:val="00C87EAC"/>
    <w:rsid w:val="00C9032B"/>
    <w:rsid w:val="00C9055A"/>
    <w:rsid w:val="00C9059F"/>
    <w:rsid w:val="00C908F4"/>
    <w:rsid w:val="00C90B66"/>
    <w:rsid w:val="00C90C2F"/>
    <w:rsid w:val="00C90C68"/>
    <w:rsid w:val="00C90E2D"/>
    <w:rsid w:val="00C91185"/>
    <w:rsid w:val="00C9148C"/>
    <w:rsid w:val="00C916CB"/>
    <w:rsid w:val="00C9172F"/>
    <w:rsid w:val="00C918A9"/>
    <w:rsid w:val="00C918EA"/>
    <w:rsid w:val="00C9196D"/>
    <w:rsid w:val="00C9197F"/>
    <w:rsid w:val="00C919EF"/>
    <w:rsid w:val="00C91D03"/>
    <w:rsid w:val="00C91D04"/>
    <w:rsid w:val="00C91DA5"/>
    <w:rsid w:val="00C92031"/>
    <w:rsid w:val="00C9211A"/>
    <w:rsid w:val="00C9220E"/>
    <w:rsid w:val="00C923D3"/>
    <w:rsid w:val="00C92483"/>
    <w:rsid w:val="00C925B7"/>
    <w:rsid w:val="00C92792"/>
    <w:rsid w:val="00C92838"/>
    <w:rsid w:val="00C92849"/>
    <w:rsid w:val="00C92A69"/>
    <w:rsid w:val="00C92AD8"/>
    <w:rsid w:val="00C92AF4"/>
    <w:rsid w:val="00C9308A"/>
    <w:rsid w:val="00C931AF"/>
    <w:rsid w:val="00C9323E"/>
    <w:rsid w:val="00C93494"/>
    <w:rsid w:val="00C937C8"/>
    <w:rsid w:val="00C9415A"/>
    <w:rsid w:val="00C9424B"/>
    <w:rsid w:val="00C9468F"/>
    <w:rsid w:val="00C9472F"/>
    <w:rsid w:val="00C94812"/>
    <w:rsid w:val="00C948AF"/>
    <w:rsid w:val="00C94B8B"/>
    <w:rsid w:val="00C94CAD"/>
    <w:rsid w:val="00C94E0E"/>
    <w:rsid w:val="00C94EA0"/>
    <w:rsid w:val="00C94F1E"/>
    <w:rsid w:val="00C95034"/>
    <w:rsid w:val="00C950C7"/>
    <w:rsid w:val="00C95482"/>
    <w:rsid w:val="00C9548C"/>
    <w:rsid w:val="00C95C76"/>
    <w:rsid w:val="00C95ECD"/>
    <w:rsid w:val="00C95F21"/>
    <w:rsid w:val="00C96AB6"/>
    <w:rsid w:val="00C96C87"/>
    <w:rsid w:val="00C96D1B"/>
    <w:rsid w:val="00C96E3E"/>
    <w:rsid w:val="00C97225"/>
    <w:rsid w:val="00C97281"/>
    <w:rsid w:val="00C97891"/>
    <w:rsid w:val="00C97CA1"/>
    <w:rsid w:val="00C97DE7"/>
    <w:rsid w:val="00CA04AA"/>
    <w:rsid w:val="00CA0541"/>
    <w:rsid w:val="00CA08BD"/>
    <w:rsid w:val="00CA0976"/>
    <w:rsid w:val="00CA0A6D"/>
    <w:rsid w:val="00CA0B16"/>
    <w:rsid w:val="00CA0CCD"/>
    <w:rsid w:val="00CA0F7F"/>
    <w:rsid w:val="00CA107B"/>
    <w:rsid w:val="00CA137D"/>
    <w:rsid w:val="00CA1609"/>
    <w:rsid w:val="00CA1653"/>
    <w:rsid w:val="00CA1669"/>
    <w:rsid w:val="00CA1703"/>
    <w:rsid w:val="00CA1DC7"/>
    <w:rsid w:val="00CA1E8B"/>
    <w:rsid w:val="00CA2183"/>
    <w:rsid w:val="00CA21E5"/>
    <w:rsid w:val="00CA241C"/>
    <w:rsid w:val="00CA26F4"/>
    <w:rsid w:val="00CA28BB"/>
    <w:rsid w:val="00CA2A62"/>
    <w:rsid w:val="00CA2D56"/>
    <w:rsid w:val="00CA3085"/>
    <w:rsid w:val="00CA3671"/>
    <w:rsid w:val="00CA3708"/>
    <w:rsid w:val="00CA3812"/>
    <w:rsid w:val="00CA39FA"/>
    <w:rsid w:val="00CA3FDE"/>
    <w:rsid w:val="00CA424D"/>
    <w:rsid w:val="00CA447F"/>
    <w:rsid w:val="00CA461C"/>
    <w:rsid w:val="00CA4CFE"/>
    <w:rsid w:val="00CA53BB"/>
    <w:rsid w:val="00CA5473"/>
    <w:rsid w:val="00CA54D4"/>
    <w:rsid w:val="00CA59E8"/>
    <w:rsid w:val="00CA5AB2"/>
    <w:rsid w:val="00CA5D6C"/>
    <w:rsid w:val="00CA60C0"/>
    <w:rsid w:val="00CA63CD"/>
    <w:rsid w:val="00CA67FA"/>
    <w:rsid w:val="00CA680F"/>
    <w:rsid w:val="00CA6996"/>
    <w:rsid w:val="00CA6AD3"/>
    <w:rsid w:val="00CA6D3E"/>
    <w:rsid w:val="00CA6D9B"/>
    <w:rsid w:val="00CA7112"/>
    <w:rsid w:val="00CA7208"/>
    <w:rsid w:val="00CA7225"/>
    <w:rsid w:val="00CA757F"/>
    <w:rsid w:val="00CA760C"/>
    <w:rsid w:val="00CA76C3"/>
    <w:rsid w:val="00CA7701"/>
    <w:rsid w:val="00CA79FE"/>
    <w:rsid w:val="00CA7AA6"/>
    <w:rsid w:val="00CA7C45"/>
    <w:rsid w:val="00CA7E37"/>
    <w:rsid w:val="00CB00C3"/>
    <w:rsid w:val="00CB07E0"/>
    <w:rsid w:val="00CB0B52"/>
    <w:rsid w:val="00CB0BDB"/>
    <w:rsid w:val="00CB0F26"/>
    <w:rsid w:val="00CB0FCE"/>
    <w:rsid w:val="00CB10D1"/>
    <w:rsid w:val="00CB12DF"/>
    <w:rsid w:val="00CB1597"/>
    <w:rsid w:val="00CB1766"/>
    <w:rsid w:val="00CB178A"/>
    <w:rsid w:val="00CB17A8"/>
    <w:rsid w:val="00CB1C4E"/>
    <w:rsid w:val="00CB1CC9"/>
    <w:rsid w:val="00CB1F1E"/>
    <w:rsid w:val="00CB1F9A"/>
    <w:rsid w:val="00CB201B"/>
    <w:rsid w:val="00CB2209"/>
    <w:rsid w:val="00CB23EA"/>
    <w:rsid w:val="00CB2447"/>
    <w:rsid w:val="00CB2467"/>
    <w:rsid w:val="00CB260E"/>
    <w:rsid w:val="00CB265C"/>
    <w:rsid w:val="00CB2895"/>
    <w:rsid w:val="00CB2B5F"/>
    <w:rsid w:val="00CB3206"/>
    <w:rsid w:val="00CB35DB"/>
    <w:rsid w:val="00CB364E"/>
    <w:rsid w:val="00CB3995"/>
    <w:rsid w:val="00CB3A52"/>
    <w:rsid w:val="00CB3EC2"/>
    <w:rsid w:val="00CB41CD"/>
    <w:rsid w:val="00CB4251"/>
    <w:rsid w:val="00CB4397"/>
    <w:rsid w:val="00CB43BD"/>
    <w:rsid w:val="00CB4B76"/>
    <w:rsid w:val="00CB4BD8"/>
    <w:rsid w:val="00CB4F87"/>
    <w:rsid w:val="00CB5538"/>
    <w:rsid w:val="00CB5763"/>
    <w:rsid w:val="00CB5C4A"/>
    <w:rsid w:val="00CB5F10"/>
    <w:rsid w:val="00CB5F47"/>
    <w:rsid w:val="00CB614C"/>
    <w:rsid w:val="00CB6C9B"/>
    <w:rsid w:val="00CB6D87"/>
    <w:rsid w:val="00CB6DC1"/>
    <w:rsid w:val="00CB6E4E"/>
    <w:rsid w:val="00CB6F8F"/>
    <w:rsid w:val="00CB71DA"/>
    <w:rsid w:val="00CB78C5"/>
    <w:rsid w:val="00CC008B"/>
    <w:rsid w:val="00CC0707"/>
    <w:rsid w:val="00CC095F"/>
    <w:rsid w:val="00CC0A39"/>
    <w:rsid w:val="00CC0BDA"/>
    <w:rsid w:val="00CC14EB"/>
    <w:rsid w:val="00CC150E"/>
    <w:rsid w:val="00CC157E"/>
    <w:rsid w:val="00CC1674"/>
    <w:rsid w:val="00CC16B0"/>
    <w:rsid w:val="00CC1A7F"/>
    <w:rsid w:val="00CC1F37"/>
    <w:rsid w:val="00CC1FC4"/>
    <w:rsid w:val="00CC2399"/>
    <w:rsid w:val="00CC247F"/>
    <w:rsid w:val="00CC256F"/>
    <w:rsid w:val="00CC2C7B"/>
    <w:rsid w:val="00CC2F03"/>
    <w:rsid w:val="00CC31AB"/>
    <w:rsid w:val="00CC35AC"/>
    <w:rsid w:val="00CC3622"/>
    <w:rsid w:val="00CC383A"/>
    <w:rsid w:val="00CC38E0"/>
    <w:rsid w:val="00CC428F"/>
    <w:rsid w:val="00CC43BC"/>
    <w:rsid w:val="00CC4A30"/>
    <w:rsid w:val="00CC4FEA"/>
    <w:rsid w:val="00CC52F2"/>
    <w:rsid w:val="00CC5487"/>
    <w:rsid w:val="00CC54BF"/>
    <w:rsid w:val="00CC5978"/>
    <w:rsid w:val="00CC59F0"/>
    <w:rsid w:val="00CC5A82"/>
    <w:rsid w:val="00CC63E2"/>
    <w:rsid w:val="00CC6619"/>
    <w:rsid w:val="00CC693E"/>
    <w:rsid w:val="00CC6E86"/>
    <w:rsid w:val="00CC775E"/>
    <w:rsid w:val="00CC77F1"/>
    <w:rsid w:val="00CC7951"/>
    <w:rsid w:val="00CC7B5D"/>
    <w:rsid w:val="00CC7CAE"/>
    <w:rsid w:val="00CC7DC5"/>
    <w:rsid w:val="00CD0150"/>
    <w:rsid w:val="00CD01ED"/>
    <w:rsid w:val="00CD052B"/>
    <w:rsid w:val="00CD05DF"/>
    <w:rsid w:val="00CD092D"/>
    <w:rsid w:val="00CD0942"/>
    <w:rsid w:val="00CD0AC2"/>
    <w:rsid w:val="00CD0B01"/>
    <w:rsid w:val="00CD0C14"/>
    <w:rsid w:val="00CD0F34"/>
    <w:rsid w:val="00CD1176"/>
    <w:rsid w:val="00CD1302"/>
    <w:rsid w:val="00CD136C"/>
    <w:rsid w:val="00CD13F4"/>
    <w:rsid w:val="00CD1527"/>
    <w:rsid w:val="00CD181F"/>
    <w:rsid w:val="00CD19F7"/>
    <w:rsid w:val="00CD1A0F"/>
    <w:rsid w:val="00CD1BBB"/>
    <w:rsid w:val="00CD1E40"/>
    <w:rsid w:val="00CD1F04"/>
    <w:rsid w:val="00CD1F24"/>
    <w:rsid w:val="00CD2152"/>
    <w:rsid w:val="00CD24D5"/>
    <w:rsid w:val="00CD2502"/>
    <w:rsid w:val="00CD257A"/>
    <w:rsid w:val="00CD2580"/>
    <w:rsid w:val="00CD27A3"/>
    <w:rsid w:val="00CD2C28"/>
    <w:rsid w:val="00CD2E43"/>
    <w:rsid w:val="00CD2F3C"/>
    <w:rsid w:val="00CD30F3"/>
    <w:rsid w:val="00CD382C"/>
    <w:rsid w:val="00CD3C29"/>
    <w:rsid w:val="00CD46A8"/>
    <w:rsid w:val="00CD4744"/>
    <w:rsid w:val="00CD4988"/>
    <w:rsid w:val="00CD5026"/>
    <w:rsid w:val="00CD5314"/>
    <w:rsid w:val="00CD53BB"/>
    <w:rsid w:val="00CD5685"/>
    <w:rsid w:val="00CD5C9D"/>
    <w:rsid w:val="00CD5F30"/>
    <w:rsid w:val="00CD5F70"/>
    <w:rsid w:val="00CD688A"/>
    <w:rsid w:val="00CD6A0A"/>
    <w:rsid w:val="00CD6B46"/>
    <w:rsid w:val="00CD6EE8"/>
    <w:rsid w:val="00CD71D3"/>
    <w:rsid w:val="00CD7218"/>
    <w:rsid w:val="00CD7571"/>
    <w:rsid w:val="00CD7A49"/>
    <w:rsid w:val="00CD7B09"/>
    <w:rsid w:val="00CD7C81"/>
    <w:rsid w:val="00CD7EBF"/>
    <w:rsid w:val="00CE0355"/>
    <w:rsid w:val="00CE03BB"/>
    <w:rsid w:val="00CE03EB"/>
    <w:rsid w:val="00CE0460"/>
    <w:rsid w:val="00CE0780"/>
    <w:rsid w:val="00CE09E4"/>
    <w:rsid w:val="00CE0B3B"/>
    <w:rsid w:val="00CE0B51"/>
    <w:rsid w:val="00CE0BBB"/>
    <w:rsid w:val="00CE0CD8"/>
    <w:rsid w:val="00CE0DB2"/>
    <w:rsid w:val="00CE0FC6"/>
    <w:rsid w:val="00CE107E"/>
    <w:rsid w:val="00CE119D"/>
    <w:rsid w:val="00CE147A"/>
    <w:rsid w:val="00CE178D"/>
    <w:rsid w:val="00CE1DBD"/>
    <w:rsid w:val="00CE2059"/>
    <w:rsid w:val="00CE209E"/>
    <w:rsid w:val="00CE21D7"/>
    <w:rsid w:val="00CE257C"/>
    <w:rsid w:val="00CE260A"/>
    <w:rsid w:val="00CE32BD"/>
    <w:rsid w:val="00CE3585"/>
    <w:rsid w:val="00CE3C8E"/>
    <w:rsid w:val="00CE3CA2"/>
    <w:rsid w:val="00CE3CF6"/>
    <w:rsid w:val="00CE3FA9"/>
    <w:rsid w:val="00CE4071"/>
    <w:rsid w:val="00CE40CD"/>
    <w:rsid w:val="00CE4273"/>
    <w:rsid w:val="00CE4336"/>
    <w:rsid w:val="00CE4A42"/>
    <w:rsid w:val="00CE4BD9"/>
    <w:rsid w:val="00CE5444"/>
    <w:rsid w:val="00CE562D"/>
    <w:rsid w:val="00CE58FB"/>
    <w:rsid w:val="00CE5DDD"/>
    <w:rsid w:val="00CE5FDD"/>
    <w:rsid w:val="00CE6037"/>
    <w:rsid w:val="00CE6B1F"/>
    <w:rsid w:val="00CE707D"/>
    <w:rsid w:val="00CE719C"/>
    <w:rsid w:val="00CE71FA"/>
    <w:rsid w:val="00CE734A"/>
    <w:rsid w:val="00CE7352"/>
    <w:rsid w:val="00CE73CD"/>
    <w:rsid w:val="00CE7900"/>
    <w:rsid w:val="00CE7998"/>
    <w:rsid w:val="00CE7CFF"/>
    <w:rsid w:val="00CE7D07"/>
    <w:rsid w:val="00CE7D66"/>
    <w:rsid w:val="00CE7DB1"/>
    <w:rsid w:val="00CF01C8"/>
    <w:rsid w:val="00CF03D8"/>
    <w:rsid w:val="00CF08D4"/>
    <w:rsid w:val="00CF0E2E"/>
    <w:rsid w:val="00CF1196"/>
    <w:rsid w:val="00CF11B4"/>
    <w:rsid w:val="00CF12CC"/>
    <w:rsid w:val="00CF1343"/>
    <w:rsid w:val="00CF153A"/>
    <w:rsid w:val="00CF15B7"/>
    <w:rsid w:val="00CF1793"/>
    <w:rsid w:val="00CF1ACF"/>
    <w:rsid w:val="00CF1C48"/>
    <w:rsid w:val="00CF21EF"/>
    <w:rsid w:val="00CF288A"/>
    <w:rsid w:val="00CF2AA7"/>
    <w:rsid w:val="00CF2C06"/>
    <w:rsid w:val="00CF2D6C"/>
    <w:rsid w:val="00CF2DA5"/>
    <w:rsid w:val="00CF2F38"/>
    <w:rsid w:val="00CF3111"/>
    <w:rsid w:val="00CF317A"/>
    <w:rsid w:val="00CF376C"/>
    <w:rsid w:val="00CF3A24"/>
    <w:rsid w:val="00CF3EA7"/>
    <w:rsid w:val="00CF4241"/>
    <w:rsid w:val="00CF43C1"/>
    <w:rsid w:val="00CF4759"/>
    <w:rsid w:val="00CF47D3"/>
    <w:rsid w:val="00CF4B3E"/>
    <w:rsid w:val="00CF4BF4"/>
    <w:rsid w:val="00CF4C24"/>
    <w:rsid w:val="00CF4F5A"/>
    <w:rsid w:val="00CF500A"/>
    <w:rsid w:val="00CF55F5"/>
    <w:rsid w:val="00CF5A17"/>
    <w:rsid w:val="00CF5BAC"/>
    <w:rsid w:val="00CF5E62"/>
    <w:rsid w:val="00CF5E77"/>
    <w:rsid w:val="00CF614A"/>
    <w:rsid w:val="00CF635D"/>
    <w:rsid w:val="00CF6383"/>
    <w:rsid w:val="00CF6499"/>
    <w:rsid w:val="00CF6559"/>
    <w:rsid w:val="00CF65E6"/>
    <w:rsid w:val="00CF675B"/>
    <w:rsid w:val="00CF6A05"/>
    <w:rsid w:val="00CF6A0A"/>
    <w:rsid w:val="00CF6CA3"/>
    <w:rsid w:val="00CF71C0"/>
    <w:rsid w:val="00CF71D3"/>
    <w:rsid w:val="00CF79A3"/>
    <w:rsid w:val="00CF79FD"/>
    <w:rsid w:val="00CF7BBA"/>
    <w:rsid w:val="00CF7FE5"/>
    <w:rsid w:val="00D0031A"/>
    <w:rsid w:val="00D005E4"/>
    <w:rsid w:val="00D00A52"/>
    <w:rsid w:val="00D00C77"/>
    <w:rsid w:val="00D0115F"/>
    <w:rsid w:val="00D01519"/>
    <w:rsid w:val="00D016E3"/>
    <w:rsid w:val="00D01737"/>
    <w:rsid w:val="00D01B3E"/>
    <w:rsid w:val="00D021F1"/>
    <w:rsid w:val="00D0282C"/>
    <w:rsid w:val="00D0288D"/>
    <w:rsid w:val="00D035B9"/>
    <w:rsid w:val="00D03A18"/>
    <w:rsid w:val="00D03A7D"/>
    <w:rsid w:val="00D03B10"/>
    <w:rsid w:val="00D03B24"/>
    <w:rsid w:val="00D03D05"/>
    <w:rsid w:val="00D03D46"/>
    <w:rsid w:val="00D04450"/>
    <w:rsid w:val="00D0448B"/>
    <w:rsid w:val="00D044DB"/>
    <w:rsid w:val="00D0467E"/>
    <w:rsid w:val="00D04710"/>
    <w:rsid w:val="00D0486A"/>
    <w:rsid w:val="00D048C8"/>
    <w:rsid w:val="00D04A1E"/>
    <w:rsid w:val="00D04C7E"/>
    <w:rsid w:val="00D04F78"/>
    <w:rsid w:val="00D05257"/>
    <w:rsid w:val="00D05944"/>
    <w:rsid w:val="00D05F67"/>
    <w:rsid w:val="00D0601D"/>
    <w:rsid w:val="00D0607A"/>
    <w:rsid w:val="00D06210"/>
    <w:rsid w:val="00D06487"/>
    <w:rsid w:val="00D0653D"/>
    <w:rsid w:val="00D066C5"/>
    <w:rsid w:val="00D06A4F"/>
    <w:rsid w:val="00D06B5B"/>
    <w:rsid w:val="00D06C08"/>
    <w:rsid w:val="00D0724A"/>
    <w:rsid w:val="00D07319"/>
    <w:rsid w:val="00D07549"/>
    <w:rsid w:val="00D077E5"/>
    <w:rsid w:val="00D07F07"/>
    <w:rsid w:val="00D10114"/>
    <w:rsid w:val="00D101C1"/>
    <w:rsid w:val="00D103EE"/>
    <w:rsid w:val="00D104E7"/>
    <w:rsid w:val="00D1071C"/>
    <w:rsid w:val="00D1089B"/>
    <w:rsid w:val="00D109A6"/>
    <w:rsid w:val="00D10C8D"/>
    <w:rsid w:val="00D10EBC"/>
    <w:rsid w:val="00D10F88"/>
    <w:rsid w:val="00D11453"/>
    <w:rsid w:val="00D1163D"/>
    <w:rsid w:val="00D118C7"/>
    <w:rsid w:val="00D11CDA"/>
    <w:rsid w:val="00D12326"/>
    <w:rsid w:val="00D12851"/>
    <w:rsid w:val="00D12996"/>
    <w:rsid w:val="00D12D17"/>
    <w:rsid w:val="00D12D7F"/>
    <w:rsid w:val="00D12F45"/>
    <w:rsid w:val="00D12F4A"/>
    <w:rsid w:val="00D12FBD"/>
    <w:rsid w:val="00D130BD"/>
    <w:rsid w:val="00D13B8E"/>
    <w:rsid w:val="00D13BBD"/>
    <w:rsid w:val="00D13D33"/>
    <w:rsid w:val="00D13E71"/>
    <w:rsid w:val="00D13F3F"/>
    <w:rsid w:val="00D14567"/>
    <w:rsid w:val="00D147A6"/>
    <w:rsid w:val="00D147AB"/>
    <w:rsid w:val="00D147D6"/>
    <w:rsid w:val="00D147E7"/>
    <w:rsid w:val="00D148EC"/>
    <w:rsid w:val="00D14B24"/>
    <w:rsid w:val="00D15075"/>
    <w:rsid w:val="00D15204"/>
    <w:rsid w:val="00D15307"/>
    <w:rsid w:val="00D1549B"/>
    <w:rsid w:val="00D15543"/>
    <w:rsid w:val="00D1571A"/>
    <w:rsid w:val="00D15C73"/>
    <w:rsid w:val="00D15F25"/>
    <w:rsid w:val="00D16198"/>
    <w:rsid w:val="00D1654E"/>
    <w:rsid w:val="00D166E6"/>
    <w:rsid w:val="00D16C28"/>
    <w:rsid w:val="00D1734D"/>
    <w:rsid w:val="00D174D1"/>
    <w:rsid w:val="00D175C8"/>
    <w:rsid w:val="00D17778"/>
    <w:rsid w:val="00D177F2"/>
    <w:rsid w:val="00D1796C"/>
    <w:rsid w:val="00D1798D"/>
    <w:rsid w:val="00D205DD"/>
    <w:rsid w:val="00D2071B"/>
    <w:rsid w:val="00D20BE8"/>
    <w:rsid w:val="00D20CE2"/>
    <w:rsid w:val="00D20FB0"/>
    <w:rsid w:val="00D21250"/>
    <w:rsid w:val="00D21251"/>
    <w:rsid w:val="00D21307"/>
    <w:rsid w:val="00D21F38"/>
    <w:rsid w:val="00D22278"/>
    <w:rsid w:val="00D22375"/>
    <w:rsid w:val="00D22459"/>
    <w:rsid w:val="00D22501"/>
    <w:rsid w:val="00D22959"/>
    <w:rsid w:val="00D22D55"/>
    <w:rsid w:val="00D22D75"/>
    <w:rsid w:val="00D2317E"/>
    <w:rsid w:val="00D231DA"/>
    <w:rsid w:val="00D233BB"/>
    <w:rsid w:val="00D23939"/>
    <w:rsid w:val="00D23C1E"/>
    <w:rsid w:val="00D23D7B"/>
    <w:rsid w:val="00D242BE"/>
    <w:rsid w:val="00D24315"/>
    <w:rsid w:val="00D243EC"/>
    <w:rsid w:val="00D25387"/>
    <w:rsid w:val="00D25759"/>
    <w:rsid w:val="00D2595A"/>
    <w:rsid w:val="00D25A7D"/>
    <w:rsid w:val="00D25ACB"/>
    <w:rsid w:val="00D25BE9"/>
    <w:rsid w:val="00D2639D"/>
    <w:rsid w:val="00D264D2"/>
    <w:rsid w:val="00D2666C"/>
    <w:rsid w:val="00D26B81"/>
    <w:rsid w:val="00D26C7F"/>
    <w:rsid w:val="00D26CF5"/>
    <w:rsid w:val="00D26D05"/>
    <w:rsid w:val="00D26FD2"/>
    <w:rsid w:val="00D270C7"/>
    <w:rsid w:val="00D2725D"/>
    <w:rsid w:val="00D273D5"/>
    <w:rsid w:val="00D273F8"/>
    <w:rsid w:val="00D274C0"/>
    <w:rsid w:val="00D275F3"/>
    <w:rsid w:val="00D278E7"/>
    <w:rsid w:val="00D27CCB"/>
    <w:rsid w:val="00D27F23"/>
    <w:rsid w:val="00D27FA3"/>
    <w:rsid w:val="00D302FA"/>
    <w:rsid w:val="00D30353"/>
    <w:rsid w:val="00D304D9"/>
    <w:rsid w:val="00D3055D"/>
    <w:rsid w:val="00D305D8"/>
    <w:rsid w:val="00D30658"/>
    <w:rsid w:val="00D306C6"/>
    <w:rsid w:val="00D30812"/>
    <w:rsid w:val="00D30AE0"/>
    <w:rsid w:val="00D30AEE"/>
    <w:rsid w:val="00D30D20"/>
    <w:rsid w:val="00D30E86"/>
    <w:rsid w:val="00D313DB"/>
    <w:rsid w:val="00D31448"/>
    <w:rsid w:val="00D31B6C"/>
    <w:rsid w:val="00D31DD1"/>
    <w:rsid w:val="00D31E39"/>
    <w:rsid w:val="00D31F33"/>
    <w:rsid w:val="00D32243"/>
    <w:rsid w:val="00D327F1"/>
    <w:rsid w:val="00D3286C"/>
    <w:rsid w:val="00D32AF0"/>
    <w:rsid w:val="00D32BAA"/>
    <w:rsid w:val="00D32C10"/>
    <w:rsid w:val="00D33059"/>
    <w:rsid w:val="00D33542"/>
    <w:rsid w:val="00D339EB"/>
    <w:rsid w:val="00D33A04"/>
    <w:rsid w:val="00D33C12"/>
    <w:rsid w:val="00D33CAD"/>
    <w:rsid w:val="00D34016"/>
    <w:rsid w:val="00D34084"/>
    <w:rsid w:val="00D34228"/>
    <w:rsid w:val="00D34303"/>
    <w:rsid w:val="00D349B6"/>
    <w:rsid w:val="00D34AE0"/>
    <w:rsid w:val="00D34B26"/>
    <w:rsid w:val="00D34BF0"/>
    <w:rsid w:val="00D34C96"/>
    <w:rsid w:val="00D34CC6"/>
    <w:rsid w:val="00D34D6B"/>
    <w:rsid w:val="00D34E2D"/>
    <w:rsid w:val="00D350CE"/>
    <w:rsid w:val="00D35116"/>
    <w:rsid w:val="00D35383"/>
    <w:rsid w:val="00D35556"/>
    <w:rsid w:val="00D35895"/>
    <w:rsid w:val="00D35B90"/>
    <w:rsid w:val="00D35C97"/>
    <w:rsid w:val="00D36253"/>
    <w:rsid w:val="00D36522"/>
    <w:rsid w:val="00D366B9"/>
    <w:rsid w:val="00D36A65"/>
    <w:rsid w:val="00D36BA8"/>
    <w:rsid w:val="00D36EE3"/>
    <w:rsid w:val="00D37097"/>
    <w:rsid w:val="00D37257"/>
    <w:rsid w:val="00D37617"/>
    <w:rsid w:val="00D37781"/>
    <w:rsid w:val="00D377E9"/>
    <w:rsid w:val="00D37823"/>
    <w:rsid w:val="00D37F70"/>
    <w:rsid w:val="00D401BA"/>
    <w:rsid w:val="00D404D8"/>
    <w:rsid w:val="00D40DA8"/>
    <w:rsid w:val="00D41024"/>
    <w:rsid w:val="00D410DC"/>
    <w:rsid w:val="00D41193"/>
    <w:rsid w:val="00D41370"/>
    <w:rsid w:val="00D41385"/>
    <w:rsid w:val="00D416DD"/>
    <w:rsid w:val="00D417DD"/>
    <w:rsid w:val="00D41A97"/>
    <w:rsid w:val="00D41C85"/>
    <w:rsid w:val="00D420B3"/>
    <w:rsid w:val="00D420DA"/>
    <w:rsid w:val="00D424BA"/>
    <w:rsid w:val="00D4283F"/>
    <w:rsid w:val="00D4287D"/>
    <w:rsid w:val="00D428C6"/>
    <w:rsid w:val="00D432D7"/>
    <w:rsid w:val="00D43611"/>
    <w:rsid w:val="00D437FF"/>
    <w:rsid w:val="00D43C93"/>
    <w:rsid w:val="00D43F00"/>
    <w:rsid w:val="00D446AB"/>
    <w:rsid w:val="00D447FA"/>
    <w:rsid w:val="00D449A5"/>
    <w:rsid w:val="00D453A6"/>
    <w:rsid w:val="00D4540F"/>
    <w:rsid w:val="00D455EF"/>
    <w:rsid w:val="00D4578A"/>
    <w:rsid w:val="00D458F2"/>
    <w:rsid w:val="00D45944"/>
    <w:rsid w:val="00D459C2"/>
    <w:rsid w:val="00D45A65"/>
    <w:rsid w:val="00D45FF0"/>
    <w:rsid w:val="00D46332"/>
    <w:rsid w:val="00D46385"/>
    <w:rsid w:val="00D464C5"/>
    <w:rsid w:val="00D46522"/>
    <w:rsid w:val="00D466C9"/>
    <w:rsid w:val="00D46AAA"/>
    <w:rsid w:val="00D46E5D"/>
    <w:rsid w:val="00D46ECC"/>
    <w:rsid w:val="00D4709C"/>
    <w:rsid w:val="00D475AF"/>
    <w:rsid w:val="00D47951"/>
    <w:rsid w:val="00D50401"/>
    <w:rsid w:val="00D5080A"/>
    <w:rsid w:val="00D50810"/>
    <w:rsid w:val="00D5083E"/>
    <w:rsid w:val="00D5087A"/>
    <w:rsid w:val="00D50B4F"/>
    <w:rsid w:val="00D50D50"/>
    <w:rsid w:val="00D50F90"/>
    <w:rsid w:val="00D513F2"/>
    <w:rsid w:val="00D5144C"/>
    <w:rsid w:val="00D51840"/>
    <w:rsid w:val="00D519AF"/>
    <w:rsid w:val="00D51AA3"/>
    <w:rsid w:val="00D52115"/>
    <w:rsid w:val="00D5262E"/>
    <w:rsid w:val="00D52B1E"/>
    <w:rsid w:val="00D52DF4"/>
    <w:rsid w:val="00D52E2A"/>
    <w:rsid w:val="00D52F8D"/>
    <w:rsid w:val="00D53608"/>
    <w:rsid w:val="00D53692"/>
    <w:rsid w:val="00D538B8"/>
    <w:rsid w:val="00D53905"/>
    <w:rsid w:val="00D53A46"/>
    <w:rsid w:val="00D53D71"/>
    <w:rsid w:val="00D53E08"/>
    <w:rsid w:val="00D53E45"/>
    <w:rsid w:val="00D541BF"/>
    <w:rsid w:val="00D54372"/>
    <w:rsid w:val="00D5488B"/>
    <w:rsid w:val="00D54AFC"/>
    <w:rsid w:val="00D54C15"/>
    <w:rsid w:val="00D54C3C"/>
    <w:rsid w:val="00D54DEF"/>
    <w:rsid w:val="00D556F0"/>
    <w:rsid w:val="00D55950"/>
    <w:rsid w:val="00D55A59"/>
    <w:rsid w:val="00D55AC1"/>
    <w:rsid w:val="00D55E84"/>
    <w:rsid w:val="00D5681D"/>
    <w:rsid w:val="00D56893"/>
    <w:rsid w:val="00D56FFE"/>
    <w:rsid w:val="00D570D5"/>
    <w:rsid w:val="00D5721E"/>
    <w:rsid w:val="00D574FE"/>
    <w:rsid w:val="00D5786E"/>
    <w:rsid w:val="00D5797E"/>
    <w:rsid w:val="00D57AC2"/>
    <w:rsid w:val="00D57CB6"/>
    <w:rsid w:val="00D60067"/>
    <w:rsid w:val="00D601AB"/>
    <w:rsid w:val="00D60329"/>
    <w:rsid w:val="00D6070B"/>
    <w:rsid w:val="00D60711"/>
    <w:rsid w:val="00D608D2"/>
    <w:rsid w:val="00D6090B"/>
    <w:rsid w:val="00D60986"/>
    <w:rsid w:val="00D61016"/>
    <w:rsid w:val="00D6113F"/>
    <w:rsid w:val="00D6163A"/>
    <w:rsid w:val="00D61833"/>
    <w:rsid w:val="00D619D2"/>
    <w:rsid w:val="00D61AC5"/>
    <w:rsid w:val="00D61CF6"/>
    <w:rsid w:val="00D61DD3"/>
    <w:rsid w:val="00D61F6B"/>
    <w:rsid w:val="00D62011"/>
    <w:rsid w:val="00D62305"/>
    <w:rsid w:val="00D6236A"/>
    <w:rsid w:val="00D623C9"/>
    <w:rsid w:val="00D624E1"/>
    <w:rsid w:val="00D62E27"/>
    <w:rsid w:val="00D6347A"/>
    <w:rsid w:val="00D636EA"/>
    <w:rsid w:val="00D637F2"/>
    <w:rsid w:val="00D63C2E"/>
    <w:rsid w:val="00D63DEC"/>
    <w:rsid w:val="00D64042"/>
    <w:rsid w:val="00D6408A"/>
    <w:rsid w:val="00D644A0"/>
    <w:rsid w:val="00D644B0"/>
    <w:rsid w:val="00D64905"/>
    <w:rsid w:val="00D64A73"/>
    <w:rsid w:val="00D64AA7"/>
    <w:rsid w:val="00D64ABD"/>
    <w:rsid w:val="00D64D05"/>
    <w:rsid w:val="00D64DE8"/>
    <w:rsid w:val="00D653D2"/>
    <w:rsid w:val="00D65523"/>
    <w:rsid w:val="00D6558E"/>
    <w:rsid w:val="00D659C9"/>
    <w:rsid w:val="00D65E91"/>
    <w:rsid w:val="00D65FB0"/>
    <w:rsid w:val="00D661E3"/>
    <w:rsid w:val="00D66439"/>
    <w:rsid w:val="00D66768"/>
    <w:rsid w:val="00D6698F"/>
    <w:rsid w:val="00D66C4E"/>
    <w:rsid w:val="00D66E9F"/>
    <w:rsid w:val="00D66EB9"/>
    <w:rsid w:val="00D66FCC"/>
    <w:rsid w:val="00D6771D"/>
    <w:rsid w:val="00D67C56"/>
    <w:rsid w:val="00D67E02"/>
    <w:rsid w:val="00D67F66"/>
    <w:rsid w:val="00D700AA"/>
    <w:rsid w:val="00D703E8"/>
    <w:rsid w:val="00D70575"/>
    <w:rsid w:val="00D70CAB"/>
    <w:rsid w:val="00D70D2A"/>
    <w:rsid w:val="00D70EA0"/>
    <w:rsid w:val="00D70F7F"/>
    <w:rsid w:val="00D7141E"/>
    <w:rsid w:val="00D714AA"/>
    <w:rsid w:val="00D714AF"/>
    <w:rsid w:val="00D717E3"/>
    <w:rsid w:val="00D71838"/>
    <w:rsid w:val="00D7186B"/>
    <w:rsid w:val="00D718B6"/>
    <w:rsid w:val="00D71CEE"/>
    <w:rsid w:val="00D71DBF"/>
    <w:rsid w:val="00D71E73"/>
    <w:rsid w:val="00D72081"/>
    <w:rsid w:val="00D721EF"/>
    <w:rsid w:val="00D7225B"/>
    <w:rsid w:val="00D722C6"/>
    <w:rsid w:val="00D722EA"/>
    <w:rsid w:val="00D7256B"/>
    <w:rsid w:val="00D72628"/>
    <w:rsid w:val="00D726D9"/>
    <w:rsid w:val="00D7277B"/>
    <w:rsid w:val="00D7277C"/>
    <w:rsid w:val="00D729C0"/>
    <w:rsid w:val="00D72D35"/>
    <w:rsid w:val="00D72D82"/>
    <w:rsid w:val="00D72F64"/>
    <w:rsid w:val="00D730C9"/>
    <w:rsid w:val="00D73446"/>
    <w:rsid w:val="00D73469"/>
    <w:rsid w:val="00D7349C"/>
    <w:rsid w:val="00D734B9"/>
    <w:rsid w:val="00D737D8"/>
    <w:rsid w:val="00D73DCF"/>
    <w:rsid w:val="00D7476A"/>
    <w:rsid w:val="00D748FE"/>
    <w:rsid w:val="00D74A93"/>
    <w:rsid w:val="00D74C80"/>
    <w:rsid w:val="00D74FDE"/>
    <w:rsid w:val="00D753D6"/>
    <w:rsid w:val="00D75987"/>
    <w:rsid w:val="00D75A8D"/>
    <w:rsid w:val="00D75B29"/>
    <w:rsid w:val="00D75DBB"/>
    <w:rsid w:val="00D75F92"/>
    <w:rsid w:val="00D76162"/>
    <w:rsid w:val="00D76276"/>
    <w:rsid w:val="00D76A23"/>
    <w:rsid w:val="00D76F8A"/>
    <w:rsid w:val="00D774DB"/>
    <w:rsid w:val="00D775CF"/>
    <w:rsid w:val="00D7765C"/>
    <w:rsid w:val="00D7766B"/>
    <w:rsid w:val="00D80FCA"/>
    <w:rsid w:val="00D8119A"/>
    <w:rsid w:val="00D812CE"/>
    <w:rsid w:val="00D81565"/>
    <w:rsid w:val="00D81805"/>
    <w:rsid w:val="00D81A26"/>
    <w:rsid w:val="00D81E8F"/>
    <w:rsid w:val="00D81F4F"/>
    <w:rsid w:val="00D81FB4"/>
    <w:rsid w:val="00D8211D"/>
    <w:rsid w:val="00D82262"/>
    <w:rsid w:val="00D82413"/>
    <w:rsid w:val="00D8272A"/>
    <w:rsid w:val="00D82A89"/>
    <w:rsid w:val="00D82AB5"/>
    <w:rsid w:val="00D8315D"/>
    <w:rsid w:val="00D8326C"/>
    <w:rsid w:val="00D83303"/>
    <w:rsid w:val="00D83362"/>
    <w:rsid w:val="00D836B0"/>
    <w:rsid w:val="00D83761"/>
    <w:rsid w:val="00D83842"/>
    <w:rsid w:val="00D83CA7"/>
    <w:rsid w:val="00D83DEE"/>
    <w:rsid w:val="00D83E2F"/>
    <w:rsid w:val="00D844AC"/>
    <w:rsid w:val="00D8462F"/>
    <w:rsid w:val="00D847E7"/>
    <w:rsid w:val="00D84A71"/>
    <w:rsid w:val="00D84DAE"/>
    <w:rsid w:val="00D85609"/>
    <w:rsid w:val="00D85745"/>
    <w:rsid w:val="00D85C30"/>
    <w:rsid w:val="00D8638A"/>
    <w:rsid w:val="00D86559"/>
    <w:rsid w:val="00D867D0"/>
    <w:rsid w:val="00D868A8"/>
    <w:rsid w:val="00D86C26"/>
    <w:rsid w:val="00D8709C"/>
    <w:rsid w:val="00D8742C"/>
    <w:rsid w:val="00D87605"/>
    <w:rsid w:val="00D8766F"/>
    <w:rsid w:val="00D8770E"/>
    <w:rsid w:val="00D87A97"/>
    <w:rsid w:val="00D9017B"/>
    <w:rsid w:val="00D9046F"/>
    <w:rsid w:val="00D90694"/>
    <w:rsid w:val="00D906C2"/>
    <w:rsid w:val="00D9079D"/>
    <w:rsid w:val="00D9082C"/>
    <w:rsid w:val="00D90EA4"/>
    <w:rsid w:val="00D91482"/>
    <w:rsid w:val="00D918A0"/>
    <w:rsid w:val="00D9195F"/>
    <w:rsid w:val="00D91AD9"/>
    <w:rsid w:val="00D91D94"/>
    <w:rsid w:val="00D91DB4"/>
    <w:rsid w:val="00D91EA7"/>
    <w:rsid w:val="00D91F71"/>
    <w:rsid w:val="00D9251A"/>
    <w:rsid w:val="00D927B7"/>
    <w:rsid w:val="00D928EE"/>
    <w:rsid w:val="00D92E0A"/>
    <w:rsid w:val="00D92FCD"/>
    <w:rsid w:val="00D93018"/>
    <w:rsid w:val="00D934BE"/>
    <w:rsid w:val="00D940C5"/>
    <w:rsid w:val="00D9415A"/>
    <w:rsid w:val="00D9469F"/>
    <w:rsid w:val="00D94F63"/>
    <w:rsid w:val="00D95178"/>
    <w:rsid w:val="00D951DB"/>
    <w:rsid w:val="00D9543A"/>
    <w:rsid w:val="00D9556E"/>
    <w:rsid w:val="00D956BA"/>
    <w:rsid w:val="00D957D0"/>
    <w:rsid w:val="00D958EB"/>
    <w:rsid w:val="00D9591B"/>
    <w:rsid w:val="00D95F3C"/>
    <w:rsid w:val="00D96404"/>
    <w:rsid w:val="00D9681A"/>
    <w:rsid w:val="00D968FC"/>
    <w:rsid w:val="00D96F49"/>
    <w:rsid w:val="00D971FE"/>
    <w:rsid w:val="00D973C8"/>
    <w:rsid w:val="00D976CF"/>
    <w:rsid w:val="00D9795B"/>
    <w:rsid w:val="00D97B0B"/>
    <w:rsid w:val="00D97B1C"/>
    <w:rsid w:val="00D97C9E"/>
    <w:rsid w:val="00D97EF5"/>
    <w:rsid w:val="00DA0169"/>
    <w:rsid w:val="00DA0417"/>
    <w:rsid w:val="00DA042C"/>
    <w:rsid w:val="00DA0457"/>
    <w:rsid w:val="00DA04F7"/>
    <w:rsid w:val="00DA056E"/>
    <w:rsid w:val="00DA056F"/>
    <w:rsid w:val="00DA0B36"/>
    <w:rsid w:val="00DA157E"/>
    <w:rsid w:val="00DA163C"/>
    <w:rsid w:val="00DA1E84"/>
    <w:rsid w:val="00DA1EA7"/>
    <w:rsid w:val="00DA201D"/>
    <w:rsid w:val="00DA2235"/>
    <w:rsid w:val="00DA238A"/>
    <w:rsid w:val="00DA2553"/>
    <w:rsid w:val="00DA27BE"/>
    <w:rsid w:val="00DA27FB"/>
    <w:rsid w:val="00DA2858"/>
    <w:rsid w:val="00DA2BA5"/>
    <w:rsid w:val="00DA2D58"/>
    <w:rsid w:val="00DA31DD"/>
    <w:rsid w:val="00DA3548"/>
    <w:rsid w:val="00DA3883"/>
    <w:rsid w:val="00DA3943"/>
    <w:rsid w:val="00DA397D"/>
    <w:rsid w:val="00DA39D3"/>
    <w:rsid w:val="00DA3BB9"/>
    <w:rsid w:val="00DA3F28"/>
    <w:rsid w:val="00DA412B"/>
    <w:rsid w:val="00DA41F9"/>
    <w:rsid w:val="00DA42BB"/>
    <w:rsid w:val="00DA4545"/>
    <w:rsid w:val="00DA4EA4"/>
    <w:rsid w:val="00DA4FD5"/>
    <w:rsid w:val="00DA4FF0"/>
    <w:rsid w:val="00DA513B"/>
    <w:rsid w:val="00DA5437"/>
    <w:rsid w:val="00DA547F"/>
    <w:rsid w:val="00DA555E"/>
    <w:rsid w:val="00DA57DF"/>
    <w:rsid w:val="00DA5960"/>
    <w:rsid w:val="00DA5B7F"/>
    <w:rsid w:val="00DA6177"/>
    <w:rsid w:val="00DA6408"/>
    <w:rsid w:val="00DA697B"/>
    <w:rsid w:val="00DA6CA4"/>
    <w:rsid w:val="00DA6DF0"/>
    <w:rsid w:val="00DA6EC7"/>
    <w:rsid w:val="00DA7182"/>
    <w:rsid w:val="00DA7190"/>
    <w:rsid w:val="00DA7477"/>
    <w:rsid w:val="00DA74E4"/>
    <w:rsid w:val="00DA758C"/>
    <w:rsid w:val="00DA7AAA"/>
    <w:rsid w:val="00DA7D63"/>
    <w:rsid w:val="00DA7E0B"/>
    <w:rsid w:val="00DA7FE7"/>
    <w:rsid w:val="00DB046D"/>
    <w:rsid w:val="00DB0916"/>
    <w:rsid w:val="00DB0C1D"/>
    <w:rsid w:val="00DB0F73"/>
    <w:rsid w:val="00DB1157"/>
    <w:rsid w:val="00DB117A"/>
    <w:rsid w:val="00DB19BE"/>
    <w:rsid w:val="00DB19DC"/>
    <w:rsid w:val="00DB1CF0"/>
    <w:rsid w:val="00DB1F2F"/>
    <w:rsid w:val="00DB229D"/>
    <w:rsid w:val="00DB28D6"/>
    <w:rsid w:val="00DB2907"/>
    <w:rsid w:val="00DB2AE2"/>
    <w:rsid w:val="00DB2FB1"/>
    <w:rsid w:val="00DB33FF"/>
    <w:rsid w:val="00DB3644"/>
    <w:rsid w:val="00DB3722"/>
    <w:rsid w:val="00DB3CA5"/>
    <w:rsid w:val="00DB3CBC"/>
    <w:rsid w:val="00DB409B"/>
    <w:rsid w:val="00DB428D"/>
    <w:rsid w:val="00DB43EF"/>
    <w:rsid w:val="00DB446E"/>
    <w:rsid w:val="00DB474F"/>
    <w:rsid w:val="00DB4D38"/>
    <w:rsid w:val="00DB4F70"/>
    <w:rsid w:val="00DB521F"/>
    <w:rsid w:val="00DB5C03"/>
    <w:rsid w:val="00DB5C40"/>
    <w:rsid w:val="00DB5D8F"/>
    <w:rsid w:val="00DB6536"/>
    <w:rsid w:val="00DB6581"/>
    <w:rsid w:val="00DB67FE"/>
    <w:rsid w:val="00DB77EF"/>
    <w:rsid w:val="00DB78D8"/>
    <w:rsid w:val="00DC03A8"/>
    <w:rsid w:val="00DC098E"/>
    <w:rsid w:val="00DC099E"/>
    <w:rsid w:val="00DC09E6"/>
    <w:rsid w:val="00DC09E9"/>
    <w:rsid w:val="00DC0BA0"/>
    <w:rsid w:val="00DC0C30"/>
    <w:rsid w:val="00DC0F61"/>
    <w:rsid w:val="00DC12EB"/>
    <w:rsid w:val="00DC1636"/>
    <w:rsid w:val="00DC1758"/>
    <w:rsid w:val="00DC181F"/>
    <w:rsid w:val="00DC1B9D"/>
    <w:rsid w:val="00DC214C"/>
    <w:rsid w:val="00DC24D8"/>
    <w:rsid w:val="00DC2561"/>
    <w:rsid w:val="00DC25AB"/>
    <w:rsid w:val="00DC26F5"/>
    <w:rsid w:val="00DC2749"/>
    <w:rsid w:val="00DC27A7"/>
    <w:rsid w:val="00DC27CD"/>
    <w:rsid w:val="00DC28ED"/>
    <w:rsid w:val="00DC2A42"/>
    <w:rsid w:val="00DC2C81"/>
    <w:rsid w:val="00DC2D7E"/>
    <w:rsid w:val="00DC3251"/>
    <w:rsid w:val="00DC3289"/>
    <w:rsid w:val="00DC331B"/>
    <w:rsid w:val="00DC354D"/>
    <w:rsid w:val="00DC3AAE"/>
    <w:rsid w:val="00DC3E4D"/>
    <w:rsid w:val="00DC4196"/>
    <w:rsid w:val="00DC4219"/>
    <w:rsid w:val="00DC436F"/>
    <w:rsid w:val="00DC446F"/>
    <w:rsid w:val="00DC44AB"/>
    <w:rsid w:val="00DC48DC"/>
    <w:rsid w:val="00DC49E7"/>
    <w:rsid w:val="00DC4A74"/>
    <w:rsid w:val="00DC4EF6"/>
    <w:rsid w:val="00DC4F8E"/>
    <w:rsid w:val="00DC587F"/>
    <w:rsid w:val="00DC59F7"/>
    <w:rsid w:val="00DC5ABB"/>
    <w:rsid w:val="00DC6012"/>
    <w:rsid w:val="00DC6644"/>
    <w:rsid w:val="00DC6805"/>
    <w:rsid w:val="00DC692E"/>
    <w:rsid w:val="00DC6CB3"/>
    <w:rsid w:val="00DC6DD0"/>
    <w:rsid w:val="00DC6E40"/>
    <w:rsid w:val="00DC6EFF"/>
    <w:rsid w:val="00DC6FF0"/>
    <w:rsid w:val="00DC7039"/>
    <w:rsid w:val="00DC7638"/>
    <w:rsid w:val="00DC78CA"/>
    <w:rsid w:val="00DD0769"/>
    <w:rsid w:val="00DD0908"/>
    <w:rsid w:val="00DD0C7E"/>
    <w:rsid w:val="00DD0E30"/>
    <w:rsid w:val="00DD0E44"/>
    <w:rsid w:val="00DD1090"/>
    <w:rsid w:val="00DD118E"/>
    <w:rsid w:val="00DD14E0"/>
    <w:rsid w:val="00DD1661"/>
    <w:rsid w:val="00DD1686"/>
    <w:rsid w:val="00DD18D3"/>
    <w:rsid w:val="00DD1940"/>
    <w:rsid w:val="00DD1A13"/>
    <w:rsid w:val="00DD1A97"/>
    <w:rsid w:val="00DD208A"/>
    <w:rsid w:val="00DD227B"/>
    <w:rsid w:val="00DD2631"/>
    <w:rsid w:val="00DD2BDB"/>
    <w:rsid w:val="00DD2D1C"/>
    <w:rsid w:val="00DD2DA9"/>
    <w:rsid w:val="00DD308D"/>
    <w:rsid w:val="00DD30F5"/>
    <w:rsid w:val="00DD3311"/>
    <w:rsid w:val="00DD3944"/>
    <w:rsid w:val="00DD3A11"/>
    <w:rsid w:val="00DD441F"/>
    <w:rsid w:val="00DD4497"/>
    <w:rsid w:val="00DD44F8"/>
    <w:rsid w:val="00DD4AE9"/>
    <w:rsid w:val="00DD5748"/>
    <w:rsid w:val="00DD5877"/>
    <w:rsid w:val="00DD5B7E"/>
    <w:rsid w:val="00DD5C1F"/>
    <w:rsid w:val="00DD5C5D"/>
    <w:rsid w:val="00DD5C5F"/>
    <w:rsid w:val="00DD5FB4"/>
    <w:rsid w:val="00DD6109"/>
    <w:rsid w:val="00DD69D9"/>
    <w:rsid w:val="00DD6C2E"/>
    <w:rsid w:val="00DD6F98"/>
    <w:rsid w:val="00DD7011"/>
    <w:rsid w:val="00DD717B"/>
    <w:rsid w:val="00DD724D"/>
    <w:rsid w:val="00DD72FC"/>
    <w:rsid w:val="00DD773F"/>
    <w:rsid w:val="00DD7BFA"/>
    <w:rsid w:val="00DD7E30"/>
    <w:rsid w:val="00DE002B"/>
    <w:rsid w:val="00DE023A"/>
    <w:rsid w:val="00DE02FD"/>
    <w:rsid w:val="00DE06E0"/>
    <w:rsid w:val="00DE08A2"/>
    <w:rsid w:val="00DE08E7"/>
    <w:rsid w:val="00DE0BE3"/>
    <w:rsid w:val="00DE0DF2"/>
    <w:rsid w:val="00DE0E0A"/>
    <w:rsid w:val="00DE0FFB"/>
    <w:rsid w:val="00DE133C"/>
    <w:rsid w:val="00DE1394"/>
    <w:rsid w:val="00DE14DB"/>
    <w:rsid w:val="00DE1B52"/>
    <w:rsid w:val="00DE1F71"/>
    <w:rsid w:val="00DE1F97"/>
    <w:rsid w:val="00DE1FB7"/>
    <w:rsid w:val="00DE2064"/>
    <w:rsid w:val="00DE2174"/>
    <w:rsid w:val="00DE24CC"/>
    <w:rsid w:val="00DE2825"/>
    <w:rsid w:val="00DE2870"/>
    <w:rsid w:val="00DE2A0A"/>
    <w:rsid w:val="00DE314C"/>
    <w:rsid w:val="00DE31DF"/>
    <w:rsid w:val="00DE36B0"/>
    <w:rsid w:val="00DE3938"/>
    <w:rsid w:val="00DE4552"/>
    <w:rsid w:val="00DE4785"/>
    <w:rsid w:val="00DE4B22"/>
    <w:rsid w:val="00DE4B34"/>
    <w:rsid w:val="00DE4C1E"/>
    <w:rsid w:val="00DE561F"/>
    <w:rsid w:val="00DE5ABE"/>
    <w:rsid w:val="00DE5DD0"/>
    <w:rsid w:val="00DE6146"/>
    <w:rsid w:val="00DE6185"/>
    <w:rsid w:val="00DE6481"/>
    <w:rsid w:val="00DE6559"/>
    <w:rsid w:val="00DE698B"/>
    <w:rsid w:val="00DE6C36"/>
    <w:rsid w:val="00DE6E17"/>
    <w:rsid w:val="00DE6EF1"/>
    <w:rsid w:val="00DE7100"/>
    <w:rsid w:val="00DE71B5"/>
    <w:rsid w:val="00DE74C6"/>
    <w:rsid w:val="00DE7BC8"/>
    <w:rsid w:val="00DF0140"/>
    <w:rsid w:val="00DF0529"/>
    <w:rsid w:val="00DF06BE"/>
    <w:rsid w:val="00DF0B2B"/>
    <w:rsid w:val="00DF0C20"/>
    <w:rsid w:val="00DF0C28"/>
    <w:rsid w:val="00DF0FAA"/>
    <w:rsid w:val="00DF112D"/>
    <w:rsid w:val="00DF141D"/>
    <w:rsid w:val="00DF151C"/>
    <w:rsid w:val="00DF157F"/>
    <w:rsid w:val="00DF1904"/>
    <w:rsid w:val="00DF1950"/>
    <w:rsid w:val="00DF1DB7"/>
    <w:rsid w:val="00DF20F9"/>
    <w:rsid w:val="00DF2187"/>
    <w:rsid w:val="00DF2382"/>
    <w:rsid w:val="00DF239F"/>
    <w:rsid w:val="00DF27E1"/>
    <w:rsid w:val="00DF2940"/>
    <w:rsid w:val="00DF2EC0"/>
    <w:rsid w:val="00DF2FF6"/>
    <w:rsid w:val="00DF3196"/>
    <w:rsid w:val="00DF342B"/>
    <w:rsid w:val="00DF3580"/>
    <w:rsid w:val="00DF37BF"/>
    <w:rsid w:val="00DF38E7"/>
    <w:rsid w:val="00DF3919"/>
    <w:rsid w:val="00DF3964"/>
    <w:rsid w:val="00DF3B19"/>
    <w:rsid w:val="00DF3D90"/>
    <w:rsid w:val="00DF3FAB"/>
    <w:rsid w:val="00DF4047"/>
    <w:rsid w:val="00DF420E"/>
    <w:rsid w:val="00DF4561"/>
    <w:rsid w:val="00DF4931"/>
    <w:rsid w:val="00DF4BC1"/>
    <w:rsid w:val="00DF4CFE"/>
    <w:rsid w:val="00DF4F16"/>
    <w:rsid w:val="00DF5442"/>
    <w:rsid w:val="00DF56A8"/>
    <w:rsid w:val="00DF5749"/>
    <w:rsid w:val="00DF5A46"/>
    <w:rsid w:val="00DF5C4A"/>
    <w:rsid w:val="00DF5DFA"/>
    <w:rsid w:val="00DF5FFF"/>
    <w:rsid w:val="00DF6210"/>
    <w:rsid w:val="00DF677C"/>
    <w:rsid w:val="00DF6A39"/>
    <w:rsid w:val="00DF74BF"/>
    <w:rsid w:val="00DF7607"/>
    <w:rsid w:val="00DF7B5F"/>
    <w:rsid w:val="00DF7F46"/>
    <w:rsid w:val="00E00056"/>
    <w:rsid w:val="00E00173"/>
    <w:rsid w:val="00E001CE"/>
    <w:rsid w:val="00E00282"/>
    <w:rsid w:val="00E00477"/>
    <w:rsid w:val="00E0076B"/>
    <w:rsid w:val="00E008C2"/>
    <w:rsid w:val="00E00A22"/>
    <w:rsid w:val="00E00AD2"/>
    <w:rsid w:val="00E00ADE"/>
    <w:rsid w:val="00E00E6E"/>
    <w:rsid w:val="00E0105D"/>
    <w:rsid w:val="00E011CF"/>
    <w:rsid w:val="00E01982"/>
    <w:rsid w:val="00E01A12"/>
    <w:rsid w:val="00E01DB9"/>
    <w:rsid w:val="00E01DC2"/>
    <w:rsid w:val="00E01E42"/>
    <w:rsid w:val="00E020DB"/>
    <w:rsid w:val="00E0215E"/>
    <w:rsid w:val="00E02179"/>
    <w:rsid w:val="00E0218F"/>
    <w:rsid w:val="00E0234C"/>
    <w:rsid w:val="00E02683"/>
    <w:rsid w:val="00E02694"/>
    <w:rsid w:val="00E02969"/>
    <w:rsid w:val="00E02D68"/>
    <w:rsid w:val="00E038D4"/>
    <w:rsid w:val="00E039CC"/>
    <w:rsid w:val="00E03D44"/>
    <w:rsid w:val="00E04585"/>
    <w:rsid w:val="00E04605"/>
    <w:rsid w:val="00E04618"/>
    <w:rsid w:val="00E04B16"/>
    <w:rsid w:val="00E04FA2"/>
    <w:rsid w:val="00E04FBD"/>
    <w:rsid w:val="00E05067"/>
    <w:rsid w:val="00E0515A"/>
    <w:rsid w:val="00E057E5"/>
    <w:rsid w:val="00E05C63"/>
    <w:rsid w:val="00E06074"/>
    <w:rsid w:val="00E06165"/>
    <w:rsid w:val="00E06175"/>
    <w:rsid w:val="00E06642"/>
    <w:rsid w:val="00E06C69"/>
    <w:rsid w:val="00E06CAD"/>
    <w:rsid w:val="00E06E0C"/>
    <w:rsid w:val="00E07199"/>
    <w:rsid w:val="00E07247"/>
    <w:rsid w:val="00E07BDD"/>
    <w:rsid w:val="00E07E99"/>
    <w:rsid w:val="00E10126"/>
    <w:rsid w:val="00E1046B"/>
    <w:rsid w:val="00E10B34"/>
    <w:rsid w:val="00E10D45"/>
    <w:rsid w:val="00E10F59"/>
    <w:rsid w:val="00E110AE"/>
    <w:rsid w:val="00E11177"/>
    <w:rsid w:val="00E11322"/>
    <w:rsid w:val="00E1152B"/>
    <w:rsid w:val="00E1167F"/>
    <w:rsid w:val="00E119E5"/>
    <w:rsid w:val="00E11E97"/>
    <w:rsid w:val="00E11ECE"/>
    <w:rsid w:val="00E12194"/>
    <w:rsid w:val="00E125DA"/>
    <w:rsid w:val="00E12A5F"/>
    <w:rsid w:val="00E12D20"/>
    <w:rsid w:val="00E12DA8"/>
    <w:rsid w:val="00E13080"/>
    <w:rsid w:val="00E1348F"/>
    <w:rsid w:val="00E13554"/>
    <w:rsid w:val="00E1361A"/>
    <w:rsid w:val="00E138A9"/>
    <w:rsid w:val="00E1390C"/>
    <w:rsid w:val="00E139EC"/>
    <w:rsid w:val="00E13C30"/>
    <w:rsid w:val="00E13CC9"/>
    <w:rsid w:val="00E13D28"/>
    <w:rsid w:val="00E13E40"/>
    <w:rsid w:val="00E13F57"/>
    <w:rsid w:val="00E1405E"/>
    <w:rsid w:val="00E1412E"/>
    <w:rsid w:val="00E142DA"/>
    <w:rsid w:val="00E14352"/>
    <w:rsid w:val="00E14559"/>
    <w:rsid w:val="00E1460A"/>
    <w:rsid w:val="00E146FB"/>
    <w:rsid w:val="00E147F2"/>
    <w:rsid w:val="00E14918"/>
    <w:rsid w:val="00E149F6"/>
    <w:rsid w:val="00E14D55"/>
    <w:rsid w:val="00E15250"/>
    <w:rsid w:val="00E15374"/>
    <w:rsid w:val="00E153C7"/>
    <w:rsid w:val="00E155CC"/>
    <w:rsid w:val="00E156D9"/>
    <w:rsid w:val="00E15DA0"/>
    <w:rsid w:val="00E15EF2"/>
    <w:rsid w:val="00E167AC"/>
    <w:rsid w:val="00E16D40"/>
    <w:rsid w:val="00E16D9D"/>
    <w:rsid w:val="00E16DCD"/>
    <w:rsid w:val="00E16EC6"/>
    <w:rsid w:val="00E17320"/>
    <w:rsid w:val="00E17410"/>
    <w:rsid w:val="00E17A06"/>
    <w:rsid w:val="00E17ACA"/>
    <w:rsid w:val="00E17B84"/>
    <w:rsid w:val="00E17D19"/>
    <w:rsid w:val="00E202FC"/>
    <w:rsid w:val="00E206D4"/>
    <w:rsid w:val="00E20875"/>
    <w:rsid w:val="00E20975"/>
    <w:rsid w:val="00E20A6D"/>
    <w:rsid w:val="00E20C56"/>
    <w:rsid w:val="00E21128"/>
    <w:rsid w:val="00E211D0"/>
    <w:rsid w:val="00E2125B"/>
    <w:rsid w:val="00E217C1"/>
    <w:rsid w:val="00E21B6A"/>
    <w:rsid w:val="00E21EAB"/>
    <w:rsid w:val="00E21EBF"/>
    <w:rsid w:val="00E2216F"/>
    <w:rsid w:val="00E221E5"/>
    <w:rsid w:val="00E22947"/>
    <w:rsid w:val="00E22948"/>
    <w:rsid w:val="00E229F9"/>
    <w:rsid w:val="00E22C49"/>
    <w:rsid w:val="00E22C64"/>
    <w:rsid w:val="00E22C9E"/>
    <w:rsid w:val="00E22DFB"/>
    <w:rsid w:val="00E23648"/>
    <w:rsid w:val="00E239D7"/>
    <w:rsid w:val="00E23A74"/>
    <w:rsid w:val="00E23BD6"/>
    <w:rsid w:val="00E23FCC"/>
    <w:rsid w:val="00E240AF"/>
    <w:rsid w:val="00E2439D"/>
    <w:rsid w:val="00E246C7"/>
    <w:rsid w:val="00E249DA"/>
    <w:rsid w:val="00E24A82"/>
    <w:rsid w:val="00E24C66"/>
    <w:rsid w:val="00E24F49"/>
    <w:rsid w:val="00E250AA"/>
    <w:rsid w:val="00E2512A"/>
    <w:rsid w:val="00E2526A"/>
    <w:rsid w:val="00E25356"/>
    <w:rsid w:val="00E25643"/>
    <w:rsid w:val="00E256C9"/>
    <w:rsid w:val="00E25768"/>
    <w:rsid w:val="00E257C3"/>
    <w:rsid w:val="00E25AEA"/>
    <w:rsid w:val="00E25E66"/>
    <w:rsid w:val="00E26075"/>
    <w:rsid w:val="00E2617E"/>
    <w:rsid w:val="00E26248"/>
    <w:rsid w:val="00E2643E"/>
    <w:rsid w:val="00E26910"/>
    <w:rsid w:val="00E269AD"/>
    <w:rsid w:val="00E26A60"/>
    <w:rsid w:val="00E26CE9"/>
    <w:rsid w:val="00E27202"/>
    <w:rsid w:val="00E27286"/>
    <w:rsid w:val="00E27293"/>
    <w:rsid w:val="00E2777C"/>
    <w:rsid w:val="00E27845"/>
    <w:rsid w:val="00E27930"/>
    <w:rsid w:val="00E30951"/>
    <w:rsid w:val="00E30B23"/>
    <w:rsid w:val="00E30FFD"/>
    <w:rsid w:val="00E31133"/>
    <w:rsid w:val="00E3116B"/>
    <w:rsid w:val="00E31324"/>
    <w:rsid w:val="00E31393"/>
    <w:rsid w:val="00E313E8"/>
    <w:rsid w:val="00E31489"/>
    <w:rsid w:val="00E317FE"/>
    <w:rsid w:val="00E31955"/>
    <w:rsid w:val="00E31AC8"/>
    <w:rsid w:val="00E31C24"/>
    <w:rsid w:val="00E31E74"/>
    <w:rsid w:val="00E320B0"/>
    <w:rsid w:val="00E32B96"/>
    <w:rsid w:val="00E32BDF"/>
    <w:rsid w:val="00E32C06"/>
    <w:rsid w:val="00E33310"/>
    <w:rsid w:val="00E33465"/>
    <w:rsid w:val="00E33DDE"/>
    <w:rsid w:val="00E33DE0"/>
    <w:rsid w:val="00E33E07"/>
    <w:rsid w:val="00E33F8F"/>
    <w:rsid w:val="00E33FAB"/>
    <w:rsid w:val="00E3419B"/>
    <w:rsid w:val="00E341D3"/>
    <w:rsid w:val="00E34C00"/>
    <w:rsid w:val="00E34E4E"/>
    <w:rsid w:val="00E35005"/>
    <w:rsid w:val="00E3526D"/>
    <w:rsid w:val="00E35730"/>
    <w:rsid w:val="00E35A65"/>
    <w:rsid w:val="00E35BC0"/>
    <w:rsid w:val="00E35C9F"/>
    <w:rsid w:val="00E35ED0"/>
    <w:rsid w:val="00E35FEC"/>
    <w:rsid w:val="00E3610B"/>
    <w:rsid w:val="00E3629E"/>
    <w:rsid w:val="00E3637B"/>
    <w:rsid w:val="00E36496"/>
    <w:rsid w:val="00E36684"/>
    <w:rsid w:val="00E36829"/>
    <w:rsid w:val="00E36CA5"/>
    <w:rsid w:val="00E372BD"/>
    <w:rsid w:val="00E37615"/>
    <w:rsid w:val="00E37796"/>
    <w:rsid w:val="00E3789A"/>
    <w:rsid w:val="00E37C68"/>
    <w:rsid w:val="00E37E3B"/>
    <w:rsid w:val="00E402ED"/>
    <w:rsid w:val="00E4052E"/>
    <w:rsid w:val="00E40EF1"/>
    <w:rsid w:val="00E411DB"/>
    <w:rsid w:val="00E4187F"/>
    <w:rsid w:val="00E419BC"/>
    <w:rsid w:val="00E41B26"/>
    <w:rsid w:val="00E41C87"/>
    <w:rsid w:val="00E4215C"/>
    <w:rsid w:val="00E421D7"/>
    <w:rsid w:val="00E42DC0"/>
    <w:rsid w:val="00E42DD8"/>
    <w:rsid w:val="00E43251"/>
    <w:rsid w:val="00E4379B"/>
    <w:rsid w:val="00E439A9"/>
    <w:rsid w:val="00E43BB3"/>
    <w:rsid w:val="00E43C07"/>
    <w:rsid w:val="00E43CB2"/>
    <w:rsid w:val="00E43ED3"/>
    <w:rsid w:val="00E44625"/>
    <w:rsid w:val="00E448A2"/>
    <w:rsid w:val="00E448C4"/>
    <w:rsid w:val="00E44B62"/>
    <w:rsid w:val="00E44C8C"/>
    <w:rsid w:val="00E44D79"/>
    <w:rsid w:val="00E4515B"/>
    <w:rsid w:val="00E45182"/>
    <w:rsid w:val="00E452A1"/>
    <w:rsid w:val="00E45563"/>
    <w:rsid w:val="00E45793"/>
    <w:rsid w:val="00E45D34"/>
    <w:rsid w:val="00E46009"/>
    <w:rsid w:val="00E46083"/>
    <w:rsid w:val="00E46163"/>
    <w:rsid w:val="00E46609"/>
    <w:rsid w:val="00E46840"/>
    <w:rsid w:val="00E469AC"/>
    <w:rsid w:val="00E46C65"/>
    <w:rsid w:val="00E46E4F"/>
    <w:rsid w:val="00E46EB2"/>
    <w:rsid w:val="00E47170"/>
    <w:rsid w:val="00E471D3"/>
    <w:rsid w:val="00E47389"/>
    <w:rsid w:val="00E475A1"/>
    <w:rsid w:val="00E475A4"/>
    <w:rsid w:val="00E47992"/>
    <w:rsid w:val="00E47B9A"/>
    <w:rsid w:val="00E47D19"/>
    <w:rsid w:val="00E47DBC"/>
    <w:rsid w:val="00E47E19"/>
    <w:rsid w:val="00E50867"/>
    <w:rsid w:val="00E508C1"/>
    <w:rsid w:val="00E50CD8"/>
    <w:rsid w:val="00E50CFB"/>
    <w:rsid w:val="00E50E57"/>
    <w:rsid w:val="00E50F79"/>
    <w:rsid w:val="00E51017"/>
    <w:rsid w:val="00E5102D"/>
    <w:rsid w:val="00E510D8"/>
    <w:rsid w:val="00E51235"/>
    <w:rsid w:val="00E5138C"/>
    <w:rsid w:val="00E516B4"/>
    <w:rsid w:val="00E51D83"/>
    <w:rsid w:val="00E51DC0"/>
    <w:rsid w:val="00E52A05"/>
    <w:rsid w:val="00E52A87"/>
    <w:rsid w:val="00E52A88"/>
    <w:rsid w:val="00E52BFD"/>
    <w:rsid w:val="00E53068"/>
    <w:rsid w:val="00E534DB"/>
    <w:rsid w:val="00E53684"/>
    <w:rsid w:val="00E53923"/>
    <w:rsid w:val="00E53B2E"/>
    <w:rsid w:val="00E53B96"/>
    <w:rsid w:val="00E54076"/>
    <w:rsid w:val="00E5409F"/>
    <w:rsid w:val="00E54286"/>
    <w:rsid w:val="00E5463A"/>
    <w:rsid w:val="00E54826"/>
    <w:rsid w:val="00E54B56"/>
    <w:rsid w:val="00E55022"/>
    <w:rsid w:val="00E55286"/>
    <w:rsid w:val="00E552B1"/>
    <w:rsid w:val="00E55525"/>
    <w:rsid w:val="00E55762"/>
    <w:rsid w:val="00E56A4E"/>
    <w:rsid w:val="00E56B10"/>
    <w:rsid w:val="00E56E0F"/>
    <w:rsid w:val="00E56E42"/>
    <w:rsid w:val="00E56F5B"/>
    <w:rsid w:val="00E573E2"/>
    <w:rsid w:val="00E576A1"/>
    <w:rsid w:val="00E57711"/>
    <w:rsid w:val="00E57922"/>
    <w:rsid w:val="00E579C5"/>
    <w:rsid w:val="00E57B15"/>
    <w:rsid w:val="00E57BEE"/>
    <w:rsid w:val="00E57DFF"/>
    <w:rsid w:val="00E57E15"/>
    <w:rsid w:val="00E57E2B"/>
    <w:rsid w:val="00E6038B"/>
    <w:rsid w:val="00E60657"/>
    <w:rsid w:val="00E60844"/>
    <w:rsid w:val="00E6088F"/>
    <w:rsid w:val="00E6097C"/>
    <w:rsid w:val="00E60BF9"/>
    <w:rsid w:val="00E60C12"/>
    <w:rsid w:val="00E60CBA"/>
    <w:rsid w:val="00E60DC6"/>
    <w:rsid w:val="00E61161"/>
    <w:rsid w:val="00E613AE"/>
    <w:rsid w:val="00E615EF"/>
    <w:rsid w:val="00E6191E"/>
    <w:rsid w:val="00E61ACB"/>
    <w:rsid w:val="00E61F52"/>
    <w:rsid w:val="00E6233C"/>
    <w:rsid w:val="00E62A09"/>
    <w:rsid w:val="00E62ACC"/>
    <w:rsid w:val="00E62F69"/>
    <w:rsid w:val="00E62F8B"/>
    <w:rsid w:val="00E635FA"/>
    <w:rsid w:val="00E63AAC"/>
    <w:rsid w:val="00E63D3F"/>
    <w:rsid w:val="00E64065"/>
    <w:rsid w:val="00E64641"/>
    <w:rsid w:val="00E64A77"/>
    <w:rsid w:val="00E64AE4"/>
    <w:rsid w:val="00E64BA4"/>
    <w:rsid w:val="00E64BA9"/>
    <w:rsid w:val="00E64DB3"/>
    <w:rsid w:val="00E65268"/>
    <w:rsid w:val="00E65374"/>
    <w:rsid w:val="00E65579"/>
    <w:rsid w:val="00E6559E"/>
    <w:rsid w:val="00E657D0"/>
    <w:rsid w:val="00E65973"/>
    <w:rsid w:val="00E65C69"/>
    <w:rsid w:val="00E65F1D"/>
    <w:rsid w:val="00E66074"/>
    <w:rsid w:val="00E660BF"/>
    <w:rsid w:val="00E66355"/>
    <w:rsid w:val="00E664CB"/>
    <w:rsid w:val="00E66B87"/>
    <w:rsid w:val="00E66D2B"/>
    <w:rsid w:val="00E66F67"/>
    <w:rsid w:val="00E672B8"/>
    <w:rsid w:val="00E673A0"/>
    <w:rsid w:val="00E673F1"/>
    <w:rsid w:val="00E67805"/>
    <w:rsid w:val="00E67901"/>
    <w:rsid w:val="00E67D0C"/>
    <w:rsid w:val="00E67ED2"/>
    <w:rsid w:val="00E67FD1"/>
    <w:rsid w:val="00E701EB"/>
    <w:rsid w:val="00E705B4"/>
    <w:rsid w:val="00E705E3"/>
    <w:rsid w:val="00E70909"/>
    <w:rsid w:val="00E709FF"/>
    <w:rsid w:val="00E70AB3"/>
    <w:rsid w:val="00E70FB8"/>
    <w:rsid w:val="00E7109D"/>
    <w:rsid w:val="00E71330"/>
    <w:rsid w:val="00E71331"/>
    <w:rsid w:val="00E71582"/>
    <w:rsid w:val="00E716BE"/>
    <w:rsid w:val="00E71B12"/>
    <w:rsid w:val="00E71B31"/>
    <w:rsid w:val="00E71C08"/>
    <w:rsid w:val="00E71CD6"/>
    <w:rsid w:val="00E7203C"/>
    <w:rsid w:val="00E7268E"/>
    <w:rsid w:val="00E7279C"/>
    <w:rsid w:val="00E72897"/>
    <w:rsid w:val="00E72A2E"/>
    <w:rsid w:val="00E72A96"/>
    <w:rsid w:val="00E72CF0"/>
    <w:rsid w:val="00E7336A"/>
    <w:rsid w:val="00E736FE"/>
    <w:rsid w:val="00E73C7E"/>
    <w:rsid w:val="00E743EB"/>
    <w:rsid w:val="00E74601"/>
    <w:rsid w:val="00E74DD7"/>
    <w:rsid w:val="00E751ED"/>
    <w:rsid w:val="00E75331"/>
    <w:rsid w:val="00E7545C"/>
    <w:rsid w:val="00E756A3"/>
    <w:rsid w:val="00E756D1"/>
    <w:rsid w:val="00E75731"/>
    <w:rsid w:val="00E75BC8"/>
    <w:rsid w:val="00E75D4A"/>
    <w:rsid w:val="00E761E7"/>
    <w:rsid w:val="00E763F8"/>
    <w:rsid w:val="00E765C8"/>
    <w:rsid w:val="00E76760"/>
    <w:rsid w:val="00E76B3E"/>
    <w:rsid w:val="00E76BDB"/>
    <w:rsid w:val="00E76C4B"/>
    <w:rsid w:val="00E76D81"/>
    <w:rsid w:val="00E774AD"/>
    <w:rsid w:val="00E77591"/>
    <w:rsid w:val="00E776E9"/>
    <w:rsid w:val="00E777E9"/>
    <w:rsid w:val="00E77F10"/>
    <w:rsid w:val="00E80189"/>
    <w:rsid w:val="00E80584"/>
    <w:rsid w:val="00E808E0"/>
    <w:rsid w:val="00E80B92"/>
    <w:rsid w:val="00E8104A"/>
    <w:rsid w:val="00E812C2"/>
    <w:rsid w:val="00E815D7"/>
    <w:rsid w:val="00E816FE"/>
    <w:rsid w:val="00E81E67"/>
    <w:rsid w:val="00E821EC"/>
    <w:rsid w:val="00E822A5"/>
    <w:rsid w:val="00E826C0"/>
    <w:rsid w:val="00E826E3"/>
    <w:rsid w:val="00E8295B"/>
    <w:rsid w:val="00E82B27"/>
    <w:rsid w:val="00E82B81"/>
    <w:rsid w:val="00E82CC5"/>
    <w:rsid w:val="00E83099"/>
    <w:rsid w:val="00E832E3"/>
    <w:rsid w:val="00E8338F"/>
    <w:rsid w:val="00E83FDF"/>
    <w:rsid w:val="00E84117"/>
    <w:rsid w:val="00E842B0"/>
    <w:rsid w:val="00E847BF"/>
    <w:rsid w:val="00E84ACE"/>
    <w:rsid w:val="00E856AF"/>
    <w:rsid w:val="00E858A5"/>
    <w:rsid w:val="00E85B89"/>
    <w:rsid w:val="00E85F78"/>
    <w:rsid w:val="00E85F7F"/>
    <w:rsid w:val="00E8639C"/>
    <w:rsid w:val="00E868F3"/>
    <w:rsid w:val="00E8694D"/>
    <w:rsid w:val="00E86B88"/>
    <w:rsid w:val="00E86BDD"/>
    <w:rsid w:val="00E86C38"/>
    <w:rsid w:val="00E86D3C"/>
    <w:rsid w:val="00E87190"/>
    <w:rsid w:val="00E874C4"/>
    <w:rsid w:val="00E87560"/>
    <w:rsid w:val="00E876DC"/>
    <w:rsid w:val="00E87733"/>
    <w:rsid w:val="00E87798"/>
    <w:rsid w:val="00E87878"/>
    <w:rsid w:val="00E8796D"/>
    <w:rsid w:val="00E87D92"/>
    <w:rsid w:val="00E903B0"/>
    <w:rsid w:val="00E903E0"/>
    <w:rsid w:val="00E904F7"/>
    <w:rsid w:val="00E9071A"/>
    <w:rsid w:val="00E90A12"/>
    <w:rsid w:val="00E90E3F"/>
    <w:rsid w:val="00E90FDE"/>
    <w:rsid w:val="00E91204"/>
    <w:rsid w:val="00E91870"/>
    <w:rsid w:val="00E92151"/>
    <w:rsid w:val="00E923AF"/>
    <w:rsid w:val="00E9241E"/>
    <w:rsid w:val="00E9255C"/>
    <w:rsid w:val="00E9295D"/>
    <w:rsid w:val="00E92EC6"/>
    <w:rsid w:val="00E9363E"/>
    <w:rsid w:val="00E93826"/>
    <w:rsid w:val="00E93A16"/>
    <w:rsid w:val="00E93C6A"/>
    <w:rsid w:val="00E93C81"/>
    <w:rsid w:val="00E93E3D"/>
    <w:rsid w:val="00E93F43"/>
    <w:rsid w:val="00E940EE"/>
    <w:rsid w:val="00E94103"/>
    <w:rsid w:val="00E94193"/>
    <w:rsid w:val="00E94281"/>
    <w:rsid w:val="00E944A4"/>
    <w:rsid w:val="00E94546"/>
    <w:rsid w:val="00E946AB"/>
    <w:rsid w:val="00E94A64"/>
    <w:rsid w:val="00E94C54"/>
    <w:rsid w:val="00E94D35"/>
    <w:rsid w:val="00E94E06"/>
    <w:rsid w:val="00E9514B"/>
    <w:rsid w:val="00E9594A"/>
    <w:rsid w:val="00E95A5D"/>
    <w:rsid w:val="00E95CC4"/>
    <w:rsid w:val="00E95E54"/>
    <w:rsid w:val="00E96127"/>
    <w:rsid w:val="00E961AC"/>
    <w:rsid w:val="00E9625C"/>
    <w:rsid w:val="00E962B0"/>
    <w:rsid w:val="00E96846"/>
    <w:rsid w:val="00E96BCB"/>
    <w:rsid w:val="00E96C30"/>
    <w:rsid w:val="00E970FF"/>
    <w:rsid w:val="00E97200"/>
    <w:rsid w:val="00E9747A"/>
    <w:rsid w:val="00E975E6"/>
    <w:rsid w:val="00E97927"/>
    <w:rsid w:val="00E9796D"/>
    <w:rsid w:val="00E97C35"/>
    <w:rsid w:val="00E97E14"/>
    <w:rsid w:val="00E97E18"/>
    <w:rsid w:val="00EA0161"/>
    <w:rsid w:val="00EA03FF"/>
    <w:rsid w:val="00EA05CF"/>
    <w:rsid w:val="00EA07C4"/>
    <w:rsid w:val="00EA09CF"/>
    <w:rsid w:val="00EA0AD5"/>
    <w:rsid w:val="00EA189C"/>
    <w:rsid w:val="00EA19D9"/>
    <w:rsid w:val="00EA1A8A"/>
    <w:rsid w:val="00EA1E95"/>
    <w:rsid w:val="00EA21DE"/>
    <w:rsid w:val="00EA2381"/>
    <w:rsid w:val="00EA26BF"/>
    <w:rsid w:val="00EA2813"/>
    <w:rsid w:val="00EA2BAB"/>
    <w:rsid w:val="00EA2BD0"/>
    <w:rsid w:val="00EA2D50"/>
    <w:rsid w:val="00EA30BC"/>
    <w:rsid w:val="00EA311B"/>
    <w:rsid w:val="00EA37A9"/>
    <w:rsid w:val="00EA3D60"/>
    <w:rsid w:val="00EA4048"/>
    <w:rsid w:val="00EA46AD"/>
    <w:rsid w:val="00EA479B"/>
    <w:rsid w:val="00EA47DC"/>
    <w:rsid w:val="00EA500D"/>
    <w:rsid w:val="00EA50B2"/>
    <w:rsid w:val="00EA549F"/>
    <w:rsid w:val="00EA596F"/>
    <w:rsid w:val="00EA5AF0"/>
    <w:rsid w:val="00EA5AF4"/>
    <w:rsid w:val="00EA5EDC"/>
    <w:rsid w:val="00EA5F92"/>
    <w:rsid w:val="00EA5F99"/>
    <w:rsid w:val="00EA6352"/>
    <w:rsid w:val="00EA654E"/>
    <w:rsid w:val="00EA680F"/>
    <w:rsid w:val="00EA6CD4"/>
    <w:rsid w:val="00EA7302"/>
    <w:rsid w:val="00EA7620"/>
    <w:rsid w:val="00EA7841"/>
    <w:rsid w:val="00EA7B6C"/>
    <w:rsid w:val="00EA7D44"/>
    <w:rsid w:val="00EB04E1"/>
    <w:rsid w:val="00EB0C82"/>
    <w:rsid w:val="00EB0FC2"/>
    <w:rsid w:val="00EB1171"/>
    <w:rsid w:val="00EB1335"/>
    <w:rsid w:val="00EB175A"/>
    <w:rsid w:val="00EB18CF"/>
    <w:rsid w:val="00EB1C14"/>
    <w:rsid w:val="00EB2167"/>
    <w:rsid w:val="00EB2232"/>
    <w:rsid w:val="00EB2315"/>
    <w:rsid w:val="00EB2C84"/>
    <w:rsid w:val="00EB2E30"/>
    <w:rsid w:val="00EB2F92"/>
    <w:rsid w:val="00EB314D"/>
    <w:rsid w:val="00EB3353"/>
    <w:rsid w:val="00EB33B8"/>
    <w:rsid w:val="00EB3A88"/>
    <w:rsid w:val="00EB3E9F"/>
    <w:rsid w:val="00EB452E"/>
    <w:rsid w:val="00EB46CB"/>
    <w:rsid w:val="00EB46F5"/>
    <w:rsid w:val="00EB49C6"/>
    <w:rsid w:val="00EB4C51"/>
    <w:rsid w:val="00EB4CDA"/>
    <w:rsid w:val="00EB505C"/>
    <w:rsid w:val="00EB5A52"/>
    <w:rsid w:val="00EB5B1C"/>
    <w:rsid w:val="00EB5E21"/>
    <w:rsid w:val="00EB5F3D"/>
    <w:rsid w:val="00EB60A5"/>
    <w:rsid w:val="00EB62BB"/>
    <w:rsid w:val="00EB64B9"/>
    <w:rsid w:val="00EB6554"/>
    <w:rsid w:val="00EB6962"/>
    <w:rsid w:val="00EB6BC3"/>
    <w:rsid w:val="00EB6F42"/>
    <w:rsid w:val="00EB7327"/>
    <w:rsid w:val="00EB734A"/>
    <w:rsid w:val="00EB7534"/>
    <w:rsid w:val="00EB77F7"/>
    <w:rsid w:val="00EB78B3"/>
    <w:rsid w:val="00EB7A86"/>
    <w:rsid w:val="00EB7B24"/>
    <w:rsid w:val="00EB7E2B"/>
    <w:rsid w:val="00EB7E54"/>
    <w:rsid w:val="00EC018F"/>
    <w:rsid w:val="00EC0193"/>
    <w:rsid w:val="00EC030B"/>
    <w:rsid w:val="00EC037A"/>
    <w:rsid w:val="00EC07DE"/>
    <w:rsid w:val="00EC0958"/>
    <w:rsid w:val="00EC0E39"/>
    <w:rsid w:val="00EC0E8E"/>
    <w:rsid w:val="00EC10BF"/>
    <w:rsid w:val="00EC119B"/>
    <w:rsid w:val="00EC1885"/>
    <w:rsid w:val="00EC1C10"/>
    <w:rsid w:val="00EC1C99"/>
    <w:rsid w:val="00EC2160"/>
    <w:rsid w:val="00EC21DF"/>
    <w:rsid w:val="00EC247C"/>
    <w:rsid w:val="00EC2634"/>
    <w:rsid w:val="00EC26E5"/>
    <w:rsid w:val="00EC299C"/>
    <w:rsid w:val="00EC30BA"/>
    <w:rsid w:val="00EC323F"/>
    <w:rsid w:val="00EC37AE"/>
    <w:rsid w:val="00EC3933"/>
    <w:rsid w:val="00EC3BD8"/>
    <w:rsid w:val="00EC40A4"/>
    <w:rsid w:val="00EC4492"/>
    <w:rsid w:val="00EC518F"/>
    <w:rsid w:val="00EC522A"/>
    <w:rsid w:val="00EC5538"/>
    <w:rsid w:val="00EC5995"/>
    <w:rsid w:val="00EC59A1"/>
    <w:rsid w:val="00EC5A3A"/>
    <w:rsid w:val="00EC6147"/>
    <w:rsid w:val="00EC61D3"/>
    <w:rsid w:val="00EC6362"/>
    <w:rsid w:val="00EC636B"/>
    <w:rsid w:val="00EC6584"/>
    <w:rsid w:val="00EC669B"/>
    <w:rsid w:val="00EC6CFE"/>
    <w:rsid w:val="00EC6F3D"/>
    <w:rsid w:val="00EC752B"/>
    <w:rsid w:val="00EC7739"/>
    <w:rsid w:val="00EC796B"/>
    <w:rsid w:val="00EC7AE8"/>
    <w:rsid w:val="00EC7B3D"/>
    <w:rsid w:val="00EC7CB7"/>
    <w:rsid w:val="00EC7CF2"/>
    <w:rsid w:val="00EC7F06"/>
    <w:rsid w:val="00EC7FC2"/>
    <w:rsid w:val="00ED0090"/>
    <w:rsid w:val="00ED0298"/>
    <w:rsid w:val="00ED0389"/>
    <w:rsid w:val="00ED03C1"/>
    <w:rsid w:val="00ED0785"/>
    <w:rsid w:val="00ED0A1E"/>
    <w:rsid w:val="00ED0E36"/>
    <w:rsid w:val="00ED0F29"/>
    <w:rsid w:val="00ED1322"/>
    <w:rsid w:val="00ED14BD"/>
    <w:rsid w:val="00ED14D3"/>
    <w:rsid w:val="00ED14EF"/>
    <w:rsid w:val="00ED17F7"/>
    <w:rsid w:val="00ED184B"/>
    <w:rsid w:val="00ED23A1"/>
    <w:rsid w:val="00ED248E"/>
    <w:rsid w:val="00ED293C"/>
    <w:rsid w:val="00ED2A58"/>
    <w:rsid w:val="00ED2D74"/>
    <w:rsid w:val="00ED2E03"/>
    <w:rsid w:val="00ED3128"/>
    <w:rsid w:val="00ED34F0"/>
    <w:rsid w:val="00ED35DB"/>
    <w:rsid w:val="00ED3696"/>
    <w:rsid w:val="00ED3B9D"/>
    <w:rsid w:val="00ED3F39"/>
    <w:rsid w:val="00ED4AA4"/>
    <w:rsid w:val="00ED4DE9"/>
    <w:rsid w:val="00ED4DF5"/>
    <w:rsid w:val="00ED5A17"/>
    <w:rsid w:val="00ED5B35"/>
    <w:rsid w:val="00ED5E03"/>
    <w:rsid w:val="00ED612C"/>
    <w:rsid w:val="00ED6759"/>
    <w:rsid w:val="00ED67BB"/>
    <w:rsid w:val="00ED696D"/>
    <w:rsid w:val="00ED6BC1"/>
    <w:rsid w:val="00ED6D0C"/>
    <w:rsid w:val="00ED6FD5"/>
    <w:rsid w:val="00ED74A7"/>
    <w:rsid w:val="00ED778D"/>
    <w:rsid w:val="00ED7885"/>
    <w:rsid w:val="00ED7992"/>
    <w:rsid w:val="00ED7A57"/>
    <w:rsid w:val="00ED7B45"/>
    <w:rsid w:val="00ED7C35"/>
    <w:rsid w:val="00EE0249"/>
    <w:rsid w:val="00EE035B"/>
    <w:rsid w:val="00EE0445"/>
    <w:rsid w:val="00EE051E"/>
    <w:rsid w:val="00EE0757"/>
    <w:rsid w:val="00EE097B"/>
    <w:rsid w:val="00EE178F"/>
    <w:rsid w:val="00EE1856"/>
    <w:rsid w:val="00EE18F4"/>
    <w:rsid w:val="00EE1B31"/>
    <w:rsid w:val="00EE1EBA"/>
    <w:rsid w:val="00EE242B"/>
    <w:rsid w:val="00EE24E3"/>
    <w:rsid w:val="00EE286A"/>
    <w:rsid w:val="00EE2A4B"/>
    <w:rsid w:val="00EE2BF1"/>
    <w:rsid w:val="00EE2D9C"/>
    <w:rsid w:val="00EE3159"/>
    <w:rsid w:val="00EE32BD"/>
    <w:rsid w:val="00EE3343"/>
    <w:rsid w:val="00EE35C3"/>
    <w:rsid w:val="00EE379F"/>
    <w:rsid w:val="00EE37FE"/>
    <w:rsid w:val="00EE39D7"/>
    <w:rsid w:val="00EE3CE7"/>
    <w:rsid w:val="00EE3F2C"/>
    <w:rsid w:val="00EE421B"/>
    <w:rsid w:val="00EE453E"/>
    <w:rsid w:val="00EE471E"/>
    <w:rsid w:val="00EE4AA6"/>
    <w:rsid w:val="00EE4CAE"/>
    <w:rsid w:val="00EE4D17"/>
    <w:rsid w:val="00EE4E67"/>
    <w:rsid w:val="00EE4FAE"/>
    <w:rsid w:val="00EE5310"/>
    <w:rsid w:val="00EE55C9"/>
    <w:rsid w:val="00EE56D7"/>
    <w:rsid w:val="00EE5AB3"/>
    <w:rsid w:val="00EE5BC5"/>
    <w:rsid w:val="00EE5D01"/>
    <w:rsid w:val="00EE5FE2"/>
    <w:rsid w:val="00EE627C"/>
    <w:rsid w:val="00EE691F"/>
    <w:rsid w:val="00EE69DD"/>
    <w:rsid w:val="00EE6A2B"/>
    <w:rsid w:val="00EE6AB7"/>
    <w:rsid w:val="00EE6F3E"/>
    <w:rsid w:val="00EE6FCE"/>
    <w:rsid w:val="00EE70A5"/>
    <w:rsid w:val="00EE7175"/>
    <w:rsid w:val="00EE749F"/>
    <w:rsid w:val="00EE74F6"/>
    <w:rsid w:val="00EE7629"/>
    <w:rsid w:val="00EE77CB"/>
    <w:rsid w:val="00EE7DB6"/>
    <w:rsid w:val="00EE7DC8"/>
    <w:rsid w:val="00EF01C2"/>
    <w:rsid w:val="00EF06FA"/>
    <w:rsid w:val="00EF0A6A"/>
    <w:rsid w:val="00EF0A6B"/>
    <w:rsid w:val="00EF0B58"/>
    <w:rsid w:val="00EF0EA4"/>
    <w:rsid w:val="00EF13C2"/>
    <w:rsid w:val="00EF169E"/>
    <w:rsid w:val="00EF19E2"/>
    <w:rsid w:val="00EF1D7C"/>
    <w:rsid w:val="00EF21D6"/>
    <w:rsid w:val="00EF233E"/>
    <w:rsid w:val="00EF236C"/>
    <w:rsid w:val="00EF254F"/>
    <w:rsid w:val="00EF26B0"/>
    <w:rsid w:val="00EF2C06"/>
    <w:rsid w:val="00EF2CB5"/>
    <w:rsid w:val="00EF2F99"/>
    <w:rsid w:val="00EF331B"/>
    <w:rsid w:val="00EF3436"/>
    <w:rsid w:val="00EF34C8"/>
    <w:rsid w:val="00EF34FC"/>
    <w:rsid w:val="00EF3587"/>
    <w:rsid w:val="00EF3758"/>
    <w:rsid w:val="00EF38D1"/>
    <w:rsid w:val="00EF3B93"/>
    <w:rsid w:val="00EF3D7F"/>
    <w:rsid w:val="00EF4558"/>
    <w:rsid w:val="00EF4568"/>
    <w:rsid w:val="00EF4641"/>
    <w:rsid w:val="00EF4BC6"/>
    <w:rsid w:val="00EF4BD7"/>
    <w:rsid w:val="00EF4D3F"/>
    <w:rsid w:val="00EF4D94"/>
    <w:rsid w:val="00EF553A"/>
    <w:rsid w:val="00EF57D4"/>
    <w:rsid w:val="00EF5B0C"/>
    <w:rsid w:val="00EF5CE6"/>
    <w:rsid w:val="00EF6140"/>
    <w:rsid w:val="00EF614A"/>
    <w:rsid w:val="00EF6150"/>
    <w:rsid w:val="00EF6A57"/>
    <w:rsid w:val="00EF6F74"/>
    <w:rsid w:val="00EF75EC"/>
    <w:rsid w:val="00EF7627"/>
    <w:rsid w:val="00EF7784"/>
    <w:rsid w:val="00EF7A39"/>
    <w:rsid w:val="00EF7B0F"/>
    <w:rsid w:val="00EF7D05"/>
    <w:rsid w:val="00F0075E"/>
    <w:rsid w:val="00F007FF"/>
    <w:rsid w:val="00F0090C"/>
    <w:rsid w:val="00F0094F"/>
    <w:rsid w:val="00F009A6"/>
    <w:rsid w:val="00F00BA6"/>
    <w:rsid w:val="00F00C00"/>
    <w:rsid w:val="00F00D8B"/>
    <w:rsid w:val="00F00FF8"/>
    <w:rsid w:val="00F010DC"/>
    <w:rsid w:val="00F010E4"/>
    <w:rsid w:val="00F0118F"/>
    <w:rsid w:val="00F01592"/>
    <w:rsid w:val="00F01BC7"/>
    <w:rsid w:val="00F01E5F"/>
    <w:rsid w:val="00F01F43"/>
    <w:rsid w:val="00F022C1"/>
    <w:rsid w:val="00F028F5"/>
    <w:rsid w:val="00F03328"/>
    <w:rsid w:val="00F034C2"/>
    <w:rsid w:val="00F034DC"/>
    <w:rsid w:val="00F03742"/>
    <w:rsid w:val="00F03895"/>
    <w:rsid w:val="00F03C48"/>
    <w:rsid w:val="00F03EA8"/>
    <w:rsid w:val="00F03F3D"/>
    <w:rsid w:val="00F042CE"/>
    <w:rsid w:val="00F044AF"/>
    <w:rsid w:val="00F04673"/>
    <w:rsid w:val="00F04683"/>
    <w:rsid w:val="00F04696"/>
    <w:rsid w:val="00F04C51"/>
    <w:rsid w:val="00F04EBC"/>
    <w:rsid w:val="00F04F6D"/>
    <w:rsid w:val="00F051ED"/>
    <w:rsid w:val="00F06450"/>
    <w:rsid w:val="00F06547"/>
    <w:rsid w:val="00F06ABD"/>
    <w:rsid w:val="00F06ADA"/>
    <w:rsid w:val="00F06C5A"/>
    <w:rsid w:val="00F06DBB"/>
    <w:rsid w:val="00F0777F"/>
    <w:rsid w:val="00F10181"/>
    <w:rsid w:val="00F10270"/>
    <w:rsid w:val="00F104D7"/>
    <w:rsid w:val="00F104DF"/>
    <w:rsid w:val="00F10537"/>
    <w:rsid w:val="00F1096A"/>
    <w:rsid w:val="00F10C60"/>
    <w:rsid w:val="00F10C92"/>
    <w:rsid w:val="00F10D05"/>
    <w:rsid w:val="00F10DDD"/>
    <w:rsid w:val="00F10F33"/>
    <w:rsid w:val="00F111E2"/>
    <w:rsid w:val="00F112D3"/>
    <w:rsid w:val="00F114D6"/>
    <w:rsid w:val="00F11651"/>
    <w:rsid w:val="00F11698"/>
    <w:rsid w:val="00F118A2"/>
    <w:rsid w:val="00F11B8B"/>
    <w:rsid w:val="00F11FA1"/>
    <w:rsid w:val="00F128C4"/>
    <w:rsid w:val="00F128E8"/>
    <w:rsid w:val="00F12987"/>
    <w:rsid w:val="00F12FB9"/>
    <w:rsid w:val="00F131F3"/>
    <w:rsid w:val="00F1367E"/>
    <w:rsid w:val="00F13EA1"/>
    <w:rsid w:val="00F13EAB"/>
    <w:rsid w:val="00F14458"/>
    <w:rsid w:val="00F14585"/>
    <w:rsid w:val="00F1469A"/>
    <w:rsid w:val="00F14811"/>
    <w:rsid w:val="00F149B7"/>
    <w:rsid w:val="00F14AAB"/>
    <w:rsid w:val="00F14C79"/>
    <w:rsid w:val="00F14E43"/>
    <w:rsid w:val="00F14ECC"/>
    <w:rsid w:val="00F15142"/>
    <w:rsid w:val="00F1524A"/>
    <w:rsid w:val="00F154AE"/>
    <w:rsid w:val="00F154D6"/>
    <w:rsid w:val="00F15594"/>
    <w:rsid w:val="00F15C14"/>
    <w:rsid w:val="00F15C94"/>
    <w:rsid w:val="00F16014"/>
    <w:rsid w:val="00F162B9"/>
    <w:rsid w:val="00F16424"/>
    <w:rsid w:val="00F16B08"/>
    <w:rsid w:val="00F16B0E"/>
    <w:rsid w:val="00F16B7E"/>
    <w:rsid w:val="00F16C02"/>
    <w:rsid w:val="00F16C3A"/>
    <w:rsid w:val="00F170C7"/>
    <w:rsid w:val="00F17211"/>
    <w:rsid w:val="00F17263"/>
    <w:rsid w:val="00F1728B"/>
    <w:rsid w:val="00F1764C"/>
    <w:rsid w:val="00F17943"/>
    <w:rsid w:val="00F179DA"/>
    <w:rsid w:val="00F17BB3"/>
    <w:rsid w:val="00F17F1C"/>
    <w:rsid w:val="00F2011B"/>
    <w:rsid w:val="00F2015B"/>
    <w:rsid w:val="00F20816"/>
    <w:rsid w:val="00F20864"/>
    <w:rsid w:val="00F20867"/>
    <w:rsid w:val="00F20A83"/>
    <w:rsid w:val="00F20C49"/>
    <w:rsid w:val="00F21080"/>
    <w:rsid w:val="00F211DE"/>
    <w:rsid w:val="00F211EA"/>
    <w:rsid w:val="00F214AA"/>
    <w:rsid w:val="00F2175C"/>
    <w:rsid w:val="00F2187E"/>
    <w:rsid w:val="00F218F0"/>
    <w:rsid w:val="00F21B38"/>
    <w:rsid w:val="00F21CE0"/>
    <w:rsid w:val="00F2229C"/>
    <w:rsid w:val="00F22354"/>
    <w:rsid w:val="00F22424"/>
    <w:rsid w:val="00F225AB"/>
    <w:rsid w:val="00F228F9"/>
    <w:rsid w:val="00F22944"/>
    <w:rsid w:val="00F22FBB"/>
    <w:rsid w:val="00F2303D"/>
    <w:rsid w:val="00F23354"/>
    <w:rsid w:val="00F234C4"/>
    <w:rsid w:val="00F23593"/>
    <w:rsid w:val="00F236D8"/>
    <w:rsid w:val="00F238FB"/>
    <w:rsid w:val="00F2398E"/>
    <w:rsid w:val="00F23A8C"/>
    <w:rsid w:val="00F23B89"/>
    <w:rsid w:val="00F23E48"/>
    <w:rsid w:val="00F240EE"/>
    <w:rsid w:val="00F24130"/>
    <w:rsid w:val="00F241B2"/>
    <w:rsid w:val="00F2420E"/>
    <w:rsid w:val="00F2449B"/>
    <w:rsid w:val="00F244ED"/>
    <w:rsid w:val="00F24547"/>
    <w:rsid w:val="00F24E26"/>
    <w:rsid w:val="00F24E38"/>
    <w:rsid w:val="00F24F52"/>
    <w:rsid w:val="00F24F80"/>
    <w:rsid w:val="00F2508C"/>
    <w:rsid w:val="00F253EA"/>
    <w:rsid w:val="00F254B4"/>
    <w:rsid w:val="00F25626"/>
    <w:rsid w:val="00F264E8"/>
    <w:rsid w:val="00F26927"/>
    <w:rsid w:val="00F269E0"/>
    <w:rsid w:val="00F269F5"/>
    <w:rsid w:val="00F26D33"/>
    <w:rsid w:val="00F273A2"/>
    <w:rsid w:val="00F274BE"/>
    <w:rsid w:val="00F27761"/>
    <w:rsid w:val="00F27791"/>
    <w:rsid w:val="00F278E2"/>
    <w:rsid w:val="00F27C1A"/>
    <w:rsid w:val="00F27CB0"/>
    <w:rsid w:val="00F27CB2"/>
    <w:rsid w:val="00F27EE2"/>
    <w:rsid w:val="00F3056A"/>
    <w:rsid w:val="00F309C3"/>
    <w:rsid w:val="00F30AA1"/>
    <w:rsid w:val="00F30DE5"/>
    <w:rsid w:val="00F31569"/>
    <w:rsid w:val="00F3180F"/>
    <w:rsid w:val="00F31A5B"/>
    <w:rsid w:val="00F31C46"/>
    <w:rsid w:val="00F31F2E"/>
    <w:rsid w:val="00F32376"/>
    <w:rsid w:val="00F3245C"/>
    <w:rsid w:val="00F32647"/>
    <w:rsid w:val="00F32948"/>
    <w:rsid w:val="00F32AF2"/>
    <w:rsid w:val="00F32B63"/>
    <w:rsid w:val="00F32DB1"/>
    <w:rsid w:val="00F32F19"/>
    <w:rsid w:val="00F32F66"/>
    <w:rsid w:val="00F32FD5"/>
    <w:rsid w:val="00F33144"/>
    <w:rsid w:val="00F33297"/>
    <w:rsid w:val="00F33971"/>
    <w:rsid w:val="00F33B83"/>
    <w:rsid w:val="00F33D94"/>
    <w:rsid w:val="00F3423F"/>
    <w:rsid w:val="00F3443A"/>
    <w:rsid w:val="00F3444E"/>
    <w:rsid w:val="00F344AB"/>
    <w:rsid w:val="00F3454F"/>
    <w:rsid w:val="00F34797"/>
    <w:rsid w:val="00F3481F"/>
    <w:rsid w:val="00F348F8"/>
    <w:rsid w:val="00F34AFA"/>
    <w:rsid w:val="00F34E7D"/>
    <w:rsid w:val="00F34F88"/>
    <w:rsid w:val="00F35030"/>
    <w:rsid w:val="00F35193"/>
    <w:rsid w:val="00F3533C"/>
    <w:rsid w:val="00F35397"/>
    <w:rsid w:val="00F35664"/>
    <w:rsid w:val="00F356F2"/>
    <w:rsid w:val="00F357C8"/>
    <w:rsid w:val="00F35AC8"/>
    <w:rsid w:val="00F35C13"/>
    <w:rsid w:val="00F36533"/>
    <w:rsid w:val="00F365DB"/>
    <w:rsid w:val="00F36797"/>
    <w:rsid w:val="00F36924"/>
    <w:rsid w:val="00F36978"/>
    <w:rsid w:val="00F369CA"/>
    <w:rsid w:val="00F36CE6"/>
    <w:rsid w:val="00F3727F"/>
    <w:rsid w:val="00F37755"/>
    <w:rsid w:val="00F37871"/>
    <w:rsid w:val="00F37B1A"/>
    <w:rsid w:val="00F40158"/>
    <w:rsid w:val="00F402D9"/>
    <w:rsid w:val="00F40769"/>
    <w:rsid w:val="00F408CC"/>
    <w:rsid w:val="00F408D3"/>
    <w:rsid w:val="00F40984"/>
    <w:rsid w:val="00F40BDB"/>
    <w:rsid w:val="00F4152B"/>
    <w:rsid w:val="00F417CD"/>
    <w:rsid w:val="00F4186A"/>
    <w:rsid w:val="00F418FB"/>
    <w:rsid w:val="00F41A67"/>
    <w:rsid w:val="00F41E7E"/>
    <w:rsid w:val="00F4215C"/>
    <w:rsid w:val="00F422B7"/>
    <w:rsid w:val="00F426B1"/>
    <w:rsid w:val="00F426E7"/>
    <w:rsid w:val="00F427FB"/>
    <w:rsid w:val="00F428FA"/>
    <w:rsid w:val="00F42B50"/>
    <w:rsid w:val="00F42CC8"/>
    <w:rsid w:val="00F42EC8"/>
    <w:rsid w:val="00F4352A"/>
    <w:rsid w:val="00F4361A"/>
    <w:rsid w:val="00F43694"/>
    <w:rsid w:val="00F436C5"/>
    <w:rsid w:val="00F4376C"/>
    <w:rsid w:val="00F43793"/>
    <w:rsid w:val="00F43D2E"/>
    <w:rsid w:val="00F43EFC"/>
    <w:rsid w:val="00F441C9"/>
    <w:rsid w:val="00F442D1"/>
    <w:rsid w:val="00F44605"/>
    <w:rsid w:val="00F44A5B"/>
    <w:rsid w:val="00F44BA5"/>
    <w:rsid w:val="00F44BD8"/>
    <w:rsid w:val="00F44C8C"/>
    <w:rsid w:val="00F44F01"/>
    <w:rsid w:val="00F44F37"/>
    <w:rsid w:val="00F44FDD"/>
    <w:rsid w:val="00F4528C"/>
    <w:rsid w:val="00F452F9"/>
    <w:rsid w:val="00F45629"/>
    <w:rsid w:val="00F4583C"/>
    <w:rsid w:val="00F45842"/>
    <w:rsid w:val="00F45F7C"/>
    <w:rsid w:val="00F46104"/>
    <w:rsid w:val="00F46829"/>
    <w:rsid w:val="00F46D79"/>
    <w:rsid w:val="00F47108"/>
    <w:rsid w:val="00F47550"/>
    <w:rsid w:val="00F478E5"/>
    <w:rsid w:val="00F47948"/>
    <w:rsid w:val="00F47B2C"/>
    <w:rsid w:val="00F47F59"/>
    <w:rsid w:val="00F500C7"/>
    <w:rsid w:val="00F5066B"/>
    <w:rsid w:val="00F50722"/>
    <w:rsid w:val="00F50739"/>
    <w:rsid w:val="00F50899"/>
    <w:rsid w:val="00F50D72"/>
    <w:rsid w:val="00F51053"/>
    <w:rsid w:val="00F5142B"/>
    <w:rsid w:val="00F514B1"/>
    <w:rsid w:val="00F514EE"/>
    <w:rsid w:val="00F5165C"/>
    <w:rsid w:val="00F516AB"/>
    <w:rsid w:val="00F518DF"/>
    <w:rsid w:val="00F51B15"/>
    <w:rsid w:val="00F51F73"/>
    <w:rsid w:val="00F5245D"/>
    <w:rsid w:val="00F52605"/>
    <w:rsid w:val="00F526D5"/>
    <w:rsid w:val="00F526D6"/>
    <w:rsid w:val="00F52C3F"/>
    <w:rsid w:val="00F52CCD"/>
    <w:rsid w:val="00F52F70"/>
    <w:rsid w:val="00F5305F"/>
    <w:rsid w:val="00F530FB"/>
    <w:rsid w:val="00F532DE"/>
    <w:rsid w:val="00F53620"/>
    <w:rsid w:val="00F53B4C"/>
    <w:rsid w:val="00F53FD4"/>
    <w:rsid w:val="00F54091"/>
    <w:rsid w:val="00F542B2"/>
    <w:rsid w:val="00F5437C"/>
    <w:rsid w:val="00F5439A"/>
    <w:rsid w:val="00F54470"/>
    <w:rsid w:val="00F544C8"/>
    <w:rsid w:val="00F54578"/>
    <w:rsid w:val="00F5470A"/>
    <w:rsid w:val="00F54882"/>
    <w:rsid w:val="00F548DB"/>
    <w:rsid w:val="00F54AA0"/>
    <w:rsid w:val="00F55721"/>
    <w:rsid w:val="00F55995"/>
    <w:rsid w:val="00F55B58"/>
    <w:rsid w:val="00F56196"/>
    <w:rsid w:val="00F5620D"/>
    <w:rsid w:val="00F563AB"/>
    <w:rsid w:val="00F56439"/>
    <w:rsid w:val="00F566F4"/>
    <w:rsid w:val="00F56732"/>
    <w:rsid w:val="00F5676A"/>
    <w:rsid w:val="00F567B1"/>
    <w:rsid w:val="00F56949"/>
    <w:rsid w:val="00F56956"/>
    <w:rsid w:val="00F56B83"/>
    <w:rsid w:val="00F56C43"/>
    <w:rsid w:val="00F56CA7"/>
    <w:rsid w:val="00F56D0B"/>
    <w:rsid w:val="00F56D13"/>
    <w:rsid w:val="00F56FAD"/>
    <w:rsid w:val="00F57172"/>
    <w:rsid w:val="00F571A1"/>
    <w:rsid w:val="00F572F4"/>
    <w:rsid w:val="00F57449"/>
    <w:rsid w:val="00F57508"/>
    <w:rsid w:val="00F577DC"/>
    <w:rsid w:val="00F57BE5"/>
    <w:rsid w:val="00F6002C"/>
    <w:rsid w:val="00F6004A"/>
    <w:rsid w:val="00F60137"/>
    <w:rsid w:val="00F6034F"/>
    <w:rsid w:val="00F60942"/>
    <w:rsid w:val="00F60A8A"/>
    <w:rsid w:val="00F60D55"/>
    <w:rsid w:val="00F60FAB"/>
    <w:rsid w:val="00F610EE"/>
    <w:rsid w:val="00F6140D"/>
    <w:rsid w:val="00F619AD"/>
    <w:rsid w:val="00F61A85"/>
    <w:rsid w:val="00F61AD2"/>
    <w:rsid w:val="00F61C5C"/>
    <w:rsid w:val="00F61ED3"/>
    <w:rsid w:val="00F61F6B"/>
    <w:rsid w:val="00F620B6"/>
    <w:rsid w:val="00F626BE"/>
    <w:rsid w:val="00F62B41"/>
    <w:rsid w:val="00F62B80"/>
    <w:rsid w:val="00F62BEB"/>
    <w:rsid w:val="00F62CCF"/>
    <w:rsid w:val="00F62D89"/>
    <w:rsid w:val="00F62DB4"/>
    <w:rsid w:val="00F62DDD"/>
    <w:rsid w:val="00F62DF8"/>
    <w:rsid w:val="00F62F1D"/>
    <w:rsid w:val="00F630D9"/>
    <w:rsid w:val="00F6314F"/>
    <w:rsid w:val="00F632BB"/>
    <w:rsid w:val="00F633A6"/>
    <w:rsid w:val="00F633C4"/>
    <w:rsid w:val="00F634B5"/>
    <w:rsid w:val="00F635D2"/>
    <w:rsid w:val="00F635DF"/>
    <w:rsid w:val="00F637A8"/>
    <w:rsid w:val="00F637E2"/>
    <w:rsid w:val="00F63B45"/>
    <w:rsid w:val="00F63E07"/>
    <w:rsid w:val="00F63EAA"/>
    <w:rsid w:val="00F63FA3"/>
    <w:rsid w:val="00F64070"/>
    <w:rsid w:val="00F64336"/>
    <w:rsid w:val="00F644BB"/>
    <w:rsid w:val="00F6499A"/>
    <w:rsid w:val="00F649B0"/>
    <w:rsid w:val="00F64B6A"/>
    <w:rsid w:val="00F64BCD"/>
    <w:rsid w:val="00F64D32"/>
    <w:rsid w:val="00F64D7E"/>
    <w:rsid w:val="00F6502C"/>
    <w:rsid w:val="00F651B7"/>
    <w:rsid w:val="00F651F9"/>
    <w:rsid w:val="00F6547D"/>
    <w:rsid w:val="00F65779"/>
    <w:rsid w:val="00F662B4"/>
    <w:rsid w:val="00F66641"/>
    <w:rsid w:val="00F66709"/>
    <w:rsid w:val="00F66910"/>
    <w:rsid w:val="00F66C64"/>
    <w:rsid w:val="00F66F40"/>
    <w:rsid w:val="00F66F47"/>
    <w:rsid w:val="00F66F4E"/>
    <w:rsid w:val="00F672FE"/>
    <w:rsid w:val="00F675D7"/>
    <w:rsid w:val="00F67A20"/>
    <w:rsid w:val="00F67CD1"/>
    <w:rsid w:val="00F67D7C"/>
    <w:rsid w:val="00F67EB3"/>
    <w:rsid w:val="00F67F05"/>
    <w:rsid w:val="00F67FA2"/>
    <w:rsid w:val="00F67FC4"/>
    <w:rsid w:val="00F70089"/>
    <w:rsid w:val="00F702E5"/>
    <w:rsid w:val="00F70508"/>
    <w:rsid w:val="00F70548"/>
    <w:rsid w:val="00F70577"/>
    <w:rsid w:val="00F705A9"/>
    <w:rsid w:val="00F705BE"/>
    <w:rsid w:val="00F706DB"/>
    <w:rsid w:val="00F7076F"/>
    <w:rsid w:val="00F7081C"/>
    <w:rsid w:val="00F70D21"/>
    <w:rsid w:val="00F70FB6"/>
    <w:rsid w:val="00F71014"/>
    <w:rsid w:val="00F710E0"/>
    <w:rsid w:val="00F711C8"/>
    <w:rsid w:val="00F71734"/>
    <w:rsid w:val="00F71B53"/>
    <w:rsid w:val="00F71D02"/>
    <w:rsid w:val="00F71EA5"/>
    <w:rsid w:val="00F71F61"/>
    <w:rsid w:val="00F72153"/>
    <w:rsid w:val="00F723AC"/>
    <w:rsid w:val="00F7279C"/>
    <w:rsid w:val="00F72941"/>
    <w:rsid w:val="00F72A45"/>
    <w:rsid w:val="00F72A7C"/>
    <w:rsid w:val="00F72E14"/>
    <w:rsid w:val="00F72EB1"/>
    <w:rsid w:val="00F73078"/>
    <w:rsid w:val="00F7339C"/>
    <w:rsid w:val="00F73D1C"/>
    <w:rsid w:val="00F73FB1"/>
    <w:rsid w:val="00F7473C"/>
    <w:rsid w:val="00F747CC"/>
    <w:rsid w:val="00F74897"/>
    <w:rsid w:val="00F74C75"/>
    <w:rsid w:val="00F74D94"/>
    <w:rsid w:val="00F751B4"/>
    <w:rsid w:val="00F75307"/>
    <w:rsid w:val="00F754DE"/>
    <w:rsid w:val="00F75549"/>
    <w:rsid w:val="00F7557A"/>
    <w:rsid w:val="00F75F4D"/>
    <w:rsid w:val="00F76193"/>
    <w:rsid w:val="00F761FF"/>
    <w:rsid w:val="00F766D3"/>
    <w:rsid w:val="00F769A2"/>
    <w:rsid w:val="00F76C74"/>
    <w:rsid w:val="00F76CE2"/>
    <w:rsid w:val="00F76F2C"/>
    <w:rsid w:val="00F773B1"/>
    <w:rsid w:val="00F77452"/>
    <w:rsid w:val="00F775ED"/>
    <w:rsid w:val="00F77838"/>
    <w:rsid w:val="00F778E4"/>
    <w:rsid w:val="00F77A31"/>
    <w:rsid w:val="00F77A49"/>
    <w:rsid w:val="00F77AD7"/>
    <w:rsid w:val="00F77D22"/>
    <w:rsid w:val="00F77FEC"/>
    <w:rsid w:val="00F8012B"/>
    <w:rsid w:val="00F80217"/>
    <w:rsid w:val="00F80388"/>
    <w:rsid w:val="00F80744"/>
    <w:rsid w:val="00F808A9"/>
    <w:rsid w:val="00F808F1"/>
    <w:rsid w:val="00F80964"/>
    <w:rsid w:val="00F80998"/>
    <w:rsid w:val="00F81512"/>
    <w:rsid w:val="00F815CD"/>
    <w:rsid w:val="00F81AA2"/>
    <w:rsid w:val="00F81B11"/>
    <w:rsid w:val="00F81B40"/>
    <w:rsid w:val="00F81D51"/>
    <w:rsid w:val="00F81DA2"/>
    <w:rsid w:val="00F81DBB"/>
    <w:rsid w:val="00F827A9"/>
    <w:rsid w:val="00F83147"/>
    <w:rsid w:val="00F834B4"/>
    <w:rsid w:val="00F835AA"/>
    <w:rsid w:val="00F835ED"/>
    <w:rsid w:val="00F83AC5"/>
    <w:rsid w:val="00F83BD1"/>
    <w:rsid w:val="00F83BD7"/>
    <w:rsid w:val="00F83CD7"/>
    <w:rsid w:val="00F84067"/>
    <w:rsid w:val="00F84086"/>
    <w:rsid w:val="00F840E8"/>
    <w:rsid w:val="00F844A6"/>
    <w:rsid w:val="00F84668"/>
    <w:rsid w:val="00F8487E"/>
    <w:rsid w:val="00F8489D"/>
    <w:rsid w:val="00F84C7F"/>
    <w:rsid w:val="00F84D07"/>
    <w:rsid w:val="00F850D0"/>
    <w:rsid w:val="00F85387"/>
    <w:rsid w:val="00F853E5"/>
    <w:rsid w:val="00F85444"/>
    <w:rsid w:val="00F85654"/>
    <w:rsid w:val="00F861C4"/>
    <w:rsid w:val="00F86358"/>
    <w:rsid w:val="00F8636C"/>
    <w:rsid w:val="00F86754"/>
    <w:rsid w:val="00F867B1"/>
    <w:rsid w:val="00F86B95"/>
    <w:rsid w:val="00F86C0D"/>
    <w:rsid w:val="00F86E17"/>
    <w:rsid w:val="00F8700B"/>
    <w:rsid w:val="00F87077"/>
    <w:rsid w:val="00F870FB"/>
    <w:rsid w:val="00F87590"/>
    <w:rsid w:val="00F876A7"/>
    <w:rsid w:val="00F87A25"/>
    <w:rsid w:val="00F87B73"/>
    <w:rsid w:val="00F87E0F"/>
    <w:rsid w:val="00F87E58"/>
    <w:rsid w:val="00F87EF0"/>
    <w:rsid w:val="00F900A0"/>
    <w:rsid w:val="00F900E7"/>
    <w:rsid w:val="00F90146"/>
    <w:rsid w:val="00F901D9"/>
    <w:rsid w:val="00F905AC"/>
    <w:rsid w:val="00F90726"/>
    <w:rsid w:val="00F90ADE"/>
    <w:rsid w:val="00F90C50"/>
    <w:rsid w:val="00F90D06"/>
    <w:rsid w:val="00F914F6"/>
    <w:rsid w:val="00F91F7B"/>
    <w:rsid w:val="00F92038"/>
    <w:rsid w:val="00F920BC"/>
    <w:rsid w:val="00F922F7"/>
    <w:rsid w:val="00F9237C"/>
    <w:rsid w:val="00F924FC"/>
    <w:rsid w:val="00F925C1"/>
    <w:rsid w:val="00F92900"/>
    <w:rsid w:val="00F929ED"/>
    <w:rsid w:val="00F92A0A"/>
    <w:rsid w:val="00F93294"/>
    <w:rsid w:val="00F93391"/>
    <w:rsid w:val="00F9354B"/>
    <w:rsid w:val="00F9369A"/>
    <w:rsid w:val="00F936D7"/>
    <w:rsid w:val="00F93A02"/>
    <w:rsid w:val="00F94555"/>
    <w:rsid w:val="00F947E9"/>
    <w:rsid w:val="00F948EF"/>
    <w:rsid w:val="00F94922"/>
    <w:rsid w:val="00F95243"/>
    <w:rsid w:val="00F9566D"/>
    <w:rsid w:val="00F957E6"/>
    <w:rsid w:val="00F95E23"/>
    <w:rsid w:val="00F9609A"/>
    <w:rsid w:val="00F96109"/>
    <w:rsid w:val="00F965BE"/>
    <w:rsid w:val="00F966E3"/>
    <w:rsid w:val="00F96724"/>
    <w:rsid w:val="00F96E4B"/>
    <w:rsid w:val="00F9701F"/>
    <w:rsid w:val="00F970B9"/>
    <w:rsid w:val="00F974CE"/>
    <w:rsid w:val="00F9769C"/>
    <w:rsid w:val="00F978CF"/>
    <w:rsid w:val="00F97BAD"/>
    <w:rsid w:val="00FA0440"/>
    <w:rsid w:val="00FA067A"/>
    <w:rsid w:val="00FA10BC"/>
    <w:rsid w:val="00FA126F"/>
    <w:rsid w:val="00FA134C"/>
    <w:rsid w:val="00FA15CE"/>
    <w:rsid w:val="00FA162C"/>
    <w:rsid w:val="00FA1705"/>
    <w:rsid w:val="00FA19FF"/>
    <w:rsid w:val="00FA1AB6"/>
    <w:rsid w:val="00FA1BF2"/>
    <w:rsid w:val="00FA224A"/>
    <w:rsid w:val="00FA2D55"/>
    <w:rsid w:val="00FA2DE1"/>
    <w:rsid w:val="00FA3482"/>
    <w:rsid w:val="00FA3799"/>
    <w:rsid w:val="00FA3908"/>
    <w:rsid w:val="00FA3BD3"/>
    <w:rsid w:val="00FA3BFF"/>
    <w:rsid w:val="00FA3C9A"/>
    <w:rsid w:val="00FA3FFC"/>
    <w:rsid w:val="00FA408F"/>
    <w:rsid w:val="00FA410B"/>
    <w:rsid w:val="00FA4218"/>
    <w:rsid w:val="00FA422B"/>
    <w:rsid w:val="00FA4BCF"/>
    <w:rsid w:val="00FA4C65"/>
    <w:rsid w:val="00FA4E14"/>
    <w:rsid w:val="00FA4E89"/>
    <w:rsid w:val="00FA5046"/>
    <w:rsid w:val="00FA5093"/>
    <w:rsid w:val="00FA5909"/>
    <w:rsid w:val="00FA5AE6"/>
    <w:rsid w:val="00FA5AF6"/>
    <w:rsid w:val="00FA5D5E"/>
    <w:rsid w:val="00FA5EF7"/>
    <w:rsid w:val="00FA5F05"/>
    <w:rsid w:val="00FA5FF2"/>
    <w:rsid w:val="00FA6107"/>
    <w:rsid w:val="00FA62FC"/>
    <w:rsid w:val="00FA66FE"/>
    <w:rsid w:val="00FA67A4"/>
    <w:rsid w:val="00FA682D"/>
    <w:rsid w:val="00FA6A76"/>
    <w:rsid w:val="00FA6CA4"/>
    <w:rsid w:val="00FA6DF8"/>
    <w:rsid w:val="00FA7519"/>
    <w:rsid w:val="00FA791B"/>
    <w:rsid w:val="00FA79B5"/>
    <w:rsid w:val="00FA7DA8"/>
    <w:rsid w:val="00FA7F29"/>
    <w:rsid w:val="00FB0453"/>
    <w:rsid w:val="00FB0580"/>
    <w:rsid w:val="00FB07D1"/>
    <w:rsid w:val="00FB09CC"/>
    <w:rsid w:val="00FB0B2D"/>
    <w:rsid w:val="00FB102E"/>
    <w:rsid w:val="00FB167C"/>
    <w:rsid w:val="00FB17D0"/>
    <w:rsid w:val="00FB188F"/>
    <w:rsid w:val="00FB18CB"/>
    <w:rsid w:val="00FB1985"/>
    <w:rsid w:val="00FB1B08"/>
    <w:rsid w:val="00FB2150"/>
    <w:rsid w:val="00FB2466"/>
    <w:rsid w:val="00FB27F1"/>
    <w:rsid w:val="00FB2880"/>
    <w:rsid w:val="00FB2B50"/>
    <w:rsid w:val="00FB2BC5"/>
    <w:rsid w:val="00FB2D7F"/>
    <w:rsid w:val="00FB3210"/>
    <w:rsid w:val="00FB3584"/>
    <w:rsid w:val="00FB3819"/>
    <w:rsid w:val="00FB3914"/>
    <w:rsid w:val="00FB3A6C"/>
    <w:rsid w:val="00FB3AED"/>
    <w:rsid w:val="00FB3B43"/>
    <w:rsid w:val="00FB3E92"/>
    <w:rsid w:val="00FB3FD2"/>
    <w:rsid w:val="00FB40B1"/>
    <w:rsid w:val="00FB412A"/>
    <w:rsid w:val="00FB420D"/>
    <w:rsid w:val="00FB4514"/>
    <w:rsid w:val="00FB491E"/>
    <w:rsid w:val="00FB4D56"/>
    <w:rsid w:val="00FB4D6F"/>
    <w:rsid w:val="00FB57D4"/>
    <w:rsid w:val="00FB589C"/>
    <w:rsid w:val="00FB58CE"/>
    <w:rsid w:val="00FB59F4"/>
    <w:rsid w:val="00FB5B4B"/>
    <w:rsid w:val="00FB5D61"/>
    <w:rsid w:val="00FB60AA"/>
    <w:rsid w:val="00FB61A6"/>
    <w:rsid w:val="00FB6328"/>
    <w:rsid w:val="00FB6389"/>
    <w:rsid w:val="00FB660E"/>
    <w:rsid w:val="00FB6B69"/>
    <w:rsid w:val="00FB7104"/>
    <w:rsid w:val="00FB7289"/>
    <w:rsid w:val="00FB7318"/>
    <w:rsid w:val="00FB73BE"/>
    <w:rsid w:val="00FB752F"/>
    <w:rsid w:val="00FB7613"/>
    <w:rsid w:val="00FB769E"/>
    <w:rsid w:val="00FB76DC"/>
    <w:rsid w:val="00FB7709"/>
    <w:rsid w:val="00FB77DD"/>
    <w:rsid w:val="00FB7985"/>
    <w:rsid w:val="00FB79B8"/>
    <w:rsid w:val="00FB7BC7"/>
    <w:rsid w:val="00FB7C55"/>
    <w:rsid w:val="00FB7C9F"/>
    <w:rsid w:val="00FC09DF"/>
    <w:rsid w:val="00FC0BAE"/>
    <w:rsid w:val="00FC1259"/>
    <w:rsid w:val="00FC1ADE"/>
    <w:rsid w:val="00FC1C07"/>
    <w:rsid w:val="00FC1CEC"/>
    <w:rsid w:val="00FC1E0C"/>
    <w:rsid w:val="00FC1F95"/>
    <w:rsid w:val="00FC230D"/>
    <w:rsid w:val="00FC2F0F"/>
    <w:rsid w:val="00FC3BFD"/>
    <w:rsid w:val="00FC3F3D"/>
    <w:rsid w:val="00FC421C"/>
    <w:rsid w:val="00FC45A6"/>
    <w:rsid w:val="00FC4634"/>
    <w:rsid w:val="00FC4B43"/>
    <w:rsid w:val="00FC4C91"/>
    <w:rsid w:val="00FC4F09"/>
    <w:rsid w:val="00FC5048"/>
    <w:rsid w:val="00FC54D2"/>
    <w:rsid w:val="00FC5502"/>
    <w:rsid w:val="00FC5D39"/>
    <w:rsid w:val="00FC5ED2"/>
    <w:rsid w:val="00FC60B4"/>
    <w:rsid w:val="00FC6343"/>
    <w:rsid w:val="00FC6F0D"/>
    <w:rsid w:val="00FC76CC"/>
    <w:rsid w:val="00FC7E6D"/>
    <w:rsid w:val="00FC7E7D"/>
    <w:rsid w:val="00FC7EDF"/>
    <w:rsid w:val="00FD018F"/>
    <w:rsid w:val="00FD039C"/>
    <w:rsid w:val="00FD042B"/>
    <w:rsid w:val="00FD0B87"/>
    <w:rsid w:val="00FD0D50"/>
    <w:rsid w:val="00FD0EE3"/>
    <w:rsid w:val="00FD0F70"/>
    <w:rsid w:val="00FD0FE4"/>
    <w:rsid w:val="00FD10C1"/>
    <w:rsid w:val="00FD136A"/>
    <w:rsid w:val="00FD1616"/>
    <w:rsid w:val="00FD1B22"/>
    <w:rsid w:val="00FD1E7A"/>
    <w:rsid w:val="00FD1F21"/>
    <w:rsid w:val="00FD24E8"/>
    <w:rsid w:val="00FD2678"/>
    <w:rsid w:val="00FD28CF"/>
    <w:rsid w:val="00FD28D3"/>
    <w:rsid w:val="00FD29C3"/>
    <w:rsid w:val="00FD2A13"/>
    <w:rsid w:val="00FD2E2C"/>
    <w:rsid w:val="00FD3257"/>
    <w:rsid w:val="00FD36F5"/>
    <w:rsid w:val="00FD3AEA"/>
    <w:rsid w:val="00FD3C3B"/>
    <w:rsid w:val="00FD3CD7"/>
    <w:rsid w:val="00FD3FCF"/>
    <w:rsid w:val="00FD4B34"/>
    <w:rsid w:val="00FD5AFD"/>
    <w:rsid w:val="00FD5F18"/>
    <w:rsid w:val="00FD606A"/>
    <w:rsid w:val="00FD63DA"/>
    <w:rsid w:val="00FD651E"/>
    <w:rsid w:val="00FD6999"/>
    <w:rsid w:val="00FD6A8B"/>
    <w:rsid w:val="00FD6B08"/>
    <w:rsid w:val="00FD78CA"/>
    <w:rsid w:val="00FD7A54"/>
    <w:rsid w:val="00FD7C50"/>
    <w:rsid w:val="00FD7C65"/>
    <w:rsid w:val="00FD7FAD"/>
    <w:rsid w:val="00FD7FCA"/>
    <w:rsid w:val="00FE0081"/>
    <w:rsid w:val="00FE00CA"/>
    <w:rsid w:val="00FE015C"/>
    <w:rsid w:val="00FE0330"/>
    <w:rsid w:val="00FE03B5"/>
    <w:rsid w:val="00FE08F7"/>
    <w:rsid w:val="00FE0B3A"/>
    <w:rsid w:val="00FE0B5F"/>
    <w:rsid w:val="00FE0E22"/>
    <w:rsid w:val="00FE105C"/>
    <w:rsid w:val="00FE122F"/>
    <w:rsid w:val="00FE137F"/>
    <w:rsid w:val="00FE140C"/>
    <w:rsid w:val="00FE182A"/>
    <w:rsid w:val="00FE1CD1"/>
    <w:rsid w:val="00FE1CFC"/>
    <w:rsid w:val="00FE1FE7"/>
    <w:rsid w:val="00FE2042"/>
    <w:rsid w:val="00FE2147"/>
    <w:rsid w:val="00FE21D2"/>
    <w:rsid w:val="00FE238A"/>
    <w:rsid w:val="00FE252E"/>
    <w:rsid w:val="00FE2831"/>
    <w:rsid w:val="00FE2AF8"/>
    <w:rsid w:val="00FE3139"/>
    <w:rsid w:val="00FE315D"/>
    <w:rsid w:val="00FE32C4"/>
    <w:rsid w:val="00FE3536"/>
    <w:rsid w:val="00FE3899"/>
    <w:rsid w:val="00FE39D1"/>
    <w:rsid w:val="00FE3AAB"/>
    <w:rsid w:val="00FE3C6F"/>
    <w:rsid w:val="00FE3C9B"/>
    <w:rsid w:val="00FE3DB3"/>
    <w:rsid w:val="00FE3FE9"/>
    <w:rsid w:val="00FE4013"/>
    <w:rsid w:val="00FE472C"/>
    <w:rsid w:val="00FE4780"/>
    <w:rsid w:val="00FE4A93"/>
    <w:rsid w:val="00FE510E"/>
    <w:rsid w:val="00FE5127"/>
    <w:rsid w:val="00FE5458"/>
    <w:rsid w:val="00FE5F38"/>
    <w:rsid w:val="00FE606C"/>
    <w:rsid w:val="00FE6182"/>
    <w:rsid w:val="00FE644B"/>
    <w:rsid w:val="00FE69A1"/>
    <w:rsid w:val="00FE6A4F"/>
    <w:rsid w:val="00FE76E4"/>
    <w:rsid w:val="00FE7B34"/>
    <w:rsid w:val="00FE7C97"/>
    <w:rsid w:val="00FE7F8D"/>
    <w:rsid w:val="00FF0552"/>
    <w:rsid w:val="00FF0634"/>
    <w:rsid w:val="00FF16D6"/>
    <w:rsid w:val="00FF172A"/>
    <w:rsid w:val="00FF194B"/>
    <w:rsid w:val="00FF1A8F"/>
    <w:rsid w:val="00FF1DC3"/>
    <w:rsid w:val="00FF2254"/>
    <w:rsid w:val="00FF2315"/>
    <w:rsid w:val="00FF235C"/>
    <w:rsid w:val="00FF238D"/>
    <w:rsid w:val="00FF240A"/>
    <w:rsid w:val="00FF264A"/>
    <w:rsid w:val="00FF27CC"/>
    <w:rsid w:val="00FF295F"/>
    <w:rsid w:val="00FF2F3A"/>
    <w:rsid w:val="00FF2FCC"/>
    <w:rsid w:val="00FF32D1"/>
    <w:rsid w:val="00FF3381"/>
    <w:rsid w:val="00FF364B"/>
    <w:rsid w:val="00FF3650"/>
    <w:rsid w:val="00FF3EFD"/>
    <w:rsid w:val="00FF40D2"/>
    <w:rsid w:val="00FF4251"/>
    <w:rsid w:val="00FF43BD"/>
    <w:rsid w:val="00FF4478"/>
    <w:rsid w:val="00FF4B69"/>
    <w:rsid w:val="00FF501F"/>
    <w:rsid w:val="00FF50AC"/>
    <w:rsid w:val="00FF52CA"/>
    <w:rsid w:val="00FF536F"/>
    <w:rsid w:val="00FF5664"/>
    <w:rsid w:val="00FF5C8F"/>
    <w:rsid w:val="00FF5DB1"/>
    <w:rsid w:val="00FF67B7"/>
    <w:rsid w:val="00FF684F"/>
    <w:rsid w:val="00FF6865"/>
    <w:rsid w:val="00FF688B"/>
    <w:rsid w:val="00FF68DF"/>
    <w:rsid w:val="00FF6E0D"/>
    <w:rsid w:val="00FF7688"/>
    <w:rsid w:val="00FF768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semiHidden="0" w:uiPriority="35" w:unhideWhenUsed="0" w:qFormat="1"/>
    <w:lsdException w:name="page number" w:uiPriority="0"/>
    <w:lsdException w:name="Lis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First Indent" w:uiPriority="0"/>
    <w:lsdException w:name="Body Tex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61CC9"/>
  </w:style>
  <w:style w:type="paragraph" w:styleId="Nadpis1">
    <w:name w:val="heading 1"/>
    <w:aliases w:val="Kapitola,Kapitola1,Kapitola2,Kapitola3,Kapitola4,Kapitola5,Kapitola11,Kapitola21,Kapitola31,Kapitola41,Kapitola6,Kapitola12,Kapitola22,Kapitola32,Kapitola42,Kapitola51,Kapitola111,Kapitola211,Kapitola311,Kapitola411,Kapitola7,Kapitola8,h1,F8,H1"/>
    <w:basedOn w:val="Normln"/>
    <w:next w:val="Normln"/>
    <w:link w:val="Nadpis1Char1"/>
    <w:qFormat/>
    <w:rsid w:val="0048588A"/>
    <w:pPr>
      <w:keepNext/>
      <w:jc w:val="both"/>
      <w:outlineLvl w:val="0"/>
    </w:pPr>
    <w:rPr>
      <w:b/>
      <w:bCs/>
      <w:smallCaps/>
      <w:color w:val="1F497D"/>
      <w:sz w:val="24"/>
      <w:szCs w:val="24"/>
    </w:rPr>
  </w:style>
  <w:style w:type="paragraph" w:styleId="Nadpis2">
    <w:name w:val="heading 2"/>
    <w:basedOn w:val="Normln"/>
    <w:next w:val="Normln"/>
    <w:link w:val="Nadpis2Char"/>
    <w:qFormat/>
    <w:rsid w:val="002C591A"/>
    <w:pPr>
      <w:keepNext/>
      <w:spacing w:before="240" w:after="60"/>
      <w:outlineLvl w:val="1"/>
    </w:pPr>
    <w:rPr>
      <w:rFonts w:ascii="Arial" w:hAnsi="Arial"/>
      <w:b/>
      <w:bCs/>
      <w:i/>
      <w:iCs/>
      <w:color w:val="0070C0"/>
      <w:sz w:val="28"/>
      <w:szCs w:val="28"/>
    </w:rPr>
  </w:style>
  <w:style w:type="paragraph" w:styleId="Nadpis3">
    <w:name w:val="heading 3"/>
    <w:basedOn w:val="Normln"/>
    <w:next w:val="Normln"/>
    <w:link w:val="Nadpis3Char"/>
    <w:qFormat/>
    <w:rsid w:val="0048588A"/>
    <w:pPr>
      <w:keepNext/>
      <w:spacing w:before="240" w:after="60"/>
      <w:outlineLvl w:val="2"/>
    </w:pPr>
    <w:rPr>
      <w:rFonts w:ascii="Arial" w:hAnsi="Arial"/>
      <w:b/>
      <w:bCs/>
      <w:color w:val="0070C0"/>
      <w:sz w:val="26"/>
      <w:szCs w:val="26"/>
    </w:rPr>
  </w:style>
  <w:style w:type="paragraph" w:styleId="Nadpis6">
    <w:name w:val="heading 6"/>
    <w:basedOn w:val="Normln"/>
    <w:next w:val="Normln"/>
    <w:link w:val="Nadpis6Char"/>
    <w:uiPriority w:val="9"/>
    <w:qFormat/>
    <w:rsid w:val="000E2A36"/>
    <w:pPr>
      <w:spacing w:before="240" w:after="60"/>
      <w:outlineLvl w:val="5"/>
    </w:pPr>
    <w:rPr>
      <w:rFonts w:ascii="Calibri" w:hAnsi="Calibri"/>
      <w:b/>
      <w:bCs/>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1">
    <w:name w:val="Nadpis 1 Char1"/>
    <w:aliases w:val="Kapitola Char,Kapitola1 Char,Kapitola2 Char,Kapitola3 Char,Kapitola4 Char,Kapitola5 Char,Kapitola11 Char,Kapitola21 Char,Kapitola31 Char,Kapitola41 Char,Kapitola6 Char,Kapitola12 Char,Kapitola22 Char,Kapitola32 Char,Kapitola42 Char"/>
    <w:link w:val="Nadpis1"/>
    <w:rsid w:val="0048588A"/>
    <w:rPr>
      <w:b/>
      <w:bCs/>
      <w:smallCaps/>
      <w:color w:val="1F497D"/>
      <w:sz w:val="24"/>
      <w:szCs w:val="24"/>
    </w:rPr>
  </w:style>
  <w:style w:type="paragraph" w:customStyle="1" w:styleId="CharChar4">
    <w:name w:val="Char Char4"/>
    <w:basedOn w:val="Normln"/>
    <w:rsid w:val="0038090F"/>
    <w:pPr>
      <w:spacing w:after="160" w:line="240" w:lineRule="exact"/>
    </w:pPr>
    <w:rPr>
      <w:rFonts w:ascii="Tahoma" w:hAnsi="Tahoma"/>
      <w:lang w:val="en-US" w:eastAsia="en-US"/>
    </w:rPr>
  </w:style>
  <w:style w:type="character" w:customStyle="1" w:styleId="Nadpis2Char">
    <w:name w:val="Nadpis 2 Char"/>
    <w:link w:val="Nadpis2"/>
    <w:rsid w:val="002C591A"/>
    <w:rPr>
      <w:rFonts w:ascii="Arial" w:hAnsi="Arial" w:cs="Arial"/>
      <w:b/>
      <w:bCs/>
      <w:i/>
      <w:iCs/>
      <w:color w:val="0070C0"/>
      <w:sz w:val="28"/>
      <w:szCs w:val="28"/>
    </w:rPr>
  </w:style>
  <w:style w:type="table" w:styleId="Mkatabulky">
    <w:name w:val="Table Grid"/>
    <w:basedOn w:val="Normlntabulka"/>
    <w:uiPriority w:val="59"/>
    <w:rsid w:val="003809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rsid w:val="0038090F"/>
    <w:rPr>
      <w:rFonts w:ascii="Tahoma" w:hAnsi="Tahoma"/>
      <w:sz w:val="16"/>
      <w:szCs w:val="16"/>
    </w:rPr>
  </w:style>
  <w:style w:type="character" w:customStyle="1" w:styleId="Styl12b">
    <w:name w:val="Styl 12 b."/>
    <w:rsid w:val="0038090F"/>
    <w:rPr>
      <w:smallCaps/>
      <w:sz w:val="24"/>
      <w:szCs w:val="24"/>
    </w:rPr>
  </w:style>
  <w:style w:type="character" w:styleId="Odkaznakoment">
    <w:name w:val="annotation reference"/>
    <w:uiPriority w:val="99"/>
    <w:semiHidden/>
    <w:rsid w:val="0038090F"/>
    <w:rPr>
      <w:sz w:val="16"/>
      <w:szCs w:val="16"/>
    </w:rPr>
  </w:style>
  <w:style w:type="paragraph" w:styleId="Textkomente">
    <w:name w:val="annotation text"/>
    <w:basedOn w:val="Normln"/>
    <w:link w:val="TextkomenteChar"/>
    <w:uiPriority w:val="99"/>
    <w:rsid w:val="0038090F"/>
  </w:style>
  <w:style w:type="paragraph" w:customStyle="1" w:styleId="CharChar1">
    <w:name w:val="Char Char1"/>
    <w:basedOn w:val="Normln"/>
    <w:rsid w:val="0038090F"/>
    <w:pPr>
      <w:spacing w:after="160" w:line="240" w:lineRule="exact"/>
    </w:pPr>
    <w:rPr>
      <w:rFonts w:ascii="Times New Roman Bold" w:hAnsi="Times New Roman Bold"/>
      <w:b/>
      <w:sz w:val="26"/>
      <w:szCs w:val="26"/>
      <w:lang w:val="sk-SK" w:eastAsia="en-US"/>
    </w:rPr>
  </w:style>
  <w:style w:type="character" w:styleId="Znakapoznpodarou">
    <w:name w:val="footnote reference"/>
    <w:aliases w:val="PGI Fußnote Ziffer"/>
    <w:uiPriority w:val="99"/>
    <w:rsid w:val="0038090F"/>
    <w:rPr>
      <w:vertAlign w:val="superscript"/>
    </w:rPr>
  </w:style>
  <w:style w:type="paragraph" w:styleId="Textpoznpodarou">
    <w:name w:val="footnote text"/>
    <w:aliases w:val="Schriftart: 9 pt,Schriftart: 10 pt,Schriftart: 8 pt,pozn. pod čarou,Text pozn. pod čarou Char,Text poznámky pod čiarou 007,Fußnotentextf,Geneva 9,Font: Geneva 9,Boston 10,f,Podrozdział,Footnote,Podrozdzia3,Footnote text,Char1,Char,o"/>
    <w:basedOn w:val="Normln"/>
    <w:link w:val="TextpoznpodarouChar1"/>
    <w:uiPriority w:val="99"/>
    <w:qFormat/>
    <w:rsid w:val="0038090F"/>
  </w:style>
  <w:style w:type="character" w:customStyle="1" w:styleId="TextpoznpodarouChar1">
    <w:name w:val="Text pozn. pod čarou Char1"/>
    <w:aliases w:val="Schriftart: 9 pt Char,Schriftart: 10 pt Char,Schriftart: 8 pt Char,pozn. pod čarou Char,Text pozn. pod čarou Char Char,Text poznámky pod čiarou 007 Char,Fußnotentextf Char,Geneva 9 Char,Font: Geneva 9 Char,Boston 10 Char"/>
    <w:link w:val="Textpoznpodarou"/>
    <w:uiPriority w:val="99"/>
    <w:semiHidden/>
    <w:rsid w:val="0038090F"/>
    <w:rPr>
      <w:lang w:val="cs-CZ" w:eastAsia="cs-CZ" w:bidi="ar-SA"/>
    </w:rPr>
  </w:style>
  <w:style w:type="character" w:styleId="Hypertextovodkaz">
    <w:name w:val="Hyperlink"/>
    <w:uiPriority w:val="99"/>
    <w:rsid w:val="0038090F"/>
    <w:rPr>
      <w:color w:val="0000FF"/>
      <w:u w:val="single"/>
    </w:rPr>
  </w:style>
  <w:style w:type="paragraph" w:customStyle="1" w:styleId="CharChar2">
    <w:name w:val="Char Char2"/>
    <w:basedOn w:val="Normln"/>
    <w:rsid w:val="0038090F"/>
    <w:pPr>
      <w:spacing w:after="160" w:line="240" w:lineRule="exact"/>
    </w:pPr>
    <w:rPr>
      <w:rFonts w:ascii="Times New Roman Bold" w:hAnsi="Times New Roman Bold"/>
      <w:b/>
      <w:sz w:val="26"/>
      <w:szCs w:val="26"/>
      <w:lang w:val="sk-SK" w:eastAsia="en-US"/>
    </w:rPr>
  </w:style>
  <w:style w:type="paragraph" w:customStyle="1" w:styleId="TextNOK">
    <w:name w:val="Text NOK"/>
    <w:basedOn w:val="Normln"/>
    <w:link w:val="TextNOKChar"/>
    <w:rsid w:val="0038090F"/>
    <w:pPr>
      <w:spacing w:line="312" w:lineRule="auto"/>
      <w:jc w:val="both"/>
    </w:pPr>
    <w:rPr>
      <w:sz w:val="22"/>
      <w:szCs w:val="24"/>
    </w:rPr>
  </w:style>
  <w:style w:type="character" w:customStyle="1" w:styleId="TextNOKChar">
    <w:name w:val="Text NOK Char"/>
    <w:link w:val="TextNOK"/>
    <w:rsid w:val="0038090F"/>
    <w:rPr>
      <w:sz w:val="22"/>
      <w:szCs w:val="24"/>
      <w:lang w:val="cs-CZ" w:eastAsia="cs-CZ" w:bidi="ar-SA"/>
    </w:rPr>
  </w:style>
  <w:style w:type="paragraph" w:styleId="Pedmtkomente">
    <w:name w:val="annotation subject"/>
    <w:basedOn w:val="Textkomente"/>
    <w:next w:val="Textkomente"/>
    <w:link w:val="PedmtkomenteChar"/>
    <w:uiPriority w:val="99"/>
    <w:semiHidden/>
    <w:rsid w:val="0038090F"/>
    <w:rPr>
      <w:b/>
      <w:bCs/>
    </w:rPr>
  </w:style>
  <w:style w:type="paragraph" w:styleId="Zhlav">
    <w:name w:val="header"/>
    <w:basedOn w:val="Normln"/>
    <w:link w:val="ZhlavChar"/>
    <w:uiPriority w:val="99"/>
    <w:rsid w:val="0038090F"/>
    <w:pPr>
      <w:tabs>
        <w:tab w:val="center" w:pos="4536"/>
        <w:tab w:val="right" w:pos="9072"/>
      </w:tabs>
    </w:pPr>
  </w:style>
  <w:style w:type="paragraph" w:styleId="Zpat">
    <w:name w:val="footer"/>
    <w:basedOn w:val="Normln"/>
    <w:link w:val="ZpatChar"/>
    <w:uiPriority w:val="99"/>
    <w:rsid w:val="0038090F"/>
    <w:pPr>
      <w:tabs>
        <w:tab w:val="center" w:pos="4536"/>
        <w:tab w:val="right" w:pos="9072"/>
      </w:tabs>
    </w:pPr>
  </w:style>
  <w:style w:type="character" w:styleId="slostrnky">
    <w:name w:val="page number"/>
    <w:basedOn w:val="Standardnpsmoodstavce"/>
    <w:rsid w:val="0038090F"/>
  </w:style>
  <w:style w:type="paragraph" w:customStyle="1" w:styleId="CharChar2CharCharCharCharChar1CharCharCharCharCharChar">
    <w:name w:val="Char Char2 Char Char Char Char Char1 Char Char Char Char Char Char"/>
    <w:basedOn w:val="Normln"/>
    <w:rsid w:val="0038090F"/>
    <w:pPr>
      <w:spacing w:after="160" w:line="240" w:lineRule="exact"/>
    </w:pPr>
    <w:rPr>
      <w:rFonts w:ascii="Times New Roman Bold" w:hAnsi="Times New Roman Bold"/>
      <w:b/>
      <w:sz w:val="26"/>
      <w:szCs w:val="26"/>
      <w:lang w:val="sk-SK" w:eastAsia="en-US"/>
    </w:rPr>
  </w:style>
  <w:style w:type="paragraph" w:customStyle="1" w:styleId="CharCharCharCharChar">
    <w:name w:val="Char Char Char Char Char"/>
    <w:basedOn w:val="Normln"/>
    <w:rsid w:val="0038090F"/>
    <w:pPr>
      <w:spacing w:after="160" w:line="240" w:lineRule="exact"/>
    </w:pPr>
    <w:rPr>
      <w:rFonts w:ascii="Times New Roman Bold" w:hAnsi="Times New Roman Bold"/>
      <w:sz w:val="22"/>
      <w:szCs w:val="26"/>
      <w:lang w:val="sk-SK" w:eastAsia="en-US"/>
    </w:rPr>
  </w:style>
  <w:style w:type="paragraph" w:customStyle="1" w:styleId="Odstavecseseznamem1">
    <w:name w:val="Odstavec se seznamem1"/>
    <w:basedOn w:val="Normln"/>
    <w:link w:val="ListParagraphChar"/>
    <w:uiPriority w:val="99"/>
    <w:qFormat/>
    <w:rsid w:val="0038090F"/>
    <w:pPr>
      <w:spacing w:after="200" w:line="276" w:lineRule="auto"/>
      <w:ind w:left="720"/>
    </w:pPr>
    <w:rPr>
      <w:rFonts w:ascii="Calibri" w:hAnsi="Calibri" w:cs="Calibri"/>
      <w:sz w:val="22"/>
      <w:szCs w:val="22"/>
      <w:lang w:eastAsia="en-US"/>
    </w:rPr>
  </w:style>
  <w:style w:type="paragraph" w:styleId="Titulek">
    <w:name w:val="caption"/>
    <w:basedOn w:val="Normln"/>
    <w:next w:val="Normln"/>
    <w:link w:val="TitulekChar"/>
    <w:uiPriority w:val="35"/>
    <w:qFormat/>
    <w:rsid w:val="0038090F"/>
    <w:pPr>
      <w:spacing w:before="120" w:after="120"/>
    </w:pPr>
    <w:rPr>
      <w:rFonts w:ascii="Arial" w:hAnsi="Arial" w:cs="Arial"/>
      <w:b/>
      <w:bCs/>
      <w:smallCaps/>
    </w:rPr>
  </w:style>
  <w:style w:type="paragraph" w:customStyle="1" w:styleId="StandardnpsmoodstavceChar1Char">
    <w:name w:val="Standardní písmo odstavce Char1 Char"/>
    <w:aliases w:val="Standardní písmo odstavce Char Char Char, Char4 Char Char Char Char Char Char Char Char Char Char Char Char Char Char Char Char Char Char Char Char Char Char Char Char"/>
    <w:basedOn w:val="Normln"/>
    <w:rsid w:val="0038090F"/>
    <w:pPr>
      <w:spacing w:after="160" w:line="240" w:lineRule="exact"/>
    </w:pPr>
    <w:rPr>
      <w:rFonts w:ascii="Times New Roman Bold" w:hAnsi="Times New Roman Bold"/>
      <w:sz w:val="22"/>
      <w:szCs w:val="26"/>
      <w:lang w:val="sk-SK" w:eastAsia="en-US"/>
    </w:rPr>
  </w:style>
  <w:style w:type="paragraph" w:customStyle="1" w:styleId="2">
    <w:name w:val="2"/>
    <w:basedOn w:val="Normln"/>
    <w:rsid w:val="0038090F"/>
    <w:pPr>
      <w:spacing w:after="160" w:line="240" w:lineRule="exact"/>
    </w:pPr>
    <w:rPr>
      <w:rFonts w:ascii="Times New Roman Bold" w:hAnsi="Times New Roman Bold"/>
      <w:b/>
      <w:sz w:val="26"/>
      <w:szCs w:val="26"/>
      <w:lang w:val="sk-SK" w:eastAsia="en-US"/>
    </w:rPr>
  </w:style>
  <w:style w:type="character" w:customStyle="1" w:styleId="Tabulka-vodChar">
    <w:name w:val="Tabulka - úvod Char"/>
    <w:link w:val="Tabulka-vod"/>
    <w:rsid w:val="0038090F"/>
    <w:rPr>
      <w:rFonts w:ascii="Calibri" w:hAnsi="Calibri"/>
      <w:sz w:val="18"/>
      <w:szCs w:val="18"/>
      <w:lang w:val="cs-CZ" w:eastAsia="en-US" w:bidi="ar-SA"/>
    </w:rPr>
  </w:style>
  <w:style w:type="paragraph" w:customStyle="1" w:styleId="Tabulka-vod">
    <w:name w:val="Tabulka - úvod"/>
    <w:basedOn w:val="Normln"/>
    <w:link w:val="Tabulka-vodChar"/>
    <w:rsid w:val="0038090F"/>
    <w:pPr>
      <w:jc w:val="center"/>
    </w:pPr>
    <w:rPr>
      <w:rFonts w:ascii="Calibri" w:hAnsi="Calibri"/>
      <w:sz w:val="18"/>
      <w:szCs w:val="18"/>
      <w:lang w:eastAsia="en-US"/>
    </w:rPr>
  </w:style>
  <w:style w:type="paragraph" w:customStyle="1" w:styleId="TabulkaNOK">
    <w:name w:val="Tabulka NOK"/>
    <w:basedOn w:val="Normln"/>
    <w:link w:val="TabulkaNOKChar"/>
    <w:rsid w:val="0038090F"/>
    <w:pPr>
      <w:jc w:val="right"/>
    </w:pPr>
    <w:rPr>
      <w:rFonts w:ascii="Calibri" w:hAnsi="Calibri"/>
      <w:bCs/>
      <w:sz w:val="18"/>
      <w:szCs w:val="18"/>
      <w:lang w:eastAsia="en-US"/>
    </w:rPr>
  </w:style>
  <w:style w:type="character" w:customStyle="1" w:styleId="TabulkaNOKChar">
    <w:name w:val="Tabulka NOK Char"/>
    <w:link w:val="TabulkaNOK"/>
    <w:rsid w:val="0038090F"/>
    <w:rPr>
      <w:rFonts w:ascii="Calibri" w:hAnsi="Calibri"/>
      <w:bCs/>
      <w:sz w:val="18"/>
      <w:szCs w:val="18"/>
      <w:lang w:val="cs-CZ" w:eastAsia="en-US" w:bidi="ar-SA"/>
    </w:rPr>
  </w:style>
  <w:style w:type="paragraph" w:styleId="Zkladntext">
    <w:name w:val="Body Text"/>
    <w:basedOn w:val="Normln"/>
    <w:link w:val="ZkladntextChar"/>
    <w:rsid w:val="0038090F"/>
    <w:pPr>
      <w:spacing w:after="120"/>
    </w:pPr>
  </w:style>
  <w:style w:type="paragraph" w:styleId="Zkladntext-prvnodsazen">
    <w:name w:val="Body Text First Indent"/>
    <w:basedOn w:val="Zkladntext"/>
    <w:link w:val="Zkladntext-prvnodsazenChar"/>
    <w:rsid w:val="0038090F"/>
    <w:pPr>
      <w:ind w:firstLine="210"/>
    </w:pPr>
  </w:style>
  <w:style w:type="paragraph" w:customStyle="1" w:styleId="CharChar2CharChar">
    <w:name w:val="Char Char2 Char Char"/>
    <w:basedOn w:val="Normln"/>
    <w:rsid w:val="0038090F"/>
    <w:pPr>
      <w:spacing w:after="160" w:line="240" w:lineRule="exact"/>
    </w:pPr>
    <w:rPr>
      <w:rFonts w:ascii="Times New Roman Bold" w:hAnsi="Times New Roman Bold"/>
      <w:b/>
      <w:sz w:val="26"/>
      <w:szCs w:val="26"/>
      <w:lang w:val="sk-SK" w:eastAsia="en-US"/>
    </w:rPr>
  </w:style>
  <w:style w:type="paragraph" w:styleId="Seznam2">
    <w:name w:val="List 2"/>
    <w:basedOn w:val="Normln"/>
    <w:rsid w:val="0038090F"/>
    <w:pPr>
      <w:ind w:left="566" w:hanging="283"/>
    </w:pPr>
  </w:style>
  <w:style w:type="character" w:styleId="Sledovanodkaz">
    <w:name w:val="FollowedHyperlink"/>
    <w:rsid w:val="0038090F"/>
    <w:rPr>
      <w:color w:val="800080"/>
      <w:u w:val="single"/>
    </w:rPr>
  </w:style>
  <w:style w:type="paragraph" w:styleId="Obsah3">
    <w:name w:val="toc 3"/>
    <w:basedOn w:val="Normln"/>
    <w:next w:val="Normln"/>
    <w:autoRedefine/>
    <w:uiPriority w:val="39"/>
    <w:rsid w:val="0038090F"/>
    <w:pPr>
      <w:ind w:left="400"/>
    </w:pPr>
  </w:style>
  <w:style w:type="paragraph" w:styleId="Obsah1">
    <w:name w:val="toc 1"/>
    <w:basedOn w:val="Normln"/>
    <w:next w:val="Normln"/>
    <w:autoRedefine/>
    <w:uiPriority w:val="39"/>
    <w:rsid w:val="00AF5A02"/>
    <w:pPr>
      <w:tabs>
        <w:tab w:val="left" w:pos="1540"/>
        <w:tab w:val="right" w:leader="dot" w:pos="9062"/>
      </w:tabs>
    </w:pPr>
  </w:style>
  <w:style w:type="character" w:customStyle="1" w:styleId="Nadpis1Char">
    <w:name w:val="Nadpis 1 Char"/>
    <w:rsid w:val="0038090F"/>
    <w:rPr>
      <w:rFonts w:ascii="Arial" w:hAnsi="Arial" w:cs="Arial"/>
      <w:b/>
      <w:bCs/>
      <w:kern w:val="32"/>
      <w:sz w:val="32"/>
      <w:szCs w:val="32"/>
      <w:lang w:val="cs-CZ" w:eastAsia="cs-CZ" w:bidi="ar-SA"/>
    </w:rPr>
  </w:style>
  <w:style w:type="paragraph" w:styleId="Obsah2">
    <w:name w:val="toc 2"/>
    <w:basedOn w:val="Normln"/>
    <w:next w:val="Normln"/>
    <w:autoRedefine/>
    <w:uiPriority w:val="39"/>
    <w:rsid w:val="0038090F"/>
    <w:pPr>
      <w:ind w:left="200"/>
    </w:pPr>
  </w:style>
  <w:style w:type="paragraph" w:customStyle="1" w:styleId="CharCharChar1CharCharCharCharCharChar">
    <w:name w:val="Char Char Char1 Char Char Char Char Char Char"/>
    <w:basedOn w:val="Normln"/>
    <w:rsid w:val="0038090F"/>
    <w:pPr>
      <w:spacing w:after="160" w:line="240" w:lineRule="exact"/>
      <w:jc w:val="both"/>
    </w:pPr>
    <w:rPr>
      <w:rFonts w:ascii="Times New Roman Bold" w:hAnsi="Times New Roman Bold" w:cs="Times New Roman Bold"/>
      <w:sz w:val="22"/>
      <w:szCs w:val="22"/>
      <w:lang w:val="sk-SK" w:eastAsia="en-US"/>
    </w:rPr>
  </w:style>
  <w:style w:type="paragraph" w:customStyle="1" w:styleId="STANDARD">
    <w:name w:val="STANDARD"/>
    <w:basedOn w:val="Normln"/>
    <w:link w:val="STANDARDChar"/>
    <w:rsid w:val="0038090F"/>
    <w:pPr>
      <w:spacing w:before="60" w:after="60"/>
      <w:ind w:firstLine="6"/>
      <w:jc w:val="both"/>
    </w:pPr>
    <w:rPr>
      <w:rFonts w:ascii="Arial" w:hAnsi="Arial"/>
      <w:sz w:val="22"/>
    </w:rPr>
  </w:style>
  <w:style w:type="character" w:customStyle="1" w:styleId="STANDARDChar">
    <w:name w:val="STANDARD Char"/>
    <w:link w:val="STANDARD"/>
    <w:rsid w:val="0038090F"/>
    <w:rPr>
      <w:rFonts w:ascii="Arial" w:hAnsi="Arial"/>
      <w:sz w:val="22"/>
      <w:lang w:val="cs-CZ" w:eastAsia="cs-CZ" w:bidi="ar-SA"/>
    </w:rPr>
  </w:style>
  <w:style w:type="paragraph" w:customStyle="1" w:styleId="Nzevkapitoly">
    <w:name w:val="*Název kapitoly"/>
    <w:basedOn w:val="Zkladntext"/>
    <w:uiPriority w:val="99"/>
    <w:rsid w:val="0038090F"/>
    <w:pPr>
      <w:spacing w:before="120"/>
      <w:jc w:val="both"/>
      <w:outlineLvl w:val="0"/>
    </w:pPr>
    <w:rPr>
      <w:rFonts w:ascii="Arial" w:hAnsi="Arial" w:cs="Arial"/>
      <w:b/>
      <w:sz w:val="28"/>
      <w:lang w:val="en-GB" w:eastAsia="en-US"/>
    </w:rPr>
  </w:style>
  <w:style w:type="paragraph" w:customStyle="1" w:styleId="CharCharCharCharCharCharCharChar">
    <w:name w:val="Char Char Char Char Char Char Char Char"/>
    <w:basedOn w:val="Normln"/>
    <w:rsid w:val="0038090F"/>
    <w:pPr>
      <w:spacing w:after="160" w:line="240" w:lineRule="exact"/>
    </w:pPr>
    <w:rPr>
      <w:rFonts w:ascii="Times New Roman Bold" w:hAnsi="Times New Roman Bold"/>
      <w:sz w:val="22"/>
      <w:szCs w:val="26"/>
      <w:lang w:val="sk-SK" w:eastAsia="en-US"/>
    </w:rPr>
  </w:style>
  <w:style w:type="paragraph" w:customStyle="1" w:styleId="OMODRAZKY">
    <w:name w:val="OM ODRAZKY"/>
    <w:basedOn w:val="Normln"/>
    <w:rsid w:val="0038090F"/>
    <w:pPr>
      <w:numPr>
        <w:numId w:val="5"/>
      </w:numPr>
      <w:suppressAutoHyphens/>
      <w:spacing w:before="120"/>
      <w:jc w:val="both"/>
    </w:pPr>
    <w:rPr>
      <w:rFonts w:ascii="Arial" w:hAnsi="Arial" w:cs="Arial"/>
      <w:lang w:eastAsia="ar-SA"/>
    </w:rPr>
  </w:style>
  <w:style w:type="table" w:styleId="Mkatabulky1">
    <w:name w:val="Table Grid 1"/>
    <w:basedOn w:val="Normlntabulka"/>
    <w:rsid w:val="0038090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Char4CharCharCharCharCharCharCharCharCharCharCharCharCharCharCharCharCharCharChar">
    <w:name w:val="Char4 Char Char Char Char Char Char Char Char Char Char Char Char Char Char Char Char Char Char Char"/>
    <w:basedOn w:val="Normln"/>
    <w:rsid w:val="0038090F"/>
    <w:pPr>
      <w:spacing w:after="160" w:line="240" w:lineRule="exact"/>
    </w:pPr>
    <w:rPr>
      <w:rFonts w:ascii="Times New Roman Bold" w:hAnsi="Times New Roman Bold"/>
      <w:sz w:val="22"/>
      <w:szCs w:val="26"/>
      <w:lang w:val="sk-SK" w:eastAsia="en-US"/>
    </w:rPr>
  </w:style>
  <w:style w:type="paragraph" w:styleId="Prosttext">
    <w:name w:val="Plain Text"/>
    <w:basedOn w:val="Normln"/>
    <w:link w:val="ProsttextChar"/>
    <w:uiPriority w:val="99"/>
    <w:unhideWhenUsed/>
    <w:rsid w:val="0038090F"/>
    <w:rPr>
      <w:rFonts w:ascii="Consolas" w:eastAsia="Calibri" w:hAnsi="Consolas"/>
      <w:sz w:val="21"/>
      <w:szCs w:val="21"/>
      <w:lang w:eastAsia="en-US"/>
    </w:rPr>
  </w:style>
  <w:style w:type="character" w:customStyle="1" w:styleId="ProsttextChar">
    <w:name w:val="Prostý text Char"/>
    <w:link w:val="Prosttext"/>
    <w:uiPriority w:val="99"/>
    <w:rsid w:val="0038090F"/>
    <w:rPr>
      <w:rFonts w:ascii="Consolas" w:eastAsia="Calibri" w:hAnsi="Consolas"/>
      <w:sz w:val="21"/>
      <w:szCs w:val="21"/>
      <w:lang w:val="cs-CZ" w:eastAsia="en-US" w:bidi="ar-SA"/>
    </w:rPr>
  </w:style>
  <w:style w:type="paragraph" w:styleId="Rozloendokumentu">
    <w:name w:val="Document Map"/>
    <w:basedOn w:val="Normln"/>
    <w:link w:val="RozloendokumentuChar"/>
    <w:semiHidden/>
    <w:rsid w:val="0038090F"/>
    <w:pPr>
      <w:shd w:val="clear" w:color="auto" w:fill="000080"/>
    </w:pPr>
    <w:rPr>
      <w:rFonts w:ascii="Tahoma" w:hAnsi="Tahoma"/>
    </w:rPr>
  </w:style>
  <w:style w:type="paragraph" w:customStyle="1" w:styleId="TabulkaNOK-nadpis">
    <w:name w:val="Tabulka NOK - nadpis"/>
    <w:basedOn w:val="Normln"/>
    <w:next w:val="Normln"/>
    <w:link w:val="TabulkaNOK-nadpisChar"/>
    <w:rsid w:val="0038090F"/>
    <w:pPr>
      <w:keepNext/>
      <w:spacing w:before="180" w:after="60"/>
      <w:ind w:left="709" w:hanging="709"/>
    </w:pPr>
    <w:rPr>
      <w:b/>
      <w:i/>
      <w:sz w:val="22"/>
      <w:szCs w:val="16"/>
      <w:lang w:eastAsia="en-US"/>
    </w:rPr>
  </w:style>
  <w:style w:type="character" w:customStyle="1" w:styleId="TabulkaNOK-nadpisChar">
    <w:name w:val="Tabulka NOK - nadpis Char"/>
    <w:link w:val="TabulkaNOK-nadpis"/>
    <w:rsid w:val="0038090F"/>
    <w:rPr>
      <w:b/>
      <w:i/>
      <w:sz w:val="22"/>
      <w:szCs w:val="16"/>
      <w:lang w:val="cs-CZ" w:eastAsia="en-US" w:bidi="ar-SA"/>
    </w:rPr>
  </w:style>
  <w:style w:type="paragraph" w:customStyle="1" w:styleId="Char4CharCharCharCharCharCharCharCharCharCharCharCharCharCharCharChar1CharCharChar1CharCharChar">
    <w:name w:val="Char4 Char Char Char Char Char Char Char Char Char Char Char Char Char Char Char Char1 Char Char Char1 Char Char Char"/>
    <w:basedOn w:val="Normln"/>
    <w:rsid w:val="0038090F"/>
    <w:pPr>
      <w:spacing w:after="160" w:line="240" w:lineRule="exact"/>
    </w:pPr>
    <w:rPr>
      <w:rFonts w:ascii="Tahoma" w:hAnsi="Tahoma"/>
      <w:lang w:val="en-US" w:eastAsia="en-US"/>
    </w:rPr>
  </w:style>
  <w:style w:type="paragraph" w:customStyle="1" w:styleId="10aodst">
    <w:name w:val="10a_odst"/>
    <w:basedOn w:val="Normln"/>
    <w:next w:val="Normln"/>
    <w:link w:val="10aodstChar"/>
    <w:rsid w:val="00CA2183"/>
    <w:pPr>
      <w:jc w:val="both"/>
    </w:pPr>
    <w:rPr>
      <w:rFonts w:ascii="Arial" w:hAnsi="Arial"/>
      <w:kern w:val="32"/>
      <w:szCs w:val="16"/>
    </w:rPr>
  </w:style>
  <w:style w:type="paragraph" w:customStyle="1" w:styleId="17apozn">
    <w:name w:val="17a_pozn"/>
    <w:basedOn w:val="10aodst"/>
    <w:rsid w:val="00CA2183"/>
    <w:pPr>
      <w:pBdr>
        <w:top w:val="dashSmallGap" w:sz="4" w:space="3" w:color="C0C0C0"/>
        <w:bottom w:val="single" w:sz="6" w:space="2" w:color="C0C0C0"/>
      </w:pBdr>
      <w:spacing w:after="40"/>
    </w:pPr>
    <w:rPr>
      <w:rFonts w:cs="Arial"/>
      <w:i/>
      <w:iCs/>
      <w:color w:val="000080"/>
      <w:kern w:val="0"/>
      <w:sz w:val="16"/>
    </w:rPr>
  </w:style>
  <w:style w:type="paragraph" w:customStyle="1" w:styleId="16a8odst">
    <w:name w:val="16a8_odst"/>
    <w:basedOn w:val="10aodst"/>
    <w:link w:val="16a8odstChar"/>
    <w:rsid w:val="00CA2183"/>
    <w:pPr>
      <w:jc w:val="left"/>
    </w:pPr>
    <w:rPr>
      <w:kern w:val="0"/>
      <w:sz w:val="16"/>
      <w:szCs w:val="18"/>
    </w:rPr>
  </w:style>
  <w:style w:type="paragraph" w:customStyle="1" w:styleId="40aodr">
    <w:name w:val="40a_odr"/>
    <w:basedOn w:val="10aodst"/>
    <w:rsid w:val="00CA2183"/>
    <w:pPr>
      <w:numPr>
        <w:numId w:val="8"/>
      </w:numPr>
      <w:tabs>
        <w:tab w:val="left" w:pos="227"/>
        <w:tab w:val="num" w:pos="720"/>
      </w:tabs>
      <w:spacing w:before="20"/>
      <w:ind w:left="227" w:hanging="227"/>
    </w:pPr>
    <w:rPr>
      <w:kern w:val="0"/>
    </w:rPr>
  </w:style>
  <w:style w:type="character" w:customStyle="1" w:styleId="16a8odstChar">
    <w:name w:val="16a8_odst Char"/>
    <w:link w:val="16a8odst"/>
    <w:locked/>
    <w:rsid w:val="00CA2183"/>
    <w:rPr>
      <w:rFonts w:ascii="Arial" w:hAnsi="Arial"/>
      <w:sz w:val="16"/>
      <w:szCs w:val="18"/>
      <w:lang w:val="cs-CZ" w:eastAsia="cs-CZ" w:bidi="ar-SA"/>
    </w:rPr>
  </w:style>
  <w:style w:type="paragraph" w:customStyle="1" w:styleId="14aodst">
    <w:name w:val="14a_odst"/>
    <w:basedOn w:val="10aodst"/>
    <w:next w:val="10aodst"/>
    <w:rsid w:val="00CA2183"/>
    <w:pPr>
      <w:keepNext/>
      <w:keepLines/>
      <w:spacing w:before="120" w:after="80"/>
    </w:pPr>
    <w:rPr>
      <w:b/>
      <w:kern w:val="0"/>
    </w:rPr>
  </w:style>
  <w:style w:type="paragraph" w:customStyle="1" w:styleId="26aSeznam-20">
    <w:name w:val="26a_Seznam-20"/>
    <w:basedOn w:val="Normln"/>
    <w:rsid w:val="00CA2183"/>
    <w:pPr>
      <w:numPr>
        <w:numId w:val="7"/>
      </w:numPr>
      <w:jc w:val="both"/>
    </w:pPr>
    <w:rPr>
      <w:rFonts w:ascii="Arial" w:hAnsi="Arial"/>
      <w:szCs w:val="24"/>
    </w:rPr>
  </w:style>
  <w:style w:type="character" w:customStyle="1" w:styleId="10aodstChar">
    <w:name w:val="10a_odst Char"/>
    <w:link w:val="10aodst"/>
    <w:locked/>
    <w:rsid w:val="00CA2183"/>
    <w:rPr>
      <w:rFonts w:ascii="Arial" w:hAnsi="Arial"/>
      <w:kern w:val="32"/>
      <w:szCs w:val="16"/>
      <w:lang w:val="cs-CZ" w:eastAsia="cs-CZ" w:bidi="ar-SA"/>
    </w:rPr>
  </w:style>
  <w:style w:type="numbering" w:customStyle="1" w:styleId="45SeznamOdr1">
    <w:name w:val="45_Seznam_Odr1"/>
    <w:rsid w:val="00CA2183"/>
    <w:pPr>
      <w:numPr>
        <w:numId w:val="6"/>
      </w:numPr>
    </w:pPr>
  </w:style>
  <w:style w:type="paragraph" w:styleId="Normlnweb">
    <w:name w:val="Normal (Web)"/>
    <w:basedOn w:val="Normln"/>
    <w:uiPriority w:val="99"/>
    <w:rsid w:val="00973905"/>
    <w:pPr>
      <w:spacing w:before="100" w:beforeAutospacing="1" w:after="100" w:afterAutospacing="1"/>
    </w:pPr>
    <w:rPr>
      <w:sz w:val="24"/>
      <w:szCs w:val="24"/>
    </w:rPr>
  </w:style>
  <w:style w:type="character" w:customStyle="1" w:styleId="Nadpis6Char">
    <w:name w:val="Nadpis 6 Char"/>
    <w:link w:val="Nadpis6"/>
    <w:uiPriority w:val="9"/>
    <w:rsid w:val="000E2A36"/>
    <w:rPr>
      <w:rFonts w:ascii="Calibri" w:eastAsia="Times New Roman" w:hAnsi="Calibri" w:cs="Times New Roman"/>
      <w:b/>
      <w:bCs/>
      <w:sz w:val="22"/>
      <w:szCs w:val="22"/>
    </w:rPr>
  </w:style>
  <w:style w:type="paragraph" w:customStyle="1" w:styleId="CharChar">
    <w:name w:val="Char Char"/>
    <w:basedOn w:val="Normln"/>
    <w:rsid w:val="00140A4D"/>
    <w:pPr>
      <w:spacing w:after="160" w:line="240" w:lineRule="exact"/>
    </w:pPr>
    <w:rPr>
      <w:rFonts w:ascii="Tahoma" w:hAnsi="Tahoma"/>
      <w:lang w:val="en-US" w:eastAsia="en-US"/>
    </w:rPr>
  </w:style>
  <w:style w:type="character" w:customStyle="1" w:styleId="TextkomenteChar">
    <w:name w:val="Text komentáře Char"/>
    <w:basedOn w:val="Standardnpsmoodstavce"/>
    <w:link w:val="Textkomente"/>
    <w:uiPriority w:val="99"/>
    <w:rsid w:val="00E975E6"/>
  </w:style>
  <w:style w:type="paragraph" w:styleId="Revize">
    <w:name w:val="Revision"/>
    <w:hidden/>
    <w:uiPriority w:val="99"/>
    <w:semiHidden/>
    <w:rsid w:val="00E975E6"/>
  </w:style>
  <w:style w:type="paragraph" w:styleId="Odstavecseseznamem">
    <w:name w:val="List Paragraph"/>
    <w:basedOn w:val="Normln"/>
    <w:link w:val="OdstavecseseznamemChar"/>
    <w:uiPriority w:val="34"/>
    <w:qFormat/>
    <w:rsid w:val="00C04303"/>
    <w:pPr>
      <w:spacing w:after="200" w:line="276" w:lineRule="auto"/>
      <w:ind w:left="720"/>
      <w:contextualSpacing/>
    </w:pPr>
    <w:rPr>
      <w:rFonts w:ascii="Calibri" w:eastAsia="Calibri" w:hAnsi="Calibri"/>
      <w:sz w:val="22"/>
      <w:szCs w:val="22"/>
      <w:lang w:eastAsia="en-US"/>
    </w:rPr>
  </w:style>
  <w:style w:type="paragraph" w:styleId="Obsah4">
    <w:name w:val="toc 4"/>
    <w:basedOn w:val="Normln"/>
    <w:next w:val="Normln"/>
    <w:autoRedefine/>
    <w:uiPriority w:val="39"/>
    <w:unhideWhenUsed/>
    <w:rsid w:val="0046232C"/>
    <w:pPr>
      <w:spacing w:after="100" w:line="276" w:lineRule="auto"/>
      <w:ind w:left="660"/>
    </w:pPr>
    <w:rPr>
      <w:rFonts w:ascii="Calibri" w:hAnsi="Calibri"/>
      <w:sz w:val="22"/>
      <w:szCs w:val="22"/>
    </w:rPr>
  </w:style>
  <w:style w:type="paragraph" w:styleId="Obsah5">
    <w:name w:val="toc 5"/>
    <w:basedOn w:val="Normln"/>
    <w:next w:val="Normln"/>
    <w:autoRedefine/>
    <w:uiPriority w:val="39"/>
    <w:unhideWhenUsed/>
    <w:rsid w:val="0046232C"/>
    <w:pPr>
      <w:spacing w:after="100" w:line="276" w:lineRule="auto"/>
      <w:ind w:left="880"/>
    </w:pPr>
    <w:rPr>
      <w:rFonts w:ascii="Calibri" w:hAnsi="Calibri"/>
      <w:sz w:val="22"/>
      <w:szCs w:val="22"/>
    </w:rPr>
  </w:style>
  <w:style w:type="paragraph" w:styleId="Obsah6">
    <w:name w:val="toc 6"/>
    <w:basedOn w:val="Normln"/>
    <w:next w:val="Normln"/>
    <w:autoRedefine/>
    <w:uiPriority w:val="39"/>
    <w:unhideWhenUsed/>
    <w:rsid w:val="0046232C"/>
    <w:pPr>
      <w:spacing w:after="100" w:line="276" w:lineRule="auto"/>
      <w:ind w:left="1100"/>
    </w:pPr>
    <w:rPr>
      <w:rFonts w:ascii="Calibri" w:hAnsi="Calibri"/>
      <w:sz w:val="22"/>
      <w:szCs w:val="22"/>
    </w:rPr>
  </w:style>
  <w:style w:type="paragraph" w:styleId="Obsah7">
    <w:name w:val="toc 7"/>
    <w:basedOn w:val="Normln"/>
    <w:next w:val="Normln"/>
    <w:autoRedefine/>
    <w:uiPriority w:val="39"/>
    <w:unhideWhenUsed/>
    <w:rsid w:val="0046232C"/>
    <w:pPr>
      <w:spacing w:after="100" w:line="276" w:lineRule="auto"/>
      <w:ind w:left="1320"/>
    </w:pPr>
    <w:rPr>
      <w:rFonts w:ascii="Calibri" w:hAnsi="Calibri"/>
      <w:sz w:val="22"/>
      <w:szCs w:val="22"/>
    </w:rPr>
  </w:style>
  <w:style w:type="paragraph" w:styleId="Obsah8">
    <w:name w:val="toc 8"/>
    <w:basedOn w:val="Normln"/>
    <w:next w:val="Normln"/>
    <w:autoRedefine/>
    <w:uiPriority w:val="39"/>
    <w:unhideWhenUsed/>
    <w:rsid w:val="0046232C"/>
    <w:pPr>
      <w:spacing w:after="100" w:line="276" w:lineRule="auto"/>
      <w:ind w:left="1540"/>
    </w:pPr>
    <w:rPr>
      <w:rFonts w:ascii="Calibri" w:hAnsi="Calibri"/>
      <w:sz w:val="22"/>
      <w:szCs w:val="22"/>
    </w:rPr>
  </w:style>
  <w:style w:type="paragraph" w:styleId="Obsah9">
    <w:name w:val="toc 9"/>
    <w:basedOn w:val="Normln"/>
    <w:next w:val="Normln"/>
    <w:autoRedefine/>
    <w:uiPriority w:val="39"/>
    <w:unhideWhenUsed/>
    <w:rsid w:val="0046232C"/>
    <w:pPr>
      <w:spacing w:after="100" w:line="276" w:lineRule="auto"/>
      <w:ind w:left="1760"/>
    </w:pPr>
    <w:rPr>
      <w:rFonts w:ascii="Calibri" w:hAnsi="Calibri"/>
      <w:sz w:val="22"/>
      <w:szCs w:val="22"/>
    </w:rPr>
  </w:style>
  <w:style w:type="paragraph" w:customStyle="1" w:styleId="Default">
    <w:name w:val="Default"/>
    <w:rsid w:val="008C0987"/>
    <w:pPr>
      <w:autoSpaceDE w:val="0"/>
      <w:autoSpaceDN w:val="0"/>
      <w:adjustRightInd w:val="0"/>
    </w:pPr>
    <w:rPr>
      <w:rFonts w:ascii="Georgia" w:hAnsi="Georgia" w:cs="Georgia"/>
      <w:color w:val="000000"/>
      <w:sz w:val="24"/>
      <w:szCs w:val="24"/>
    </w:rPr>
  </w:style>
  <w:style w:type="paragraph" w:customStyle="1" w:styleId="Bntext">
    <w:name w:val="*Běžný text"/>
    <w:basedOn w:val="Normln"/>
    <w:uiPriority w:val="99"/>
    <w:rsid w:val="000574CE"/>
    <w:pPr>
      <w:spacing w:after="120"/>
      <w:jc w:val="both"/>
    </w:pPr>
    <w:rPr>
      <w:sz w:val="24"/>
    </w:rPr>
  </w:style>
  <w:style w:type="paragraph" w:customStyle="1" w:styleId="BodyText">
    <w:name w:val="_Body Text"/>
    <w:basedOn w:val="Normln"/>
    <w:qFormat/>
    <w:rsid w:val="000574CE"/>
    <w:pPr>
      <w:spacing w:after="280" w:line="288" w:lineRule="atLeast"/>
    </w:pPr>
    <w:rPr>
      <w:rFonts w:ascii="Arial" w:hAnsi="Arial"/>
      <w:color w:val="000000"/>
      <w:sz w:val="24"/>
      <w:szCs w:val="22"/>
      <w:lang w:val="en-GB" w:eastAsia="en-US"/>
    </w:rPr>
  </w:style>
  <w:style w:type="character" w:customStyle="1" w:styleId="TextbublinyChar">
    <w:name w:val="Text bubliny Char"/>
    <w:link w:val="Textbubliny"/>
    <w:uiPriority w:val="99"/>
    <w:semiHidden/>
    <w:rsid w:val="00912B46"/>
    <w:rPr>
      <w:rFonts w:ascii="Tahoma" w:hAnsi="Tahoma" w:cs="Tahoma"/>
      <w:sz w:val="16"/>
      <w:szCs w:val="16"/>
    </w:rPr>
  </w:style>
  <w:style w:type="paragraph" w:styleId="Bezmezer">
    <w:name w:val="No Spacing"/>
    <w:link w:val="BezmezerChar"/>
    <w:uiPriority w:val="1"/>
    <w:qFormat/>
    <w:rsid w:val="00912B46"/>
    <w:rPr>
      <w:rFonts w:ascii="Calibri" w:hAnsi="Calibri"/>
      <w:sz w:val="22"/>
      <w:szCs w:val="22"/>
      <w:lang w:eastAsia="en-US"/>
    </w:rPr>
  </w:style>
  <w:style w:type="character" w:customStyle="1" w:styleId="BezmezerChar">
    <w:name w:val="Bez mezer Char"/>
    <w:link w:val="Bezmezer"/>
    <w:uiPriority w:val="1"/>
    <w:rsid w:val="00912B46"/>
    <w:rPr>
      <w:rFonts w:ascii="Calibri" w:hAnsi="Calibri"/>
      <w:sz w:val="22"/>
      <w:szCs w:val="22"/>
      <w:lang w:val="cs-CZ" w:eastAsia="en-US" w:bidi="ar-SA"/>
    </w:rPr>
  </w:style>
  <w:style w:type="paragraph" w:customStyle="1" w:styleId="CharChar0">
    <w:name w:val="Char Char"/>
    <w:basedOn w:val="Normln"/>
    <w:rsid w:val="002F2C3F"/>
    <w:pPr>
      <w:spacing w:after="160" w:line="240" w:lineRule="exact"/>
    </w:pPr>
    <w:rPr>
      <w:rFonts w:ascii="Tahoma" w:hAnsi="Tahoma"/>
      <w:lang w:val="en-US" w:eastAsia="en-US"/>
    </w:rPr>
  </w:style>
  <w:style w:type="character" w:customStyle="1" w:styleId="PedmtkomenteChar">
    <w:name w:val="Předmět komentáře Char"/>
    <w:link w:val="Pedmtkomente"/>
    <w:uiPriority w:val="99"/>
    <w:semiHidden/>
    <w:rsid w:val="002F2C3F"/>
    <w:rPr>
      <w:b/>
      <w:bCs/>
    </w:rPr>
  </w:style>
  <w:style w:type="character" w:customStyle="1" w:styleId="Nadpis3Char">
    <w:name w:val="Nadpis 3 Char"/>
    <w:link w:val="Nadpis3"/>
    <w:rsid w:val="0048588A"/>
    <w:rPr>
      <w:rFonts w:ascii="Arial" w:hAnsi="Arial" w:cs="Arial"/>
      <w:b/>
      <w:bCs/>
      <w:color w:val="0070C0"/>
      <w:sz w:val="26"/>
      <w:szCs w:val="26"/>
    </w:rPr>
  </w:style>
  <w:style w:type="character" w:customStyle="1" w:styleId="ZhlavChar">
    <w:name w:val="Záhlaví Char"/>
    <w:basedOn w:val="Standardnpsmoodstavce"/>
    <w:link w:val="Zhlav"/>
    <w:uiPriority w:val="99"/>
    <w:rsid w:val="004E68AC"/>
  </w:style>
  <w:style w:type="character" w:customStyle="1" w:styleId="ZpatChar">
    <w:name w:val="Zápatí Char"/>
    <w:basedOn w:val="Standardnpsmoodstavce"/>
    <w:link w:val="Zpat"/>
    <w:uiPriority w:val="99"/>
    <w:rsid w:val="004E68AC"/>
  </w:style>
  <w:style w:type="character" w:customStyle="1" w:styleId="ZkladntextChar">
    <w:name w:val="Základní text Char"/>
    <w:basedOn w:val="Standardnpsmoodstavce"/>
    <w:link w:val="Zkladntext"/>
    <w:rsid w:val="004E68AC"/>
  </w:style>
  <w:style w:type="character" w:customStyle="1" w:styleId="Zkladntext-prvnodsazenChar">
    <w:name w:val="Základní text - první odsazený Char"/>
    <w:basedOn w:val="ZkladntextChar"/>
    <w:link w:val="Zkladntext-prvnodsazen"/>
    <w:rsid w:val="004E68AC"/>
  </w:style>
  <w:style w:type="character" w:customStyle="1" w:styleId="RozloendokumentuChar">
    <w:name w:val="Rozložení dokumentu Char"/>
    <w:link w:val="Rozloendokumentu"/>
    <w:semiHidden/>
    <w:rsid w:val="004E68AC"/>
    <w:rPr>
      <w:rFonts w:ascii="Tahoma" w:hAnsi="Tahoma" w:cs="Tahoma"/>
      <w:shd w:val="clear" w:color="auto" w:fill="000080"/>
    </w:rPr>
  </w:style>
  <w:style w:type="paragraph" w:customStyle="1" w:styleId="msolistparagraph0">
    <w:name w:val="msolistparagraph"/>
    <w:basedOn w:val="Normln"/>
    <w:rsid w:val="00F241B2"/>
    <w:pPr>
      <w:ind w:left="720"/>
      <w:contextualSpacing/>
    </w:pPr>
  </w:style>
  <w:style w:type="paragraph" w:customStyle="1" w:styleId="texty">
    <w:name w:val="texty"/>
    <w:basedOn w:val="Normln"/>
    <w:rsid w:val="00BA5D77"/>
    <w:pPr>
      <w:spacing w:before="68" w:after="177"/>
      <w:jc w:val="both"/>
    </w:pPr>
    <w:rPr>
      <w:sz w:val="18"/>
      <w:szCs w:val="18"/>
    </w:rPr>
  </w:style>
  <w:style w:type="paragraph" w:styleId="Textvysvtlivek">
    <w:name w:val="endnote text"/>
    <w:basedOn w:val="Normln"/>
    <w:link w:val="TextvysvtlivekChar"/>
    <w:uiPriority w:val="99"/>
    <w:semiHidden/>
    <w:unhideWhenUsed/>
    <w:rsid w:val="00F37871"/>
    <w:rPr>
      <w:rFonts w:eastAsia="Calibri"/>
      <w:lang w:eastAsia="en-US"/>
    </w:rPr>
  </w:style>
  <w:style w:type="character" w:customStyle="1" w:styleId="TextvysvtlivekChar">
    <w:name w:val="Text vysvětlivek Char"/>
    <w:link w:val="Textvysvtlivek"/>
    <w:uiPriority w:val="99"/>
    <w:semiHidden/>
    <w:rsid w:val="00F37871"/>
    <w:rPr>
      <w:rFonts w:eastAsia="Calibri" w:cs="Times New Roman"/>
      <w:lang w:eastAsia="en-US"/>
    </w:rPr>
  </w:style>
  <w:style w:type="character" w:styleId="Odkaznavysvtlivky">
    <w:name w:val="endnote reference"/>
    <w:uiPriority w:val="99"/>
    <w:semiHidden/>
    <w:unhideWhenUsed/>
    <w:rsid w:val="00F37871"/>
    <w:rPr>
      <w:vertAlign w:val="superscript"/>
    </w:rPr>
  </w:style>
  <w:style w:type="paragraph" w:customStyle="1" w:styleId="Text">
    <w:name w:val="Text"/>
    <w:basedOn w:val="Normln"/>
    <w:rsid w:val="00547AE3"/>
    <w:rPr>
      <w:rFonts w:cs="Arial"/>
      <w:sz w:val="24"/>
      <w:szCs w:val="24"/>
    </w:rPr>
  </w:style>
  <w:style w:type="character" w:styleId="Siln">
    <w:name w:val="Strong"/>
    <w:uiPriority w:val="22"/>
    <w:qFormat/>
    <w:rsid w:val="005F015F"/>
    <w:rPr>
      <w:b/>
      <w:bCs/>
    </w:rPr>
  </w:style>
  <w:style w:type="paragraph" w:customStyle="1" w:styleId="Graf">
    <w:name w:val="Graf"/>
    <w:basedOn w:val="Normln"/>
    <w:next w:val="Normln"/>
    <w:qFormat/>
    <w:rsid w:val="00EA09CF"/>
    <w:pPr>
      <w:numPr>
        <w:numId w:val="9"/>
      </w:numPr>
      <w:jc w:val="center"/>
    </w:pPr>
    <w:rPr>
      <w:b/>
      <w:szCs w:val="22"/>
    </w:rPr>
  </w:style>
  <w:style w:type="paragraph" w:customStyle="1" w:styleId="Tabulkanzev">
    <w:name w:val="Tabulka název"/>
    <w:basedOn w:val="Normln"/>
    <w:next w:val="Normln"/>
    <w:qFormat/>
    <w:rsid w:val="00EC1C99"/>
    <w:pPr>
      <w:numPr>
        <w:numId w:val="10"/>
      </w:numPr>
      <w:ind w:left="0"/>
      <w:jc w:val="center"/>
    </w:pPr>
    <w:rPr>
      <w:b/>
    </w:rPr>
  </w:style>
  <w:style w:type="paragraph" w:customStyle="1" w:styleId="tabulka">
    <w:name w:val="tabulka"/>
    <w:basedOn w:val="Normln"/>
    <w:next w:val="Normln"/>
    <w:qFormat/>
    <w:rsid w:val="00DA0457"/>
    <w:pPr>
      <w:keepNext/>
      <w:numPr>
        <w:numId w:val="11"/>
      </w:numPr>
    </w:pPr>
    <w:rPr>
      <w:b/>
      <w:szCs w:val="24"/>
    </w:rPr>
  </w:style>
  <w:style w:type="paragraph" w:customStyle="1" w:styleId="perex">
    <w:name w:val="perex"/>
    <w:basedOn w:val="Normln"/>
    <w:rsid w:val="002A0C7C"/>
    <w:pPr>
      <w:spacing w:before="100" w:beforeAutospacing="1" w:after="100" w:afterAutospacing="1"/>
    </w:pPr>
    <w:rPr>
      <w:sz w:val="24"/>
      <w:szCs w:val="24"/>
    </w:rPr>
  </w:style>
  <w:style w:type="character" w:customStyle="1" w:styleId="Texttabulka">
    <w:name w:val="Text tabulka"/>
    <w:rsid w:val="004E1AA7"/>
    <w:rPr>
      <w:rFonts w:ascii="Arial" w:hAnsi="Arial"/>
    </w:rPr>
  </w:style>
  <w:style w:type="paragraph" w:customStyle="1" w:styleId="Standard0">
    <w:name w:val="Standard"/>
    <w:rsid w:val="003507B9"/>
    <w:pPr>
      <w:widowControl w:val="0"/>
      <w:suppressAutoHyphens/>
      <w:autoSpaceDN w:val="0"/>
      <w:textAlignment w:val="baseline"/>
    </w:pPr>
    <w:rPr>
      <w:rFonts w:ascii="Calibri" w:eastAsia="Lucida Sans Unicode" w:hAnsi="Calibri" w:cs="Tahoma"/>
      <w:color w:val="000000"/>
      <w:kern w:val="3"/>
      <w:sz w:val="24"/>
      <w:szCs w:val="24"/>
      <w:lang w:val="en-US" w:eastAsia="en-US" w:bidi="en-US"/>
    </w:rPr>
  </w:style>
  <w:style w:type="character" w:customStyle="1" w:styleId="slovnik">
    <w:name w:val="slovnik"/>
    <w:rsid w:val="00B7625F"/>
  </w:style>
  <w:style w:type="character" w:customStyle="1" w:styleId="ListParagraphChar">
    <w:name w:val="List Paragraph Char"/>
    <w:link w:val="Odstavecseseznamem1"/>
    <w:uiPriority w:val="99"/>
    <w:rsid w:val="00B7625F"/>
    <w:rPr>
      <w:rFonts w:ascii="Calibri" w:hAnsi="Calibri" w:cs="Calibri"/>
      <w:sz w:val="22"/>
      <w:szCs w:val="22"/>
      <w:lang w:eastAsia="en-US"/>
    </w:rPr>
  </w:style>
  <w:style w:type="paragraph" w:styleId="Zkladntext3">
    <w:name w:val="Body Text 3"/>
    <w:basedOn w:val="Normln"/>
    <w:link w:val="Zkladntext3Char"/>
    <w:semiHidden/>
    <w:unhideWhenUsed/>
    <w:rsid w:val="0047322E"/>
    <w:pPr>
      <w:spacing w:after="120"/>
    </w:pPr>
    <w:rPr>
      <w:sz w:val="16"/>
      <w:szCs w:val="16"/>
    </w:rPr>
  </w:style>
  <w:style w:type="character" w:customStyle="1" w:styleId="Zkladntext3Char">
    <w:name w:val="Základní text 3 Char"/>
    <w:basedOn w:val="Standardnpsmoodstavce"/>
    <w:link w:val="Zkladntext3"/>
    <w:semiHidden/>
    <w:rsid w:val="0047322E"/>
    <w:rPr>
      <w:sz w:val="16"/>
      <w:szCs w:val="16"/>
    </w:rPr>
  </w:style>
  <w:style w:type="character" w:customStyle="1" w:styleId="error">
    <w:name w:val="error"/>
    <w:basedOn w:val="Standardnpsmoodstavce"/>
    <w:rsid w:val="00E2526A"/>
  </w:style>
  <w:style w:type="character" w:customStyle="1" w:styleId="akcezoznamtext2">
    <w:name w:val="akcezoznamtext2"/>
    <w:basedOn w:val="Standardnpsmoodstavce"/>
    <w:rsid w:val="004B2381"/>
    <w:rPr>
      <w:b/>
      <w:bCs/>
      <w:vanish w:val="0"/>
      <w:webHidden w:val="0"/>
      <w:specVanish w:val="0"/>
    </w:rPr>
  </w:style>
  <w:style w:type="character" w:customStyle="1" w:styleId="integra-normalniChar">
    <w:name w:val="integra - normalni Char"/>
    <w:link w:val="integra-normalni"/>
    <w:locked/>
    <w:rsid w:val="00BA2B21"/>
    <w:rPr>
      <w:rFonts w:ascii="Corbel" w:hAnsi="Corbel"/>
    </w:rPr>
  </w:style>
  <w:style w:type="paragraph" w:customStyle="1" w:styleId="integra-normalni">
    <w:name w:val="integra - normalni"/>
    <w:basedOn w:val="Normln"/>
    <w:link w:val="integra-normalniChar"/>
    <w:rsid w:val="00BA2B21"/>
    <w:pPr>
      <w:overflowPunct w:val="0"/>
      <w:autoSpaceDE w:val="0"/>
      <w:autoSpaceDN w:val="0"/>
      <w:adjustRightInd w:val="0"/>
      <w:spacing w:after="120" w:line="264" w:lineRule="auto"/>
      <w:jc w:val="both"/>
    </w:pPr>
    <w:rPr>
      <w:rFonts w:ascii="Corbel" w:hAnsi="Corbel"/>
    </w:rPr>
  </w:style>
  <w:style w:type="paragraph" w:customStyle="1" w:styleId="Popisky">
    <w:name w:val="Popisky"/>
    <w:basedOn w:val="Normln"/>
    <w:rsid w:val="00AB457A"/>
    <w:rPr>
      <w:rFonts w:ascii="Arial" w:eastAsiaTheme="minorHAnsi" w:hAnsi="Arial" w:cs="Arial"/>
    </w:rPr>
  </w:style>
  <w:style w:type="paragraph" w:customStyle="1" w:styleId="TabulkaNOK-poznmka">
    <w:name w:val="Tabulka NOK - poznámka"/>
    <w:basedOn w:val="Normln"/>
    <w:rsid w:val="007804EE"/>
    <w:pPr>
      <w:ind w:left="142" w:hanging="142"/>
      <w:jc w:val="both"/>
    </w:pPr>
    <w:rPr>
      <w:rFonts w:eastAsiaTheme="minorHAnsi"/>
      <w:sz w:val="18"/>
      <w:szCs w:val="18"/>
    </w:rPr>
  </w:style>
  <w:style w:type="paragraph" w:customStyle="1" w:styleId="text0">
    <w:name w:val="* text"/>
    <w:basedOn w:val="Normln"/>
    <w:link w:val="textChar"/>
    <w:rsid w:val="00BE334C"/>
    <w:pPr>
      <w:spacing w:before="120" w:after="120"/>
      <w:jc w:val="both"/>
    </w:pPr>
    <w:rPr>
      <w:rFonts w:ascii="Century Gothic" w:hAnsi="Century Gothic"/>
      <w:sz w:val="22"/>
      <w:szCs w:val="24"/>
    </w:rPr>
  </w:style>
  <w:style w:type="character" w:customStyle="1" w:styleId="textChar">
    <w:name w:val="* text Char"/>
    <w:link w:val="text0"/>
    <w:rsid w:val="00BE334C"/>
    <w:rPr>
      <w:rFonts w:ascii="Century Gothic" w:hAnsi="Century Gothic"/>
      <w:sz w:val="22"/>
      <w:szCs w:val="24"/>
    </w:rPr>
  </w:style>
  <w:style w:type="character" w:customStyle="1" w:styleId="OdstavecseseznamemChar">
    <w:name w:val="Odstavec se seznamem Char"/>
    <w:basedOn w:val="Standardnpsmoodstavce"/>
    <w:link w:val="Odstavecseseznamem"/>
    <w:uiPriority w:val="34"/>
    <w:locked/>
    <w:rsid w:val="0047784B"/>
    <w:rPr>
      <w:rFonts w:ascii="Calibri" w:eastAsia="Calibri" w:hAnsi="Calibri"/>
      <w:sz w:val="22"/>
      <w:szCs w:val="22"/>
      <w:lang w:eastAsia="en-US"/>
    </w:rPr>
  </w:style>
  <w:style w:type="character" w:customStyle="1" w:styleId="TitulekChar">
    <w:name w:val="Titulek Char"/>
    <w:basedOn w:val="Standardnpsmoodstavce"/>
    <w:link w:val="Titulek"/>
    <w:uiPriority w:val="35"/>
    <w:locked/>
    <w:rsid w:val="00D23939"/>
    <w:rPr>
      <w:rFonts w:ascii="Arial" w:hAnsi="Arial" w:cs="Arial"/>
      <w:b/>
      <w:bCs/>
      <w:smallCaps/>
    </w:rPr>
  </w:style>
  <w:style w:type="paragraph" w:customStyle="1" w:styleId="Char4CharCharCharCharCharCharCharCharCharCharCharCharCharCharCharCharCharCharCharCharCharCharCharCharCharCharCharChar">
    <w:name w:val="Char4 Char Char Char Char Char Char Char Char Char Char Char Char Char Char Char Char Char Char Char Char Char Char Char Char Char Char Char Char"/>
    <w:basedOn w:val="Normln"/>
    <w:rsid w:val="00A74ABA"/>
    <w:pPr>
      <w:spacing w:after="160" w:line="240" w:lineRule="exact"/>
    </w:pPr>
    <w:rPr>
      <w:rFonts w:ascii="Times New Roman Bold" w:hAnsi="Times New Roman Bold"/>
      <w:sz w:val="22"/>
      <w:szCs w:val="26"/>
      <w:lang w:val="sk-SK" w:eastAsia="en-US"/>
    </w:rPr>
  </w:style>
  <w:style w:type="paragraph" w:customStyle="1" w:styleId="textPDIOP">
    <w:name w:val="textPD IOP"/>
    <w:basedOn w:val="Normln"/>
    <w:qFormat/>
    <w:rsid w:val="00FE6182"/>
    <w:pPr>
      <w:spacing w:after="240" w:line="312" w:lineRule="auto"/>
      <w:jc w:val="both"/>
    </w:pPr>
    <w:rPr>
      <w:rFonts w:ascii="Arial" w:hAnsi="Arial" w:cs="Arial"/>
      <w:lang w:eastAsia="en-US" w:bidi="en-US"/>
    </w:rPr>
  </w:style>
  <w:style w:type="character" w:customStyle="1" w:styleId="Styl1-IChar">
    <w:name w:val="Styl1 - I. Char"/>
    <w:link w:val="Styl1-I"/>
    <w:locked/>
    <w:rsid w:val="00B7711B"/>
    <w:rPr>
      <w:rFonts w:ascii="Arial" w:hAnsi="Arial" w:cs="Arial"/>
    </w:rPr>
  </w:style>
  <w:style w:type="paragraph" w:customStyle="1" w:styleId="Styl1-I">
    <w:name w:val="Styl1 - I."/>
    <w:basedOn w:val="Normln"/>
    <w:link w:val="Styl1-IChar"/>
    <w:qFormat/>
    <w:rsid w:val="00B7711B"/>
    <w:pPr>
      <w:numPr>
        <w:numId w:val="41"/>
      </w:numPr>
      <w:overflowPunct w:val="0"/>
      <w:autoSpaceDE w:val="0"/>
      <w:autoSpaceDN w:val="0"/>
      <w:adjustRightInd w:val="0"/>
      <w:spacing w:before="120" w:after="240"/>
      <w:ind w:left="357" w:hanging="357"/>
      <w:jc w:val="both"/>
    </w:pPr>
    <w:rPr>
      <w:rFonts w:ascii="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semiHidden="0" w:uiPriority="35" w:unhideWhenUsed="0" w:qFormat="1"/>
    <w:lsdException w:name="page number" w:uiPriority="0"/>
    <w:lsdException w:name="Lis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First Indent" w:uiPriority="0"/>
    <w:lsdException w:name="Body Tex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61CC9"/>
  </w:style>
  <w:style w:type="paragraph" w:styleId="Nadpis1">
    <w:name w:val="heading 1"/>
    <w:aliases w:val="Kapitola,Kapitola1,Kapitola2,Kapitola3,Kapitola4,Kapitola5,Kapitola11,Kapitola21,Kapitola31,Kapitola41,Kapitola6,Kapitola12,Kapitola22,Kapitola32,Kapitola42,Kapitola51,Kapitola111,Kapitola211,Kapitola311,Kapitola411,Kapitola7,Kapitola8,h1,F8,H1"/>
    <w:basedOn w:val="Normln"/>
    <w:next w:val="Normln"/>
    <w:link w:val="Nadpis1Char1"/>
    <w:qFormat/>
    <w:rsid w:val="0048588A"/>
    <w:pPr>
      <w:keepNext/>
      <w:jc w:val="both"/>
      <w:outlineLvl w:val="0"/>
    </w:pPr>
    <w:rPr>
      <w:b/>
      <w:bCs/>
      <w:smallCaps/>
      <w:color w:val="1F497D"/>
      <w:sz w:val="24"/>
      <w:szCs w:val="24"/>
    </w:rPr>
  </w:style>
  <w:style w:type="paragraph" w:styleId="Nadpis2">
    <w:name w:val="heading 2"/>
    <w:basedOn w:val="Normln"/>
    <w:next w:val="Normln"/>
    <w:link w:val="Nadpis2Char"/>
    <w:qFormat/>
    <w:rsid w:val="002C591A"/>
    <w:pPr>
      <w:keepNext/>
      <w:spacing w:before="240" w:after="60"/>
      <w:outlineLvl w:val="1"/>
    </w:pPr>
    <w:rPr>
      <w:rFonts w:ascii="Arial" w:hAnsi="Arial"/>
      <w:b/>
      <w:bCs/>
      <w:i/>
      <w:iCs/>
      <w:color w:val="0070C0"/>
      <w:sz w:val="28"/>
      <w:szCs w:val="28"/>
    </w:rPr>
  </w:style>
  <w:style w:type="paragraph" w:styleId="Nadpis3">
    <w:name w:val="heading 3"/>
    <w:basedOn w:val="Normln"/>
    <w:next w:val="Normln"/>
    <w:link w:val="Nadpis3Char"/>
    <w:qFormat/>
    <w:rsid w:val="0048588A"/>
    <w:pPr>
      <w:keepNext/>
      <w:spacing w:before="240" w:after="60"/>
      <w:outlineLvl w:val="2"/>
    </w:pPr>
    <w:rPr>
      <w:rFonts w:ascii="Arial" w:hAnsi="Arial"/>
      <w:b/>
      <w:bCs/>
      <w:color w:val="0070C0"/>
      <w:sz w:val="26"/>
      <w:szCs w:val="26"/>
    </w:rPr>
  </w:style>
  <w:style w:type="paragraph" w:styleId="Nadpis6">
    <w:name w:val="heading 6"/>
    <w:basedOn w:val="Normln"/>
    <w:next w:val="Normln"/>
    <w:link w:val="Nadpis6Char"/>
    <w:uiPriority w:val="9"/>
    <w:qFormat/>
    <w:rsid w:val="000E2A36"/>
    <w:pPr>
      <w:spacing w:before="240" w:after="60"/>
      <w:outlineLvl w:val="5"/>
    </w:pPr>
    <w:rPr>
      <w:rFonts w:ascii="Calibri" w:hAnsi="Calibri"/>
      <w:b/>
      <w:bCs/>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1">
    <w:name w:val="Nadpis 1 Char1"/>
    <w:aliases w:val="Kapitola Char,Kapitola1 Char,Kapitola2 Char,Kapitola3 Char,Kapitola4 Char,Kapitola5 Char,Kapitola11 Char,Kapitola21 Char,Kapitola31 Char,Kapitola41 Char,Kapitola6 Char,Kapitola12 Char,Kapitola22 Char,Kapitola32 Char,Kapitola42 Char"/>
    <w:link w:val="Nadpis1"/>
    <w:rsid w:val="0048588A"/>
    <w:rPr>
      <w:b/>
      <w:bCs/>
      <w:smallCaps/>
      <w:color w:val="1F497D"/>
      <w:sz w:val="24"/>
      <w:szCs w:val="24"/>
    </w:rPr>
  </w:style>
  <w:style w:type="paragraph" w:customStyle="1" w:styleId="CharChar4">
    <w:name w:val="Char Char4"/>
    <w:basedOn w:val="Normln"/>
    <w:rsid w:val="0038090F"/>
    <w:pPr>
      <w:spacing w:after="160" w:line="240" w:lineRule="exact"/>
    </w:pPr>
    <w:rPr>
      <w:rFonts w:ascii="Tahoma" w:hAnsi="Tahoma"/>
      <w:lang w:val="en-US" w:eastAsia="en-US"/>
    </w:rPr>
  </w:style>
  <w:style w:type="character" w:customStyle="1" w:styleId="Nadpis2Char">
    <w:name w:val="Nadpis 2 Char"/>
    <w:link w:val="Nadpis2"/>
    <w:rsid w:val="002C591A"/>
    <w:rPr>
      <w:rFonts w:ascii="Arial" w:hAnsi="Arial" w:cs="Arial"/>
      <w:b/>
      <w:bCs/>
      <w:i/>
      <w:iCs/>
      <w:color w:val="0070C0"/>
      <w:sz w:val="28"/>
      <w:szCs w:val="28"/>
    </w:rPr>
  </w:style>
  <w:style w:type="table" w:styleId="Mkatabulky">
    <w:name w:val="Table Grid"/>
    <w:basedOn w:val="Normlntabulka"/>
    <w:uiPriority w:val="59"/>
    <w:rsid w:val="003809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rsid w:val="0038090F"/>
    <w:rPr>
      <w:rFonts w:ascii="Tahoma" w:hAnsi="Tahoma"/>
      <w:sz w:val="16"/>
      <w:szCs w:val="16"/>
    </w:rPr>
  </w:style>
  <w:style w:type="character" w:customStyle="1" w:styleId="Styl12b">
    <w:name w:val="Styl 12 b."/>
    <w:rsid w:val="0038090F"/>
    <w:rPr>
      <w:smallCaps/>
      <w:sz w:val="24"/>
      <w:szCs w:val="24"/>
    </w:rPr>
  </w:style>
  <w:style w:type="character" w:styleId="Odkaznakoment">
    <w:name w:val="annotation reference"/>
    <w:uiPriority w:val="99"/>
    <w:semiHidden/>
    <w:rsid w:val="0038090F"/>
    <w:rPr>
      <w:sz w:val="16"/>
      <w:szCs w:val="16"/>
    </w:rPr>
  </w:style>
  <w:style w:type="paragraph" w:styleId="Textkomente">
    <w:name w:val="annotation text"/>
    <w:basedOn w:val="Normln"/>
    <w:link w:val="TextkomenteChar"/>
    <w:uiPriority w:val="99"/>
    <w:rsid w:val="0038090F"/>
  </w:style>
  <w:style w:type="paragraph" w:customStyle="1" w:styleId="CharChar1">
    <w:name w:val="Char Char1"/>
    <w:basedOn w:val="Normln"/>
    <w:rsid w:val="0038090F"/>
    <w:pPr>
      <w:spacing w:after="160" w:line="240" w:lineRule="exact"/>
    </w:pPr>
    <w:rPr>
      <w:rFonts w:ascii="Times New Roman Bold" w:hAnsi="Times New Roman Bold"/>
      <w:b/>
      <w:sz w:val="26"/>
      <w:szCs w:val="26"/>
      <w:lang w:val="sk-SK" w:eastAsia="en-US"/>
    </w:rPr>
  </w:style>
  <w:style w:type="character" w:styleId="Znakapoznpodarou">
    <w:name w:val="footnote reference"/>
    <w:aliases w:val="PGI Fußnote Ziffer"/>
    <w:uiPriority w:val="99"/>
    <w:rsid w:val="0038090F"/>
    <w:rPr>
      <w:vertAlign w:val="superscript"/>
    </w:rPr>
  </w:style>
  <w:style w:type="paragraph" w:styleId="Textpoznpodarou">
    <w:name w:val="footnote text"/>
    <w:aliases w:val="Schriftart: 9 pt,Schriftart: 10 pt,Schriftart: 8 pt,pozn. pod čarou,Text pozn. pod čarou Char,Text poznámky pod čiarou 007,Fußnotentextf,Geneva 9,Font: Geneva 9,Boston 10,f,Podrozdział,Footnote,Podrozdzia3,Footnote text,Char1,Char,o"/>
    <w:basedOn w:val="Normln"/>
    <w:link w:val="TextpoznpodarouChar1"/>
    <w:uiPriority w:val="99"/>
    <w:qFormat/>
    <w:rsid w:val="0038090F"/>
  </w:style>
  <w:style w:type="character" w:customStyle="1" w:styleId="TextpoznpodarouChar1">
    <w:name w:val="Text pozn. pod čarou Char1"/>
    <w:aliases w:val="Schriftart: 9 pt Char,Schriftart: 10 pt Char,Schriftart: 8 pt Char,pozn. pod čarou Char,Text pozn. pod čarou Char Char,Text poznámky pod čiarou 007 Char,Fußnotentextf Char,Geneva 9 Char,Font: Geneva 9 Char,Boston 10 Char"/>
    <w:link w:val="Textpoznpodarou"/>
    <w:uiPriority w:val="99"/>
    <w:semiHidden/>
    <w:rsid w:val="0038090F"/>
    <w:rPr>
      <w:lang w:val="cs-CZ" w:eastAsia="cs-CZ" w:bidi="ar-SA"/>
    </w:rPr>
  </w:style>
  <w:style w:type="character" w:styleId="Hypertextovodkaz">
    <w:name w:val="Hyperlink"/>
    <w:uiPriority w:val="99"/>
    <w:rsid w:val="0038090F"/>
    <w:rPr>
      <w:color w:val="0000FF"/>
      <w:u w:val="single"/>
    </w:rPr>
  </w:style>
  <w:style w:type="paragraph" w:customStyle="1" w:styleId="CharChar2">
    <w:name w:val="Char Char2"/>
    <w:basedOn w:val="Normln"/>
    <w:rsid w:val="0038090F"/>
    <w:pPr>
      <w:spacing w:after="160" w:line="240" w:lineRule="exact"/>
    </w:pPr>
    <w:rPr>
      <w:rFonts w:ascii="Times New Roman Bold" w:hAnsi="Times New Roman Bold"/>
      <w:b/>
      <w:sz w:val="26"/>
      <w:szCs w:val="26"/>
      <w:lang w:val="sk-SK" w:eastAsia="en-US"/>
    </w:rPr>
  </w:style>
  <w:style w:type="paragraph" w:customStyle="1" w:styleId="TextNOK">
    <w:name w:val="Text NOK"/>
    <w:basedOn w:val="Normln"/>
    <w:link w:val="TextNOKChar"/>
    <w:rsid w:val="0038090F"/>
    <w:pPr>
      <w:spacing w:line="312" w:lineRule="auto"/>
      <w:jc w:val="both"/>
    </w:pPr>
    <w:rPr>
      <w:sz w:val="22"/>
      <w:szCs w:val="24"/>
    </w:rPr>
  </w:style>
  <w:style w:type="character" w:customStyle="1" w:styleId="TextNOKChar">
    <w:name w:val="Text NOK Char"/>
    <w:link w:val="TextNOK"/>
    <w:rsid w:val="0038090F"/>
    <w:rPr>
      <w:sz w:val="22"/>
      <w:szCs w:val="24"/>
      <w:lang w:val="cs-CZ" w:eastAsia="cs-CZ" w:bidi="ar-SA"/>
    </w:rPr>
  </w:style>
  <w:style w:type="paragraph" w:styleId="Pedmtkomente">
    <w:name w:val="annotation subject"/>
    <w:basedOn w:val="Textkomente"/>
    <w:next w:val="Textkomente"/>
    <w:link w:val="PedmtkomenteChar"/>
    <w:uiPriority w:val="99"/>
    <w:semiHidden/>
    <w:rsid w:val="0038090F"/>
    <w:rPr>
      <w:b/>
      <w:bCs/>
    </w:rPr>
  </w:style>
  <w:style w:type="paragraph" w:styleId="Zhlav">
    <w:name w:val="header"/>
    <w:basedOn w:val="Normln"/>
    <w:link w:val="ZhlavChar"/>
    <w:uiPriority w:val="99"/>
    <w:rsid w:val="0038090F"/>
    <w:pPr>
      <w:tabs>
        <w:tab w:val="center" w:pos="4536"/>
        <w:tab w:val="right" w:pos="9072"/>
      </w:tabs>
    </w:pPr>
  </w:style>
  <w:style w:type="paragraph" w:styleId="Zpat">
    <w:name w:val="footer"/>
    <w:basedOn w:val="Normln"/>
    <w:link w:val="ZpatChar"/>
    <w:uiPriority w:val="99"/>
    <w:rsid w:val="0038090F"/>
    <w:pPr>
      <w:tabs>
        <w:tab w:val="center" w:pos="4536"/>
        <w:tab w:val="right" w:pos="9072"/>
      </w:tabs>
    </w:pPr>
  </w:style>
  <w:style w:type="character" w:styleId="slostrnky">
    <w:name w:val="page number"/>
    <w:basedOn w:val="Standardnpsmoodstavce"/>
    <w:rsid w:val="0038090F"/>
  </w:style>
  <w:style w:type="paragraph" w:customStyle="1" w:styleId="CharChar2CharCharCharCharChar1CharCharCharCharCharChar">
    <w:name w:val="Char Char2 Char Char Char Char Char1 Char Char Char Char Char Char"/>
    <w:basedOn w:val="Normln"/>
    <w:rsid w:val="0038090F"/>
    <w:pPr>
      <w:spacing w:after="160" w:line="240" w:lineRule="exact"/>
    </w:pPr>
    <w:rPr>
      <w:rFonts w:ascii="Times New Roman Bold" w:hAnsi="Times New Roman Bold"/>
      <w:b/>
      <w:sz w:val="26"/>
      <w:szCs w:val="26"/>
      <w:lang w:val="sk-SK" w:eastAsia="en-US"/>
    </w:rPr>
  </w:style>
  <w:style w:type="paragraph" w:customStyle="1" w:styleId="CharCharCharCharChar">
    <w:name w:val="Char Char Char Char Char"/>
    <w:basedOn w:val="Normln"/>
    <w:rsid w:val="0038090F"/>
    <w:pPr>
      <w:spacing w:after="160" w:line="240" w:lineRule="exact"/>
    </w:pPr>
    <w:rPr>
      <w:rFonts w:ascii="Times New Roman Bold" w:hAnsi="Times New Roman Bold"/>
      <w:sz w:val="22"/>
      <w:szCs w:val="26"/>
      <w:lang w:val="sk-SK" w:eastAsia="en-US"/>
    </w:rPr>
  </w:style>
  <w:style w:type="paragraph" w:customStyle="1" w:styleId="Odstavecseseznamem1">
    <w:name w:val="Odstavec se seznamem1"/>
    <w:basedOn w:val="Normln"/>
    <w:link w:val="ListParagraphChar"/>
    <w:uiPriority w:val="99"/>
    <w:qFormat/>
    <w:rsid w:val="0038090F"/>
    <w:pPr>
      <w:spacing w:after="200" w:line="276" w:lineRule="auto"/>
      <w:ind w:left="720"/>
    </w:pPr>
    <w:rPr>
      <w:rFonts w:ascii="Calibri" w:hAnsi="Calibri" w:cs="Calibri"/>
      <w:sz w:val="22"/>
      <w:szCs w:val="22"/>
      <w:lang w:eastAsia="en-US"/>
    </w:rPr>
  </w:style>
  <w:style w:type="paragraph" w:styleId="Titulek">
    <w:name w:val="caption"/>
    <w:basedOn w:val="Normln"/>
    <w:next w:val="Normln"/>
    <w:link w:val="TitulekChar"/>
    <w:uiPriority w:val="35"/>
    <w:qFormat/>
    <w:rsid w:val="0038090F"/>
    <w:pPr>
      <w:spacing w:before="120" w:after="120"/>
    </w:pPr>
    <w:rPr>
      <w:rFonts w:ascii="Arial" w:hAnsi="Arial" w:cs="Arial"/>
      <w:b/>
      <w:bCs/>
      <w:smallCaps/>
    </w:rPr>
  </w:style>
  <w:style w:type="paragraph" w:customStyle="1" w:styleId="StandardnpsmoodstavceChar1Char">
    <w:name w:val="Standardní písmo odstavce Char1 Char"/>
    <w:aliases w:val="Standardní písmo odstavce Char Char Char, Char4 Char Char Char Char Char Char Char Char Char Char Char Char Char Char Char Char Char Char Char Char Char Char Char Char"/>
    <w:basedOn w:val="Normln"/>
    <w:rsid w:val="0038090F"/>
    <w:pPr>
      <w:spacing w:after="160" w:line="240" w:lineRule="exact"/>
    </w:pPr>
    <w:rPr>
      <w:rFonts w:ascii="Times New Roman Bold" w:hAnsi="Times New Roman Bold"/>
      <w:sz w:val="22"/>
      <w:szCs w:val="26"/>
      <w:lang w:val="sk-SK" w:eastAsia="en-US"/>
    </w:rPr>
  </w:style>
  <w:style w:type="paragraph" w:customStyle="1" w:styleId="2">
    <w:name w:val="2"/>
    <w:basedOn w:val="Normln"/>
    <w:rsid w:val="0038090F"/>
    <w:pPr>
      <w:spacing w:after="160" w:line="240" w:lineRule="exact"/>
    </w:pPr>
    <w:rPr>
      <w:rFonts w:ascii="Times New Roman Bold" w:hAnsi="Times New Roman Bold"/>
      <w:b/>
      <w:sz w:val="26"/>
      <w:szCs w:val="26"/>
      <w:lang w:val="sk-SK" w:eastAsia="en-US"/>
    </w:rPr>
  </w:style>
  <w:style w:type="character" w:customStyle="1" w:styleId="Tabulka-vodChar">
    <w:name w:val="Tabulka - úvod Char"/>
    <w:link w:val="Tabulka-vod"/>
    <w:rsid w:val="0038090F"/>
    <w:rPr>
      <w:rFonts w:ascii="Calibri" w:hAnsi="Calibri"/>
      <w:sz w:val="18"/>
      <w:szCs w:val="18"/>
      <w:lang w:val="cs-CZ" w:eastAsia="en-US" w:bidi="ar-SA"/>
    </w:rPr>
  </w:style>
  <w:style w:type="paragraph" w:customStyle="1" w:styleId="Tabulka-vod">
    <w:name w:val="Tabulka - úvod"/>
    <w:basedOn w:val="Normln"/>
    <w:link w:val="Tabulka-vodChar"/>
    <w:rsid w:val="0038090F"/>
    <w:pPr>
      <w:jc w:val="center"/>
    </w:pPr>
    <w:rPr>
      <w:rFonts w:ascii="Calibri" w:hAnsi="Calibri"/>
      <w:sz w:val="18"/>
      <w:szCs w:val="18"/>
      <w:lang w:eastAsia="en-US"/>
    </w:rPr>
  </w:style>
  <w:style w:type="paragraph" w:customStyle="1" w:styleId="TabulkaNOK">
    <w:name w:val="Tabulka NOK"/>
    <w:basedOn w:val="Normln"/>
    <w:link w:val="TabulkaNOKChar"/>
    <w:rsid w:val="0038090F"/>
    <w:pPr>
      <w:jc w:val="right"/>
    </w:pPr>
    <w:rPr>
      <w:rFonts w:ascii="Calibri" w:hAnsi="Calibri"/>
      <w:bCs/>
      <w:sz w:val="18"/>
      <w:szCs w:val="18"/>
      <w:lang w:eastAsia="en-US"/>
    </w:rPr>
  </w:style>
  <w:style w:type="character" w:customStyle="1" w:styleId="TabulkaNOKChar">
    <w:name w:val="Tabulka NOK Char"/>
    <w:link w:val="TabulkaNOK"/>
    <w:rsid w:val="0038090F"/>
    <w:rPr>
      <w:rFonts w:ascii="Calibri" w:hAnsi="Calibri"/>
      <w:bCs/>
      <w:sz w:val="18"/>
      <w:szCs w:val="18"/>
      <w:lang w:val="cs-CZ" w:eastAsia="en-US" w:bidi="ar-SA"/>
    </w:rPr>
  </w:style>
  <w:style w:type="paragraph" w:styleId="Zkladntext">
    <w:name w:val="Body Text"/>
    <w:basedOn w:val="Normln"/>
    <w:link w:val="ZkladntextChar"/>
    <w:rsid w:val="0038090F"/>
    <w:pPr>
      <w:spacing w:after="120"/>
    </w:pPr>
  </w:style>
  <w:style w:type="paragraph" w:styleId="Zkladntext-prvnodsazen">
    <w:name w:val="Body Text First Indent"/>
    <w:basedOn w:val="Zkladntext"/>
    <w:link w:val="Zkladntext-prvnodsazenChar"/>
    <w:rsid w:val="0038090F"/>
    <w:pPr>
      <w:ind w:firstLine="210"/>
    </w:pPr>
  </w:style>
  <w:style w:type="paragraph" w:customStyle="1" w:styleId="CharChar2CharChar">
    <w:name w:val="Char Char2 Char Char"/>
    <w:basedOn w:val="Normln"/>
    <w:rsid w:val="0038090F"/>
    <w:pPr>
      <w:spacing w:after="160" w:line="240" w:lineRule="exact"/>
    </w:pPr>
    <w:rPr>
      <w:rFonts w:ascii="Times New Roman Bold" w:hAnsi="Times New Roman Bold"/>
      <w:b/>
      <w:sz w:val="26"/>
      <w:szCs w:val="26"/>
      <w:lang w:val="sk-SK" w:eastAsia="en-US"/>
    </w:rPr>
  </w:style>
  <w:style w:type="paragraph" w:styleId="Seznam2">
    <w:name w:val="List 2"/>
    <w:basedOn w:val="Normln"/>
    <w:rsid w:val="0038090F"/>
    <w:pPr>
      <w:ind w:left="566" w:hanging="283"/>
    </w:pPr>
  </w:style>
  <w:style w:type="character" w:styleId="Sledovanodkaz">
    <w:name w:val="FollowedHyperlink"/>
    <w:rsid w:val="0038090F"/>
    <w:rPr>
      <w:color w:val="800080"/>
      <w:u w:val="single"/>
    </w:rPr>
  </w:style>
  <w:style w:type="paragraph" w:styleId="Obsah3">
    <w:name w:val="toc 3"/>
    <w:basedOn w:val="Normln"/>
    <w:next w:val="Normln"/>
    <w:autoRedefine/>
    <w:uiPriority w:val="39"/>
    <w:rsid w:val="0038090F"/>
    <w:pPr>
      <w:ind w:left="400"/>
    </w:pPr>
  </w:style>
  <w:style w:type="paragraph" w:styleId="Obsah1">
    <w:name w:val="toc 1"/>
    <w:basedOn w:val="Normln"/>
    <w:next w:val="Normln"/>
    <w:autoRedefine/>
    <w:uiPriority w:val="39"/>
    <w:rsid w:val="00AF5A02"/>
    <w:pPr>
      <w:tabs>
        <w:tab w:val="left" w:pos="1540"/>
        <w:tab w:val="right" w:leader="dot" w:pos="9062"/>
      </w:tabs>
    </w:pPr>
  </w:style>
  <w:style w:type="character" w:customStyle="1" w:styleId="Nadpis1Char">
    <w:name w:val="Nadpis 1 Char"/>
    <w:rsid w:val="0038090F"/>
    <w:rPr>
      <w:rFonts w:ascii="Arial" w:hAnsi="Arial" w:cs="Arial"/>
      <w:b/>
      <w:bCs/>
      <w:kern w:val="32"/>
      <w:sz w:val="32"/>
      <w:szCs w:val="32"/>
      <w:lang w:val="cs-CZ" w:eastAsia="cs-CZ" w:bidi="ar-SA"/>
    </w:rPr>
  </w:style>
  <w:style w:type="paragraph" w:styleId="Obsah2">
    <w:name w:val="toc 2"/>
    <w:basedOn w:val="Normln"/>
    <w:next w:val="Normln"/>
    <w:autoRedefine/>
    <w:uiPriority w:val="39"/>
    <w:rsid w:val="0038090F"/>
    <w:pPr>
      <w:ind w:left="200"/>
    </w:pPr>
  </w:style>
  <w:style w:type="paragraph" w:customStyle="1" w:styleId="CharCharChar1CharCharCharCharCharChar">
    <w:name w:val="Char Char Char1 Char Char Char Char Char Char"/>
    <w:basedOn w:val="Normln"/>
    <w:rsid w:val="0038090F"/>
    <w:pPr>
      <w:spacing w:after="160" w:line="240" w:lineRule="exact"/>
      <w:jc w:val="both"/>
    </w:pPr>
    <w:rPr>
      <w:rFonts w:ascii="Times New Roman Bold" w:hAnsi="Times New Roman Bold" w:cs="Times New Roman Bold"/>
      <w:sz w:val="22"/>
      <w:szCs w:val="22"/>
      <w:lang w:val="sk-SK" w:eastAsia="en-US"/>
    </w:rPr>
  </w:style>
  <w:style w:type="paragraph" w:customStyle="1" w:styleId="STANDARD">
    <w:name w:val="STANDARD"/>
    <w:basedOn w:val="Normln"/>
    <w:link w:val="STANDARDChar"/>
    <w:rsid w:val="0038090F"/>
    <w:pPr>
      <w:spacing w:before="60" w:after="60"/>
      <w:ind w:firstLine="6"/>
      <w:jc w:val="both"/>
    </w:pPr>
    <w:rPr>
      <w:rFonts w:ascii="Arial" w:hAnsi="Arial"/>
      <w:sz w:val="22"/>
    </w:rPr>
  </w:style>
  <w:style w:type="character" w:customStyle="1" w:styleId="STANDARDChar">
    <w:name w:val="STANDARD Char"/>
    <w:link w:val="STANDARD"/>
    <w:rsid w:val="0038090F"/>
    <w:rPr>
      <w:rFonts w:ascii="Arial" w:hAnsi="Arial"/>
      <w:sz w:val="22"/>
      <w:lang w:val="cs-CZ" w:eastAsia="cs-CZ" w:bidi="ar-SA"/>
    </w:rPr>
  </w:style>
  <w:style w:type="paragraph" w:customStyle="1" w:styleId="Nzevkapitoly">
    <w:name w:val="*Název kapitoly"/>
    <w:basedOn w:val="Zkladntext"/>
    <w:uiPriority w:val="99"/>
    <w:rsid w:val="0038090F"/>
    <w:pPr>
      <w:spacing w:before="120"/>
      <w:jc w:val="both"/>
      <w:outlineLvl w:val="0"/>
    </w:pPr>
    <w:rPr>
      <w:rFonts w:ascii="Arial" w:hAnsi="Arial" w:cs="Arial"/>
      <w:b/>
      <w:sz w:val="28"/>
      <w:lang w:val="en-GB" w:eastAsia="en-US"/>
    </w:rPr>
  </w:style>
  <w:style w:type="paragraph" w:customStyle="1" w:styleId="CharCharCharCharCharCharCharChar">
    <w:name w:val="Char Char Char Char Char Char Char Char"/>
    <w:basedOn w:val="Normln"/>
    <w:rsid w:val="0038090F"/>
    <w:pPr>
      <w:spacing w:after="160" w:line="240" w:lineRule="exact"/>
    </w:pPr>
    <w:rPr>
      <w:rFonts w:ascii="Times New Roman Bold" w:hAnsi="Times New Roman Bold"/>
      <w:sz w:val="22"/>
      <w:szCs w:val="26"/>
      <w:lang w:val="sk-SK" w:eastAsia="en-US"/>
    </w:rPr>
  </w:style>
  <w:style w:type="paragraph" w:customStyle="1" w:styleId="OMODRAZKY">
    <w:name w:val="OM ODRAZKY"/>
    <w:basedOn w:val="Normln"/>
    <w:rsid w:val="0038090F"/>
    <w:pPr>
      <w:numPr>
        <w:numId w:val="5"/>
      </w:numPr>
      <w:suppressAutoHyphens/>
      <w:spacing w:before="120"/>
      <w:jc w:val="both"/>
    </w:pPr>
    <w:rPr>
      <w:rFonts w:ascii="Arial" w:hAnsi="Arial" w:cs="Arial"/>
      <w:lang w:eastAsia="ar-SA"/>
    </w:rPr>
  </w:style>
  <w:style w:type="table" w:styleId="Mkatabulky1">
    <w:name w:val="Table Grid 1"/>
    <w:basedOn w:val="Normlntabulka"/>
    <w:rsid w:val="0038090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Char4CharCharCharCharCharCharCharCharCharCharCharCharCharCharCharCharCharCharChar">
    <w:name w:val="Char4 Char Char Char Char Char Char Char Char Char Char Char Char Char Char Char Char Char Char Char"/>
    <w:basedOn w:val="Normln"/>
    <w:rsid w:val="0038090F"/>
    <w:pPr>
      <w:spacing w:after="160" w:line="240" w:lineRule="exact"/>
    </w:pPr>
    <w:rPr>
      <w:rFonts w:ascii="Times New Roman Bold" w:hAnsi="Times New Roman Bold"/>
      <w:sz w:val="22"/>
      <w:szCs w:val="26"/>
      <w:lang w:val="sk-SK" w:eastAsia="en-US"/>
    </w:rPr>
  </w:style>
  <w:style w:type="paragraph" w:styleId="Prosttext">
    <w:name w:val="Plain Text"/>
    <w:basedOn w:val="Normln"/>
    <w:link w:val="ProsttextChar"/>
    <w:uiPriority w:val="99"/>
    <w:unhideWhenUsed/>
    <w:rsid w:val="0038090F"/>
    <w:rPr>
      <w:rFonts w:ascii="Consolas" w:eastAsia="Calibri" w:hAnsi="Consolas"/>
      <w:sz w:val="21"/>
      <w:szCs w:val="21"/>
      <w:lang w:eastAsia="en-US"/>
    </w:rPr>
  </w:style>
  <w:style w:type="character" w:customStyle="1" w:styleId="ProsttextChar">
    <w:name w:val="Prostý text Char"/>
    <w:link w:val="Prosttext"/>
    <w:uiPriority w:val="99"/>
    <w:rsid w:val="0038090F"/>
    <w:rPr>
      <w:rFonts w:ascii="Consolas" w:eastAsia="Calibri" w:hAnsi="Consolas"/>
      <w:sz w:val="21"/>
      <w:szCs w:val="21"/>
      <w:lang w:val="cs-CZ" w:eastAsia="en-US" w:bidi="ar-SA"/>
    </w:rPr>
  </w:style>
  <w:style w:type="paragraph" w:styleId="Rozloendokumentu">
    <w:name w:val="Document Map"/>
    <w:basedOn w:val="Normln"/>
    <w:link w:val="RozloendokumentuChar"/>
    <w:semiHidden/>
    <w:rsid w:val="0038090F"/>
    <w:pPr>
      <w:shd w:val="clear" w:color="auto" w:fill="000080"/>
    </w:pPr>
    <w:rPr>
      <w:rFonts w:ascii="Tahoma" w:hAnsi="Tahoma"/>
    </w:rPr>
  </w:style>
  <w:style w:type="paragraph" w:customStyle="1" w:styleId="TabulkaNOK-nadpis">
    <w:name w:val="Tabulka NOK - nadpis"/>
    <w:basedOn w:val="Normln"/>
    <w:next w:val="Normln"/>
    <w:link w:val="TabulkaNOK-nadpisChar"/>
    <w:rsid w:val="0038090F"/>
    <w:pPr>
      <w:keepNext/>
      <w:spacing w:before="180" w:after="60"/>
      <w:ind w:left="709" w:hanging="709"/>
    </w:pPr>
    <w:rPr>
      <w:b/>
      <w:i/>
      <w:sz w:val="22"/>
      <w:szCs w:val="16"/>
      <w:lang w:eastAsia="en-US"/>
    </w:rPr>
  </w:style>
  <w:style w:type="character" w:customStyle="1" w:styleId="TabulkaNOK-nadpisChar">
    <w:name w:val="Tabulka NOK - nadpis Char"/>
    <w:link w:val="TabulkaNOK-nadpis"/>
    <w:rsid w:val="0038090F"/>
    <w:rPr>
      <w:b/>
      <w:i/>
      <w:sz w:val="22"/>
      <w:szCs w:val="16"/>
      <w:lang w:val="cs-CZ" w:eastAsia="en-US" w:bidi="ar-SA"/>
    </w:rPr>
  </w:style>
  <w:style w:type="paragraph" w:customStyle="1" w:styleId="Char4CharCharCharCharCharCharCharCharCharCharCharCharCharCharCharChar1CharCharChar1CharCharChar">
    <w:name w:val="Char4 Char Char Char Char Char Char Char Char Char Char Char Char Char Char Char Char1 Char Char Char1 Char Char Char"/>
    <w:basedOn w:val="Normln"/>
    <w:rsid w:val="0038090F"/>
    <w:pPr>
      <w:spacing w:after="160" w:line="240" w:lineRule="exact"/>
    </w:pPr>
    <w:rPr>
      <w:rFonts w:ascii="Tahoma" w:hAnsi="Tahoma"/>
      <w:lang w:val="en-US" w:eastAsia="en-US"/>
    </w:rPr>
  </w:style>
  <w:style w:type="paragraph" w:customStyle="1" w:styleId="10aodst">
    <w:name w:val="10a_odst"/>
    <w:basedOn w:val="Normln"/>
    <w:next w:val="Normln"/>
    <w:link w:val="10aodstChar"/>
    <w:rsid w:val="00CA2183"/>
    <w:pPr>
      <w:jc w:val="both"/>
    </w:pPr>
    <w:rPr>
      <w:rFonts w:ascii="Arial" w:hAnsi="Arial"/>
      <w:kern w:val="32"/>
      <w:szCs w:val="16"/>
    </w:rPr>
  </w:style>
  <w:style w:type="paragraph" w:customStyle="1" w:styleId="17apozn">
    <w:name w:val="17a_pozn"/>
    <w:basedOn w:val="10aodst"/>
    <w:rsid w:val="00CA2183"/>
    <w:pPr>
      <w:pBdr>
        <w:top w:val="dashSmallGap" w:sz="4" w:space="3" w:color="C0C0C0"/>
        <w:bottom w:val="single" w:sz="6" w:space="2" w:color="C0C0C0"/>
      </w:pBdr>
      <w:spacing w:after="40"/>
    </w:pPr>
    <w:rPr>
      <w:rFonts w:cs="Arial"/>
      <w:i/>
      <w:iCs/>
      <w:color w:val="000080"/>
      <w:kern w:val="0"/>
      <w:sz w:val="16"/>
    </w:rPr>
  </w:style>
  <w:style w:type="paragraph" w:customStyle="1" w:styleId="16a8odst">
    <w:name w:val="16a8_odst"/>
    <w:basedOn w:val="10aodst"/>
    <w:link w:val="16a8odstChar"/>
    <w:rsid w:val="00CA2183"/>
    <w:pPr>
      <w:jc w:val="left"/>
    </w:pPr>
    <w:rPr>
      <w:kern w:val="0"/>
      <w:sz w:val="16"/>
      <w:szCs w:val="18"/>
    </w:rPr>
  </w:style>
  <w:style w:type="paragraph" w:customStyle="1" w:styleId="40aodr">
    <w:name w:val="40a_odr"/>
    <w:basedOn w:val="10aodst"/>
    <w:rsid w:val="00CA2183"/>
    <w:pPr>
      <w:numPr>
        <w:numId w:val="8"/>
      </w:numPr>
      <w:tabs>
        <w:tab w:val="left" w:pos="227"/>
        <w:tab w:val="num" w:pos="720"/>
      </w:tabs>
      <w:spacing w:before="20"/>
      <w:ind w:left="227" w:hanging="227"/>
    </w:pPr>
    <w:rPr>
      <w:kern w:val="0"/>
    </w:rPr>
  </w:style>
  <w:style w:type="character" w:customStyle="1" w:styleId="16a8odstChar">
    <w:name w:val="16a8_odst Char"/>
    <w:link w:val="16a8odst"/>
    <w:locked/>
    <w:rsid w:val="00CA2183"/>
    <w:rPr>
      <w:rFonts w:ascii="Arial" w:hAnsi="Arial"/>
      <w:sz w:val="16"/>
      <w:szCs w:val="18"/>
      <w:lang w:val="cs-CZ" w:eastAsia="cs-CZ" w:bidi="ar-SA"/>
    </w:rPr>
  </w:style>
  <w:style w:type="paragraph" w:customStyle="1" w:styleId="14aodst">
    <w:name w:val="14a_odst"/>
    <w:basedOn w:val="10aodst"/>
    <w:next w:val="10aodst"/>
    <w:rsid w:val="00CA2183"/>
    <w:pPr>
      <w:keepNext/>
      <w:keepLines/>
      <w:spacing w:before="120" w:after="80"/>
    </w:pPr>
    <w:rPr>
      <w:b/>
      <w:kern w:val="0"/>
    </w:rPr>
  </w:style>
  <w:style w:type="paragraph" w:customStyle="1" w:styleId="26aSeznam-20">
    <w:name w:val="26a_Seznam-20"/>
    <w:basedOn w:val="Normln"/>
    <w:rsid w:val="00CA2183"/>
    <w:pPr>
      <w:numPr>
        <w:numId w:val="7"/>
      </w:numPr>
      <w:jc w:val="both"/>
    </w:pPr>
    <w:rPr>
      <w:rFonts w:ascii="Arial" w:hAnsi="Arial"/>
      <w:szCs w:val="24"/>
    </w:rPr>
  </w:style>
  <w:style w:type="character" w:customStyle="1" w:styleId="10aodstChar">
    <w:name w:val="10a_odst Char"/>
    <w:link w:val="10aodst"/>
    <w:locked/>
    <w:rsid w:val="00CA2183"/>
    <w:rPr>
      <w:rFonts w:ascii="Arial" w:hAnsi="Arial"/>
      <w:kern w:val="32"/>
      <w:szCs w:val="16"/>
      <w:lang w:val="cs-CZ" w:eastAsia="cs-CZ" w:bidi="ar-SA"/>
    </w:rPr>
  </w:style>
  <w:style w:type="numbering" w:customStyle="1" w:styleId="45SeznamOdr1">
    <w:name w:val="45_Seznam_Odr1"/>
    <w:rsid w:val="00CA2183"/>
    <w:pPr>
      <w:numPr>
        <w:numId w:val="6"/>
      </w:numPr>
    </w:pPr>
  </w:style>
  <w:style w:type="paragraph" w:styleId="Normlnweb">
    <w:name w:val="Normal (Web)"/>
    <w:basedOn w:val="Normln"/>
    <w:uiPriority w:val="99"/>
    <w:rsid w:val="00973905"/>
    <w:pPr>
      <w:spacing w:before="100" w:beforeAutospacing="1" w:after="100" w:afterAutospacing="1"/>
    </w:pPr>
    <w:rPr>
      <w:sz w:val="24"/>
      <w:szCs w:val="24"/>
    </w:rPr>
  </w:style>
  <w:style w:type="character" w:customStyle="1" w:styleId="Nadpis6Char">
    <w:name w:val="Nadpis 6 Char"/>
    <w:link w:val="Nadpis6"/>
    <w:uiPriority w:val="9"/>
    <w:rsid w:val="000E2A36"/>
    <w:rPr>
      <w:rFonts w:ascii="Calibri" w:eastAsia="Times New Roman" w:hAnsi="Calibri" w:cs="Times New Roman"/>
      <w:b/>
      <w:bCs/>
      <w:sz w:val="22"/>
      <w:szCs w:val="22"/>
    </w:rPr>
  </w:style>
  <w:style w:type="paragraph" w:customStyle="1" w:styleId="CharChar">
    <w:name w:val="Char Char"/>
    <w:basedOn w:val="Normln"/>
    <w:rsid w:val="00140A4D"/>
    <w:pPr>
      <w:spacing w:after="160" w:line="240" w:lineRule="exact"/>
    </w:pPr>
    <w:rPr>
      <w:rFonts w:ascii="Tahoma" w:hAnsi="Tahoma"/>
      <w:lang w:val="en-US" w:eastAsia="en-US"/>
    </w:rPr>
  </w:style>
  <w:style w:type="character" w:customStyle="1" w:styleId="TextkomenteChar">
    <w:name w:val="Text komentáře Char"/>
    <w:basedOn w:val="Standardnpsmoodstavce"/>
    <w:link w:val="Textkomente"/>
    <w:uiPriority w:val="99"/>
    <w:rsid w:val="00E975E6"/>
  </w:style>
  <w:style w:type="paragraph" w:styleId="Revize">
    <w:name w:val="Revision"/>
    <w:hidden/>
    <w:uiPriority w:val="99"/>
    <w:semiHidden/>
    <w:rsid w:val="00E975E6"/>
  </w:style>
  <w:style w:type="paragraph" w:styleId="Odstavecseseznamem">
    <w:name w:val="List Paragraph"/>
    <w:basedOn w:val="Normln"/>
    <w:link w:val="OdstavecseseznamemChar"/>
    <w:uiPriority w:val="34"/>
    <w:qFormat/>
    <w:rsid w:val="00C04303"/>
    <w:pPr>
      <w:spacing w:after="200" w:line="276" w:lineRule="auto"/>
      <w:ind w:left="720"/>
      <w:contextualSpacing/>
    </w:pPr>
    <w:rPr>
      <w:rFonts w:ascii="Calibri" w:eastAsia="Calibri" w:hAnsi="Calibri"/>
      <w:sz w:val="22"/>
      <w:szCs w:val="22"/>
      <w:lang w:eastAsia="en-US"/>
    </w:rPr>
  </w:style>
  <w:style w:type="paragraph" w:styleId="Obsah4">
    <w:name w:val="toc 4"/>
    <w:basedOn w:val="Normln"/>
    <w:next w:val="Normln"/>
    <w:autoRedefine/>
    <w:uiPriority w:val="39"/>
    <w:unhideWhenUsed/>
    <w:rsid w:val="0046232C"/>
    <w:pPr>
      <w:spacing w:after="100" w:line="276" w:lineRule="auto"/>
      <w:ind w:left="660"/>
    </w:pPr>
    <w:rPr>
      <w:rFonts w:ascii="Calibri" w:hAnsi="Calibri"/>
      <w:sz w:val="22"/>
      <w:szCs w:val="22"/>
    </w:rPr>
  </w:style>
  <w:style w:type="paragraph" w:styleId="Obsah5">
    <w:name w:val="toc 5"/>
    <w:basedOn w:val="Normln"/>
    <w:next w:val="Normln"/>
    <w:autoRedefine/>
    <w:uiPriority w:val="39"/>
    <w:unhideWhenUsed/>
    <w:rsid w:val="0046232C"/>
    <w:pPr>
      <w:spacing w:after="100" w:line="276" w:lineRule="auto"/>
      <w:ind w:left="880"/>
    </w:pPr>
    <w:rPr>
      <w:rFonts w:ascii="Calibri" w:hAnsi="Calibri"/>
      <w:sz w:val="22"/>
      <w:szCs w:val="22"/>
    </w:rPr>
  </w:style>
  <w:style w:type="paragraph" w:styleId="Obsah6">
    <w:name w:val="toc 6"/>
    <w:basedOn w:val="Normln"/>
    <w:next w:val="Normln"/>
    <w:autoRedefine/>
    <w:uiPriority w:val="39"/>
    <w:unhideWhenUsed/>
    <w:rsid w:val="0046232C"/>
    <w:pPr>
      <w:spacing w:after="100" w:line="276" w:lineRule="auto"/>
      <w:ind w:left="1100"/>
    </w:pPr>
    <w:rPr>
      <w:rFonts w:ascii="Calibri" w:hAnsi="Calibri"/>
      <w:sz w:val="22"/>
      <w:szCs w:val="22"/>
    </w:rPr>
  </w:style>
  <w:style w:type="paragraph" w:styleId="Obsah7">
    <w:name w:val="toc 7"/>
    <w:basedOn w:val="Normln"/>
    <w:next w:val="Normln"/>
    <w:autoRedefine/>
    <w:uiPriority w:val="39"/>
    <w:unhideWhenUsed/>
    <w:rsid w:val="0046232C"/>
    <w:pPr>
      <w:spacing w:after="100" w:line="276" w:lineRule="auto"/>
      <w:ind w:left="1320"/>
    </w:pPr>
    <w:rPr>
      <w:rFonts w:ascii="Calibri" w:hAnsi="Calibri"/>
      <w:sz w:val="22"/>
      <w:szCs w:val="22"/>
    </w:rPr>
  </w:style>
  <w:style w:type="paragraph" w:styleId="Obsah8">
    <w:name w:val="toc 8"/>
    <w:basedOn w:val="Normln"/>
    <w:next w:val="Normln"/>
    <w:autoRedefine/>
    <w:uiPriority w:val="39"/>
    <w:unhideWhenUsed/>
    <w:rsid w:val="0046232C"/>
    <w:pPr>
      <w:spacing w:after="100" w:line="276" w:lineRule="auto"/>
      <w:ind w:left="1540"/>
    </w:pPr>
    <w:rPr>
      <w:rFonts w:ascii="Calibri" w:hAnsi="Calibri"/>
      <w:sz w:val="22"/>
      <w:szCs w:val="22"/>
    </w:rPr>
  </w:style>
  <w:style w:type="paragraph" w:styleId="Obsah9">
    <w:name w:val="toc 9"/>
    <w:basedOn w:val="Normln"/>
    <w:next w:val="Normln"/>
    <w:autoRedefine/>
    <w:uiPriority w:val="39"/>
    <w:unhideWhenUsed/>
    <w:rsid w:val="0046232C"/>
    <w:pPr>
      <w:spacing w:after="100" w:line="276" w:lineRule="auto"/>
      <w:ind w:left="1760"/>
    </w:pPr>
    <w:rPr>
      <w:rFonts w:ascii="Calibri" w:hAnsi="Calibri"/>
      <w:sz w:val="22"/>
      <w:szCs w:val="22"/>
    </w:rPr>
  </w:style>
  <w:style w:type="paragraph" w:customStyle="1" w:styleId="Default">
    <w:name w:val="Default"/>
    <w:rsid w:val="008C0987"/>
    <w:pPr>
      <w:autoSpaceDE w:val="0"/>
      <w:autoSpaceDN w:val="0"/>
      <w:adjustRightInd w:val="0"/>
    </w:pPr>
    <w:rPr>
      <w:rFonts w:ascii="Georgia" w:hAnsi="Georgia" w:cs="Georgia"/>
      <w:color w:val="000000"/>
      <w:sz w:val="24"/>
      <w:szCs w:val="24"/>
    </w:rPr>
  </w:style>
  <w:style w:type="paragraph" w:customStyle="1" w:styleId="Bntext">
    <w:name w:val="*Běžný text"/>
    <w:basedOn w:val="Normln"/>
    <w:uiPriority w:val="99"/>
    <w:rsid w:val="000574CE"/>
    <w:pPr>
      <w:spacing w:after="120"/>
      <w:jc w:val="both"/>
    </w:pPr>
    <w:rPr>
      <w:sz w:val="24"/>
    </w:rPr>
  </w:style>
  <w:style w:type="paragraph" w:customStyle="1" w:styleId="BodyText">
    <w:name w:val="_Body Text"/>
    <w:basedOn w:val="Normln"/>
    <w:qFormat/>
    <w:rsid w:val="000574CE"/>
    <w:pPr>
      <w:spacing w:after="280" w:line="288" w:lineRule="atLeast"/>
    </w:pPr>
    <w:rPr>
      <w:rFonts w:ascii="Arial" w:hAnsi="Arial"/>
      <w:color w:val="000000"/>
      <w:sz w:val="24"/>
      <w:szCs w:val="22"/>
      <w:lang w:val="en-GB" w:eastAsia="en-US"/>
    </w:rPr>
  </w:style>
  <w:style w:type="character" w:customStyle="1" w:styleId="TextbublinyChar">
    <w:name w:val="Text bubliny Char"/>
    <w:link w:val="Textbubliny"/>
    <w:uiPriority w:val="99"/>
    <w:semiHidden/>
    <w:rsid w:val="00912B46"/>
    <w:rPr>
      <w:rFonts w:ascii="Tahoma" w:hAnsi="Tahoma" w:cs="Tahoma"/>
      <w:sz w:val="16"/>
      <w:szCs w:val="16"/>
    </w:rPr>
  </w:style>
  <w:style w:type="paragraph" w:styleId="Bezmezer">
    <w:name w:val="No Spacing"/>
    <w:link w:val="BezmezerChar"/>
    <w:uiPriority w:val="1"/>
    <w:qFormat/>
    <w:rsid w:val="00912B46"/>
    <w:rPr>
      <w:rFonts w:ascii="Calibri" w:hAnsi="Calibri"/>
      <w:sz w:val="22"/>
      <w:szCs w:val="22"/>
      <w:lang w:eastAsia="en-US"/>
    </w:rPr>
  </w:style>
  <w:style w:type="character" w:customStyle="1" w:styleId="BezmezerChar">
    <w:name w:val="Bez mezer Char"/>
    <w:link w:val="Bezmezer"/>
    <w:uiPriority w:val="1"/>
    <w:rsid w:val="00912B46"/>
    <w:rPr>
      <w:rFonts w:ascii="Calibri" w:hAnsi="Calibri"/>
      <w:sz w:val="22"/>
      <w:szCs w:val="22"/>
      <w:lang w:val="cs-CZ" w:eastAsia="en-US" w:bidi="ar-SA"/>
    </w:rPr>
  </w:style>
  <w:style w:type="paragraph" w:customStyle="1" w:styleId="CharChar0">
    <w:name w:val="Char Char"/>
    <w:basedOn w:val="Normln"/>
    <w:rsid w:val="002F2C3F"/>
    <w:pPr>
      <w:spacing w:after="160" w:line="240" w:lineRule="exact"/>
    </w:pPr>
    <w:rPr>
      <w:rFonts w:ascii="Tahoma" w:hAnsi="Tahoma"/>
      <w:lang w:val="en-US" w:eastAsia="en-US"/>
    </w:rPr>
  </w:style>
  <w:style w:type="character" w:customStyle="1" w:styleId="PedmtkomenteChar">
    <w:name w:val="Předmět komentáře Char"/>
    <w:link w:val="Pedmtkomente"/>
    <w:uiPriority w:val="99"/>
    <w:semiHidden/>
    <w:rsid w:val="002F2C3F"/>
    <w:rPr>
      <w:b/>
      <w:bCs/>
    </w:rPr>
  </w:style>
  <w:style w:type="character" w:customStyle="1" w:styleId="Nadpis3Char">
    <w:name w:val="Nadpis 3 Char"/>
    <w:link w:val="Nadpis3"/>
    <w:rsid w:val="0048588A"/>
    <w:rPr>
      <w:rFonts w:ascii="Arial" w:hAnsi="Arial" w:cs="Arial"/>
      <w:b/>
      <w:bCs/>
      <w:color w:val="0070C0"/>
      <w:sz w:val="26"/>
      <w:szCs w:val="26"/>
    </w:rPr>
  </w:style>
  <w:style w:type="character" w:customStyle="1" w:styleId="ZhlavChar">
    <w:name w:val="Záhlaví Char"/>
    <w:basedOn w:val="Standardnpsmoodstavce"/>
    <w:link w:val="Zhlav"/>
    <w:uiPriority w:val="99"/>
    <w:rsid w:val="004E68AC"/>
  </w:style>
  <w:style w:type="character" w:customStyle="1" w:styleId="ZpatChar">
    <w:name w:val="Zápatí Char"/>
    <w:basedOn w:val="Standardnpsmoodstavce"/>
    <w:link w:val="Zpat"/>
    <w:uiPriority w:val="99"/>
    <w:rsid w:val="004E68AC"/>
  </w:style>
  <w:style w:type="character" w:customStyle="1" w:styleId="ZkladntextChar">
    <w:name w:val="Základní text Char"/>
    <w:basedOn w:val="Standardnpsmoodstavce"/>
    <w:link w:val="Zkladntext"/>
    <w:rsid w:val="004E68AC"/>
  </w:style>
  <w:style w:type="character" w:customStyle="1" w:styleId="Zkladntext-prvnodsazenChar">
    <w:name w:val="Základní text - první odsazený Char"/>
    <w:basedOn w:val="ZkladntextChar"/>
    <w:link w:val="Zkladntext-prvnodsazen"/>
    <w:rsid w:val="004E68AC"/>
  </w:style>
  <w:style w:type="character" w:customStyle="1" w:styleId="RozloendokumentuChar">
    <w:name w:val="Rozložení dokumentu Char"/>
    <w:link w:val="Rozloendokumentu"/>
    <w:semiHidden/>
    <w:rsid w:val="004E68AC"/>
    <w:rPr>
      <w:rFonts w:ascii="Tahoma" w:hAnsi="Tahoma" w:cs="Tahoma"/>
      <w:shd w:val="clear" w:color="auto" w:fill="000080"/>
    </w:rPr>
  </w:style>
  <w:style w:type="paragraph" w:customStyle="1" w:styleId="msolistparagraph0">
    <w:name w:val="msolistparagraph"/>
    <w:basedOn w:val="Normln"/>
    <w:rsid w:val="00F241B2"/>
    <w:pPr>
      <w:ind w:left="720"/>
      <w:contextualSpacing/>
    </w:pPr>
  </w:style>
  <w:style w:type="paragraph" w:customStyle="1" w:styleId="texty">
    <w:name w:val="texty"/>
    <w:basedOn w:val="Normln"/>
    <w:rsid w:val="00BA5D77"/>
    <w:pPr>
      <w:spacing w:before="68" w:after="177"/>
      <w:jc w:val="both"/>
    </w:pPr>
    <w:rPr>
      <w:sz w:val="18"/>
      <w:szCs w:val="18"/>
    </w:rPr>
  </w:style>
  <w:style w:type="paragraph" w:styleId="Textvysvtlivek">
    <w:name w:val="endnote text"/>
    <w:basedOn w:val="Normln"/>
    <w:link w:val="TextvysvtlivekChar"/>
    <w:uiPriority w:val="99"/>
    <w:semiHidden/>
    <w:unhideWhenUsed/>
    <w:rsid w:val="00F37871"/>
    <w:rPr>
      <w:rFonts w:eastAsia="Calibri"/>
      <w:lang w:eastAsia="en-US"/>
    </w:rPr>
  </w:style>
  <w:style w:type="character" w:customStyle="1" w:styleId="TextvysvtlivekChar">
    <w:name w:val="Text vysvětlivek Char"/>
    <w:link w:val="Textvysvtlivek"/>
    <w:uiPriority w:val="99"/>
    <w:semiHidden/>
    <w:rsid w:val="00F37871"/>
    <w:rPr>
      <w:rFonts w:eastAsia="Calibri" w:cs="Times New Roman"/>
      <w:lang w:eastAsia="en-US"/>
    </w:rPr>
  </w:style>
  <w:style w:type="character" w:styleId="Odkaznavysvtlivky">
    <w:name w:val="endnote reference"/>
    <w:uiPriority w:val="99"/>
    <w:semiHidden/>
    <w:unhideWhenUsed/>
    <w:rsid w:val="00F37871"/>
    <w:rPr>
      <w:vertAlign w:val="superscript"/>
    </w:rPr>
  </w:style>
  <w:style w:type="paragraph" w:customStyle="1" w:styleId="Text">
    <w:name w:val="Text"/>
    <w:basedOn w:val="Normln"/>
    <w:rsid w:val="00547AE3"/>
    <w:rPr>
      <w:rFonts w:cs="Arial"/>
      <w:sz w:val="24"/>
      <w:szCs w:val="24"/>
    </w:rPr>
  </w:style>
  <w:style w:type="character" w:styleId="Siln">
    <w:name w:val="Strong"/>
    <w:uiPriority w:val="22"/>
    <w:qFormat/>
    <w:rsid w:val="005F015F"/>
    <w:rPr>
      <w:b/>
      <w:bCs/>
    </w:rPr>
  </w:style>
  <w:style w:type="paragraph" w:customStyle="1" w:styleId="Graf">
    <w:name w:val="Graf"/>
    <w:basedOn w:val="Normln"/>
    <w:next w:val="Normln"/>
    <w:qFormat/>
    <w:rsid w:val="00EA09CF"/>
    <w:pPr>
      <w:numPr>
        <w:numId w:val="9"/>
      </w:numPr>
      <w:jc w:val="center"/>
    </w:pPr>
    <w:rPr>
      <w:b/>
      <w:szCs w:val="22"/>
    </w:rPr>
  </w:style>
  <w:style w:type="paragraph" w:customStyle="1" w:styleId="Tabulkanzev">
    <w:name w:val="Tabulka název"/>
    <w:basedOn w:val="Normln"/>
    <w:next w:val="Normln"/>
    <w:qFormat/>
    <w:rsid w:val="00EC1C99"/>
    <w:pPr>
      <w:numPr>
        <w:numId w:val="10"/>
      </w:numPr>
      <w:ind w:left="0"/>
      <w:jc w:val="center"/>
    </w:pPr>
    <w:rPr>
      <w:b/>
    </w:rPr>
  </w:style>
  <w:style w:type="paragraph" w:customStyle="1" w:styleId="tabulka">
    <w:name w:val="tabulka"/>
    <w:basedOn w:val="Normln"/>
    <w:next w:val="Normln"/>
    <w:qFormat/>
    <w:rsid w:val="00DA0457"/>
    <w:pPr>
      <w:keepNext/>
      <w:numPr>
        <w:numId w:val="11"/>
      </w:numPr>
    </w:pPr>
    <w:rPr>
      <w:b/>
      <w:szCs w:val="24"/>
    </w:rPr>
  </w:style>
  <w:style w:type="paragraph" w:customStyle="1" w:styleId="perex">
    <w:name w:val="perex"/>
    <w:basedOn w:val="Normln"/>
    <w:rsid w:val="002A0C7C"/>
    <w:pPr>
      <w:spacing w:before="100" w:beforeAutospacing="1" w:after="100" w:afterAutospacing="1"/>
    </w:pPr>
    <w:rPr>
      <w:sz w:val="24"/>
      <w:szCs w:val="24"/>
    </w:rPr>
  </w:style>
  <w:style w:type="character" w:customStyle="1" w:styleId="Texttabulka">
    <w:name w:val="Text tabulka"/>
    <w:rsid w:val="004E1AA7"/>
    <w:rPr>
      <w:rFonts w:ascii="Arial" w:hAnsi="Arial"/>
    </w:rPr>
  </w:style>
  <w:style w:type="paragraph" w:customStyle="1" w:styleId="Standard0">
    <w:name w:val="Standard"/>
    <w:rsid w:val="003507B9"/>
    <w:pPr>
      <w:widowControl w:val="0"/>
      <w:suppressAutoHyphens/>
      <w:autoSpaceDN w:val="0"/>
      <w:textAlignment w:val="baseline"/>
    </w:pPr>
    <w:rPr>
      <w:rFonts w:ascii="Calibri" w:eastAsia="Lucida Sans Unicode" w:hAnsi="Calibri" w:cs="Tahoma"/>
      <w:color w:val="000000"/>
      <w:kern w:val="3"/>
      <w:sz w:val="24"/>
      <w:szCs w:val="24"/>
      <w:lang w:val="en-US" w:eastAsia="en-US" w:bidi="en-US"/>
    </w:rPr>
  </w:style>
  <w:style w:type="character" w:customStyle="1" w:styleId="slovnik">
    <w:name w:val="slovnik"/>
    <w:rsid w:val="00B7625F"/>
  </w:style>
  <w:style w:type="character" w:customStyle="1" w:styleId="ListParagraphChar">
    <w:name w:val="List Paragraph Char"/>
    <w:link w:val="Odstavecseseznamem1"/>
    <w:uiPriority w:val="99"/>
    <w:rsid w:val="00B7625F"/>
    <w:rPr>
      <w:rFonts w:ascii="Calibri" w:hAnsi="Calibri" w:cs="Calibri"/>
      <w:sz w:val="22"/>
      <w:szCs w:val="22"/>
      <w:lang w:eastAsia="en-US"/>
    </w:rPr>
  </w:style>
  <w:style w:type="paragraph" w:styleId="Zkladntext3">
    <w:name w:val="Body Text 3"/>
    <w:basedOn w:val="Normln"/>
    <w:link w:val="Zkladntext3Char"/>
    <w:semiHidden/>
    <w:unhideWhenUsed/>
    <w:rsid w:val="0047322E"/>
    <w:pPr>
      <w:spacing w:after="120"/>
    </w:pPr>
    <w:rPr>
      <w:sz w:val="16"/>
      <w:szCs w:val="16"/>
    </w:rPr>
  </w:style>
  <w:style w:type="character" w:customStyle="1" w:styleId="Zkladntext3Char">
    <w:name w:val="Základní text 3 Char"/>
    <w:basedOn w:val="Standardnpsmoodstavce"/>
    <w:link w:val="Zkladntext3"/>
    <w:semiHidden/>
    <w:rsid w:val="0047322E"/>
    <w:rPr>
      <w:sz w:val="16"/>
      <w:szCs w:val="16"/>
    </w:rPr>
  </w:style>
  <w:style w:type="character" w:customStyle="1" w:styleId="error">
    <w:name w:val="error"/>
    <w:basedOn w:val="Standardnpsmoodstavce"/>
    <w:rsid w:val="00E2526A"/>
  </w:style>
  <w:style w:type="character" w:customStyle="1" w:styleId="akcezoznamtext2">
    <w:name w:val="akcezoznamtext2"/>
    <w:basedOn w:val="Standardnpsmoodstavce"/>
    <w:rsid w:val="004B2381"/>
    <w:rPr>
      <w:b/>
      <w:bCs/>
      <w:vanish w:val="0"/>
      <w:webHidden w:val="0"/>
      <w:specVanish w:val="0"/>
    </w:rPr>
  </w:style>
  <w:style w:type="character" w:customStyle="1" w:styleId="integra-normalniChar">
    <w:name w:val="integra - normalni Char"/>
    <w:link w:val="integra-normalni"/>
    <w:locked/>
    <w:rsid w:val="00BA2B21"/>
    <w:rPr>
      <w:rFonts w:ascii="Corbel" w:hAnsi="Corbel"/>
    </w:rPr>
  </w:style>
  <w:style w:type="paragraph" w:customStyle="1" w:styleId="integra-normalni">
    <w:name w:val="integra - normalni"/>
    <w:basedOn w:val="Normln"/>
    <w:link w:val="integra-normalniChar"/>
    <w:rsid w:val="00BA2B21"/>
    <w:pPr>
      <w:overflowPunct w:val="0"/>
      <w:autoSpaceDE w:val="0"/>
      <w:autoSpaceDN w:val="0"/>
      <w:adjustRightInd w:val="0"/>
      <w:spacing w:after="120" w:line="264" w:lineRule="auto"/>
      <w:jc w:val="both"/>
    </w:pPr>
    <w:rPr>
      <w:rFonts w:ascii="Corbel" w:hAnsi="Corbel"/>
    </w:rPr>
  </w:style>
  <w:style w:type="paragraph" w:customStyle="1" w:styleId="Popisky">
    <w:name w:val="Popisky"/>
    <w:basedOn w:val="Normln"/>
    <w:rsid w:val="00AB457A"/>
    <w:rPr>
      <w:rFonts w:ascii="Arial" w:eastAsiaTheme="minorHAnsi" w:hAnsi="Arial" w:cs="Arial"/>
    </w:rPr>
  </w:style>
  <w:style w:type="paragraph" w:customStyle="1" w:styleId="TabulkaNOK-poznmka">
    <w:name w:val="Tabulka NOK - poznámka"/>
    <w:basedOn w:val="Normln"/>
    <w:rsid w:val="007804EE"/>
    <w:pPr>
      <w:ind w:left="142" w:hanging="142"/>
      <w:jc w:val="both"/>
    </w:pPr>
    <w:rPr>
      <w:rFonts w:eastAsiaTheme="minorHAnsi"/>
      <w:sz w:val="18"/>
      <w:szCs w:val="18"/>
    </w:rPr>
  </w:style>
  <w:style w:type="paragraph" w:customStyle="1" w:styleId="text0">
    <w:name w:val="* text"/>
    <w:basedOn w:val="Normln"/>
    <w:link w:val="textChar"/>
    <w:rsid w:val="00BE334C"/>
    <w:pPr>
      <w:spacing w:before="120" w:after="120"/>
      <w:jc w:val="both"/>
    </w:pPr>
    <w:rPr>
      <w:rFonts w:ascii="Century Gothic" w:hAnsi="Century Gothic"/>
      <w:sz w:val="22"/>
      <w:szCs w:val="24"/>
    </w:rPr>
  </w:style>
  <w:style w:type="character" w:customStyle="1" w:styleId="textChar">
    <w:name w:val="* text Char"/>
    <w:link w:val="text0"/>
    <w:rsid w:val="00BE334C"/>
    <w:rPr>
      <w:rFonts w:ascii="Century Gothic" w:hAnsi="Century Gothic"/>
      <w:sz w:val="22"/>
      <w:szCs w:val="24"/>
    </w:rPr>
  </w:style>
  <w:style w:type="character" w:customStyle="1" w:styleId="OdstavecseseznamemChar">
    <w:name w:val="Odstavec se seznamem Char"/>
    <w:basedOn w:val="Standardnpsmoodstavce"/>
    <w:link w:val="Odstavecseseznamem"/>
    <w:uiPriority w:val="34"/>
    <w:locked/>
    <w:rsid w:val="0047784B"/>
    <w:rPr>
      <w:rFonts w:ascii="Calibri" w:eastAsia="Calibri" w:hAnsi="Calibri"/>
      <w:sz w:val="22"/>
      <w:szCs w:val="22"/>
      <w:lang w:eastAsia="en-US"/>
    </w:rPr>
  </w:style>
  <w:style w:type="character" w:customStyle="1" w:styleId="TitulekChar">
    <w:name w:val="Titulek Char"/>
    <w:basedOn w:val="Standardnpsmoodstavce"/>
    <w:link w:val="Titulek"/>
    <w:uiPriority w:val="35"/>
    <w:locked/>
    <w:rsid w:val="00D23939"/>
    <w:rPr>
      <w:rFonts w:ascii="Arial" w:hAnsi="Arial" w:cs="Arial"/>
      <w:b/>
      <w:bCs/>
      <w:smallCaps/>
    </w:rPr>
  </w:style>
  <w:style w:type="paragraph" w:customStyle="1" w:styleId="Char4CharCharCharCharCharCharCharCharCharCharCharCharCharCharCharCharCharCharCharCharCharCharCharCharCharCharCharChar">
    <w:name w:val="Char4 Char Char Char Char Char Char Char Char Char Char Char Char Char Char Char Char Char Char Char Char Char Char Char Char Char Char Char Char"/>
    <w:basedOn w:val="Normln"/>
    <w:rsid w:val="00A74ABA"/>
    <w:pPr>
      <w:spacing w:after="160" w:line="240" w:lineRule="exact"/>
    </w:pPr>
    <w:rPr>
      <w:rFonts w:ascii="Times New Roman Bold" w:hAnsi="Times New Roman Bold"/>
      <w:sz w:val="22"/>
      <w:szCs w:val="26"/>
      <w:lang w:val="sk-SK" w:eastAsia="en-US"/>
    </w:rPr>
  </w:style>
  <w:style w:type="paragraph" w:customStyle="1" w:styleId="textPDIOP">
    <w:name w:val="textPD IOP"/>
    <w:basedOn w:val="Normln"/>
    <w:qFormat/>
    <w:rsid w:val="00FE6182"/>
    <w:pPr>
      <w:spacing w:after="240" w:line="312" w:lineRule="auto"/>
      <w:jc w:val="both"/>
    </w:pPr>
    <w:rPr>
      <w:rFonts w:ascii="Arial" w:hAnsi="Arial" w:cs="Arial"/>
      <w:lang w:eastAsia="en-US" w:bidi="en-US"/>
    </w:rPr>
  </w:style>
  <w:style w:type="character" w:customStyle="1" w:styleId="Styl1-IChar">
    <w:name w:val="Styl1 - I. Char"/>
    <w:link w:val="Styl1-I"/>
    <w:locked/>
    <w:rsid w:val="00B7711B"/>
    <w:rPr>
      <w:rFonts w:ascii="Arial" w:hAnsi="Arial" w:cs="Arial"/>
    </w:rPr>
  </w:style>
  <w:style w:type="paragraph" w:customStyle="1" w:styleId="Styl1-I">
    <w:name w:val="Styl1 - I."/>
    <w:basedOn w:val="Normln"/>
    <w:link w:val="Styl1-IChar"/>
    <w:qFormat/>
    <w:rsid w:val="00B7711B"/>
    <w:pPr>
      <w:numPr>
        <w:numId w:val="41"/>
      </w:numPr>
      <w:overflowPunct w:val="0"/>
      <w:autoSpaceDE w:val="0"/>
      <w:autoSpaceDN w:val="0"/>
      <w:adjustRightInd w:val="0"/>
      <w:spacing w:before="120" w:after="240"/>
      <w:ind w:left="357" w:hanging="357"/>
      <w:jc w:val="both"/>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4036">
      <w:bodyDiv w:val="1"/>
      <w:marLeft w:val="0"/>
      <w:marRight w:val="0"/>
      <w:marTop w:val="0"/>
      <w:marBottom w:val="0"/>
      <w:divBdr>
        <w:top w:val="none" w:sz="0" w:space="0" w:color="auto"/>
        <w:left w:val="none" w:sz="0" w:space="0" w:color="auto"/>
        <w:bottom w:val="none" w:sz="0" w:space="0" w:color="auto"/>
        <w:right w:val="none" w:sz="0" w:space="0" w:color="auto"/>
      </w:divBdr>
    </w:div>
    <w:div w:id="3632106">
      <w:bodyDiv w:val="1"/>
      <w:marLeft w:val="0"/>
      <w:marRight w:val="0"/>
      <w:marTop w:val="0"/>
      <w:marBottom w:val="0"/>
      <w:divBdr>
        <w:top w:val="none" w:sz="0" w:space="0" w:color="auto"/>
        <w:left w:val="none" w:sz="0" w:space="0" w:color="auto"/>
        <w:bottom w:val="none" w:sz="0" w:space="0" w:color="auto"/>
        <w:right w:val="none" w:sz="0" w:space="0" w:color="auto"/>
      </w:divBdr>
    </w:div>
    <w:div w:id="4403995">
      <w:bodyDiv w:val="1"/>
      <w:marLeft w:val="0"/>
      <w:marRight w:val="0"/>
      <w:marTop w:val="0"/>
      <w:marBottom w:val="0"/>
      <w:divBdr>
        <w:top w:val="none" w:sz="0" w:space="0" w:color="auto"/>
        <w:left w:val="none" w:sz="0" w:space="0" w:color="auto"/>
        <w:bottom w:val="none" w:sz="0" w:space="0" w:color="auto"/>
        <w:right w:val="none" w:sz="0" w:space="0" w:color="auto"/>
      </w:divBdr>
    </w:div>
    <w:div w:id="4988598">
      <w:bodyDiv w:val="1"/>
      <w:marLeft w:val="0"/>
      <w:marRight w:val="0"/>
      <w:marTop w:val="0"/>
      <w:marBottom w:val="0"/>
      <w:divBdr>
        <w:top w:val="none" w:sz="0" w:space="0" w:color="auto"/>
        <w:left w:val="none" w:sz="0" w:space="0" w:color="auto"/>
        <w:bottom w:val="none" w:sz="0" w:space="0" w:color="auto"/>
        <w:right w:val="none" w:sz="0" w:space="0" w:color="auto"/>
      </w:divBdr>
    </w:div>
    <w:div w:id="5602631">
      <w:bodyDiv w:val="1"/>
      <w:marLeft w:val="0"/>
      <w:marRight w:val="0"/>
      <w:marTop w:val="0"/>
      <w:marBottom w:val="0"/>
      <w:divBdr>
        <w:top w:val="none" w:sz="0" w:space="0" w:color="auto"/>
        <w:left w:val="none" w:sz="0" w:space="0" w:color="auto"/>
        <w:bottom w:val="none" w:sz="0" w:space="0" w:color="auto"/>
        <w:right w:val="none" w:sz="0" w:space="0" w:color="auto"/>
      </w:divBdr>
    </w:div>
    <w:div w:id="9645097">
      <w:bodyDiv w:val="1"/>
      <w:marLeft w:val="0"/>
      <w:marRight w:val="0"/>
      <w:marTop w:val="0"/>
      <w:marBottom w:val="0"/>
      <w:divBdr>
        <w:top w:val="none" w:sz="0" w:space="0" w:color="auto"/>
        <w:left w:val="none" w:sz="0" w:space="0" w:color="auto"/>
        <w:bottom w:val="none" w:sz="0" w:space="0" w:color="auto"/>
        <w:right w:val="none" w:sz="0" w:space="0" w:color="auto"/>
      </w:divBdr>
    </w:div>
    <w:div w:id="10188161">
      <w:bodyDiv w:val="1"/>
      <w:marLeft w:val="0"/>
      <w:marRight w:val="0"/>
      <w:marTop w:val="0"/>
      <w:marBottom w:val="0"/>
      <w:divBdr>
        <w:top w:val="none" w:sz="0" w:space="0" w:color="auto"/>
        <w:left w:val="none" w:sz="0" w:space="0" w:color="auto"/>
        <w:bottom w:val="none" w:sz="0" w:space="0" w:color="auto"/>
        <w:right w:val="none" w:sz="0" w:space="0" w:color="auto"/>
      </w:divBdr>
    </w:div>
    <w:div w:id="10760414">
      <w:bodyDiv w:val="1"/>
      <w:marLeft w:val="0"/>
      <w:marRight w:val="0"/>
      <w:marTop w:val="0"/>
      <w:marBottom w:val="0"/>
      <w:divBdr>
        <w:top w:val="none" w:sz="0" w:space="0" w:color="auto"/>
        <w:left w:val="none" w:sz="0" w:space="0" w:color="auto"/>
        <w:bottom w:val="none" w:sz="0" w:space="0" w:color="auto"/>
        <w:right w:val="none" w:sz="0" w:space="0" w:color="auto"/>
      </w:divBdr>
    </w:div>
    <w:div w:id="14383450">
      <w:bodyDiv w:val="1"/>
      <w:marLeft w:val="0"/>
      <w:marRight w:val="0"/>
      <w:marTop w:val="0"/>
      <w:marBottom w:val="0"/>
      <w:divBdr>
        <w:top w:val="none" w:sz="0" w:space="0" w:color="auto"/>
        <w:left w:val="none" w:sz="0" w:space="0" w:color="auto"/>
        <w:bottom w:val="none" w:sz="0" w:space="0" w:color="auto"/>
        <w:right w:val="none" w:sz="0" w:space="0" w:color="auto"/>
      </w:divBdr>
    </w:div>
    <w:div w:id="15078546">
      <w:bodyDiv w:val="1"/>
      <w:marLeft w:val="0"/>
      <w:marRight w:val="0"/>
      <w:marTop w:val="0"/>
      <w:marBottom w:val="0"/>
      <w:divBdr>
        <w:top w:val="none" w:sz="0" w:space="0" w:color="auto"/>
        <w:left w:val="none" w:sz="0" w:space="0" w:color="auto"/>
        <w:bottom w:val="none" w:sz="0" w:space="0" w:color="auto"/>
        <w:right w:val="none" w:sz="0" w:space="0" w:color="auto"/>
      </w:divBdr>
    </w:div>
    <w:div w:id="18547923">
      <w:bodyDiv w:val="1"/>
      <w:marLeft w:val="0"/>
      <w:marRight w:val="0"/>
      <w:marTop w:val="0"/>
      <w:marBottom w:val="0"/>
      <w:divBdr>
        <w:top w:val="none" w:sz="0" w:space="0" w:color="auto"/>
        <w:left w:val="none" w:sz="0" w:space="0" w:color="auto"/>
        <w:bottom w:val="none" w:sz="0" w:space="0" w:color="auto"/>
        <w:right w:val="none" w:sz="0" w:space="0" w:color="auto"/>
      </w:divBdr>
    </w:div>
    <w:div w:id="29380951">
      <w:bodyDiv w:val="1"/>
      <w:marLeft w:val="0"/>
      <w:marRight w:val="0"/>
      <w:marTop w:val="0"/>
      <w:marBottom w:val="0"/>
      <w:divBdr>
        <w:top w:val="none" w:sz="0" w:space="0" w:color="auto"/>
        <w:left w:val="none" w:sz="0" w:space="0" w:color="auto"/>
        <w:bottom w:val="none" w:sz="0" w:space="0" w:color="auto"/>
        <w:right w:val="none" w:sz="0" w:space="0" w:color="auto"/>
      </w:divBdr>
    </w:div>
    <w:div w:id="29576114">
      <w:bodyDiv w:val="1"/>
      <w:marLeft w:val="0"/>
      <w:marRight w:val="0"/>
      <w:marTop w:val="0"/>
      <w:marBottom w:val="0"/>
      <w:divBdr>
        <w:top w:val="none" w:sz="0" w:space="0" w:color="auto"/>
        <w:left w:val="none" w:sz="0" w:space="0" w:color="auto"/>
        <w:bottom w:val="none" w:sz="0" w:space="0" w:color="auto"/>
        <w:right w:val="none" w:sz="0" w:space="0" w:color="auto"/>
      </w:divBdr>
    </w:div>
    <w:div w:id="31997314">
      <w:bodyDiv w:val="1"/>
      <w:marLeft w:val="0"/>
      <w:marRight w:val="0"/>
      <w:marTop w:val="0"/>
      <w:marBottom w:val="0"/>
      <w:divBdr>
        <w:top w:val="none" w:sz="0" w:space="0" w:color="auto"/>
        <w:left w:val="none" w:sz="0" w:space="0" w:color="auto"/>
        <w:bottom w:val="none" w:sz="0" w:space="0" w:color="auto"/>
        <w:right w:val="none" w:sz="0" w:space="0" w:color="auto"/>
      </w:divBdr>
    </w:div>
    <w:div w:id="32846469">
      <w:bodyDiv w:val="1"/>
      <w:marLeft w:val="0"/>
      <w:marRight w:val="0"/>
      <w:marTop w:val="0"/>
      <w:marBottom w:val="0"/>
      <w:divBdr>
        <w:top w:val="none" w:sz="0" w:space="0" w:color="auto"/>
        <w:left w:val="none" w:sz="0" w:space="0" w:color="auto"/>
        <w:bottom w:val="none" w:sz="0" w:space="0" w:color="auto"/>
        <w:right w:val="none" w:sz="0" w:space="0" w:color="auto"/>
      </w:divBdr>
    </w:div>
    <w:div w:id="36854882">
      <w:bodyDiv w:val="1"/>
      <w:marLeft w:val="0"/>
      <w:marRight w:val="0"/>
      <w:marTop w:val="0"/>
      <w:marBottom w:val="0"/>
      <w:divBdr>
        <w:top w:val="none" w:sz="0" w:space="0" w:color="auto"/>
        <w:left w:val="none" w:sz="0" w:space="0" w:color="auto"/>
        <w:bottom w:val="none" w:sz="0" w:space="0" w:color="auto"/>
        <w:right w:val="none" w:sz="0" w:space="0" w:color="auto"/>
      </w:divBdr>
      <w:divsChild>
        <w:div w:id="89546268">
          <w:marLeft w:val="0"/>
          <w:marRight w:val="0"/>
          <w:marTop w:val="0"/>
          <w:marBottom w:val="0"/>
          <w:divBdr>
            <w:top w:val="none" w:sz="0" w:space="0" w:color="auto"/>
            <w:left w:val="single" w:sz="6" w:space="0" w:color="FFFFFF"/>
            <w:bottom w:val="single" w:sz="6" w:space="0" w:color="FFFFFF"/>
            <w:right w:val="single" w:sz="6" w:space="0" w:color="FFFFFF"/>
          </w:divBdr>
          <w:divsChild>
            <w:div w:id="293021575">
              <w:marLeft w:val="0"/>
              <w:marRight w:val="0"/>
              <w:marTop w:val="0"/>
              <w:marBottom w:val="0"/>
              <w:divBdr>
                <w:top w:val="none" w:sz="0" w:space="0" w:color="auto"/>
                <w:left w:val="none" w:sz="0" w:space="0" w:color="auto"/>
                <w:bottom w:val="none" w:sz="0" w:space="0" w:color="auto"/>
                <w:right w:val="none" w:sz="0" w:space="0" w:color="auto"/>
              </w:divBdr>
              <w:divsChild>
                <w:div w:id="179054959">
                  <w:marLeft w:val="0"/>
                  <w:marRight w:val="0"/>
                  <w:marTop w:val="0"/>
                  <w:marBottom w:val="0"/>
                  <w:divBdr>
                    <w:top w:val="single" w:sz="6" w:space="0" w:color="FFFFFF"/>
                    <w:left w:val="none" w:sz="0" w:space="0" w:color="auto"/>
                    <w:bottom w:val="none" w:sz="0" w:space="0" w:color="auto"/>
                    <w:right w:val="none" w:sz="0" w:space="0" w:color="auto"/>
                  </w:divBdr>
                  <w:divsChild>
                    <w:div w:id="1517769093">
                      <w:marLeft w:val="0"/>
                      <w:marRight w:val="0"/>
                      <w:marTop w:val="0"/>
                      <w:marBottom w:val="0"/>
                      <w:divBdr>
                        <w:top w:val="none" w:sz="0" w:space="0" w:color="auto"/>
                        <w:left w:val="none" w:sz="0" w:space="0" w:color="auto"/>
                        <w:bottom w:val="none" w:sz="0" w:space="0" w:color="auto"/>
                        <w:right w:val="none" w:sz="0" w:space="0" w:color="auto"/>
                      </w:divBdr>
                      <w:divsChild>
                        <w:div w:id="343747162">
                          <w:marLeft w:val="0"/>
                          <w:marRight w:val="0"/>
                          <w:marTop w:val="0"/>
                          <w:marBottom w:val="0"/>
                          <w:divBdr>
                            <w:top w:val="none" w:sz="0" w:space="0" w:color="auto"/>
                            <w:left w:val="none" w:sz="0" w:space="0" w:color="auto"/>
                            <w:bottom w:val="none" w:sz="0" w:space="0" w:color="auto"/>
                            <w:right w:val="none" w:sz="0" w:space="0" w:color="auto"/>
                          </w:divBdr>
                          <w:divsChild>
                            <w:div w:id="10888453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566717">
      <w:bodyDiv w:val="1"/>
      <w:marLeft w:val="0"/>
      <w:marRight w:val="0"/>
      <w:marTop w:val="0"/>
      <w:marBottom w:val="0"/>
      <w:divBdr>
        <w:top w:val="none" w:sz="0" w:space="0" w:color="auto"/>
        <w:left w:val="none" w:sz="0" w:space="0" w:color="auto"/>
        <w:bottom w:val="none" w:sz="0" w:space="0" w:color="auto"/>
        <w:right w:val="none" w:sz="0" w:space="0" w:color="auto"/>
      </w:divBdr>
    </w:div>
    <w:div w:id="46999047">
      <w:bodyDiv w:val="1"/>
      <w:marLeft w:val="0"/>
      <w:marRight w:val="0"/>
      <w:marTop w:val="0"/>
      <w:marBottom w:val="0"/>
      <w:divBdr>
        <w:top w:val="none" w:sz="0" w:space="0" w:color="auto"/>
        <w:left w:val="none" w:sz="0" w:space="0" w:color="auto"/>
        <w:bottom w:val="none" w:sz="0" w:space="0" w:color="auto"/>
        <w:right w:val="none" w:sz="0" w:space="0" w:color="auto"/>
      </w:divBdr>
    </w:div>
    <w:div w:id="53622590">
      <w:bodyDiv w:val="1"/>
      <w:marLeft w:val="0"/>
      <w:marRight w:val="0"/>
      <w:marTop w:val="0"/>
      <w:marBottom w:val="0"/>
      <w:divBdr>
        <w:top w:val="none" w:sz="0" w:space="0" w:color="auto"/>
        <w:left w:val="none" w:sz="0" w:space="0" w:color="auto"/>
        <w:bottom w:val="none" w:sz="0" w:space="0" w:color="auto"/>
        <w:right w:val="none" w:sz="0" w:space="0" w:color="auto"/>
      </w:divBdr>
    </w:div>
    <w:div w:id="63574162">
      <w:bodyDiv w:val="1"/>
      <w:marLeft w:val="0"/>
      <w:marRight w:val="0"/>
      <w:marTop w:val="0"/>
      <w:marBottom w:val="0"/>
      <w:divBdr>
        <w:top w:val="none" w:sz="0" w:space="0" w:color="auto"/>
        <w:left w:val="none" w:sz="0" w:space="0" w:color="auto"/>
        <w:bottom w:val="none" w:sz="0" w:space="0" w:color="auto"/>
        <w:right w:val="none" w:sz="0" w:space="0" w:color="auto"/>
      </w:divBdr>
    </w:div>
    <w:div w:id="64691356">
      <w:bodyDiv w:val="1"/>
      <w:marLeft w:val="0"/>
      <w:marRight w:val="0"/>
      <w:marTop w:val="0"/>
      <w:marBottom w:val="0"/>
      <w:divBdr>
        <w:top w:val="none" w:sz="0" w:space="0" w:color="auto"/>
        <w:left w:val="none" w:sz="0" w:space="0" w:color="auto"/>
        <w:bottom w:val="none" w:sz="0" w:space="0" w:color="auto"/>
        <w:right w:val="none" w:sz="0" w:space="0" w:color="auto"/>
      </w:divBdr>
    </w:div>
    <w:div w:id="73207079">
      <w:bodyDiv w:val="1"/>
      <w:marLeft w:val="0"/>
      <w:marRight w:val="0"/>
      <w:marTop w:val="0"/>
      <w:marBottom w:val="0"/>
      <w:divBdr>
        <w:top w:val="none" w:sz="0" w:space="0" w:color="auto"/>
        <w:left w:val="none" w:sz="0" w:space="0" w:color="auto"/>
        <w:bottom w:val="none" w:sz="0" w:space="0" w:color="auto"/>
        <w:right w:val="none" w:sz="0" w:space="0" w:color="auto"/>
      </w:divBdr>
    </w:div>
    <w:div w:id="74666066">
      <w:bodyDiv w:val="1"/>
      <w:marLeft w:val="0"/>
      <w:marRight w:val="0"/>
      <w:marTop w:val="0"/>
      <w:marBottom w:val="0"/>
      <w:divBdr>
        <w:top w:val="none" w:sz="0" w:space="0" w:color="auto"/>
        <w:left w:val="none" w:sz="0" w:space="0" w:color="auto"/>
        <w:bottom w:val="none" w:sz="0" w:space="0" w:color="auto"/>
        <w:right w:val="none" w:sz="0" w:space="0" w:color="auto"/>
      </w:divBdr>
    </w:div>
    <w:div w:id="80874153">
      <w:bodyDiv w:val="1"/>
      <w:marLeft w:val="0"/>
      <w:marRight w:val="0"/>
      <w:marTop w:val="0"/>
      <w:marBottom w:val="0"/>
      <w:divBdr>
        <w:top w:val="none" w:sz="0" w:space="0" w:color="auto"/>
        <w:left w:val="none" w:sz="0" w:space="0" w:color="auto"/>
        <w:bottom w:val="none" w:sz="0" w:space="0" w:color="auto"/>
        <w:right w:val="none" w:sz="0" w:space="0" w:color="auto"/>
      </w:divBdr>
    </w:div>
    <w:div w:id="88546061">
      <w:bodyDiv w:val="1"/>
      <w:marLeft w:val="0"/>
      <w:marRight w:val="0"/>
      <w:marTop w:val="0"/>
      <w:marBottom w:val="0"/>
      <w:divBdr>
        <w:top w:val="none" w:sz="0" w:space="0" w:color="auto"/>
        <w:left w:val="none" w:sz="0" w:space="0" w:color="auto"/>
        <w:bottom w:val="none" w:sz="0" w:space="0" w:color="auto"/>
        <w:right w:val="none" w:sz="0" w:space="0" w:color="auto"/>
      </w:divBdr>
    </w:div>
    <w:div w:id="88937146">
      <w:bodyDiv w:val="1"/>
      <w:marLeft w:val="0"/>
      <w:marRight w:val="0"/>
      <w:marTop w:val="0"/>
      <w:marBottom w:val="0"/>
      <w:divBdr>
        <w:top w:val="none" w:sz="0" w:space="0" w:color="auto"/>
        <w:left w:val="none" w:sz="0" w:space="0" w:color="auto"/>
        <w:bottom w:val="none" w:sz="0" w:space="0" w:color="auto"/>
        <w:right w:val="none" w:sz="0" w:space="0" w:color="auto"/>
      </w:divBdr>
    </w:div>
    <w:div w:id="96874288">
      <w:bodyDiv w:val="1"/>
      <w:marLeft w:val="0"/>
      <w:marRight w:val="0"/>
      <w:marTop w:val="0"/>
      <w:marBottom w:val="0"/>
      <w:divBdr>
        <w:top w:val="none" w:sz="0" w:space="0" w:color="auto"/>
        <w:left w:val="none" w:sz="0" w:space="0" w:color="auto"/>
        <w:bottom w:val="none" w:sz="0" w:space="0" w:color="auto"/>
        <w:right w:val="none" w:sz="0" w:space="0" w:color="auto"/>
      </w:divBdr>
    </w:div>
    <w:div w:id="98792026">
      <w:bodyDiv w:val="1"/>
      <w:marLeft w:val="0"/>
      <w:marRight w:val="0"/>
      <w:marTop w:val="0"/>
      <w:marBottom w:val="0"/>
      <w:divBdr>
        <w:top w:val="none" w:sz="0" w:space="0" w:color="auto"/>
        <w:left w:val="none" w:sz="0" w:space="0" w:color="auto"/>
        <w:bottom w:val="none" w:sz="0" w:space="0" w:color="auto"/>
        <w:right w:val="none" w:sz="0" w:space="0" w:color="auto"/>
      </w:divBdr>
    </w:div>
    <w:div w:id="99109581">
      <w:bodyDiv w:val="1"/>
      <w:marLeft w:val="0"/>
      <w:marRight w:val="0"/>
      <w:marTop w:val="0"/>
      <w:marBottom w:val="0"/>
      <w:divBdr>
        <w:top w:val="none" w:sz="0" w:space="0" w:color="auto"/>
        <w:left w:val="none" w:sz="0" w:space="0" w:color="auto"/>
        <w:bottom w:val="none" w:sz="0" w:space="0" w:color="auto"/>
        <w:right w:val="none" w:sz="0" w:space="0" w:color="auto"/>
      </w:divBdr>
    </w:div>
    <w:div w:id="101531425">
      <w:bodyDiv w:val="1"/>
      <w:marLeft w:val="0"/>
      <w:marRight w:val="0"/>
      <w:marTop w:val="0"/>
      <w:marBottom w:val="0"/>
      <w:divBdr>
        <w:top w:val="none" w:sz="0" w:space="0" w:color="auto"/>
        <w:left w:val="none" w:sz="0" w:space="0" w:color="auto"/>
        <w:bottom w:val="none" w:sz="0" w:space="0" w:color="auto"/>
        <w:right w:val="none" w:sz="0" w:space="0" w:color="auto"/>
      </w:divBdr>
    </w:div>
    <w:div w:id="102726981">
      <w:bodyDiv w:val="1"/>
      <w:marLeft w:val="0"/>
      <w:marRight w:val="0"/>
      <w:marTop w:val="0"/>
      <w:marBottom w:val="0"/>
      <w:divBdr>
        <w:top w:val="none" w:sz="0" w:space="0" w:color="auto"/>
        <w:left w:val="none" w:sz="0" w:space="0" w:color="auto"/>
        <w:bottom w:val="none" w:sz="0" w:space="0" w:color="auto"/>
        <w:right w:val="none" w:sz="0" w:space="0" w:color="auto"/>
      </w:divBdr>
    </w:div>
    <w:div w:id="103235379">
      <w:bodyDiv w:val="1"/>
      <w:marLeft w:val="0"/>
      <w:marRight w:val="0"/>
      <w:marTop w:val="0"/>
      <w:marBottom w:val="0"/>
      <w:divBdr>
        <w:top w:val="none" w:sz="0" w:space="0" w:color="auto"/>
        <w:left w:val="none" w:sz="0" w:space="0" w:color="auto"/>
        <w:bottom w:val="none" w:sz="0" w:space="0" w:color="auto"/>
        <w:right w:val="none" w:sz="0" w:space="0" w:color="auto"/>
      </w:divBdr>
    </w:div>
    <w:div w:id="104272040">
      <w:bodyDiv w:val="1"/>
      <w:marLeft w:val="0"/>
      <w:marRight w:val="0"/>
      <w:marTop w:val="0"/>
      <w:marBottom w:val="0"/>
      <w:divBdr>
        <w:top w:val="none" w:sz="0" w:space="0" w:color="auto"/>
        <w:left w:val="none" w:sz="0" w:space="0" w:color="auto"/>
        <w:bottom w:val="none" w:sz="0" w:space="0" w:color="auto"/>
        <w:right w:val="none" w:sz="0" w:space="0" w:color="auto"/>
      </w:divBdr>
    </w:div>
    <w:div w:id="108403401">
      <w:bodyDiv w:val="1"/>
      <w:marLeft w:val="0"/>
      <w:marRight w:val="0"/>
      <w:marTop w:val="0"/>
      <w:marBottom w:val="0"/>
      <w:divBdr>
        <w:top w:val="none" w:sz="0" w:space="0" w:color="auto"/>
        <w:left w:val="none" w:sz="0" w:space="0" w:color="auto"/>
        <w:bottom w:val="none" w:sz="0" w:space="0" w:color="auto"/>
        <w:right w:val="none" w:sz="0" w:space="0" w:color="auto"/>
      </w:divBdr>
    </w:div>
    <w:div w:id="109595647">
      <w:bodyDiv w:val="1"/>
      <w:marLeft w:val="0"/>
      <w:marRight w:val="0"/>
      <w:marTop w:val="0"/>
      <w:marBottom w:val="0"/>
      <w:divBdr>
        <w:top w:val="none" w:sz="0" w:space="0" w:color="auto"/>
        <w:left w:val="none" w:sz="0" w:space="0" w:color="auto"/>
        <w:bottom w:val="none" w:sz="0" w:space="0" w:color="auto"/>
        <w:right w:val="none" w:sz="0" w:space="0" w:color="auto"/>
      </w:divBdr>
    </w:div>
    <w:div w:id="114831635">
      <w:bodyDiv w:val="1"/>
      <w:marLeft w:val="0"/>
      <w:marRight w:val="0"/>
      <w:marTop w:val="0"/>
      <w:marBottom w:val="0"/>
      <w:divBdr>
        <w:top w:val="none" w:sz="0" w:space="0" w:color="auto"/>
        <w:left w:val="none" w:sz="0" w:space="0" w:color="auto"/>
        <w:bottom w:val="none" w:sz="0" w:space="0" w:color="auto"/>
        <w:right w:val="none" w:sz="0" w:space="0" w:color="auto"/>
      </w:divBdr>
    </w:div>
    <w:div w:id="115376001">
      <w:bodyDiv w:val="1"/>
      <w:marLeft w:val="0"/>
      <w:marRight w:val="0"/>
      <w:marTop w:val="0"/>
      <w:marBottom w:val="0"/>
      <w:divBdr>
        <w:top w:val="none" w:sz="0" w:space="0" w:color="auto"/>
        <w:left w:val="none" w:sz="0" w:space="0" w:color="auto"/>
        <w:bottom w:val="none" w:sz="0" w:space="0" w:color="auto"/>
        <w:right w:val="none" w:sz="0" w:space="0" w:color="auto"/>
      </w:divBdr>
    </w:div>
    <w:div w:id="115758567">
      <w:bodyDiv w:val="1"/>
      <w:marLeft w:val="0"/>
      <w:marRight w:val="0"/>
      <w:marTop w:val="0"/>
      <w:marBottom w:val="0"/>
      <w:divBdr>
        <w:top w:val="none" w:sz="0" w:space="0" w:color="auto"/>
        <w:left w:val="none" w:sz="0" w:space="0" w:color="auto"/>
        <w:bottom w:val="none" w:sz="0" w:space="0" w:color="auto"/>
        <w:right w:val="none" w:sz="0" w:space="0" w:color="auto"/>
      </w:divBdr>
    </w:div>
    <w:div w:id="116876633">
      <w:bodyDiv w:val="1"/>
      <w:marLeft w:val="0"/>
      <w:marRight w:val="0"/>
      <w:marTop w:val="0"/>
      <w:marBottom w:val="0"/>
      <w:divBdr>
        <w:top w:val="none" w:sz="0" w:space="0" w:color="auto"/>
        <w:left w:val="none" w:sz="0" w:space="0" w:color="auto"/>
        <w:bottom w:val="none" w:sz="0" w:space="0" w:color="auto"/>
        <w:right w:val="none" w:sz="0" w:space="0" w:color="auto"/>
      </w:divBdr>
    </w:div>
    <w:div w:id="121659308">
      <w:bodyDiv w:val="1"/>
      <w:marLeft w:val="0"/>
      <w:marRight w:val="0"/>
      <w:marTop w:val="0"/>
      <w:marBottom w:val="0"/>
      <w:divBdr>
        <w:top w:val="none" w:sz="0" w:space="0" w:color="auto"/>
        <w:left w:val="none" w:sz="0" w:space="0" w:color="auto"/>
        <w:bottom w:val="none" w:sz="0" w:space="0" w:color="auto"/>
        <w:right w:val="none" w:sz="0" w:space="0" w:color="auto"/>
      </w:divBdr>
    </w:div>
    <w:div w:id="130025769">
      <w:bodyDiv w:val="1"/>
      <w:marLeft w:val="0"/>
      <w:marRight w:val="0"/>
      <w:marTop w:val="0"/>
      <w:marBottom w:val="0"/>
      <w:divBdr>
        <w:top w:val="none" w:sz="0" w:space="0" w:color="auto"/>
        <w:left w:val="none" w:sz="0" w:space="0" w:color="auto"/>
        <w:bottom w:val="none" w:sz="0" w:space="0" w:color="auto"/>
        <w:right w:val="none" w:sz="0" w:space="0" w:color="auto"/>
      </w:divBdr>
    </w:div>
    <w:div w:id="135337894">
      <w:bodyDiv w:val="1"/>
      <w:marLeft w:val="0"/>
      <w:marRight w:val="0"/>
      <w:marTop w:val="0"/>
      <w:marBottom w:val="0"/>
      <w:divBdr>
        <w:top w:val="none" w:sz="0" w:space="0" w:color="auto"/>
        <w:left w:val="none" w:sz="0" w:space="0" w:color="auto"/>
        <w:bottom w:val="none" w:sz="0" w:space="0" w:color="auto"/>
        <w:right w:val="none" w:sz="0" w:space="0" w:color="auto"/>
      </w:divBdr>
    </w:div>
    <w:div w:id="139660668">
      <w:bodyDiv w:val="1"/>
      <w:marLeft w:val="0"/>
      <w:marRight w:val="0"/>
      <w:marTop w:val="0"/>
      <w:marBottom w:val="0"/>
      <w:divBdr>
        <w:top w:val="none" w:sz="0" w:space="0" w:color="auto"/>
        <w:left w:val="none" w:sz="0" w:space="0" w:color="auto"/>
        <w:bottom w:val="none" w:sz="0" w:space="0" w:color="auto"/>
        <w:right w:val="none" w:sz="0" w:space="0" w:color="auto"/>
      </w:divBdr>
    </w:div>
    <w:div w:id="141435872">
      <w:bodyDiv w:val="1"/>
      <w:marLeft w:val="0"/>
      <w:marRight w:val="0"/>
      <w:marTop w:val="0"/>
      <w:marBottom w:val="0"/>
      <w:divBdr>
        <w:top w:val="none" w:sz="0" w:space="0" w:color="auto"/>
        <w:left w:val="none" w:sz="0" w:space="0" w:color="auto"/>
        <w:bottom w:val="none" w:sz="0" w:space="0" w:color="auto"/>
        <w:right w:val="none" w:sz="0" w:space="0" w:color="auto"/>
      </w:divBdr>
    </w:div>
    <w:div w:id="143084686">
      <w:bodyDiv w:val="1"/>
      <w:marLeft w:val="0"/>
      <w:marRight w:val="0"/>
      <w:marTop w:val="0"/>
      <w:marBottom w:val="0"/>
      <w:divBdr>
        <w:top w:val="none" w:sz="0" w:space="0" w:color="auto"/>
        <w:left w:val="none" w:sz="0" w:space="0" w:color="auto"/>
        <w:bottom w:val="none" w:sz="0" w:space="0" w:color="auto"/>
        <w:right w:val="none" w:sz="0" w:space="0" w:color="auto"/>
      </w:divBdr>
    </w:div>
    <w:div w:id="145052271">
      <w:bodyDiv w:val="1"/>
      <w:marLeft w:val="0"/>
      <w:marRight w:val="0"/>
      <w:marTop w:val="0"/>
      <w:marBottom w:val="0"/>
      <w:divBdr>
        <w:top w:val="none" w:sz="0" w:space="0" w:color="auto"/>
        <w:left w:val="none" w:sz="0" w:space="0" w:color="auto"/>
        <w:bottom w:val="none" w:sz="0" w:space="0" w:color="auto"/>
        <w:right w:val="none" w:sz="0" w:space="0" w:color="auto"/>
      </w:divBdr>
    </w:div>
    <w:div w:id="150798977">
      <w:bodyDiv w:val="1"/>
      <w:marLeft w:val="0"/>
      <w:marRight w:val="0"/>
      <w:marTop w:val="0"/>
      <w:marBottom w:val="0"/>
      <w:divBdr>
        <w:top w:val="none" w:sz="0" w:space="0" w:color="auto"/>
        <w:left w:val="none" w:sz="0" w:space="0" w:color="auto"/>
        <w:bottom w:val="none" w:sz="0" w:space="0" w:color="auto"/>
        <w:right w:val="none" w:sz="0" w:space="0" w:color="auto"/>
      </w:divBdr>
    </w:div>
    <w:div w:id="151720350">
      <w:bodyDiv w:val="1"/>
      <w:marLeft w:val="0"/>
      <w:marRight w:val="0"/>
      <w:marTop w:val="0"/>
      <w:marBottom w:val="0"/>
      <w:divBdr>
        <w:top w:val="none" w:sz="0" w:space="0" w:color="auto"/>
        <w:left w:val="none" w:sz="0" w:space="0" w:color="auto"/>
        <w:bottom w:val="none" w:sz="0" w:space="0" w:color="auto"/>
        <w:right w:val="none" w:sz="0" w:space="0" w:color="auto"/>
      </w:divBdr>
    </w:div>
    <w:div w:id="154339397">
      <w:bodyDiv w:val="1"/>
      <w:marLeft w:val="0"/>
      <w:marRight w:val="0"/>
      <w:marTop w:val="0"/>
      <w:marBottom w:val="0"/>
      <w:divBdr>
        <w:top w:val="none" w:sz="0" w:space="0" w:color="auto"/>
        <w:left w:val="none" w:sz="0" w:space="0" w:color="auto"/>
        <w:bottom w:val="none" w:sz="0" w:space="0" w:color="auto"/>
        <w:right w:val="none" w:sz="0" w:space="0" w:color="auto"/>
      </w:divBdr>
    </w:div>
    <w:div w:id="158153838">
      <w:bodyDiv w:val="1"/>
      <w:marLeft w:val="0"/>
      <w:marRight w:val="0"/>
      <w:marTop w:val="0"/>
      <w:marBottom w:val="0"/>
      <w:divBdr>
        <w:top w:val="none" w:sz="0" w:space="0" w:color="auto"/>
        <w:left w:val="none" w:sz="0" w:space="0" w:color="auto"/>
        <w:bottom w:val="none" w:sz="0" w:space="0" w:color="auto"/>
        <w:right w:val="none" w:sz="0" w:space="0" w:color="auto"/>
      </w:divBdr>
    </w:div>
    <w:div w:id="159658103">
      <w:bodyDiv w:val="1"/>
      <w:marLeft w:val="375"/>
      <w:marRight w:val="0"/>
      <w:marTop w:val="375"/>
      <w:marBottom w:val="0"/>
      <w:divBdr>
        <w:top w:val="none" w:sz="0" w:space="0" w:color="auto"/>
        <w:left w:val="none" w:sz="0" w:space="0" w:color="auto"/>
        <w:bottom w:val="none" w:sz="0" w:space="0" w:color="auto"/>
        <w:right w:val="none" w:sz="0" w:space="0" w:color="auto"/>
      </w:divBdr>
      <w:divsChild>
        <w:div w:id="210728417">
          <w:marLeft w:val="0"/>
          <w:marRight w:val="0"/>
          <w:marTop w:val="0"/>
          <w:marBottom w:val="0"/>
          <w:divBdr>
            <w:top w:val="none" w:sz="0" w:space="0" w:color="auto"/>
            <w:left w:val="none" w:sz="0" w:space="0" w:color="auto"/>
            <w:bottom w:val="none" w:sz="0" w:space="0" w:color="auto"/>
            <w:right w:val="none" w:sz="0" w:space="0" w:color="auto"/>
          </w:divBdr>
        </w:div>
        <w:div w:id="546725233">
          <w:marLeft w:val="0"/>
          <w:marRight w:val="0"/>
          <w:marTop w:val="0"/>
          <w:marBottom w:val="0"/>
          <w:divBdr>
            <w:top w:val="none" w:sz="0" w:space="0" w:color="auto"/>
            <w:left w:val="none" w:sz="0" w:space="0" w:color="auto"/>
            <w:bottom w:val="none" w:sz="0" w:space="0" w:color="auto"/>
            <w:right w:val="none" w:sz="0" w:space="0" w:color="auto"/>
          </w:divBdr>
        </w:div>
        <w:div w:id="783427607">
          <w:marLeft w:val="0"/>
          <w:marRight w:val="0"/>
          <w:marTop w:val="0"/>
          <w:marBottom w:val="0"/>
          <w:divBdr>
            <w:top w:val="none" w:sz="0" w:space="0" w:color="auto"/>
            <w:left w:val="none" w:sz="0" w:space="0" w:color="auto"/>
            <w:bottom w:val="none" w:sz="0" w:space="0" w:color="auto"/>
            <w:right w:val="none" w:sz="0" w:space="0" w:color="auto"/>
          </w:divBdr>
        </w:div>
        <w:div w:id="1628274470">
          <w:marLeft w:val="0"/>
          <w:marRight w:val="0"/>
          <w:marTop w:val="0"/>
          <w:marBottom w:val="0"/>
          <w:divBdr>
            <w:top w:val="none" w:sz="0" w:space="0" w:color="auto"/>
            <w:left w:val="none" w:sz="0" w:space="0" w:color="auto"/>
            <w:bottom w:val="none" w:sz="0" w:space="0" w:color="auto"/>
            <w:right w:val="none" w:sz="0" w:space="0" w:color="auto"/>
          </w:divBdr>
        </w:div>
        <w:div w:id="1787843222">
          <w:marLeft w:val="0"/>
          <w:marRight w:val="0"/>
          <w:marTop w:val="0"/>
          <w:marBottom w:val="0"/>
          <w:divBdr>
            <w:top w:val="none" w:sz="0" w:space="0" w:color="auto"/>
            <w:left w:val="none" w:sz="0" w:space="0" w:color="auto"/>
            <w:bottom w:val="none" w:sz="0" w:space="0" w:color="auto"/>
            <w:right w:val="none" w:sz="0" w:space="0" w:color="auto"/>
          </w:divBdr>
        </w:div>
        <w:div w:id="1878275794">
          <w:marLeft w:val="0"/>
          <w:marRight w:val="0"/>
          <w:marTop w:val="0"/>
          <w:marBottom w:val="0"/>
          <w:divBdr>
            <w:top w:val="none" w:sz="0" w:space="0" w:color="auto"/>
            <w:left w:val="none" w:sz="0" w:space="0" w:color="auto"/>
            <w:bottom w:val="none" w:sz="0" w:space="0" w:color="auto"/>
            <w:right w:val="none" w:sz="0" w:space="0" w:color="auto"/>
          </w:divBdr>
        </w:div>
        <w:div w:id="1950548379">
          <w:marLeft w:val="0"/>
          <w:marRight w:val="0"/>
          <w:marTop w:val="0"/>
          <w:marBottom w:val="0"/>
          <w:divBdr>
            <w:top w:val="none" w:sz="0" w:space="0" w:color="auto"/>
            <w:left w:val="none" w:sz="0" w:space="0" w:color="auto"/>
            <w:bottom w:val="none" w:sz="0" w:space="0" w:color="auto"/>
            <w:right w:val="none" w:sz="0" w:space="0" w:color="auto"/>
          </w:divBdr>
        </w:div>
      </w:divsChild>
    </w:div>
    <w:div w:id="160628870">
      <w:bodyDiv w:val="1"/>
      <w:marLeft w:val="0"/>
      <w:marRight w:val="0"/>
      <w:marTop w:val="0"/>
      <w:marBottom w:val="0"/>
      <w:divBdr>
        <w:top w:val="none" w:sz="0" w:space="0" w:color="auto"/>
        <w:left w:val="none" w:sz="0" w:space="0" w:color="auto"/>
        <w:bottom w:val="none" w:sz="0" w:space="0" w:color="auto"/>
        <w:right w:val="none" w:sz="0" w:space="0" w:color="auto"/>
      </w:divBdr>
    </w:div>
    <w:div w:id="165872873">
      <w:bodyDiv w:val="1"/>
      <w:marLeft w:val="0"/>
      <w:marRight w:val="0"/>
      <w:marTop w:val="0"/>
      <w:marBottom w:val="0"/>
      <w:divBdr>
        <w:top w:val="none" w:sz="0" w:space="0" w:color="auto"/>
        <w:left w:val="none" w:sz="0" w:space="0" w:color="auto"/>
        <w:bottom w:val="none" w:sz="0" w:space="0" w:color="auto"/>
        <w:right w:val="none" w:sz="0" w:space="0" w:color="auto"/>
      </w:divBdr>
    </w:div>
    <w:div w:id="167214462">
      <w:bodyDiv w:val="1"/>
      <w:marLeft w:val="0"/>
      <w:marRight w:val="0"/>
      <w:marTop w:val="0"/>
      <w:marBottom w:val="0"/>
      <w:divBdr>
        <w:top w:val="none" w:sz="0" w:space="0" w:color="auto"/>
        <w:left w:val="none" w:sz="0" w:space="0" w:color="auto"/>
        <w:bottom w:val="none" w:sz="0" w:space="0" w:color="auto"/>
        <w:right w:val="none" w:sz="0" w:space="0" w:color="auto"/>
      </w:divBdr>
    </w:div>
    <w:div w:id="167523251">
      <w:bodyDiv w:val="1"/>
      <w:marLeft w:val="0"/>
      <w:marRight w:val="0"/>
      <w:marTop w:val="0"/>
      <w:marBottom w:val="0"/>
      <w:divBdr>
        <w:top w:val="none" w:sz="0" w:space="0" w:color="auto"/>
        <w:left w:val="none" w:sz="0" w:space="0" w:color="auto"/>
        <w:bottom w:val="none" w:sz="0" w:space="0" w:color="auto"/>
        <w:right w:val="none" w:sz="0" w:space="0" w:color="auto"/>
      </w:divBdr>
    </w:div>
    <w:div w:id="168838517">
      <w:bodyDiv w:val="1"/>
      <w:marLeft w:val="0"/>
      <w:marRight w:val="0"/>
      <w:marTop w:val="0"/>
      <w:marBottom w:val="0"/>
      <w:divBdr>
        <w:top w:val="none" w:sz="0" w:space="0" w:color="auto"/>
        <w:left w:val="none" w:sz="0" w:space="0" w:color="auto"/>
        <w:bottom w:val="none" w:sz="0" w:space="0" w:color="auto"/>
        <w:right w:val="none" w:sz="0" w:space="0" w:color="auto"/>
      </w:divBdr>
    </w:div>
    <w:div w:id="170419172">
      <w:bodyDiv w:val="1"/>
      <w:marLeft w:val="0"/>
      <w:marRight w:val="0"/>
      <w:marTop w:val="0"/>
      <w:marBottom w:val="0"/>
      <w:divBdr>
        <w:top w:val="none" w:sz="0" w:space="0" w:color="auto"/>
        <w:left w:val="none" w:sz="0" w:space="0" w:color="auto"/>
        <w:bottom w:val="none" w:sz="0" w:space="0" w:color="auto"/>
        <w:right w:val="none" w:sz="0" w:space="0" w:color="auto"/>
      </w:divBdr>
    </w:div>
    <w:div w:id="176310845">
      <w:bodyDiv w:val="1"/>
      <w:marLeft w:val="0"/>
      <w:marRight w:val="0"/>
      <w:marTop w:val="0"/>
      <w:marBottom w:val="0"/>
      <w:divBdr>
        <w:top w:val="none" w:sz="0" w:space="0" w:color="auto"/>
        <w:left w:val="none" w:sz="0" w:space="0" w:color="auto"/>
        <w:bottom w:val="none" w:sz="0" w:space="0" w:color="auto"/>
        <w:right w:val="none" w:sz="0" w:space="0" w:color="auto"/>
      </w:divBdr>
    </w:div>
    <w:div w:id="176620096">
      <w:bodyDiv w:val="1"/>
      <w:marLeft w:val="0"/>
      <w:marRight w:val="0"/>
      <w:marTop w:val="0"/>
      <w:marBottom w:val="0"/>
      <w:divBdr>
        <w:top w:val="none" w:sz="0" w:space="0" w:color="auto"/>
        <w:left w:val="none" w:sz="0" w:space="0" w:color="auto"/>
        <w:bottom w:val="none" w:sz="0" w:space="0" w:color="auto"/>
        <w:right w:val="none" w:sz="0" w:space="0" w:color="auto"/>
      </w:divBdr>
    </w:div>
    <w:div w:id="177625156">
      <w:bodyDiv w:val="1"/>
      <w:marLeft w:val="0"/>
      <w:marRight w:val="0"/>
      <w:marTop w:val="0"/>
      <w:marBottom w:val="0"/>
      <w:divBdr>
        <w:top w:val="none" w:sz="0" w:space="0" w:color="auto"/>
        <w:left w:val="none" w:sz="0" w:space="0" w:color="auto"/>
        <w:bottom w:val="none" w:sz="0" w:space="0" w:color="auto"/>
        <w:right w:val="none" w:sz="0" w:space="0" w:color="auto"/>
      </w:divBdr>
    </w:div>
    <w:div w:id="181170471">
      <w:bodyDiv w:val="1"/>
      <w:marLeft w:val="0"/>
      <w:marRight w:val="0"/>
      <w:marTop w:val="0"/>
      <w:marBottom w:val="0"/>
      <w:divBdr>
        <w:top w:val="none" w:sz="0" w:space="0" w:color="auto"/>
        <w:left w:val="none" w:sz="0" w:space="0" w:color="auto"/>
        <w:bottom w:val="none" w:sz="0" w:space="0" w:color="auto"/>
        <w:right w:val="none" w:sz="0" w:space="0" w:color="auto"/>
      </w:divBdr>
    </w:div>
    <w:div w:id="183205084">
      <w:bodyDiv w:val="1"/>
      <w:marLeft w:val="0"/>
      <w:marRight w:val="0"/>
      <w:marTop w:val="0"/>
      <w:marBottom w:val="0"/>
      <w:divBdr>
        <w:top w:val="none" w:sz="0" w:space="0" w:color="auto"/>
        <w:left w:val="none" w:sz="0" w:space="0" w:color="auto"/>
        <w:bottom w:val="none" w:sz="0" w:space="0" w:color="auto"/>
        <w:right w:val="none" w:sz="0" w:space="0" w:color="auto"/>
      </w:divBdr>
    </w:div>
    <w:div w:id="188613575">
      <w:bodyDiv w:val="1"/>
      <w:marLeft w:val="0"/>
      <w:marRight w:val="0"/>
      <w:marTop w:val="0"/>
      <w:marBottom w:val="0"/>
      <w:divBdr>
        <w:top w:val="none" w:sz="0" w:space="0" w:color="auto"/>
        <w:left w:val="none" w:sz="0" w:space="0" w:color="auto"/>
        <w:bottom w:val="none" w:sz="0" w:space="0" w:color="auto"/>
        <w:right w:val="none" w:sz="0" w:space="0" w:color="auto"/>
      </w:divBdr>
    </w:div>
    <w:div w:id="190267919">
      <w:bodyDiv w:val="1"/>
      <w:marLeft w:val="0"/>
      <w:marRight w:val="0"/>
      <w:marTop w:val="0"/>
      <w:marBottom w:val="0"/>
      <w:divBdr>
        <w:top w:val="none" w:sz="0" w:space="0" w:color="auto"/>
        <w:left w:val="none" w:sz="0" w:space="0" w:color="auto"/>
        <w:bottom w:val="none" w:sz="0" w:space="0" w:color="auto"/>
        <w:right w:val="none" w:sz="0" w:space="0" w:color="auto"/>
      </w:divBdr>
    </w:div>
    <w:div w:id="193425489">
      <w:bodyDiv w:val="1"/>
      <w:marLeft w:val="0"/>
      <w:marRight w:val="0"/>
      <w:marTop w:val="0"/>
      <w:marBottom w:val="0"/>
      <w:divBdr>
        <w:top w:val="none" w:sz="0" w:space="0" w:color="auto"/>
        <w:left w:val="none" w:sz="0" w:space="0" w:color="auto"/>
        <w:bottom w:val="none" w:sz="0" w:space="0" w:color="auto"/>
        <w:right w:val="none" w:sz="0" w:space="0" w:color="auto"/>
      </w:divBdr>
    </w:div>
    <w:div w:id="193466283">
      <w:bodyDiv w:val="1"/>
      <w:marLeft w:val="0"/>
      <w:marRight w:val="0"/>
      <w:marTop w:val="0"/>
      <w:marBottom w:val="0"/>
      <w:divBdr>
        <w:top w:val="none" w:sz="0" w:space="0" w:color="auto"/>
        <w:left w:val="none" w:sz="0" w:space="0" w:color="auto"/>
        <w:bottom w:val="none" w:sz="0" w:space="0" w:color="auto"/>
        <w:right w:val="none" w:sz="0" w:space="0" w:color="auto"/>
      </w:divBdr>
    </w:div>
    <w:div w:id="199365437">
      <w:bodyDiv w:val="1"/>
      <w:marLeft w:val="0"/>
      <w:marRight w:val="0"/>
      <w:marTop w:val="0"/>
      <w:marBottom w:val="0"/>
      <w:divBdr>
        <w:top w:val="none" w:sz="0" w:space="0" w:color="auto"/>
        <w:left w:val="none" w:sz="0" w:space="0" w:color="auto"/>
        <w:bottom w:val="none" w:sz="0" w:space="0" w:color="auto"/>
        <w:right w:val="none" w:sz="0" w:space="0" w:color="auto"/>
      </w:divBdr>
    </w:div>
    <w:div w:id="204568212">
      <w:bodyDiv w:val="1"/>
      <w:marLeft w:val="0"/>
      <w:marRight w:val="0"/>
      <w:marTop w:val="0"/>
      <w:marBottom w:val="0"/>
      <w:divBdr>
        <w:top w:val="none" w:sz="0" w:space="0" w:color="auto"/>
        <w:left w:val="none" w:sz="0" w:space="0" w:color="auto"/>
        <w:bottom w:val="none" w:sz="0" w:space="0" w:color="auto"/>
        <w:right w:val="none" w:sz="0" w:space="0" w:color="auto"/>
      </w:divBdr>
    </w:div>
    <w:div w:id="222181809">
      <w:bodyDiv w:val="1"/>
      <w:marLeft w:val="0"/>
      <w:marRight w:val="0"/>
      <w:marTop w:val="0"/>
      <w:marBottom w:val="0"/>
      <w:divBdr>
        <w:top w:val="none" w:sz="0" w:space="0" w:color="auto"/>
        <w:left w:val="none" w:sz="0" w:space="0" w:color="auto"/>
        <w:bottom w:val="none" w:sz="0" w:space="0" w:color="auto"/>
        <w:right w:val="none" w:sz="0" w:space="0" w:color="auto"/>
      </w:divBdr>
    </w:div>
    <w:div w:id="222520088">
      <w:bodyDiv w:val="1"/>
      <w:marLeft w:val="0"/>
      <w:marRight w:val="0"/>
      <w:marTop w:val="0"/>
      <w:marBottom w:val="0"/>
      <w:divBdr>
        <w:top w:val="none" w:sz="0" w:space="0" w:color="auto"/>
        <w:left w:val="none" w:sz="0" w:space="0" w:color="auto"/>
        <w:bottom w:val="none" w:sz="0" w:space="0" w:color="auto"/>
        <w:right w:val="none" w:sz="0" w:space="0" w:color="auto"/>
      </w:divBdr>
    </w:div>
    <w:div w:id="223490894">
      <w:bodyDiv w:val="1"/>
      <w:marLeft w:val="0"/>
      <w:marRight w:val="0"/>
      <w:marTop w:val="0"/>
      <w:marBottom w:val="0"/>
      <w:divBdr>
        <w:top w:val="none" w:sz="0" w:space="0" w:color="auto"/>
        <w:left w:val="none" w:sz="0" w:space="0" w:color="auto"/>
        <w:bottom w:val="none" w:sz="0" w:space="0" w:color="auto"/>
        <w:right w:val="none" w:sz="0" w:space="0" w:color="auto"/>
      </w:divBdr>
    </w:div>
    <w:div w:id="223571589">
      <w:bodyDiv w:val="1"/>
      <w:marLeft w:val="0"/>
      <w:marRight w:val="0"/>
      <w:marTop w:val="0"/>
      <w:marBottom w:val="0"/>
      <w:divBdr>
        <w:top w:val="none" w:sz="0" w:space="0" w:color="auto"/>
        <w:left w:val="none" w:sz="0" w:space="0" w:color="auto"/>
        <w:bottom w:val="none" w:sz="0" w:space="0" w:color="auto"/>
        <w:right w:val="none" w:sz="0" w:space="0" w:color="auto"/>
      </w:divBdr>
    </w:div>
    <w:div w:id="225337919">
      <w:bodyDiv w:val="1"/>
      <w:marLeft w:val="0"/>
      <w:marRight w:val="0"/>
      <w:marTop w:val="0"/>
      <w:marBottom w:val="0"/>
      <w:divBdr>
        <w:top w:val="none" w:sz="0" w:space="0" w:color="auto"/>
        <w:left w:val="none" w:sz="0" w:space="0" w:color="auto"/>
        <w:bottom w:val="none" w:sz="0" w:space="0" w:color="auto"/>
        <w:right w:val="none" w:sz="0" w:space="0" w:color="auto"/>
      </w:divBdr>
    </w:div>
    <w:div w:id="226846439">
      <w:bodyDiv w:val="1"/>
      <w:marLeft w:val="0"/>
      <w:marRight w:val="0"/>
      <w:marTop w:val="0"/>
      <w:marBottom w:val="0"/>
      <w:divBdr>
        <w:top w:val="none" w:sz="0" w:space="0" w:color="auto"/>
        <w:left w:val="none" w:sz="0" w:space="0" w:color="auto"/>
        <w:bottom w:val="none" w:sz="0" w:space="0" w:color="auto"/>
        <w:right w:val="none" w:sz="0" w:space="0" w:color="auto"/>
      </w:divBdr>
    </w:div>
    <w:div w:id="230043792">
      <w:bodyDiv w:val="1"/>
      <w:marLeft w:val="0"/>
      <w:marRight w:val="0"/>
      <w:marTop w:val="0"/>
      <w:marBottom w:val="0"/>
      <w:divBdr>
        <w:top w:val="none" w:sz="0" w:space="0" w:color="auto"/>
        <w:left w:val="none" w:sz="0" w:space="0" w:color="auto"/>
        <w:bottom w:val="none" w:sz="0" w:space="0" w:color="auto"/>
        <w:right w:val="none" w:sz="0" w:space="0" w:color="auto"/>
      </w:divBdr>
    </w:div>
    <w:div w:id="230431830">
      <w:bodyDiv w:val="1"/>
      <w:marLeft w:val="0"/>
      <w:marRight w:val="0"/>
      <w:marTop w:val="0"/>
      <w:marBottom w:val="0"/>
      <w:divBdr>
        <w:top w:val="none" w:sz="0" w:space="0" w:color="auto"/>
        <w:left w:val="none" w:sz="0" w:space="0" w:color="auto"/>
        <w:bottom w:val="none" w:sz="0" w:space="0" w:color="auto"/>
        <w:right w:val="none" w:sz="0" w:space="0" w:color="auto"/>
      </w:divBdr>
    </w:div>
    <w:div w:id="232132022">
      <w:bodyDiv w:val="1"/>
      <w:marLeft w:val="0"/>
      <w:marRight w:val="0"/>
      <w:marTop w:val="0"/>
      <w:marBottom w:val="0"/>
      <w:divBdr>
        <w:top w:val="none" w:sz="0" w:space="0" w:color="auto"/>
        <w:left w:val="none" w:sz="0" w:space="0" w:color="auto"/>
        <w:bottom w:val="none" w:sz="0" w:space="0" w:color="auto"/>
        <w:right w:val="none" w:sz="0" w:space="0" w:color="auto"/>
      </w:divBdr>
    </w:div>
    <w:div w:id="235822154">
      <w:bodyDiv w:val="1"/>
      <w:marLeft w:val="0"/>
      <w:marRight w:val="0"/>
      <w:marTop w:val="0"/>
      <w:marBottom w:val="0"/>
      <w:divBdr>
        <w:top w:val="none" w:sz="0" w:space="0" w:color="auto"/>
        <w:left w:val="none" w:sz="0" w:space="0" w:color="auto"/>
        <w:bottom w:val="none" w:sz="0" w:space="0" w:color="auto"/>
        <w:right w:val="none" w:sz="0" w:space="0" w:color="auto"/>
      </w:divBdr>
    </w:div>
    <w:div w:id="238447849">
      <w:bodyDiv w:val="1"/>
      <w:marLeft w:val="0"/>
      <w:marRight w:val="0"/>
      <w:marTop w:val="0"/>
      <w:marBottom w:val="0"/>
      <w:divBdr>
        <w:top w:val="none" w:sz="0" w:space="0" w:color="auto"/>
        <w:left w:val="none" w:sz="0" w:space="0" w:color="auto"/>
        <w:bottom w:val="none" w:sz="0" w:space="0" w:color="auto"/>
        <w:right w:val="none" w:sz="0" w:space="0" w:color="auto"/>
      </w:divBdr>
    </w:div>
    <w:div w:id="240720576">
      <w:bodyDiv w:val="1"/>
      <w:marLeft w:val="0"/>
      <w:marRight w:val="0"/>
      <w:marTop w:val="0"/>
      <w:marBottom w:val="0"/>
      <w:divBdr>
        <w:top w:val="none" w:sz="0" w:space="0" w:color="auto"/>
        <w:left w:val="none" w:sz="0" w:space="0" w:color="auto"/>
        <w:bottom w:val="none" w:sz="0" w:space="0" w:color="auto"/>
        <w:right w:val="none" w:sz="0" w:space="0" w:color="auto"/>
      </w:divBdr>
    </w:div>
    <w:div w:id="246428352">
      <w:bodyDiv w:val="1"/>
      <w:marLeft w:val="0"/>
      <w:marRight w:val="0"/>
      <w:marTop w:val="0"/>
      <w:marBottom w:val="0"/>
      <w:divBdr>
        <w:top w:val="none" w:sz="0" w:space="0" w:color="auto"/>
        <w:left w:val="none" w:sz="0" w:space="0" w:color="auto"/>
        <w:bottom w:val="none" w:sz="0" w:space="0" w:color="auto"/>
        <w:right w:val="none" w:sz="0" w:space="0" w:color="auto"/>
      </w:divBdr>
    </w:div>
    <w:div w:id="251477656">
      <w:bodyDiv w:val="1"/>
      <w:marLeft w:val="0"/>
      <w:marRight w:val="0"/>
      <w:marTop w:val="0"/>
      <w:marBottom w:val="0"/>
      <w:divBdr>
        <w:top w:val="none" w:sz="0" w:space="0" w:color="auto"/>
        <w:left w:val="none" w:sz="0" w:space="0" w:color="auto"/>
        <w:bottom w:val="none" w:sz="0" w:space="0" w:color="auto"/>
        <w:right w:val="none" w:sz="0" w:space="0" w:color="auto"/>
      </w:divBdr>
    </w:div>
    <w:div w:id="253902243">
      <w:bodyDiv w:val="1"/>
      <w:marLeft w:val="0"/>
      <w:marRight w:val="0"/>
      <w:marTop w:val="0"/>
      <w:marBottom w:val="0"/>
      <w:divBdr>
        <w:top w:val="none" w:sz="0" w:space="0" w:color="auto"/>
        <w:left w:val="none" w:sz="0" w:space="0" w:color="auto"/>
        <w:bottom w:val="none" w:sz="0" w:space="0" w:color="auto"/>
        <w:right w:val="none" w:sz="0" w:space="0" w:color="auto"/>
      </w:divBdr>
    </w:div>
    <w:div w:id="254094857">
      <w:bodyDiv w:val="1"/>
      <w:marLeft w:val="0"/>
      <w:marRight w:val="0"/>
      <w:marTop w:val="0"/>
      <w:marBottom w:val="0"/>
      <w:divBdr>
        <w:top w:val="none" w:sz="0" w:space="0" w:color="auto"/>
        <w:left w:val="none" w:sz="0" w:space="0" w:color="auto"/>
        <w:bottom w:val="none" w:sz="0" w:space="0" w:color="auto"/>
        <w:right w:val="none" w:sz="0" w:space="0" w:color="auto"/>
      </w:divBdr>
    </w:div>
    <w:div w:id="256256170">
      <w:bodyDiv w:val="1"/>
      <w:marLeft w:val="0"/>
      <w:marRight w:val="0"/>
      <w:marTop w:val="0"/>
      <w:marBottom w:val="0"/>
      <w:divBdr>
        <w:top w:val="none" w:sz="0" w:space="0" w:color="auto"/>
        <w:left w:val="none" w:sz="0" w:space="0" w:color="auto"/>
        <w:bottom w:val="none" w:sz="0" w:space="0" w:color="auto"/>
        <w:right w:val="none" w:sz="0" w:space="0" w:color="auto"/>
      </w:divBdr>
    </w:div>
    <w:div w:id="259988223">
      <w:bodyDiv w:val="1"/>
      <w:marLeft w:val="0"/>
      <w:marRight w:val="0"/>
      <w:marTop w:val="0"/>
      <w:marBottom w:val="0"/>
      <w:divBdr>
        <w:top w:val="none" w:sz="0" w:space="0" w:color="auto"/>
        <w:left w:val="none" w:sz="0" w:space="0" w:color="auto"/>
        <w:bottom w:val="none" w:sz="0" w:space="0" w:color="auto"/>
        <w:right w:val="none" w:sz="0" w:space="0" w:color="auto"/>
      </w:divBdr>
    </w:div>
    <w:div w:id="260571422">
      <w:bodyDiv w:val="1"/>
      <w:marLeft w:val="0"/>
      <w:marRight w:val="0"/>
      <w:marTop w:val="0"/>
      <w:marBottom w:val="0"/>
      <w:divBdr>
        <w:top w:val="none" w:sz="0" w:space="0" w:color="auto"/>
        <w:left w:val="none" w:sz="0" w:space="0" w:color="auto"/>
        <w:bottom w:val="none" w:sz="0" w:space="0" w:color="auto"/>
        <w:right w:val="none" w:sz="0" w:space="0" w:color="auto"/>
      </w:divBdr>
    </w:div>
    <w:div w:id="262228837">
      <w:bodyDiv w:val="1"/>
      <w:marLeft w:val="0"/>
      <w:marRight w:val="0"/>
      <w:marTop w:val="0"/>
      <w:marBottom w:val="0"/>
      <w:divBdr>
        <w:top w:val="none" w:sz="0" w:space="0" w:color="auto"/>
        <w:left w:val="none" w:sz="0" w:space="0" w:color="auto"/>
        <w:bottom w:val="none" w:sz="0" w:space="0" w:color="auto"/>
        <w:right w:val="none" w:sz="0" w:space="0" w:color="auto"/>
      </w:divBdr>
    </w:div>
    <w:div w:id="264046760">
      <w:bodyDiv w:val="1"/>
      <w:marLeft w:val="0"/>
      <w:marRight w:val="0"/>
      <w:marTop w:val="0"/>
      <w:marBottom w:val="0"/>
      <w:divBdr>
        <w:top w:val="none" w:sz="0" w:space="0" w:color="auto"/>
        <w:left w:val="none" w:sz="0" w:space="0" w:color="auto"/>
        <w:bottom w:val="none" w:sz="0" w:space="0" w:color="auto"/>
        <w:right w:val="none" w:sz="0" w:space="0" w:color="auto"/>
      </w:divBdr>
    </w:div>
    <w:div w:id="267782014">
      <w:bodyDiv w:val="1"/>
      <w:marLeft w:val="0"/>
      <w:marRight w:val="0"/>
      <w:marTop w:val="0"/>
      <w:marBottom w:val="0"/>
      <w:divBdr>
        <w:top w:val="none" w:sz="0" w:space="0" w:color="auto"/>
        <w:left w:val="none" w:sz="0" w:space="0" w:color="auto"/>
        <w:bottom w:val="none" w:sz="0" w:space="0" w:color="auto"/>
        <w:right w:val="none" w:sz="0" w:space="0" w:color="auto"/>
      </w:divBdr>
    </w:div>
    <w:div w:id="268782246">
      <w:bodyDiv w:val="1"/>
      <w:marLeft w:val="0"/>
      <w:marRight w:val="0"/>
      <w:marTop w:val="0"/>
      <w:marBottom w:val="0"/>
      <w:divBdr>
        <w:top w:val="none" w:sz="0" w:space="0" w:color="auto"/>
        <w:left w:val="none" w:sz="0" w:space="0" w:color="auto"/>
        <w:bottom w:val="none" w:sz="0" w:space="0" w:color="auto"/>
        <w:right w:val="none" w:sz="0" w:space="0" w:color="auto"/>
      </w:divBdr>
    </w:div>
    <w:div w:id="272983624">
      <w:bodyDiv w:val="1"/>
      <w:marLeft w:val="0"/>
      <w:marRight w:val="0"/>
      <w:marTop w:val="0"/>
      <w:marBottom w:val="0"/>
      <w:divBdr>
        <w:top w:val="none" w:sz="0" w:space="0" w:color="auto"/>
        <w:left w:val="none" w:sz="0" w:space="0" w:color="auto"/>
        <w:bottom w:val="none" w:sz="0" w:space="0" w:color="auto"/>
        <w:right w:val="none" w:sz="0" w:space="0" w:color="auto"/>
      </w:divBdr>
    </w:div>
    <w:div w:id="278535304">
      <w:bodyDiv w:val="1"/>
      <w:marLeft w:val="0"/>
      <w:marRight w:val="0"/>
      <w:marTop w:val="0"/>
      <w:marBottom w:val="0"/>
      <w:divBdr>
        <w:top w:val="none" w:sz="0" w:space="0" w:color="auto"/>
        <w:left w:val="none" w:sz="0" w:space="0" w:color="auto"/>
        <w:bottom w:val="none" w:sz="0" w:space="0" w:color="auto"/>
        <w:right w:val="none" w:sz="0" w:space="0" w:color="auto"/>
      </w:divBdr>
    </w:div>
    <w:div w:id="278607833">
      <w:bodyDiv w:val="1"/>
      <w:marLeft w:val="0"/>
      <w:marRight w:val="0"/>
      <w:marTop w:val="0"/>
      <w:marBottom w:val="0"/>
      <w:divBdr>
        <w:top w:val="none" w:sz="0" w:space="0" w:color="auto"/>
        <w:left w:val="none" w:sz="0" w:space="0" w:color="auto"/>
        <w:bottom w:val="none" w:sz="0" w:space="0" w:color="auto"/>
        <w:right w:val="none" w:sz="0" w:space="0" w:color="auto"/>
      </w:divBdr>
    </w:div>
    <w:div w:id="280259051">
      <w:bodyDiv w:val="1"/>
      <w:marLeft w:val="0"/>
      <w:marRight w:val="0"/>
      <w:marTop w:val="0"/>
      <w:marBottom w:val="0"/>
      <w:divBdr>
        <w:top w:val="none" w:sz="0" w:space="0" w:color="auto"/>
        <w:left w:val="none" w:sz="0" w:space="0" w:color="auto"/>
        <w:bottom w:val="none" w:sz="0" w:space="0" w:color="auto"/>
        <w:right w:val="none" w:sz="0" w:space="0" w:color="auto"/>
      </w:divBdr>
    </w:div>
    <w:div w:id="281419880">
      <w:bodyDiv w:val="1"/>
      <w:marLeft w:val="0"/>
      <w:marRight w:val="0"/>
      <w:marTop w:val="0"/>
      <w:marBottom w:val="0"/>
      <w:divBdr>
        <w:top w:val="none" w:sz="0" w:space="0" w:color="auto"/>
        <w:left w:val="none" w:sz="0" w:space="0" w:color="auto"/>
        <w:bottom w:val="none" w:sz="0" w:space="0" w:color="auto"/>
        <w:right w:val="none" w:sz="0" w:space="0" w:color="auto"/>
      </w:divBdr>
    </w:div>
    <w:div w:id="294915528">
      <w:bodyDiv w:val="1"/>
      <w:marLeft w:val="0"/>
      <w:marRight w:val="0"/>
      <w:marTop w:val="0"/>
      <w:marBottom w:val="0"/>
      <w:divBdr>
        <w:top w:val="none" w:sz="0" w:space="0" w:color="auto"/>
        <w:left w:val="none" w:sz="0" w:space="0" w:color="auto"/>
        <w:bottom w:val="none" w:sz="0" w:space="0" w:color="auto"/>
        <w:right w:val="none" w:sz="0" w:space="0" w:color="auto"/>
      </w:divBdr>
      <w:divsChild>
        <w:div w:id="1065495055">
          <w:marLeft w:val="0"/>
          <w:marRight w:val="0"/>
          <w:marTop w:val="0"/>
          <w:marBottom w:val="0"/>
          <w:divBdr>
            <w:top w:val="none" w:sz="0" w:space="0" w:color="auto"/>
            <w:left w:val="none" w:sz="0" w:space="0" w:color="auto"/>
            <w:bottom w:val="none" w:sz="0" w:space="0" w:color="auto"/>
            <w:right w:val="none" w:sz="0" w:space="0" w:color="auto"/>
          </w:divBdr>
          <w:divsChild>
            <w:div w:id="22290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968155">
      <w:bodyDiv w:val="1"/>
      <w:marLeft w:val="0"/>
      <w:marRight w:val="0"/>
      <w:marTop w:val="0"/>
      <w:marBottom w:val="0"/>
      <w:divBdr>
        <w:top w:val="none" w:sz="0" w:space="0" w:color="auto"/>
        <w:left w:val="none" w:sz="0" w:space="0" w:color="auto"/>
        <w:bottom w:val="none" w:sz="0" w:space="0" w:color="auto"/>
        <w:right w:val="none" w:sz="0" w:space="0" w:color="auto"/>
      </w:divBdr>
    </w:div>
    <w:div w:id="304051290">
      <w:bodyDiv w:val="1"/>
      <w:marLeft w:val="0"/>
      <w:marRight w:val="0"/>
      <w:marTop w:val="0"/>
      <w:marBottom w:val="0"/>
      <w:divBdr>
        <w:top w:val="none" w:sz="0" w:space="0" w:color="auto"/>
        <w:left w:val="none" w:sz="0" w:space="0" w:color="auto"/>
        <w:bottom w:val="none" w:sz="0" w:space="0" w:color="auto"/>
        <w:right w:val="none" w:sz="0" w:space="0" w:color="auto"/>
      </w:divBdr>
    </w:div>
    <w:div w:id="305285770">
      <w:bodyDiv w:val="1"/>
      <w:marLeft w:val="0"/>
      <w:marRight w:val="0"/>
      <w:marTop w:val="0"/>
      <w:marBottom w:val="0"/>
      <w:divBdr>
        <w:top w:val="none" w:sz="0" w:space="0" w:color="auto"/>
        <w:left w:val="none" w:sz="0" w:space="0" w:color="auto"/>
        <w:bottom w:val="none" w:sz="0" w:space="0" w:color="auto"/>
        <w:right w:val="none" w:sz="0" w:space="0" w:color="auto"/>
      </w:divBdr>
    </w:div>
    <w:div w:id="307780312">
      <w:bodyDiv w:val="1"/>
      <w:marLeft w:val="0"/>
      <w:marRight w:val="0"/>
      <w:marTop w:val="0"/>
      <w:marBottom w:val="0"/>
      <w:divBdr>
        <w:top w:val="none" w:sz="0" w:space="0" w:color="auto"/>
        <w:left w:val="none" w:sz="0" w:space="0" w:color="auto"/>
        <w:bottom w:val="none" w:sz="0" w:space="0" w:color="auto"/>
        <w:right w:val="none" w:sz="0" w:space="0" w:color="auto"/>
      </w:divBdr>
    </w:div>
    <w:div w:id="311184098">
      <w:bodyDiv w:val="1"/>
      <w:marLeft w:val="0"/>
      <w:marRight w:val="0"/>
      <w:marTop w:val="0"/>
      <w:marBottom w:val="0"/>
      <w:divBdr>
        <w:top w:val="none" w:sz="0" w:space="0" w:color="auto"/>
        <w:left w:val="none" w:sz="0" w:space="0" w:color="auto"/>
        <w:bottom w:val="none" w:sz="0" w:space="0" w:color="auto"/>
        <w:right w:val="none" w:sz="0" w:space="0" w:color="auto"/>
      </w:divBdr>
    </w:div>
    <w:div w:id="314341517">
      <w:bodyDiv w:val="1"/>
      <w:marLeft w:val="0"/>
      <w:marRight w:val="0"/>
      <w:marTop w:val="0"/>
      <w:marBottom w:val="0"/>
      <w:divBdr>
        <w:top w:val="none" w:sz="0" w:space="0" w:color="auto"/>
        <w:left w:val="none" w:sz="0" w:space="0" w:color="auto"/>
        <w:bottom w:val="none" w:sz="0" w:space="0" w:color="auto"/>
        <w:right w:val="none" w:sz="0" w:space="0" w:color="auto"/>
      </w:divBdr>
    </w:div>
    <w:div w:id="319845840">
      <w:bodyDiv w:val="1"/>
      <w:marLeft w:val="0"/>
      <w:marRight w:val="0"/>
      <w:marTop w:val="0"/>
      <w:marBottom w:val="0"/>
      <w:divBdr>
        <w:top w:val="none" w:sz="0" w:space="0" w:color="auto"/>
        <w:left w:val="none" w:sz="0" w:space="0" w:color="auto"/>
        <w:bottom w:val="none" w:sz="0" w:space="0" w:color="auto"/>
        <w:right w:val="none" w:sz="0" w:space="0" w:color="auto"/>
      </w:divBdr>
    </w:div>
    <w:div w:id="321157501">
      <w:bodyDiv w:val="1"/>
      <w:marLeft w:val="0"/>
      <w:marRight w:val="0"/>
      <w:marTop w:val="0"/>
      <w:marBottom w:val="0"/>
      <w:divBdr>
        <w:top w:val="none" w:sz="0" w:space="0" w:color="auto"/>
        <w:left w:val="none" w:sz="0" w:space="0" w:color="auto"/>
        <w:bottom w:val="none" w:sz="0" w:space="0" w:color="auto"/>
        <w:right w:val="none" w:sz="0" w:space="0" w:color="auto"/>
      </w:divBdr>
    </w:div>
    <w:div w:id="321275650">
      <w:bodyDiv w:val="1"/>
      <w:marLeft w:val="0"/>
      <w:marRight w:val="0"/>
      <w:marTop w:val="0"/>
      <w:marBottom w:val="0"/>
      <w:divBdr>
        <w:top w:val="none" w:sz="0" w:space="0" w:color="auto"/>
        <w:left w:val="none" w:sz="0" w:space="0" w:color="auto"/>
        <w:bottom w:val="none" w:sz="0" w:space="0" w:color="auto"/>
        <w:right w:val="none" w:sz="0" w:space="0" w:color="auto"/>
      </w:divBdr>
    </w:div>
    <w:div w:id="321662636">
      <w:bodyDiv w:val="1"/>
      <w:marLeft w:val="0"/>
      <w:marRight w:val="0"/>
      <w:marTop w:val="0"/>
      <w:marBottom w:val="0"/>
      <w:divBdr>
        <w:top w:val="none" w:sz="0" w:space="0" w:color="auto"/>
        <w:left w:val="none" w:sz="0" w:space="0" w:color="auto"/>
        <w:bottom w:val="none" w:sz="0" w:space="0" w:color="auto"/>
        <w:right w:val="none" w:sz="0" w:space="0" w:color="auto"/>
      </w:divBdr>
    </w:div>
    <w:div w:id="323709498">
      <w:bodyDiv w:val="1"/>
      <w:marLeft w:val="0"/>
      <w:marRight w:val="0"/>
      <w:marTop w:val="0"/>
      <w:marBottom w:val="0"/>
      <w:divBdr>
        <w:top w:val="none" w:sz="0" w:space="0" w:color="auto"/>
        <w:left w:val="none" w:sz="0" w:space="0" w:color="auto"/>
        <w:bottom w:val="none" w:sz="0" w:space="0" w:color="auto"/>
        <w:right w:val="none" w:sz="0" w:space="0" w:color="auto"/>
      </w:divBdr>
    </w:div>
    <w:div w:id="324551874">
      <w:bodyDiv w:val="1"/>
      <w:marLeft w:val="0"/>
      <w:marRight w:val="0"/>
      <w:marTop w:val="0"/>
      <w:marBottom w:val="0"/>
      <w:divBdr>
        <w:top w:val="none" w:sz="0" w:space="0" w:color="auto"/>
        <w:left w:val="none" w:sz="0" w:space="0" w:color="auto"/>
        <w:bottom w:val="none" w:sz="0" w:space="0" w:color="auto"/>
        <w:right w:val="none" w:sz="0" w:space="0" w:color="auto"/>
      </w:divBdr>
    </w:div>
    <w:div w:id="324940524">
      <w:bodyDiv w:val="1"/>
      <w:marLeft w:val="0"/>
      <w:marRight w:val="0"/>
      <w:marTop w:val="0"/>
      <w:marBottom w:val="0"/>
      <w:divBdr>
        <w:top w:val="none" w:sz="0" w:space="0" w:color="auto"/>
        <w:left w:val="none" w:sz="0" w:space="0" w:color="auto"/>
        <w:bottom w:val="none" w:sz="0" w:space="0" w:color="auto"/>
        <w:right w:val="none" w:sz="0" w:space="0" w:color="auto"/>
      </w:divBdr>
    </w:div>
    <w:div w:id="325867878">
      <w:bodyDiv w:val="1"/>
      <w:marLeft w:val="0"/>
      <w:marRight w:val="0"/>
      <w:marTop w:val="0"/>
      <w:marBottom w:val="0"/>
      <w:divBdr>
        <w:top w:val="none" w:sz="0" w:space="0" w:color="auto"/>
        <w:left w:val="none" w:sz="0" w:space="0" w:color="auto"/>
        <w:bottom w:val="none" w:sz="0" w:space="0" w:color="auto"/>
        <w:right w:val="none" w:sz="0" w:space="0" w:color="auto"/>
      </w:divBdr>
    </w:div>
    <w:div w:id="326859491">
      <w:bodyDiv w:val="1"/>
      <w:marLeft w:val="0"/>
      <w:marRight w:val="0"/>
      <w:marTop w:val="0"/>
      <w:marBottom w:val="0"/>
      <w:divBdr>
        <w:top w:val="none" w:sz="0" w:space="0" w:color="auto"/>
        <w:left w:val="none" w:sz="0" w:space="0" w:color="auto"/>
        <w:bottom w:val="none" w:sz="0" w:space="0" w:color="auto"/>
        <w:right w:val="none" w:sz="0" w:space="0" w:color="auto"/>
      </w:divBdr>
    </w:div>
    <w:div w:id="332299194">
      <w:bodyDiv w:val="1"/>
      <w:marLeft w:val="0"/>
      <w:marRight w:val="0"/>
      <w:marTop w:val="0"/>
      <w:marBottom w:val="0"/>
      <w:divBdr>
        <w:top w:val="none" w:sz="0" w:space="0" w:color="auto"/>
        <w:left w:val="none" w:sz="0" w:space="0" w:color="auto"/>
        <w:bottom w:val="none" w:sz="0" w:space="0" w:color="auto"/>
        <w:right w:val="none" w:sz="0" w:space="0" w:color="auto"/>
      </w:divBdr>
    </w:div>
    <w:div w:id="333726506">
      <w:bodyDiv w:val="1"/>
      <w:marLeft w:val="0"/>
      <w:marRight w:val="0"/>
      <w:marTop w:val="0"/>
      <w:marBottom w:val="0"/>
      <w:divBdr>
        <w:top w:val="none" w:sz="0" w:space="0" w:color="auto"/>
        <w:left w:val="none" w:sz="0" w:space="0" w:color="auto"/>
        <w:bottom w:val="none" w:sz="0" w:space="0" w:color="auto"/>
        <w:right w:val="none" w:sz="0" w:space="0" w:color="auto"/>
      </w:divBdr>
    </w:div>
    <w:div w:id="334576574">
      <w:bodyDiv w:val="1"/>
      <w:marLeft w:val="0"/>
      <w:marRight w:val="0"/>
      <w:marTop w:val="0"/>
      <w:marBottom w:val="0"/>
      <w:divBdr>
        <w:top w:val="none" w:sz="0" w:space="0" w:color="auto"/>
        <w:left w:val="none" w:sz="0" w:space="0" w:color="auto"/>
        <w:bottom w:val="none" w:sz="0" w:space="0" w:color="auto"/>
        <w:right w:val="none" w:sz="0" w:space="0" w:color="auto"/>
      </w:divBdr>
    </w:div>
    <w:div w:id="336543498">
      <w:bodyDiv w:val="1"/>
      <w:marLeft w:val="0"/>
      <w:marRight w:val="0"/>
      <w:marTop w:val="0"/>
      <w:marBottom w:val="0"/>
      <w:divBdr>
        <w:top w:val="none" w:sz="0" w:space="0" w:color="auto"/>
        <w:left w:val="none" w:sz="0" w:space="0" w:color="auto"/>
        <w:bottom w:val="none" w:sz="0" w:space="0" w:color="auto"/>
        <w:right w:val="none" w:sz="0" w:space="0" w:color="auto"/>
      </w:divBdr>
    </w:div>
    <w:div w:id="339508173">
      <w:bodyDiv w:val="1"/>
      <w:marLeft w:val="0"/>
      <w:marRight w:val="0"/>
      <w:marTop w:val="0"/>
      <w:marBottom w:val="0"/>
      <w:divBdr>
        <w:top w:val="none" w:sz="0" w:space="0" w:color="auto"/>
        <w:left w:val="none" w:sz="0" w:space="0" w:color="auto"/>
        <w:bottom w:val="none" w:sz="0" w:space="0" w:color="auto"/>
        <w:right w:val="none" w:sz="0" w:space="0" w:color="auto"/>
      </w:divBdr>
    </w:div>
    <w:div w:id="343090206">
      <w:bodyDiv w:val="1"/>
      <w:marLeft w:val="0"/>
      <w:marRight w:val="0"/>
      <w:marTop w:val="0"/>
      <w:marBottom w:val="0"/>
      <w:divBdr>
        <w:top w:val="none" w:sz="0" w:space="0" w:color="auto"/>
        <w:left w:val="none" w:sz="0" w:space="0" w:color="auto"/>
        <w:bottom w:val="none" w:sz="0" w:space="0" w:color="auto"/>
        <w:right w:val="none" w:sz="0" w:space="0" w:color="auto"/>
      </w:divBdr>
    </w:div>
    <w:div w:id="349843770">
      <w:bodyDiv w:val="1"/>
      <w:marLeft w:val="0"/>
      <w:marRight w:val="0"/>
      <w:marTop w:val="0"/>
      <w:marBottom w:val="0"/>
      <w:divBdr>
        <w:top w:val="none" w:sz="0" w:space="0" w:color="auto"/>
        <w:left w:val="none" w:sz="0" w:space="0" w:color="auto"/>
        <w:bottom w:val="none" w:sz="0" w:space="0" w:color="auto"/>
        <w:right w:val="none" w:sz="0" w:space="0" w:color="auto"/>
      </w:divBdr>
    </w:div>
    <w:div w:id="355619538">
      <w:bodyDiv w:val="1"/>
      <w:marLeft w:val="0"/>
      <w:marRight w:val="0"/>
      <w:marTop w:val="0"/>
      <w:marBottom w:val="0"/>
      <w:divBdr>
        <w:top w:val="none" w:sz="0" w:space="0" w:color="auto"/>
        <w:left w:val="none" w:sz="0" w:space="0" w:color="auto"/>
        <w:bottom w:val="none" w:sz="0" w:space="0" w:color="auto"/>
        <w:right w:val="none" w:sz="0" w:space="0" w:color="auto"/>
      </w:divBdr>
    </w:div>
    <w:div w:id="358817829">
      <w:bodyDiv w:val="1"/>
      <w:marLeft w:val="0"/>
      <w:marRight w:val="0"/>
      <w:marTop w:val="0"/>
      <w:marBottom w:val="0"/>
      <w:divBdr>
        <w:top w:val="none" w:sz="0" w:space="0" w:color="auto"/>
        <w:left w:val="none" w:sz="0" w:space="0" w:color="auto"/>
        <w:bottom w:val="none" w:sz="0" w:space="0" w:color="auto"/>
        <w:right w:val="none" w:sz="0" w:space="0" w:color="auto"/>
      </w:divBdr>
    </w:div>
    <w:div w:id="361829986">
      <w:bodyDiv w:val="1"/>
      <w:marLeft w:val="0"/>
      <w:marRight w:val="0"/>
      <w:marTop w:val="0"/>
      <w:marBottom w:val="0"/>
      <w:divBdr>
        <w:top w:val="none" w:sz="0" w:space="0" w:color="auto"/>
        <w:left w:val="none" w:sz="0" w:space="0" w:color="auto"/>
        <w:bottom w:val="none" w:sz="0" w:space="0" w:color="auto"/>
        <w:right w:val="none" w:sz="0" w:space="0" w:color="auto"/>
      </w:divBdr>
    </w:div>
    <w:div w:id="367490469">
      <w:bodyDiv w:val="1"/>
      <w:marLeft w:val="0"/>
      <w:marRight w:val="0"/>
      <w:marTop w:val="0"/>
      <w:marBottom w:val="0"/>
      <w:divBdr>
        <w:top w:val="none" w:sz="0" w:space="0" w:color="auto"/>
        <w:left w:val="none" w:sz="0" w:space="0" w:color="auto"/>
        <w:bottom w:val="none" w:sz="0" w:space="0" w:color="auto"/>
        <w:right w:val="none" w:sz="0" w:space="0" w:color="auto"/>
      </w:divBdr>
    </w:div>
    <w:div w:id="372310918">
      <w:bodyDiv w:val="1"/>
      <w:marLeft w:val="0"/>
      <w:marRight w:val="0"/>
      <w:marTop w:val="0"/>
      <w:marBottom w:val="0"/>
      <w:divBdr>
        <w:top w:val="none" w:sz="0" w:space="0" w:color="auto"/>
        <w:left w:val="none" w:sz="0" w:space="0" w:color="auto"/>
        <w:bottom w:val="none" w:sz="0" w:space="0" w:color="auto"/>
        <w:right w:val="none" w:sz="0" w:space="0" w:color="auto"/>
      </w:divBdr>
    </w:div>
    <w:div w:id="372925091">
      <w:bodyDiv w:val="1"/>
      <w:marLeft w:val="0"/>
      <w:marRight w:val="0"/>
      <w:marTop w:val="0"/>
      <w:marBottom w:val="0"/>
      <w:divBdr>
        <w:top w:val="none" w:sz="0" w:space="0" w:color="auto"/>
        <w:left w:val="none" w:sz="0" w:space="0" w:color="auto"/>
        <w:bottom w:val="none" w:sz="0" w:space="0" w:color="auto"/>
        <w:right w:val="none" w:sz="0" w:space="0" w:color="auto"/>
      </w:divBdr>
    </w:div>
    <w:div w:id="376010270">
      <w:bodyDiv w:val="1"/>
      <w:marLeft w:val="0"/>
      <w:marRight w:val="0"/>
      <w:marTop w:val="0"/>
      <w:marBottom w:val="0"/>
      <w:divBdr>
        <w:top w:val="none" w:sz="0" w:space="0" w:color="auto"/>
        <w:left w:val="none" w:sz="0" w:space="0" w:color="auto"/>
        <w:bottom w:val="none" w:sz="0" w:space="0" w:color="auto"/>
        <w:right w:val="none" w:sz="0" w:space="0" w:color="auto"/>
      </w:divBdr>
    </w:div>
    <w:div w:id="377750138">
      <w:bodyDiv w:val="1"/>
      <w:marLeft w:val="0"/>
      <w:marRight w:val="0"/>
      <w:marTop w:val="0"/>
      <w:marBottom w:val="0"/>
      <w:divBdr>
        <w:top w:val="none" w:sz="0" w:space="0" w:color="auto"/>
        <w:left w:val="none" w:sz="0" w:space="0" w:color="auto"/>
        <w:bottom w:val="none" w:sz="0" w:space="0" w:color="auto"/>
        <w:right w:val="none" w:sz="0" w:space="0" w:color="auto"/>
      </w:divBdr>
    </w:div>
    <w:div w:id="383145911">
      <w:bodyDiv w:val="1"/>
      <w:marLeft w:val="0"/>
      <w:marRight w:val="0"/>
      <w:marTop w:val="0"/>
      <w:marBottom w:val="0"/>
      <w:divBdr>
        <w:top w:val="none" w:sz="0" w:space="0" w:color="auto"/>
        <w:left w:val="none" w:sz="0" w:space="0" w:color="auto"/>
        <w:bottom w:val="none" w:sz="0" w:space="0" w:color="auto"/>
        <w:right w:val="none" w:sz="0" w:space="0" w:color="auto"/>
      </w:divBdr>
    </w:div>
    <w:div w:id="383214895">
      <w:bodyDiv w:val="1"/>
      <w:marLeft w:val="0"/>
      <w:marRight w:val="0"/>
      <w:marTop w:val="0"/>
      <w:marBottom w:val="0"/>
      <w:divBdr>
        <w:top w:val="none" w:sz="0" w:space="0" w:color="auto"/>
        <w:left w:val="none" w:sz="0" w:space="0" w:color="auto"/>
        <w:bottom w:val="none" w:sz="0" w:space="0" w:color="auto"/>
        <w:right w:val="none" w:sz="0" w:space="0" w:color="auto"/>
      </w:divBdr>
    </w:div>
    <w:div w:id="386615380">
      <w:bodyDiv w:val="1"/>
      <w:marLeft w:val="0"/>
      <w:marRight w:val="0"/>
      <w:marTop w:val="0"/>
      <w:marBottom w:val="0"/>
      <w:divBdr>
        <w:top w:val="none" w:sz="0" w:space="0" w:color="auto"/>
        <w:left w:val="none" w:sz="0" w:space="0" w:color="auto"/>
        <w:bottom w:val="none" w:sz="0" w:space="0" w:color="auto"/>
        <w:right w:val="none" w:sz="0" w:space="0" w:color="auto"/>
      </w:divBdr>
    </w:div>
    <w:div w:id="387730535">
      <w:bodyDiv w:val="1"/>
      <w:marLeft w:val="0"/>
      <w:marRight w:val="0"/>
      <w:marTop w:val="0"/>
      <w:marBottom w:val="0"/>
      <w:divBdr>
        <w:top w:val="none" w:sz="0" w:space="0" w:color="auto"/>
        <w:left w:val="none" w:sz="0" w:space="0" w:color="auto"/>
        <w:bottom w:val="none" w:sz="0" w:space="0" w:color="auto"/>
        <w:right w:val="none" w:sz="0" w:space="0" w:color="auto"/>
      </w:divBdr>
    </w:div>
    <w:div w:id="390345095">
      <w:bodyDiv w:val="1"/>
      <w:marLeft w:val="0"/>
      <w:marRight w:val="0"/>
      <w:marTop w:val="0"/>
      <w:marBottom w:val="0"/>
      <w:divBdr>
        <w:top w:val="none" w:sz="0" w:space="0" w:color="auto"/>
        <w:left w:val="none" w:sz="0" w:space="0" w:color="auto"/>
        <w:bottom w:val="none" w:sz="0" w:space="0" w:color="auto"/>
        <w:right w:val="none" w:sz="0" w:space="0" w:color="auto"/>
      </w:divBdr>
    </w:div>
    <w:div w:id="390348987">
      <w:bodyDiv w:val="1"/>
      <w:marLeft w:val="0"/>
      <w:marRight w:val="0"/>
      <w:marTop w:val="0"/>
      <w:marBottom w:val="0"/>
      <w:divBdr>
        <w:top w:val="none" w:sz="0" w:space="0" w:color="auto"/>
        <w:left w:val="none" w:sz="0" w:space="0" w:color="auto"/>
        <w:bottom w:val="none" w:sz="0" w:space="0" w:color="auto"/>
        <w:right w:val="none" w:sz="0" w:space="0" w:color="auto"/>
      </w:divBdr>
    </w:div>
    <w:div w:id="394742686">
      <w:bodyDiv w:val="1"/>
      <w:marLeft w:val="0"/>
      <w:marRight w:val="0"/>
      <w:marTop w:val="0"/>
      <w:marBottom w:val="0"/>
      <w:divBdr>
        <w:top w:val="none" w:sz="0" w:space="0" w:color="auto"/>
        <w:left w:val="none" w:sz="0" w:space="0" w:color="auto"/>
        <w:bottom w:val="none" w:sz="0" w:space="0" w:color="auto"/>
        <w:right w:val="none" w:sz="0" w:space="0" w:color="auto"/>
      </w:divBdr>
    </w:div>
    <w:div w:id="399864740">
      <w:bodyDiv w:val="1"/>
      <w:marLeft w:val="0"/>
      <w:marRight w:val="0"/>
      <w:marTop w:val="0"/>
      <w:marBottom w:val="0"/>
      <w:divBdr>
        <w:top w:val="none" w:sz="0" w:space="0" w:color="auto"/>
        <w:left w:val="none" w:sz="0" w:space="0" w:color="auto"/>
        <w:bottom w:val="none" w:sz="0" w:space="0" w:color="auto"/>
        <w:right w:val="none" w:sz="0" w:space="0" w:color="auto"/>
      </w:divBdr>
    </w:div>
    <w:div w:id="402798180">
      <w:bodyDiv w:val="1"/>
      <w:marLeft w:val="0"/>
      <w:marRight w:val="0"/>
      <w:marTop w:val="0"/>
      <w:marBottom w:val="0"/>
      <w:divBdr>
        <w:top w:val="none" w:sz="0" w:space="0" w:color="auto"/>
        <w:left w:val="none" w:sz="0" w:space="0" w:color="auto"/>
        <w:bottom w:val="none" w:sz="0" w:space="0" w:color="auto"/>
        <w:right w:val="none" w:sz="0" w:space="0" w:color="auto"/>
      </w:divBdr>
    </w:div>
    <w:div w:id="404570836">
      <w:bodyDiv w:val="1"/>
      <w:marLeft w:val="0"/>
      <w:marRight w:val="0"/>
      <w:marTop w:val="0"/>
      <w:marBottom w:val="0"/>
      <w:divBdr>
        <w:top w:val="none" w:sz="0" w:space="0" w:color="auto"/>
        <w:left w:val="none" w:sz="0" w:space="0" w:color="auto"/>
        <w:bottom w:val="none" w:sz="0" w:space="0" w:color="auto"/>
        <w:right w:val="none" w:sz="0" w:space="0" w:color="auto"/>
      </w:divBdr>
    </w:div>
    <w:div w:id="406541755">
      <w:bodyDiv w:val="1"/>
      <w:marLeft w:val="0"/>
      <w:marRight w:val="0"/>
      <w:marTop w:val="0"/>
      <w:marBottom w:val="0"/>
      <w:divBdr>
        <w:top w:val="none" w:sz="0" w:space="0" w:color="auto"/>
        <w:left w:val="none" w:sz="0" w:space="0" w:color="auto"/>
        <w:bottom w:val="none" w:sz="0" w:space="0" w:color="auto"/>
        <w:right w:val="none" w:sz="0" w:space="0" w:color="auto"/>
      </w:divBdr>
    </w:div>
    <w:div w:id="412164034">
      <w:bodyDiv w:val="1"/>
      <w:marLeft w:val="0"/>
      <w:marRight w:val="0"/>
      <w:marTop w:val="0"/>
      <w:marBottom w:val="0"/>
      <w:divBdr>
        <w:top w:val="none" w:sz="0" w:space="0" w:color="auto"/>
        <w:left w:val="none" w:sz="0" w:space="0" w:color="auto"/>
        <w:bottom w:val="none" w:sz="0" w:space="0" w:color="auto"/>
        <w:right w:val="none" w:sz="0" w:space="0" w:color="auto"/>
      </w:divBdr>
    </w:div>
    <w:div w:id="424033255">
      <w:bodyDiv w:val="1"/>
      <w:marLeft w:val="0"/>
      <w:marRight w:val="0"/>
      <w:marTop w:val="0"/>
      <w:marBottom w:val="0"/>
      <w:divBdr>
        <w:top w:val="none" w:sz="0" w:space="0" w:color="auto"/>
        <w:left w:val="none" w:sz="0" w:space="0" w:color="auto"/>
        <w:bottom w:val="none" w:sz="0" w:space="0" w:color="auto"/>
        <w:right w:val="none" w:sz="0" w:space="0" w:color="auto"/>
      </w:divBdr>
    </w:div>
    <w:div w:id="428089286">
      <w:bodyDiv w:val="1"/>
      <w:marLeft w:val="0"/>
      <w:marRight w:val="0"/>
      <w:marTop w:val="0"/>
      <w:marBottom w:val="0"/>
      <w:divBdr>
        <w:top w:val="none" w:sz="0" w:space="0" w:color="auto"/>
        <w:left w:val="none" w:sz="0" w:space="0" w:color="auto"/>
        <w:bottom w:val="none" w:sz="0" w:space="0" w:color="auto"/>
        <w:right w:val="none" w:sz="0" w:space="0" w:color="auto"/>
      </w:divBdr>
    </w:div>
    <w:div w:id="428278080">
      <w:bodyDiv w:val="1"/>
      <w:marLeft w:val="0"/>
      <w:marRight w:val="0"/>
      <w:marTop w:val="0"/>
      <w:marBottom w:val="0"/>
      <w:divBdr>
        <w:top w:val="none" w:sz="0" w:space="0" w:color="auto"/>
        <w:left w:val="none" w:sz="0" w:space="0" w:color="auto"/>
        <w:bottom w:val="none" w:sz="0" w:space="0" w:color="auto"/>
        <w:right w:val="none" w:sz="0" w:space="0" w:color="auto"/>
      </w:divBdr>
    </w:div>
    <w:div w:id="439495226">
      <w:bodyDiv w:val="1"/>
      <w:marLeft w:val="0"/>
      <w:marRight w:val="0"/>
      <w:marTop w:val="0"/>
      <w:marBottom w:val="0"/>
      <w:divBdr>
        <w:top w:val="none" w:sz="0" w:space="0" w:color="auto"/>
        <w:left w:val="none" w:sz="0" w:space="0" w:color="auto"/>
        <w:bottom w:val="none" w:sz="0" w:space="0" w:color="auto"/>
        <w:right w:val="none" w:sz="0" w:space="0" w:color="auto"/>
      </w:divBdr>
    </w:div>
    <w:div w:id="439641006">
      <w:bodyDiv w:val="1"/>
      <w:marLeft w:val="0"/>
      <w:marRight w:val="0"/>
      <w:marTop w:val="0"/>
      <w:marBottom w:val="0"/>
      <w:divBdr>
        <w:top w:val="none" w:sz="0" w:space="0" w:color="auto"/>
        <w:left w:val="none" w:sz="0" w:space="0" w:color="auto"/>
        <w:bottom w:val="none" w:sz="0" w:space="0" w:color="auto"/>
        <w:right w:val="none" w:sz="0" w:space="0" w:color="auto"/>
      </w:divBdr>
    </w:div>
    <w:div w:id="448552607">
      <w:bodyDiv w:val="1"/>
      <w:marLeft w:val="0"/>
      <w:marRight w:val="0"/>
      <w:marTop w:val="0"/>
      <w:marBottom w:val="0"/>
      <w:divBdr>
        <w:top w:val="none" w:sz="0" w:space="0" w:color="auto"/>
        <w:left w:val="none" w:sz="0" w:space="0" w:color="auto"/>
        <w:bottom w:val="none" w:sz="0" w:space="0" w:color="auto"/>
        <w:right w:val="none" w:sz="0" w:space="0" w:color="auto"/>
      </w:divBdr>
    </w:div>
    <w:div w:id="451902256">
      <w:bodyDiv w:val="1"/>
      <w:marLeft w:val="0"/>
      <w:marRight w:val="0"/>
      <w:marTop w:val="0"/>
      <w:marBottom w:val="0"/>
      <w:divBdr>
        <w:top w:val="none" w:sz="0" w:space="0" w:color="auto"/>
        <w:left w:val="none" w:sz="0" w:space="0" w:color="auto"/>
        <w:bottom w:val="none" w:sz="0" w:space="0" w:color="auto"/>
        <w:right w:val="none" w:sz="0" w:space="0" w:color="auto"/>
      </w:divBdr>
    </w:div>
    <w:div w:id="460194916">
      <w:bodyDiv w:val="1"/>
      <w:marLeft w:val="0"/>
      <w:marRight w:val="0"/>
      <w:marTop w:val="0"/>
      <w:marBottom w:val="0"/>
      <w:divBdr>
        <w:top w:val="none" w:sz="0" w:space="0" w:color="auto"/>
        <w:left w:val="none" w:sz="0" w:space="0" w:color="auto"/>
        <w:bottom w:val="none" w:sz="0" w:space="0" w:color="auto"/>
        <w:right w:val="none" w:sz="0" w:space="0" w:color="auto"/>
      </w:divBdr>
    </w:div>
    <w:div w:id="465701509">
      <w:bodyDiv w:val="1"/>
      <w:marLeft w:val="0"/>
      <w:marRight w:val="0"/>
      <w:marTop w:val="0"/>
      <w:marBottom w:val="0"/>
      <w:divBdr>
        <w:top w:val="none" w:sz="0" w:space="0" w:color="auto"/>
        <w:left w:val="none" w:sz="0" w:space="0" w:color="auto"/>
        <w:bottom w:val="none" w:sz="0" w:space="0" w:color="auto"/>
        <w:right w:val="none" w:sz="0" w:space="0" w:color="auto"/>
      </w:divBdr>
    </w:div>
    <w:div w:id="477649178">
      <w:bodyDiv w:val="1"/>
      <w:marLeft w:val="0"/>
      <w:marRight w:val="0"/>
      <w:marTop w:val="0"/>
      <w:marBottom w:val="0"/>
      <w:divBdr>
        <w:top w:val="none" w:sz="0" w:space="0" w:color="auto"/>
        <w:left w:val="none" w:sz="0" w:space="0" w:color="auto"/>
        <w:bottom w:val="none" w:sz="0" w:space="0" w:color="auto"/>
        <w:right w:val="none" w:sz="0" w:space="0" w:color="auto"/>
      </w:divBdr>
    </w:div>
    <w:div w:id="479930742">
      <w:bodyDiv w:val="1"/>
      <w:marLeft w:val="0"/>
      <w:marRight w:val="0"/>
      <w:marTop w:val="0"/>
      <w:marBottom w:val="0"/>
      <w:divBdr>
        <w:top w:val="none" w:sz="0" w:space="0" w:color="auto"/>
        <w:left w:val="none" w:sz="0" w:space="0" w:color="auto"/>
        <w:bottom w:val="none" w:sz="0" w:space="0" w:color="auto"/>
        <w:right w:val="none" w:sz="0" w:space="0" w:color="auto"/>
      </w:divBdr>
    </w:div>
    <w:div w:id="479999768">
      <w:bodyDiv w:val="1"/>
      <w:marLeft w:val="0"/>
      <w:marRight w:val="0"/>
      <w:marTop w:val="0"/>
      <w:marBottom w:val="0"/>
      <w:divBdr>
        <w:top w:val="none" w:sz="0" w:space="0" w:color="auto"/>
        <w:left w:val="none" w:sz="0" w:space="0" w:color="auto"/>
        <w:bottom w:val="none" w:sz="0" w:space="0" w:color="auto"/>
        <w:right w:val="none" w:sz="0" w:space="0" w:color="auto"/>
      </w:divBdr>
    </w:div>
    <w:div w:id="484784997">
      <w:bodyDiv w:val="1"/>
      <w:marLeft w:val="0"/>
      <w:marRight w:val="0"/>
      <w:marTop w:val="0"/>
      <w:marBottom w:val="0"/>
      <w:divBdr>
        <w:top w:val="none" w:sz="0" w:space="0" w:color="auto"/>
        <w:left w:val="none" w:sz="0" w:space="0" w:color="auto"/>
        <w:bottom w:val="none" w:sz="0" w:space="0" w:color="auto"/>
        <w:right w:val="none" w:sz="0" w:space="0" w:color="auto"/>
      </w:divBdr>
    </w:div>
    <w:div w:id="486481060">
      <w:bodyDiv w:val="1"/>
      <w:marLeft w:val="0"/>
      <w:marRight w:val="0"/>
      <w:marTop w:val="0"/>
      <w:marBottom w:val="0"/>
      <w:divBdr>
        <w:top w:val="none" w:sz="0" w:space="0" w:color="auto"/>
        <w:left w:val="none" w:sz="0" w:space="0" w:color="auto"/>
        <w:bottom w:val="none" w:sz="0" w:space="0" w:color="auto"/>
        <w:right w:val="none" w:sz="0" w:space="0" w:color="auto"/>
      </w:divBdr>
    </w:div>
    <w:div w:id="493306341">
      <w:bodyDiv w:val="1"/>
      <w:marLeft w:val="0"/>
      <w:marRight w:val="0"/>
      <w:marTop w:val="0"/>
      <w:marBottom w:val="0"/>
      <w:divBdr>
        <w:top w:val="none" w:sz="0" w:space="0" w:color="auto"/>
        <w:left w:val="none" w:sz="0" w:space="0" w:color="auto"/>
        <w:bottom w:val="none" w:sz="0" w:space="0" w:color="auto"/>
        <w:right w:val="none" w:sz="0" w:space="0" w:color="auto"/>
      </w:divBdr>
    </w:div>
    <w:div w:id="495221081">
      <w:bodyDiv w:val="1"/>
      <w:marLeft w:val="0"/>
      <w:marRight w:val="0"/>
      <w:marTop w:val="0"/>
      <w:marBottom w:val="0"/>
      <w:divBdr>
        <w:top w:val="none" w:sz="0" w:space="0" w:color="auto"/>
        <w:left w:val="none" w:sz="0" w:space="0" w:color="auto"/>
        <w:bottom w:val="none" w:sz="0" w:space="0" w:color="auto"/>
        <w:right w:val="none" w:sz="0" w:space="0" w:color="auto"/>
      </w:divBdr>
    </w:div>
    <w:div w:id="496457914">
      <w:bodyDiv w:val="1"/>
      <w:marLeft w:val="0"/>
      <w:marRight w:val="0"/>
      <w:marTop w:val="0"/>
      <w:marBottom w:val="0"/>
      <w:divBdr>
        <w:top w:val="none" w:sz="0" w:space="0" w:color="auto"/>
        <w:left w:val="none" w:sz="0" w:space="0" w:color="auto"/>
        <w:bottom w:val="none" w:sz="0" w:space="0" w:color="auto"/>
        <w:right w:val="none" w:sz="0" w:space="0" w:color="auto"/>
      </w:divBdr>
    </w:div>
    <w:div w:id="497501189">
      <w:bodyDiv w:val="1"/>
      <w:marLeft w:val="0"/>
      <w:marRight w:val="0"/>
      <w:marTop w:val="0"/>
      <w:marBottom w:val="0"/>
      <w:divBdr>
        <w:top w:val="none" w:sz="0" w:space="0" w:color="auto"/>
        <w:left w:val="none" w:sz="0" w:space="0" w:color="auto"/>
        <w:bottom w:val="none" w:sz="0" w:space="0" w:color="auto"/>
        <w:right w:val="none" w:sz="0" w:space="0" w:color="auto"/>
      </w:divBdr>
    </w:div>
    <w:div w:id="502816953">
      <w:bodyDiv w:val="1"/>
      <w:marLeft w:val="0"/>
      <w:marRight w:val="0"/>
      <w:marTop w:val="0"/>
      <w:marBottom w:val="0"/>
      <w:divBdr>
        <w:top w:val="none" w:sz="0" w:space="0" w:color="auto"/>
        <w:left w:val="none" w:sz="0" w:space="0" w:color="auto"/>
        <w:bottom w:val="none" w:sz="0" w:space="0" w:color="auto"/>
        <w:right w:val="none" w:sz="0" w:space="0" w:color="auto"/>
      </w:divBdr>
    </w:div>
    <w:div w:id="504325291">
      <w:bodyDiv w:val="1"/>
      <w:marLeft w:val="0"/>
      <w:marRight w:val="0"/>
      <w:marTop w:val="0"/>
      <w:marBottom w:val="0"/>
      <w:divBdr>
        <w:top w:val="none" w:sz="0" w:space="0" w:color="auto"/>
        <w:left w:val="none" w:sz="0" w:space="0" w:color="auto"/>
        <w:bottom w:val="none" w:sz="0" w:space="0" w:color="auto"/>
        <w:right w:val="none" w:sz="0" w:space="0" w:color="auto"/>
      </w:divBdr>
    </w:div>
    <w:div w:id="505831907">
      <w:bodyDiv w:val="1"/>
      <w:marLeft w:val="0"/>
      <w:marRight w:val="0"/>
      <w:marTop w:val="0"/>
      <w:marBottom w:val="0"/>
      <w:divBdr>
        <w:top w:val="none" w:sz="0" w:space="0" w:color="auto"/>
        <w:left w:val="none" w:sz="0" w:space="0" w:color="auto"/>
        <w:bottom w:val="none" w:sz="0" w:space="0" w:color="auto"/>
        <w:right w:val="none" w:sz="0" w:space="0" w:color="auto"/>
      </w:divBdr>
    </w:div>
    <w:div w:id="506404824">
      <w:bodyDiv w:val="1"/>
      <w:marLeft w:val="0"/>
      <w:marRight w:val="0"/>
      <w:marTop w:val="0"/>
      <w:marBottom w:val="0"/>
      <w:divBdr>
        <w:top w:val="none" w:sz="0" w:space="0" w:color="auto"/>
        <w:left w:val="none" w:sz="0" w:space="0" w:color="auto"/>
        <w:bottom w:val="none" w:sz="0" w:space="0" w:color="auto"/>
        <w:right w:val="none" w:sz="0" w:space="0" w:color="auto"/>
      </w:divBdr>
      <w:divsChild>
        <w:div w:id="1389187352">
          <w:marLeft w:val="0"/>
          <w:marRight w:val="0"/>
          <w:marTop w:val="0"/>
          <w:marBottom w:val="0"/>
          <w:divBdr>
            <w:top w:val="none" w:sz="0" w:space="0" w:color="auto"/>
            <w:left w:val="single" w:sz="6" w:space="0" w:color="FFFFFF"/>
            <w:bottom w:val="single" w:sz="6" w:space="0" w:color="FFFFFF"/>
            <w:right w:val="single" w:sz="6" w:space="0" w:color="FFFFFF"/>
          </w:divBdr>
          <w:divsChild>
            <w:div w:id="1612976378">
              <w:marLeft w:val="0"/>
              <w:marRight w:val="0"/>
              <w:marTop w:val="0"/>
              <w:marBottom w:val="0"/>
              <w:divBdr>
                <w:top w:val="none" w:sz="0" w:space="0" w:color="auto"/>
                <w:left w:val="none" w:sz="0" w:space="0" w:color="auto"/>
                <w:bottom w:val="none" w:sz="0" w:space="0" w:color="auto"/>
                <w:right w:val="none" w:sz="0" w:space="0" w:color="auto"/>
              </w:divBdr>
              <w:divsChild>
                <w:div w:id="27344369">
                  <w:marLeft w:val="0"/>
                  <w:marRight w:val="0"/>
                  <w:marTop w:val="0"/>
                  <w:marBottom w:val="0"/>
                  <w:divBdr>
                    <w:top w:val="single" w:sz="6" w:space="0" w:color="FFFFFF"/>
                    <w:left w:val="none" w:sz="0" w:space="0" w:color="auto"/>
                    <w:bottom w:val="none" w:sz="0" w:space="0" w:color="auto"/>
                    <w:right w:val="none" w:sz="0" w:space="0" w:color="auto"/>
                  </w:divBdr>
                  <w:divsChild>
                    <w:div w:id="107356199">
                      <w:marLeft w:val="0"/>
                      <w:marRight w:val="0"/>
                      <w:marTop w:val="0"/>
                      <w:marBottom w:val="0"/>
                      <w:divBdr>
                        <w:top w:val="none" w:sz="0" w:space="0" w:color="auto"/>
                        <w:left w:val="none" w:sz="0" w:space="0" w:color="auto"/>
                        <w:bottom w:val="none" w:sz="0" w:space="0" w:color="auto"/>
                        <w:right w:val="none" w:sz="0" w:space="0" w:color="auto"/>
                      </w:divBdr>
                      <w:divsChild>
                        <w:div w:id="876771520">
                          <w:marLeft w:val="0"/>
                          <w:marRight w:val="0"/>
                          <w:marTop w:val="0"/>
                          <w:marBottom w:val="0"/>
                          <w:divBdr>
                            <w:top w:val="none" w:sz="0" w:space="0" w:color="auto"/>
                            <w:left w:val="none" w:sz="0" w:space="0" w:color="auto"/>
                            <w:bottom w:val="none" w:sz="0" w:space="0" w:color="auto"/>
                            <w:right w:val="none" w:sz="0" w:space="0" w:color="auto"/>
                          </w:divBdr>
                          <w:divsChild>
                            <w:div w:id="26628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9373713">
      <w:bodyDiv w:val="1"/>
      <w:marLeft w:val="0"/>
      <w:marRight w:val="0"/>
      <w:marTop w:val="0"/>
      <w:marBottom w:val="0"/>
      <w:divBdr>
        <w:top w:val="none" w:sz="0" w:space="0" w:color="auto"/>
        <w:left w:val="none" w:sz="0" w:space="0" w:color="auto"/>
        <w:bottom w:val="none" w:sz="0" w:space="0" w:color="auto"/>
        <w:right w:val="none" w:sz="0" w:space="0" w:color="auto"/>
      </w:divBdr>
    </w:div>
    <w:div w:id="515463454">
      <w:bodyDiv w:val="1"/>
      <w:marLeft w:val="0"/>
      <w:marRight w:val="0"/>
      <w:marTop w:val="0"/>
      <w:marBottom w:val="0"/>
      <w:divBdr>
        <w:top w:val="none" w:sz="0" w:space="0" w:color="auto"/>
        <w:left w:val="none" w:sz="0" w:space="0" w:color="auto"/>
        <w:bottom w:val="none" w:sz="0" w:space="0" w:color="auto"/>
        <w:right w:val="none" w:sz="0" w:space="0" w:color="auto"/>
      </w:divBdr>
    </w:div>
    <w:div w:id="515534449">
      <w:bodyDiv w:val="1"/>
      <w:marLeft w:val="0"/>
      <w:marRight w:val="0"/>
      <w:marTop w:val="0"/>
      <w:marBottom w:val="0"/>
      <w:divBdr>
        <w:top w:val="none" w:sz="0" w:space="0" w:color="auto"/>
        <w:left w:val="none" w:sz="0" w:space="0" w:color="auto"/>
        <w:bottom w:val="none" w:sz="0" w:space="0" w:color="auto"/>
        <w:right w:val="none" w:sz="0" w:space="0" w:color="auto"/>
      </w:divBdr>
    </w:div>
    <w:div w:id="529606919">
      <w:bodyDiv w:val="1"/>
      <w:marLeft w:val="0"/>
      <w:marRight w:val="0"/>
      <w:marTop w:val="0"/>
      <w:marBottom w:val="0"/>
      <w:divBdr>
        <w:top w:val="none" w:sz="0" w:space="0" w:color="auto"/>
        <w:left w:val="none" w:sz="0" w:space="0" w:color="auto"/>
        <w:bottom w:val="none" w:sz="0" w:space="0" w:color="auto"/>
        <w:right w:val="none" w:sz="0" w:space="0" w:color="auto"/>
      </w:divBdr>
    </w:div>
    <w:div w:id="531191405">
      <w:bodyDiv w:val="1"/>
      <w:marLeft w:val="0"/>
      <w:marRight w:val="0"/>
      <w:marTop w:val="0"/>
      <w:marBottom w:val="0"/>
      <w:divBdr>
        <w:top w:val="none" w:sz="0" w:space="0" w:color="auto"/>
        <w:left w:val="none" w:sz="0" w:space="0" w:color="auto"/>
        <w:bottom w:val="none" w:sz="0" w:space="0" w:color="auto"/>
        <w:right w:val="none" w:sz="0" w:space="0" w:color="auto"/>
      </w:divBdr>
    </w:div>
    <w:div w:id="549733886">
      <w:bodyDiv w:val="1"/>
      <w:marLeft w:val="0"/>
      <w:marRight w:val="0"/>
      <w:marTop w:val="0"/>
      <w:marBottom w:val="0"/>
      <w:divBdr>
        <w:top w:val="none" w:sz="0" w:space="0" w:color="auto"/>
        <w:left w:val="none" w:sz="0" w:space="0" w:color="auto"/>
        <w:bottom w:val="none" w:sz="0" w:space="0" w:color="auto"/>
        <w:right w:val="none" w:sz="0" w:space="0" w:color="auto"/>
      </w:divBdr>
    </w:div>
    <w:div w:id="550044087">
      <w:bodyDiv w:val="1"/>
      <w:marLeft w:val="0"/>
      <w:marRight w:val="0"/>
      <w:marTop w:val="0"/>
      <w:marBottom w:val="0"/>
      <w:divBdr>
        <w:top w:val="none" w:sz="0" w:space="0" w:color="auto"/>
        <w:left w:val="none" w:sz="0" w:space="0" w:color="auto"/>
        <w:bottom w:val="none" w:sz="0" w:space="0" w:color="auto"/>
        <w:right w:val="none" w:sz="0" w:space="0" w:color="auto"/>
      </w:divBdr>
    </w:div>
    <w:div w:id="558438517">
      <w:bodyDiv w:val="1"/>
      <w:marLeft w:val="0"/>
      <w:marRight w:val="0"/>
      <w:marTop w:val="0"/>
      <w:marBottom w:val="0"/>
      <w:divBdr>
        <w:top w:val="none" w:sz="0" w:space="0" w:color="auto"/>
        <w:left w:val="none" w:sz="0" w:space="0" w:color="auto"/>
        <w:bottom w:val="none" w:sz="0" w:space="0" w:color="auto"/>
        <w:right w:val="none" w:sz="0" w:space="0" w:color="auto"/>
      </w:divBdr>
    </w:div>
    <w:div w:id="562569455">
      <w:bodyDiv w:val="1"/>
      <w:marLeft w:val="0"/>
      <w:marRight w:val="0"/>
      <w:marTop w:val="0"/>
      <w:marBottom w:val="0"/>
      <w:divBdr>
        <w:top w:val="none" w:sz="0" w:space="0" w:color="auto"/>
        <w:left w:val="none" w:sz="0" w:space="0" w:color="auto"/>
        <w:bottom w:val="none" w:sz="0" w:space="0" w:color="auto"/>
        <w:right w:val="none" w:sz="0" w:space="0" w:color="auto"/>
      </w:divBdr>
    </w:div>
    <w:div w:id="564412633">
      <w:bodyDiv w:val="1"/>
      <w:marLeft w:val="0"/>
      <w:marRight w:val="0"/>
      <w:marTop w:val="0"/>
      <w:marBottom w:val="0"/>
      <w:divBdr>
        <w:top w:val="none" w:sz="0" w:space="0" w:color="auto"/>
        <w:left w:val="none" w:sz="0" w:space="0" w:color="auto"/>
        <w:bottom w:val="none" w:sz="0" w:space="0" w:color="auto"/>
        <w:right w:val="none" w:sz="0" w:space="0" w:color="auto"/>
      </w:divBdr>
    </w:div>
    <w:div w:id="566456870">
      <w:bodyDiv w:val="1"/>
      <w:marLeft w:val="0"/>
      <w:marRight w:val="0"/>
      <w:marTop w:val="0"/>
      <w:marBottom w:val="0"/>
      <w:divBdr>
        <w:top w:val="none" w:sz="0" w:space="0" w:color="auto"/>
        <w:left w:val="none" w:sz="0" w:space="0" w:color="auto"/>
        <w:bottom w:val="none" w:sz="0" w:space="0" w:color="auto"/>
        <w:right w:val="none" w:sz="0" w:space="0" w:color="auto"/>
      </w:divBdr>
    </w:div>
    <w:div w:id="566692313">
      <w:bodyDiv w:val="1"/>
      <w:marLeft w:val="0"/>
      <w:marRight w:val="0"/>
      <w:marTop w:val="0"/>
      <w:marBottom w:val="0"/>
      <w:divBdr>
        <w:top w:val="none" w:sz="0" w:space="0" w:color="auto"/>
        <w:left w:val="none" w:sz="0" w:space="0" w:color="auto"/>
        <w:bottom w:val="none" w:sz="0" w:space="0" w:color="auto"/>
        <w:right w:val="none" w:sz="0" w:space="0" w:color="auto"/>
      </w:divBdr>
    </w:div>
    <w:div w:id="570894213">
      <w:bodyDiv w:val="1"/>
      <w:marLeft w:val="0"/>
      <w:marRight w:val="0"/>
      <w:marTop w:val="0"/>
      <w:marBottom w:val="0"/>
      <w:divBdr>
        <w:top w:val="none" w:sz="0" w:space="0" w:color="auto"/>
        <w:left w:val="none" w:sz="0" w:space="0" w:color="auto"/>
        <w:bottom w:val="none" w:sz="0" w:space="0" w:color="auto"/>
        <w:right w:val="none" w:sz="0" w:space="0" w:color="auto"/>
      </w:divBdr>
      <w:divsChild>
        <w:div w:id="18161383">
          <w:marLeft w:val="0"/>
          <w:marRight w:val="0"/>
          <w:marTop w:val="0"/>
          <w:marBottom w:val="0"/>
          <w:divBdr>
            <w:top w:val="none" w:sz="0" w:space="0" w:color="auto"/>
            <w:left w:val="none" w:sz="0" w:space="0" w:color="auto"/>
            <w:bottom w:val="none" w:sz="0" w:space="0" w:color="auto"/>
            <w:right w:val="none" w:sz="0" w:space="0" w:color="auto"/>
          </w:divBdr>
          <w:divsChild>
            <w:div w:id="151602351">
              <w:marLeft w:val="0"/>
              <w:marRight w:val="0"/>
              <w:marTop w:val="0"/>
              <w:marBottom w:val="0"/>
              <w:divBdr>
                <w:top w:val="none" w:sz="0" w:space="0" w:color="auto"/>
                <w:left w:val="none" w:sz="0" w:space="0" w:color="auto"/>
                <w:bottom w:val="none" w:sz="0" w:space="0" w:color="auto"/>
                <w:right w:val="none" w:sz="0" w:space="0" w:color="auto"/>
              </w:divBdr>
              <w:divsChild>
                <w:div w:id="352728278">
                  <w:marLeft w:val="0"/>
                  <w:marRight w:val="0"/>
                  <w:marTop w:val="0"/>
                  <w:marBottom w:val="0"/>
                  <w:divBdr>
                    <w:top w:val="none" w:sz="0" w:space="0" w:color="auto"/>
                    <w:left w:val="none" w:sz="0" w:space="0" w:color="auto"/>
                    <w:bottom w:val="none" w:sz="0" w:space="0" w:color="auto"/>
                    <w:right w:val="none" w:sz="0" w:space="0" w:color="auto"/>
                  </w:divBdr>
                  <w:divsChild>
                    <w:div w:id="1133406035">
                      <w:marLeft w:val="60"/>
                      <w:marRight w:val="0"/>
                      <w:marTop w:val="2250"/>
                      <w:marBottom w:val="0"/>
                      <w:divBdr>
                        <w:top w:val="none" w:sz="0" w:space="0" w:color="auto"/>
                        <w:left w:val="none" w:sz="0" w:space="0" w:color="auto"/>
                        <w:bottom w:val="none" w:sz="0" w:space="0" w:color="auto"/>
                        <w:right w:val="none" w:sz="0" w:space="0" w:color="auto"/>
                      </w:divBdr>
                      <w:divsChild>
                        <w:div w:id="588655310">
                          <w:marLeft w:val="0"/>
                          <w:marRight w:val="0"/>
                          <w:marTop w:val="0"/>
                          <w:marBottom w:val="0"/>
                          <w:divBdr>
                            <w:top w:val="none" w:sz="0" w:space="0" w:color="auto"/>
                            <w:left w:val="none" w:sz="0" w:space="0" w:color="auto"/>
                            <w:bottom w:val="none" w:sz="0" w:space="0" w:color="auto"/>
                            <w:right w:val="none" w:sz="0" w:space="0" w:color="auto"/>
                          </w:divBdr>
                          <w:divsChild>
                            <w:div w:id="614487801">
                              <w:marLeft w:val="0"/>
                              <w:marRight w:val="0"/>
                              <w:marTop w:val="0"/>
                              <w:marBottom w:val="0"/>
                              <w:divBdr>
                                <w:top w:val="none" w:sz="0" w:space="0" w:color="auto"/>
                                <w:left w:val="none" w:sz="0" w:space="0" w:color="auto"/>
                                <w:bottom w:val="none" w:sz="0" w:space="0" w:color="auto"/>
                                <w:right w:val="none" w:sz="0" w:space="0" w:color="auto"/>
                              </w:divBdr>
                              <w:divsChild>
                                <w:div w:id="77752485">
                                  <w:marLeft w:val="0"/>
                                  <w:marRight w:val="0"/>
                                  <w:marTop w:val="0"/>
                                  <w:marBottom w:val="0"/>
                                  <w:divBdr>
                                    <w:top w:val="none" w:sz="0" w:space="0" w:color="auto"/>
                                    <w:left w:val="none" w:sz="0" w:space="0" w:color="auto"/>
                                    <w:bottom w:val="none" w:sz="0" w:space="0" w:color="auto"/>
                                    <w:right w:val="none" w:sz="0" w:space="0" w:color="auto"/>
                                  </w:divBdr>
                                  <w:divsChild>
                                    <w:div w:id="1338389377">
                                      <w:marLeft w:val="0"/>
                                      <w:marRight w:val="0"/>
                                      <w:marTop w:val="0"/>
                                      <w:marBottom w:val="0"/>
                                      <w:divBdr>
                                        <w:top w:val="none" w:sz="0" w:space="0" w:color="auto"/>
                                        <w:left w:val="none" w:sz="0" w:space="0" w:color="auto"/>
                                        <w:bottom w:val="none" w:sz="0" w:space="0" w:color="auto"/>
                                        <w:right w:val="none" w:sz="0" w:space="0" w:color="auto"/>
                                      </w:divBdr>
                                      <w:divsChild>
                                        <w:div w:id="29770603">
                                          <w:marLeft w:val="0"/>
                                          <w:marRight w:val="0"/>
                                          <w:marTop w:val="0"/>
                                          <w:marBottom w:val="0"/>
                                          <w:divBdr>
                                            <w:top w:val="none" w:sz="0" w:space="0" w:color="auto"/>
                                            <w:left w:val="none" w:sz="0" w:space="0" w:color="auto"/>
                                            <w:bottom w:val="none" w:sz="0" w:space="0" w:color="auto"/>
                                            <w:right w:val="none" w:sz="0" w:space="0" w:color="auto"/>
                                          </w:divBdr>
                                        </w:div>
                                        <w:div w:id="24919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432241">
      <w:bodyDiv w:val="1"/>
      <w:marLeft w:val="0"/>
      <w:marRight w:val="0"/>
      <w:marTop w:val="0"/>
      <w:marBottom w:val="0"/>
      <w:divBdr>
        <w:top w:val="none" w:sz="0" w:space="0" w:color="auto"/>
        <w:left w:val="none" w:sz="0" w:space="0" w:color="auto"/>
        <w:bottom w:val="none" w:sz="0" w:space="0" w:color="auto"/>
        <w:right w:val="none" w:sz="0" w:space="0" w:color="auto"/>
      </w:divBdr>
    </w:div>
    <w:div w:id="578369343">
      <w:bodyDiv w:val="1"/>
      <w:marLeft w:val="0"/>
      <w:marRight w:val="0"/>
      <w:marTop w:val="0"/>
      <w:marBottom w:val="0"/>
      <w:divBdr>
        <w:top w:val="none" w:sz="0" w:space="0" w:color="auto"/>
        <w:left w:val="none" w:sz="0" w:space="0" w:color="auto"/>
        <w:bottom w:val="none" w:sz="0" w:space="0" w:color="auto"/>
        <w:right w:val="none" w:sz="0" w:space="0" w:color="auto"/>
      </w:divBdr>
    </w:div>
    <w:div w:id="584144910">
      <w:bodyDiv w:val="1"/>
      <w:marLeft w:val="0"/>
      <w:marRight w:val="0"/>
      <w:marTop w:val="0"/>
      <w:marBottom w:val="0"/>
      <w:divBdr>
        <w:top w:val="none" w:sz="0" w:space="0" w:color="auto"/>
        <w:left w:val="none" w:sz="0" w:space="0" w:color="auto"/>
        <w:bottom w:val="none" w:sz="0" w:space="0" w:color="auto"/>
        <w:right w:val="none" w:sz="0" w:space="0" w:color="auto"/>
      </w:divBdr>
    </w:div>
    <w:div w:id="585696061">
      <w:bodyDiv w:val="1"/>
      <w:marLeft w:val="0"/>
      <w:marRight w:val="0"/>
      <w:marTop w:val="0"/>
      <w:marBottom w:val="0"/>
      <w:divBdr>
        <w:top w:val="none" w:sz="0" w:space="0" w:color="auto"/>
        <w:left w:val="none" w:sz="0" w:space="0" w:color="auto"/>
        <w:bottom w:val="none" w:sz="0" w:space="0" w:color="auto"/>
        <w:right w:val="none" w:sz="0" w:space="0" w:color="auto"/>
      </w:divBdr>
    </w:div>
    <w:div w:id="602617603">
      <w:bodyDiv w:val="1"/>
      <w:marLeft w:val="0"/>
      <w:marRight w:val="0"/>
      <w:marTop w:val="0"/>
      <w:marBottom w:val="0"/>
      <w:divBdr>
        <w:top w:val="none" w:sz="0" w:space="0" w:color="auto"/>
        <w:left w:val="none" w:sz="0" w:space="0" w:color="auto"/>
        <w:bottom w:val="none" w:sz="0" w:space="0" w:color="auto"/>
        <w:right w:val="none" w:sz="0" w:space="0" w:color="auto"/>
      </w:divBdr>
    </w:div>
    <w:div w:id="606234456">
      <w:bodyDiv w:val="1"/>
      <w:marLeft w:val="0"/>
      <w:marRight w:val="0"/>
      <w:marTop w:val="0"/>
      <w:marBottom w:val="0"/>
      <w:divBdr>
        <w:top w:val="none" w:sz="0" w:space="0" w:color="auto"/>
        <w:left w:val="none" w:sz="0" w:space="0" w:color="auto"/>
        <w:bottom w:val="none" w:sz="0" w:space="0" w:color="auto"/>
        <w:right w:val="none" w:sz="0" w:space="0" w:color="auto"/>
      </w:divBdr>
    </w:div>
    <w:div w:id="608319478">
      <w:bodyDiv w:val="1"/>
      <w:marLeft w:val="0"/>
      <w:marRight w:val="0"/>
      <w:marTop w:val="0"/>
      <w:marBottom w:val="0"/>
      <w:divBdr>
        <w:top w:val="none" w:sz="0" w:space="0" w:color="auto"/>
        <w:left w:val="none" w:sz="0" w:space="0" w:color="auto"/>
        <w:bottom w:val="none" w:sz="0" w:space="0" w:color="auto"/>
        <w:right w:val="none" w:sz="0" w:space="0" w:color="auto"/>
      </w:divBdr>
    </w:div>
    <w:div w:id="611212264">
      <w:bodyDiv w:val="1"/>
      <w:marLeft w:val="0"/>
      <w:marRight w:val="0"/>
      <w:marTop w:val="0"/>
      <w:marBottom w:val="0"/>
      <w:divBdr>
        <w:top w:val="none" w:sz="0" w:space="0" w:color="auto"/>
        <w:left w:val="none" w:sz="0" w:space="0" w:color="auto"/>
        <w:bottom w:val="none" w:sz="0" w:space="0" w:color="auto"/>
        <w:right w:val="none" w:sz="0" w:space="0" w:color="auto"/>
      </w:divBdr>
    </w:div>
    <w:div w:id="612520386">
      <w:bodyDiv w:val="1"/>
      <w:marLeft w:val="0"/>
      <w:marRight w:val="0"/>
      <w:marTop w:val="0"/>
      <w:marBottom w:val="0"/>
      <w:divBdr>
        <w:top w:val="none" w:sz="0" w:space="0" w:color="auto"/>
        <w:left w:val="none" w:sz="0" w:space="0" w:color="auto"/>
        <w:bottom w:val="none" w:sz="0" w:space="0" w:color="auto"/>
        <w:right w:val="none" w:sz="0" w:space="0" w:color="auto"/>
      </w:divBdr>
    </w:div>
    <w:div w:id="613515081">
      <w:bodyDiv w:val="1"/>
      <w:marLeft w:val="0"/>
      <w:marRight w:val="0"/>
      <w:marTop w:val="0"/>
      <w:marBottom w:val="0"/>
      <w:divBdr>
        <w:top w:val="none" w:sz="0" w:space="0" w:color="auto"/>
        <w:left w:val="none" w:sz="0" w:space="0" w:color="auto"/>
        <w:bottom w:val="none" w:sz="0" w:space="0" w:color="auto"/>
        <w:right w:val="none" w:sz="0" w:space="0" w:color="auto"/>
      </w:divBdr>
    </w:div>
    <w:div w:id="620304861">
      <w:bodyDiv w:val="1"/>
      <w:marLeft w:val="0"/>
      <w:marRight w:val="0"/>
      <w:marTop w:val="0"/>
      <w:marBottom w:val="0"/>
      <w:divBdr>
        <w:top w:val="none" w:sz="0" w:space="0" w:color="auto"/>
        <w:left w:val="none" w:sz="0" w:space="0" w:color="auto"/>
        <w:bottom w:val="none" w:sz="0" w:space="0" w:color="auto"/>
        <w:right w:val="none" w:sz="0" w:space="0" w:color="auto"/>
      </w:divBdr>
    </w:div>
    <w:div w:id="630288258">
      <w:bodyDiv w:val="1"/>
      <w:marLeft w:val="0"/>
      <w:marRight w:val="0"/>
      <w:marTop w:val="0"/>
      <w:marBottom w:val="0"/>
      <w:divBdr>
        <w:top w:val="none" w:sz="0" w:space="0" w:color="auto"/>
        <w:left w:val="none" w:sz="0" w:space="0" w:color="auto"/>
        <w:bottom w:val="none" w:sz="0" w:space="0" w:color="auto"/>
        <w:right w:val="none" w:sz="0" w:space="0" w:color="auto"/>
      </w:divBdr>
    </w:div>
    <w:div w:id="630941158">
      <w:bodyDiv w:val="1"/>
      <w:marLeft w:val="0"/>
      <w:marRight w:val="0"/>
      <w:marTop w:val="0"/>
      <w:marBottom w:val="0"/>
      <w:divBdr>
        <w:top w:val="none" w:sz="0" w:space="0" w:color="auto"/>
        <w:left w:val="none" w:sz="0" w:space="0" w:color="auto"/>
        <w:bottom w:val="none" w:sz="0" w:space="0" w:color="auto"/>
        <w:right w:val="none" w:sz="0" w:space="0" w:color="auto"/>
      </w:divBdr>
    </w:div>
    <w:div w:id="641081608">
      <w:bodyDiv w:val="1"/>
      <w:marLeft w:val="0"/>
      <w:marRight w:val="0"/>
      <w:marTop w:val="0"/>
      <w:marBottom w:val="0"/>
      <w:divBdr>
        <w:top w:val="none" w:sz="0" w:space="0" w:color="auto"/>
        <w:left w:val="none" w:sz="0" w:space="0" w:color="auto"/>
        <w:bottom w:val="none" w:sz="0" w:space="0" w:color="auto"/>
        <w:right w:val="none" w:sz="0" w:space="0" w:color="auto"/>
      </w:divBdr>
    </w:div>
    <w:div w:id="644048656">
      <w:bodyDiv w:val="1"/>
      <w:marLeft w:val="0"/>
      <w:marRight w:val="0"/>
      <w:marTop w:val="0"/>
      <w:marBottom w:val="0"/>
      <w:divBdr>
        <w:top w:val="none" w:sz="0" w:space="0" w:color="auto"/>
        <w:left w:val="none" w:sz="0" w:space="0" w:color="auto"/>
        <w:bottom w:val="none" w:sz="0" w:space="0" w:color="auto"/>
        <w:right w:val="none" w:sz="0" w:space="0" w:color="auto"/>
      </w:divBdr>
    </w:div>
    <w:div w:id="644554838">
      <w:bodyDiv w:val="1"/>
      <w:marLeft w:val="0"/>
      <w:marRight w:val="0"/>
      <w:marTop w:val="0"/>
      <w:marBottom w:val="0"/>
      <w:divBdr>
        <w:top w:val="none" w:sz="0" w:space="0" w:color="auto"/>
        <w:left w:val="none" w:sz="0" w:space="0" w:color="auto"/>
        <w:bottom w:val="none" w:sz="0" w:space="0" w:color="auto"/>
        <w:right w:val="none" w:sz="0" w:space="0" w:color="auto"/>
      </w:divBdr>
    </w:div>
    <w:div w:id="657728207">
      <w:bodyDiv w:val="1"/>
      <w:marLeft w:val="0"/>
      <w:marRight w:val="0"/>
      <w:marTop w:val="0"/>
      <w:marBottom w:val="0"/>
      <w:divBdr>
        <w:top w:val="none" w:sz="0" w:space="0" w:color="auto"/>
        <w:left w:val="none" w:sz="0" w:space="0" w:color="auto"/>
        <w:bottom w:val="none" w:sz="0" w:space="0" w:color="auto"/>
        <w:right w:val="none" w:sz="0" w:space="0" w:color="auto"/>
      </w:divBdr>
    </w:div>
    <w:div w:id="666248248">
      <w:bodyDiv w:val="1"/>
      <w:marLeft w:val="0"/>
      <w:marRight w:val="0"/>
      <w:marTop w:val="0"/>
      <w:marBottom w:val="0"/>
      <w:divBdr>
        <w:top w:val="none" w:sz="0" w:space="0" w:color="auto"/>
        <w:left w:val="none" w:sz="0" w:space="0" w:color="auto"/>
        <w:bottom w:val="none" w:sz="0" w:space="0" w:color="auto"/>
        <w:right w:val="none" w:sz="0" w:space="0" w:color="auto"/>
      </w:divBdr>
    </w:div>
    <w:div w:id="667488795">
      <w:bodyDiv w:val="1"/>
      <w:marLeft w:val="0"/>
      <w:marRight w:val="0"/>
      <w:marTop w:val="0"/>
      <w:marBottom w:val="0"/>
      <w:divBdr>
        <w:top w:val="none" w:sz="0" w:space="0" w:color="auto"/>
        <w:left w:val="none" w:sz="0" w:space="0" w:color="auto"/>
        <w:bottom w:val="none" w:sz="0" w:space="0" w:color="auto"/>
        <w:right w:val="none" w:sz="0" w:space="0" w:color="auto"/>
      </w:divBdr>
    </w:div>
    <w:div w:id="670445605">
      <w:bodyDiv w:val="1"/>
      <w:marLeft w:val="0"/>
      <w:marRight w:val="0"/>
      <w:marTop w:val="0"/>
      <w:marBottom w:val="0"/>
      <w:divBdr>
        <w:top w:val="none" w:sz="0" w:space="0" w:color="auto"/>
        <w:left w:val="none" w:sz="0" w:space="0" w:color="auto"/>
        <w:bottom w:val="none" w:sz="0" w:space="0" w:color="auto"/>
        <w:right w:val="none" w:sz="0" w:space="0" w:color="auto"/>
      </w:divBdr>
    </w:div>
    <w:div w:id="672075710">
      <w:bodyDiv w:val="1"/>
      <w:marLeft w:val="0"/>
      <w:marRight w:val="0"/>
      <w:marTop w:val="0"/>
      <w:marBottom w:val="0"/>
      <w:divBdr>
        <w:top w:val="none" w:sz="0" w:space="0" w:color="auto"/>
        <w:left w:val="none" w:sz="0" w:space="0" w:color="auto"/>
        <w:bottom w:val="none" w:sz="0" w:space="0" w:color="auto"/>
        <w:right w:val="none" w:sz="0" w:space="0" w:color="auto"/>
      </w:divBdr>
    </w:div>
    <w:div w:id="677925277">
      <w:bodyDiv w:val="1"/>
      <w:marLeft w:val="0"/>
      <w:marRight w:val="0"/>
      <w:marTop w:val="0"/>
      <w:marBottom w:val="0"/>
      <w:divBdr>
        <w:top w:val="none" w:sz="0" w:space="0" w:color="auto"/>
        <w:left w:val="none" w:sz="0" w:space="0" w:color="auto"/>
        <w:bottom w:val="none" w:sz="0" w:space="0" w:color="auto"/>
        <w:right w:val="none" w:sz="0" w:space="0" w:color="auto"/>
      </w:divBdr>
    </w:div>
    <w:div w:id="680473029">
      <w:bodyDiv w:val="1"/>
      <w:marLeft w:val="0"/>
      <w:marRight w:val="0"/>
      <w:marTop w:val="0"/>
      <w:marBottom w:val="0"/>
      <w:divBdr>
        <w:top w:val="none" w:sz="0" w:space="0" w:color="auto"/>
        <w:left w:val="none" w:sz="0" w:space="0" w:color="auto"/>
        <w:bottom w:val="none" w:sz="0" w:space="0" w:color="auto"/>
        <w:right w:val="none" w:sz="0" w:space="0" w:color="auto"/>
      </w:divBdr>
    </w:div>
    <w:div w:id="685714833">
      <w:bodyDiv w:val="1"/>
      <w:marLeft w:val="0"/>
      <w:marRight w:val="0"/>
      <w:marTop w:val="0"/>
      <w:marBottom w:val="0"/>
      <w:divBdr>
        <w:top w:val="none" w:sz="0" w:space="0" w:color="auto"/>
        <w:left w:val="none" w:sz="0" w:space="0" w:color="auto"/>
        <w:bottom w:val="none" w:sz="0" w:space="0" w:color="auto"/>
        <w:right w:val="none" w:sz="0" w:space="0" w:color="auto"/>
      </w:divBdr>
    </w:div>
    <w:div w:id="685718137">
      <w:bodyDiv w:val="1"/>
      <w:marLeft w:val="0"/>
      <w:marRight w:val="0"/>
      <w:marTop w:val="0"/>
      <w:marBottom w:val="0"/>
      <w:divBdr>
        <w:top w:val="none" w:sz="0" w:space="0" w:color="auto"/>
        <w:left w:val="none" w:sz="0" w:space="0" w:color="auto"/>
        <w:bottom w:val="none" w:sz="0" w:space="0" w:color="auto"/>
        <w:right w:val="none" w:sz="0" w:space="0" w:color="auto"/>
      </w:divBdr>
    </w:div>
    <w:div w:id="686829738">
      <w:bodyDiv w:val="1"/>
      <w:marLeft w:val="0"/>
      <w:marRight w:val="0"/>
      <w:marTop w:val="0"/>
      <w:marBottom w:val="0"/>
      <w:divBdr>
        <w:top w:val="none" w:sz="0" w:space="0" w:color="auto"/>
        <w:left w:val="none" w:sz="0" w:space="0" w:color="auto"/>
        <w:bottom w:val="none" w:sz="0" w:space="0" w:color="auto"/>
        <w:right w:val="none" w:sz="0" w:space="0" w:color="auto"/>
      </w:divBdr>
    </w:div>
    <w:div w:id="689992341">
      <w:bodyDiv w:val="1"/>
      <w:marLeft w:val="0"/>
      <w:marRight w:val="0"/>
      <w:marTop w:val="0"/>
      <w:marBottom w:val="0"/>
      <w:divBdr>
        <w:top w:val="none" w:sz="0" w:space="0" w:color="auto"/>
        <w:left w:val="none" w:sz="0" w:space="0" w:color="auto"/>
        <w:bottom w:val="none" w:sz="0" w:space="0" w:color="auto"/>
        <w:right w:val="none" w:sz="0" w:space="0" w:color="auto"/>
      </w:divBdr>
    </w:div>
    <w:div w:id="690185938">
      <w:bodyDiv w:val="1"/>
      <w:marLeft w:val="0"/>
      <w:marRight w:val="0"/>
      <w:marTop w:val="0"/>
      <w:marBottom w:val="0"/>
      <w:divBdr>
        <w:top w:val="none" w:sz="0" w:space="0" w:color="auto"/>
        <w:left w:val="none" w:sz="0" w:space="0" w:color="auto"/>
        <w:bottom w:val="none" w:sz="0" w:space="0" w:color="auto"/>
        <w:right w:val="none" w:sz="0" w:space="0" w:color="auto"/>
      </w:divBdr>
    </w:div>
    <w:div w:id="692193255">
      <w:bodyDiv w:val="1"/>
      <w:marLeft w:val="0"/>
      <w:marRight w:val="0"/>
      <w:marTop w:val="0"/>
      <w:marBottom w:val="0"/>
      <w:divBdr>
        <w:top w:val="none" w:sz="0" w:space="0" w:color="auto"/>
        <w:left w:val="none" w:sz="0" w:space="0" w:color="auto"/>
        <w:bottom w:val="none" w:sz="0" w:space="0" w:color="auto"/>
        <w:right w:val="none" w:sz="0" w:space="0" w:color="auto"/>
      </w:divBdr>
    </w:div>
    <w:div w:id="692804855">
      <w:bodyDiv w:val="1"/>
      <w:marLeft w:val="0"/>
      <w:marRight w:val="0"/>
      <w:marTop w:val="0"/>
      <w:marBottom w:val="0"/>
      <w:divBdr>
        <w:top w:val="none" w:sz="0" w:space="0" w:color="auto"/>
        <w:left w:val="none" w:sz="0" w:space="0" w:color="auto"/>
        <w:bottom w:val="none" w:sz="0" w:space="0" w:color="auto"/>
        <w:right w:val="none" w:sz="0" w:space="0" w:color="auto"/>
      </w:divBdr>
    </w:div>
    <w:div w:id="695010986">
      <w:bodyDiv w:val="1"/>
      <w:marLeft w:val="0"/>
      <w:marRight w:val="0"/>
      <w:marTop w:val="0"/>
      <w:marBottom w:val="0"/>
      <w:divBdr>
        <w:top w:val="none" w:sz="0" w:space="0" w:color="auto"/>
        <w:left w:val="none" w:sz="0" w:space="0" w:color="auto"/>
        <w:bottom w:val="none" w:sz="0" w:space="0" w:color="auto"/>
        <w:right w:val="none" w:sz="0" w:space="0" w:color="auto"/>
      </w:divBdr>
    </w:div>
    <w:div w:id="701396849">
      <w:bodyDiv w:val="1"/>
      <w:marLeft w:val="0"/>
      <w:marRight w:val="0"/>
      <w:marTop w:val="0"/>
      <w:marBottom w:val="0"/>
      <w:divBdr>
        <w:top w:val="none" w:sz="0" w:space="0" w:color="auto"/>
        <w:left w:val="none" w:sz="0" w:space="0" w:color="auto"/>
        <w:bottom w:val="none" w:sz="0" w:space="0" w:color="auto"/>
        <w:right w:val="none" w:sz="0" w:space="0" w:color="auto"/>
      </w:divBdr>
    </w:div>
    <w:div w:id="702903794">
      <w:bodyDiv w:val="1"/>
      <w:marLeft w:val="0"/>
      <w:marRight w:val="0"/>
      <w:marTop w:val="0"/>
      <w:marBottom w:val="0"/>
      <w:divBdr>
        <w:top w:val="none" w:sz="0" w:space="0" w:color="auto"/>
        <w:left w:val="none" w:sz="0" w:space="0" w:color="auto"/>
        <w:bottom w:val="none" w:sz="0" w:space="0" w:color="auto"/>
        <w:right w:val="none" w:sz="0" w:space="0" w:color="auto"/>
      </w:divBdr>
    </w:div>
    <w:div w:id="704330707">
      <w:bodyDiv w:val="1"/>
      <w:marLeft w:val="0"/>
      <w:marRight w:val="0"/>
      <w:marTop w:val="0"/>
      <w:marBottom w:val="0"/>
      <w:divBdr>
        <w:top w:val="none" w:sz="0" w:space="0" w:color="auto"/>
        <w:left w:val="none" w:sz="0" w:space="0" w:color="auto"/>
        <w:bottom w:val="none" w:sz="0" w:space="0" w:color="auto"/>
        <w:right w:val="none" w:sz="0" w:space="0" w:color="auto"/>
      </w:divBdr>
    </w:div>
    <w:div w:id="713190185">
      <w:bodyDiv w:val="1"/>
      <w:marLeft w:val="0"/>
      <w:marRight w:val="0"/>
      <w:marTop w:val="0"/>
      <w:marBottom w:val="0"/>
      <w:divBdr>
        <w:top w:val="none" w:sz="0" w:space="0" w:color="auto"/>
        <w:left w:val="none" w:sz="0" w:space="0" w:color="auto"/>
        <w:bottom w:val="none" w:sz="0" w:space="0" w:color="auto"/>
        <w:right w:val="none" w:sz="0" w:space="0" w:color="auto"/>
      </w:divBdr>
    </w:div>
    <w:div w:id="715087086">
      <w:bodyDiv w:val="1"/>
      <w:marLeft w:val="0"/>
      <w:marRight w:val="0"/>
      <w:marTop w:val="0"/>
      <w:marBottom w:val="0"/>
      <w:divBdr>
        <w:top w:val="none" w:sz="0" w:space="0" w:color="auto"/>
        <w:left w:val="none" w:sz="0" w:space="0" w:color="auto"/>
        <w:bottom w:val="none" w:sz="0" w:space="0" w:color="auto"/>
        <w:right w:val="none" w:sz="0" w:space="0" w:color="auto"/>
      </w:divBdr>
    </w:div>
    <w:div w:id="718210871">
      <w:bodyDiv w:val="1"/>
      <w:marLeft w:val="0"/>
      <w:marRight w:val="0"/>
      <w:marTop w:val="0"/>
      <w:marBottom w:val="0"/>
      <w:divBdr>
        <w:top w:val="none" w:sz="0" w:space="0" w:color="auto"/>
        <w:left w:val="none" w:sz="0" w:space="0" w:color="auto"/>
        <w:bottom w:val="none" w:sz="0" w:space="0" w:color="auto"/>
        <w:right w:val="none" w:sz="0" w:space="0" w:color="auto"/>
      </w:divBdr>
    </w:div>
    <w:div w:id="718477331">
      <w:bodyDiv w:val="1"/>
      <w:marLeft w:val="0"/>
      <w:marRight w:val="0"/>
      <w:marTop w:val="0"/>
      <w:marBottom w:val="0"/>
      <w:divBdr>
        <w:top w:val="none" w:sz="0" w:space="0" w:color="auto"/>
        <w:left w:val="none" w:sz="0" w:space="0" w:color="auto"/>
        <w:bottom w:val="none" w:sz="0" w:space="0" w:color="auto"/>
        <w:right w:val="none" w:sz="0" w:space="0" w:color="auto"/>
      </w:divBdr>
    </w:div>
    <w:div w:id="720641138">
      <w:bodyDiv w:val="1"/>
      <w:marLeft w:val="0"/>
      <w:marRight w:val="0"/>
      <w:marTop w:val="0"/>
      <w:marBottom w:val="0"/>
      <w:divBdr>
        <w:top w:val="none" w:sz="0" w:space="0" w:color="auto"/>
        <w:left w:val="none" w:sz="0" w:space="0" w:color="auto"/>
        <w:bottom w:val="none" w:sz="0" w:space="0" w:color="auto"/>
        <w:right w:val="none" w:sz="0" w:space="0" w:color="auto"/>
      </w:divBdr>
    </w:div>
    <w:div w:id="721758882">
      <w:bodyDiv w:val="1"/>
      <w:marLeft w:val="0"/>
      <w:marRight w:val="0"/>
      <w:marTop w:val="0"/>
      <w:marBottom w:val="0"/>
      <w:divBdr>
        <w:top w:val="none" w:sz="0" w:space="0" w:color="auto"/>
        <w:left w:val="none" w:sz="0" w:space="0" w:color="auto"/>
        <w:bottom w:val="none" w:sz="0" w:space="0" w:color="auto"/>
        <w:right w:val="none" w:sz="0" w:space="0" w:color="auto"/>
      </w:divBdr>
    </w:div>
    <w:div w:id="722169616">
      <w:bodyDiv w:val="1"/>
      <w:marLeft w:val="0"/>
      <w:marRight w:val="0"/>
      <w:marTop w:val="0"/>
      <w:marBottom w:val="0"/>
      <w:divBdr>
        <w:top w:val="none" w:sz="0" w:space="0" w:color="auto"/>
        <w:left w:val="none" w:sz="0" w:space="0" w:color="auto"/>
        <w:bottom w:val="none" w:sz="0" w:space="0" w:color="auto"/>
        <w:right w:val="none" w:sz="0" w:space="0" w:color="auto"/>
      </w:divBdr>
    </w:div>
    <w:div w:id="728302410">
      <w:bodyDiv w:val="1"/>
      <w:marLeft w:val="0"/>
      <w:marRight w:val="0"/>
      <w:marTop w:val="0"/>
      <w:marBottom w:val="0"/>
      <w:divBdr>
        <w:top w:val="none" w:sz="0" w:space="0" w:color="auto"/>
        <w:left w:val="none" w:sz="0" w:space="0" w:color="auto"/>
        <w:bottom w:val="none" w:sz="0" w:space="0" w:color="auto"/>
        <w:right w:val="none" w:sz="0" w:space="0" w:color="auto"/>
      </w:divBdr>
    </w:div>
    <w:div w:id="729621993">
      <w:bodyDiv w:val="1"/>
      <w:marLeft w:val="0"/>
      <w:marRight w:val="0"/>
      <w:marTop w:val="0"/>
      <w:marBottom w:val="0"/>
      <w:divBdr>
        <w:top w:val="none" w:sz="0" w:space="0" w:color="auto"/>
        <w:left w:val="none" w:sz="0" w:space="0" w:color="auto"/>
        <w:bottom w:val="none" w:sz="0" w:space="0" w:color="auto"/>
        <w:right w:val="none" w:sz="0" w:space="0" w:color="auto"/>
      </w:divBdr>
    </w:div>
    <w:div w:id="734859627">
      <w:bodyDiv w:val="1"/>
      <w:marLeft w:val="0"/>
      <w:marRight w:val="0"/>
      <w:marTop w:val="0"/>
      <w:marBottom w:val="0"/>
      <w:divBdr>
        <w:top w:val="none" w:sz="0" w:space="0" w:color="auto"/>
        <w:left w:val="none" w:sz="0" w:space="0" w:color="auto"/>
        <w:bottom w:val="none" w:sz="0" w:space="0" w:color="auto"/>
        <w:right w:val="none" w:sz="0" w:space="0" w:color="auto"/>
      </w:divBdr>
    </w:div>
    <w:div w:id="735981534">
      <w:bodyDiv w:val="1"/>
      <w:marLeft w:val="0"/>
      <w:marRight w:val="0"/>
      <w:marTop w:val="0"/>
      <w:marBottom w:val="0"/>
      <w:divBdr>
        <w:top w:val="none" w:sz="0" w:space="0" w:color="auto"/>
        <w:left w:val="none" w:sz="0" w:space="0" w:color="auto"/>
        <w:bottom w:val="none" w:sz="0" w:space="0" w:color="auto"/>
        <w:right w:val="none" w:sz="0" w:space="0" w:color="auto"/>
      </w:divBdr>
    </w:div>
    <w:div w:id="740446598">
      <w:bodyDiv w:val="1"/>
      <w:marLeft w:val="0"/>
      <w:marRight w:val="0"/>
      <w:marTop w:val="0"/>
      <w:marBottom w:val="0"/>
      <w:divBdr>
        <w:top w:val="none" w:sz="0" w:space="0" w:color="auto"/>
        <w:left w:val="none" w:sz="0" w:space="0" w:color="auto"/>
        <w:bottom w:val="none" w:sz="0" w:space="0" w:color="auto"/>
        <w:right w:val="none" w:sz="0" w:space="0" w:color="auto"/>
      </w:divBdr>
    </w:div>
    <w:div w:id="744841227">
      <w:bodyDiv w:val="1"/>
      <w:marLeft w:val="0"/>
      <w:marRight w:val="0"/>
      <w:marTop w:val="0"/>
      <w:marBottom w:val="0"/>
      <w:divBdr>
        <w:top w:val="none" w:sz="0" w:space="0" w:color="auto"/>
        <w:left w:val="none" w:sz="0" w:space="0" w:color="auto"/>
        <w:bottom w:val="none" w:sz="0" w:space="0" w:color="auto"/>
        <w:right w:val="none" w:sz="0" w:space="0" w:color="auto"/>
      </w:divBdr>
    </w:div>
    <w:div w:id="746538571">
      <w:bodyDiv w:val="1"/>
      <w:marLeft w:val="0"/>
      <w:marRight w:val="0"/>
      <w:marTop w:val="0"/>
      <w:marBottom w:val="0"/>
      <w:divBdr>
        <w:top w:val="none" w:sz="0" w:space="0" w:color="auto"/>
        <w:left w:val="none" w:sz="0" w:space="0" w:color="auto"/>
        <w:bottom w:val="none" w:sz="0" w:space="0" w:color="auto"/>
        <w:right w:val="none" w:sz="0" w:space="0" w:color="auto"/>
      </w:divBdr>
    </w:div>
    <w:div w:id="756484036">
      <w:bodyDiv w:val="1"/>
      <w:marLeft w:val="0"/>
      <w:marRight w:val="0"/>
      <w:marTop w:val="0"/>
      <w:marBottom w:val="0"/>
      <w:divBdr>
        <w:top w:val="none" w:sz="0" w:space="0" w:color="auto"/>
        <w:left w:val="none" w:sz="0" w:space="0" w:color="auto"/>
        <w:bottom w:val="none" w:sz="0" w:space="0" w:color="auto"/>
        <w:right w:val="none" w:sz="0" w:space="0" w:color="auto"/>
      </w:divBdr>
    </w:div>
    <w:div w:id="763766800">
      <w:bodyDiv w:val="1"/>
      <w:marLeft w:val="0"/>
      <w:marRight w:val="0"/>
      <w:marTop w:val="0"/>
      <w:marBottom w:val="0"/>
      <w:divBdr>
        <w:top w:val="none" w:sz="0" w:space="0" w:color="auto"/>
        <w:left w:val="none" w:sz="0" w:space="0" w:color="auto"/>
        <w:bottom w:val="none" w:sz="0" w:space="0" w:color="auto"/>
        <w:right w:val="none" w:sz="0" w:space="0" w:color="auto"/>
      </w:divBdr>
    </w:div>
    <w:div w:id="764613874">
      <w:bodyDiv w:val="1"/>
      <w:marLeft w:val="0"/>
      <w:marRight w:val="0"/>
      <w:marTop w:val="0"/>
      <w:marBottom w:val="0"/>
      <w:divBdr>
        <w:top w:val="none" w:sz="0" w:space="0" w:color="auto"/>
        <w:left w:val="none" w:sz="0" w:space="0" w:color="auto"/>
        <w:bottom w:val="none" w:sz="0" w:space="0" w:color="auto"/>
        <w:right w:val="none" w:sz="0" w:space="0" w:color="auto"/>
      </w:divBdr>
    </w:div>
    <w:div w:id="764765562">
      <w:bodyDiv w:val="1"/>
      <w:marLeft w:val="0"/>
      <w:marRight w:val="0"/>
      <w:marTop w:val="0"/>
      <w:marBottom w:val="0"/>
      <w:divBdr>
        <w:top w:val="none" w:sz="0" w:space="0" w:color="auto"/>
        <w:left w:val="none" w:sz="0" w:space="0" w:color="auto"/>
        <w:bottom w:val="none" w:sz="0" w:space="0" w:color="auto"/>
        <w:right w:val="none" w:sz="0" w:space="0" w:color="auto"/>
      </w:divBdr>
    </w:div>
    <w:div w:id="768162686">
      <w:bodyDiv w:val="1"/>
      <w:marLeft w:val="0"/>
      <w:marRight w:val="0"/>
      <w:marTop w:val="0"/>
      <w:marBottom w:val="0"/>
      <w:divBdr>
        <w:top w:val="none" w:sz="0" w:space="0" w:color="auto"/>
        <w:left w:val="none" w:sz="0" w:space="0" w:color="auto"/>
        <w:bottom w:val="none" w:sz="0" w:space="0" w:color="auto"/>
        <w:right w:val="none" w:sz="0" w:space="0" w:color="auto"/>
      </w:divBdr>
    </w:div>
    <w:div w:id="777987942">
      <w:bodyDiv w:val="1"/>
      <w:marLeft w:val="0"/>
      <w:marRight w:val="0"/>
      <w:marTop w:val="0"/>
      <w:marBottom w:val="0"/>
      <w:divBdr>
        <w:top w:val="none" w:sz="0" w:space="0" w:color="auto"/>
        <w:left w:val="none" w:sz="0" w:space="0" w:color="auto"/>
        <w:bottom w:val="none" w:sz="0" w:space="0" w:color="auto"/>
        <w:right w:val="none" w:sz="0" w:space="0" w:color="auto"/>
      </w:divBdr>
    </w:div>
    <w:div w:id="782111488">
      <w:bodyDiv w:val="1"/>
      <w:marLeft w:val="0"/>
      <w:marRight w:val="0"/>
      <w:marTop w:val="0"/>
      <w:marBottom w:val="0"/>
      <w:divBdr>
        <w:top w:val="none" w:sz="0" w:space="0" w:color="auto"/>
        <w:left w:val="none" w:sz="0" w:space="0" w:color="auto"/>
        <w:bottom w:val="none" w:sz="0" w:space="0" w:color="auto"/>
        <w:right w:val="none" w:sz="0" w:space="0" w:color="auto"/>
      </w:divBdr>
    </w:div>
    <w:div w:id="783233883">
      <w:bodyDiv w:val="1"/>
      <w:marLeft w:val="0"/>
      <w:marRight w:val="0"/>
      <w:marTop w:val="0"/>
      <w:marBottom w:val="0"/>
      <w:divBdr>
        <w:top w:val="none" w:sz="0" w:space="0" w:color="auto"/>
        <w:left w:val="none" w:sz="0" w:space="0" w:color="auto"/>
        <w:bottom w:val="none" w:sz="0" w:space="0" w:color="auto"/>
        <w:right w:val="none" w:sz="0" w:space="0" w:color="auto"/>
      </w:divBdr>
    </w:div>
    <w:div w:id="793985081">
      <w:bodyDiv w:val="1"/>
      <w:marLeft w:val="0"/>
      <w:marRight w:val="0"/>
      <w:marTop w:val="0"/>
      <w:marBottom w:val="0"/>
      <w:divBdr>
        <w:top w:val="none" w:sz="0" w:space="0" w:color="auto"/>
        <w:left w:val="none" w:sz="0" w:space="0" w:color="auto"/>
        <w:bottom w:val="none" w:sz="0" w:space="0" w:color="auto"/>
        <w:right w:val="none" w:sz="0" w:space="0" w:color="auto"/>
      </w:divBdr>
    </w:div>
    <w:div w:id="794447625">
      <w:bodyDiv w:val="1"/>
      <w:marLeft w:val="0"/>
      <w:marRight w:val="0"/>
      <w:marTop w:val="0"/>
      <w:marBottom w:val="0"/>
      <w:divBdr>
        <w:top w:val="none" w:sz="0" w:space="0" w:color="auto"/>
        <w:left w:val="none" w:sz="0" w:space="0" w:color="auto"/>
        <w:bottom w:val="none" w:sz="0" w:space="0" w:color="auto"/>
        <w:right w:val="none" w:sz="0" w:space="0" w:color="auto"/>
      </w:divBdr>
    </w:div>
    <w:div w:id="795875488">
      <w:bodyDiv w:val="1"/>
      <w:marLeft w:val="0"/>
      <w:marRight w:val="0"/>
      <w:marTop w:val="0"/>
      <w:marBottom w:val="0"/>
      <w:divBdr>
        <w:top w:val="none" w:sz="0" w:space="0" w:color="auto"/>
        <w:left w:val="none" w:sz="0" w:space="0" w:color="auto"/>
        <w:bottom w:val="none" w:sz="0" w:space="0" w:color="auto"/>
        <w:right w:val="none" w:sz="0" w:space="0" w:color="auto"/>
      </w:divBdr>
    </w:div>
    <w:div w:id="798648603">
      <w:bodyDiv w:val="1"/>
      <w:marLeft w:val="0"/>
      <w:marRight w:val="0"/>
      <w:marTop w:val="0"/>
      <w:marBottom w:val="0"/>
      <w:divBdr>
        <w:top w:val="none" w:sz="0" w:space="0" w:color="auto"/>
        <w:left w:val="none" w:sz="0" w:space="0" w:color="auto"/>
        <w:bottom w:val="none" w:sz="0" w:space="0" w:color="auto"/>
        <w:right w:val="none" w:sz="0" w:space="0" w:color="auto"/>
      </w:divBdr>
    </w:div>
    <w:div w:id="799615279">
      <w:bodyDiv w:val="1"/>
      <w:marLeft w:val="0"/>
      <w:marRight w:val="0"/>
      <w:marTop w:val="0"/>
      <w:marBottom w:val="0"/>
      <w:divBdr>
        <w:top w:val="none" w:sz="0" w:space="0" w:color="auto"/>
        <w:left w:val="none" w:sz="0" w:space="0" w:color="auto"/>
        <w:bottom w:val="none" w:sz="0" w:space="0" w:color="auto"/>
        <w:right w:val="none" w:sz="0" w:space="0" w:color="auto"/>
      </w:divBdr>
    </w:div>
    <w:div w:id="800414759">
      <w:bodyDiv w:val="1"/>
      <w:marLeft w:val="0"/>
      <w:marRight w:val="0"/>
      <w:marTop w:val="0"/>
      <w:marBottom w:val="0"/>
      <w:divBdr>
        <w:top w:val="none" w:sz="0" w:space="0" w:color="auto"/>
        <w:left w:val="none" w:sz="0" w:space="0" w:color="auto"/>
        <w:bottom w:val="none" w:sz="0" w:space="0" w:color="auto"/>
        <w:right w:val="none" w:sz="0" w:space="0" w:color="auto"/>
      </w:divBdr>
    </w:div>
    <w:div w:id="805584532">
      <w:bodyDiv w:val="1"/>
      <w:marLeft w:val="0"/>
      <w:marRight w:val="0"/>
      <w:marTop w:val="0"/>
      <w:marBottom w:val="0"/>
      <w:divBdr>
        <w:top w:val="none" w:sz="0" w:space="0" w:color="auto"/>
        <w:left w:val="none" w:sz="0" w:space="0" w:color="auto"/>
        <w:bottom w:val="none" w:sz="0" w:space="0" w:color="auto"/>
        <w:right w:val="none" w:sz="0" w:space="0" w:color="auto"/>
      </w:divBdr>
    </w:div>
    <w:div w:id="810289480">
      <w:bodyDiv w:val="1"/>
      <w:marLeft w:val="0"/>
      <w:marRight w:val="0"/>
      <w:marTop w:val="0"/>
      <w:marBottom w:val="0"/>
      <w:divBdr>
        <w:top w:val="none" w:sz="0" w:space="0" w:color="auto"/>
        <w:left w:val="none" w:sz="0" w:space="0" w:color="auto"/>
        <w:bottom w:val="none" w:sz="0" w:space="0" w:color="auto"/>
        <w:right w:val="none" w:sz="0" w:space="0" w:color="auto"/>
      </w:divBdr>
    </w:div>
    <w:div w:id="811335782">
      <w:bodyDiv w:val="1"/>
      <w:marLeft w:val="0"/>
      <w:marRight w:val="0"/>
      <w:marTop w:val="0"/>
      <w:marBottom w:val="0"/>
      <w:divBdr>
        <w:top w:val="none" w:sz="0" w:space="0" w:color="auto"/>
        <w:left w:val="none" w:sz="0" w:space="0" w:color="auto"/>
        <w:bottom w:val="none" w:sz="0" w:space="0" w:color="auto"/>
        <w:right w:val="none" w:sz="0" w:space="0" w:color="auto"/>
      </w:divBdr>
    </w:div>
    <w:div w:id="812717412">
      <w:bodyDiv w:val="1"/>
      <w:marLeft w:val="0"/>
      <w:marRight w:val="0"/>
      <w:marTop w:val="0"/>
      <w:marBottom w:val="0"/>
      <w:divBdr>
        <w:top w:val="none" w:sz="0" w:space="0" w:color="auto"/>
        <w:left w:val="none" w:sz="0" w:space="0" w:color="auto"/>
        <w:bottom w:val="none" w:sz="0" w:space="0" w:color="auto"/>
        <w:right w:val="none" w:sz="0" w:space="0" w:color="auto"/>
      </w:divBdr>
    </w:div>
    <w:div w:id="814833623">
      <w:bodyDiv w:val="1"/>
      <w:marLeft w:val="0"/>
      <w:marRight w:val="0"/>
      <w:marTop w:val="0"/>
      <w:marBottom w:val="0"/>
      <w:divBdr>
        <w:top w:val="none" w:sz="0" w:space="0" w:color="auto"/>
        <w:left w:val="none" w:sz="0" w:space="0" w:color="auto"/>
        <w:bottom w:val="none" w:sz="0" w:space="0" w:color="auto"/>
        <w:right w:val="none" w:sz="0" w:space="0" w:color="auto"/>
      </w:divBdr>
    </w:div>
    <w:div w:id="824736442">
      <w:bodyDiv w:val="1"/>
      <w:marLeft w:val="0"/>
      <w:marRight w:val="0"/>
      <w:marTop w:val="0"/>
      <w:marBottom w:val="0"/>
      <w:divBdr>
        <w:top w:val="none" w:sz="0" w:space="0" w:color="auto"/>
        <w:left w:val="none" w:sz="0" w:space="0" w:color="auto"/>
        <w:bottom w:val="none" w:sz="0" w:space="0" w:color="auto"/>
        <w:right w:val="none" w:sz="0" w:space="0" w:color="auto"/>
      </w:divBdr>
    </w:div>
    <w:div w:id="825631967">
      <w:bodyDiv w:val="1"/>
      <w:marLeft w:val="0"/>
      <w:marRight w:val="0"/>
      <w:marTop w:val="0"/>
      <w:marBottom w:val="0"/>
      <w:divBdr>
        <w:top w:val="none" w:sz="0" w:space="0" w:color="auto"/>
        <w:left w:val="none" w:sz="0" w:space="0" w:color="auto"/>
        <w:bottom w:val="none" w:sz="0" w:space="0" w:color="auto"/>
        <w:right w:val="none" w:sz="0" w:space="0" w:color="auto"/>
      </w:divBdr>
    </w:div>
    <w:div w:id="829753486">
      <w:bodyDiv w:val="1"/>
      <w:marLeft w:val="0"/>
      <w:marRight w:val="0"/>
      <w:marTop w:val="0"/>
      <w:marBottom w:val="0"/>
      <w:divBdr>
        <w:top w:val="none" w:sz="0" w:space="0" w:color="auto"/>
        <w:left w:val="none" w:sz="0" w:space="0" w:color="auto"/>
        <w:bottom w:val="none" w:sz="0" w:space="0" w:color="auto"/>
        <w:right w:val="none" w:sz="0" w:space="0" w:color="auto"/>
      </w:divBdr>
    </w:div>
    <w:div w:id="835150599">
      <w:bodyDiv w:val="1"/>
      <w:marLeft w:val="0"/>
      <w:marRight w:val="0"/>
      <w:marTop w:val="0"/>
      <w:marBottom w:val="0"/>
      <w:divBdr>
        <w:top w:val="none" w:sz="0" w:space="0" w:color="auto"/>
        <w:left w:val="none" w:sz="0" w:space="0" w:color="auto"/>
        <w:bottom w:val="none" w:sz="0" w:space="0" w:color="auto"/>
        <w:right w:val="none" w:sz="0" w:space="0" w:color="auto"/>
      </w:divBdr>
    </w:div>
    <w:div w:id="838428365">
      <w:bodyDiv w:val="1"/>
      <w:marLeft w:val="0"/>
      <w:marRight w:val="0"/>
      <w:marTop w:val="0"/>
      <w:marBottom w:val="0"/>
      <w:divBdr>
        <w:top w:val="none" w:sz="0" w:space="0" w:color="auto"/>
        <w:left w:val="none" w:sz="0" w:space="0" w:color="auto"/>
        <w:bottom w:val="none" w:sz="0" w:space="0" w:color="auto"/>
        <w:right w:val="none" w:sz="0" w:space="0" w:color="auto"/>
      </w:divBdr>
    </w:div>
    <w:div w:id="844397060">
      <w:bodyDiv w:val="1"/>
      <w:marLeft w:val="0"/>
      <w:marRight w:val="0"/>
      <w:marTop w:val="0"/>
      <w:marBottom w:val="0"/>
      <w:divBdr>
        <w:top w:val="none" w:sz="0" w:space="0" w:color="auto"/>
        <w:left w:val="none" w:sz="0" w:space="0" w:color="auto"/>
        <w:bottom w:val="none" w:sz="0" w:space="0" w:color="auto"/>
        <w:right w:val="none" w:sz="0" w:space="0" w:color="auto"/>
      </w:divBdr>
    </w:div>
    <w:div w:id="844711462">
      <w:bodyDiv w:val="1"/>
      <w:marLeft w:val="0"/>
      <w:marRight w:val="0"/>
      <w:marTop w:val="0"/>
      <w:marBottom w:val="0"/>
      <w:divBdr>
        <w:top w:val="none" w:sz="0" w:space="0" w:color="auto"/>
        <w:left w:val="none" w:sz="0" w:space="0" w:color="auto"/>
        <w:bottom w:val="none" w:sz="0" w:space="0" w:color="auto"/>
        <w:right w:val="none" w:sz="0" w:space="0" w:color="auto"/>
      </w:divBdr>
    </w:div>
    <w:div w:id="844713866">
      <w:bodyDiv w:val="1"/>
      <w:marLeft w:val="0"/>
      <w:marRight w:val="0"/>
      <w:marTop w:val="0"/>
      <w:marBottom w:val="0"/>
      <w:divBdr>
        <w:top w:val="none" w:sz="0" w:space="0" w:color="auto"/>
        <w:left w:val="none" w:sz="0" w:space="0" w:color="auto"/>
        <w:bottom w:val="none" w:sz="0" w:space="0" w:color="auto"/>
        <w:right w:val="none" w:sz="0" w:space="0" w:color="auto"/>
      </w:divBdr>
    </w:div>
    <w:div w:id="845747868">
      <w:bodyDiv w:val="1"/>
      <w:marLeft w:val="0"/>
      <w:marRight w:val="0"/>
      <w:marTop w:val="0"/>
      <w:marBottom w:val="0"/>
      <w:divBdr>
        <w:top w:val="none" w:sz="0" w:space="0" w:color="auto"/>
        <w:left w:val="none" w:sz="0" w:space="0" w:color="auto"/>
        <w:bottom w:val="none" w:sz="0" w:space="0" w:color="auto"/>
        <w:right w:val="none" w:sz="0" w:space="0" w:color="auto"/>
      </w:divBdr>
    </w:div>
    <w:div w:id="849638612">
      <w:bodyDiv w:val="1"/>
      <w:marLeft w:val="0"/>
      <w:marRight w:val="0"/>
      <w:marTop w:val="0"/>
      <w:marBottom w:val="0"/>
      <w:divBdr>
        <w:top w:val="none" w:sz="0" w:space="0" w:color="auto"/>
        <w:left w:val="none" w:sz="0" w:space="0" w:color="auto"/>
        <w:bottom w:val="none" w:sz="0" w:space="0" w:color="auto"/>
        <w:right w:val="none" w:sz="0" w:space="0" w:color="auto"/>
      </w:divBdr>
    </w:div>
    <w:div w:id="850492561">
      <w:bodyDiv w:val="1"/>
      <w:marLeft w:val="0"/>
      <w:marRight w:val="0"/>
      <w:marTop w:val="0"/>
      <w:marBottom w:val="0"/>
      <w:divBdr>
        <w:top w:val="none" w:sz="0" w:space="0" w:color="auto"/>
        <w:left w:val="none" w:sz="0" w:space="0" w:color="auto"/>
        <w:bottom w:val="none" w:sz="0" w:space="0" w:color="auto"/>
        <w:right w:val="none" w:sz="0" w:space="0" w:color="auto"/>
      </w:divBdr>
    </w:div>
    <w:div w:id="857277772">
      <w:bodyDiv w:val="1"/>
      <w:marLeft w:val="0"/>
      <w:marRight w:val="0"/>
      <w:marTop w:val="0"/>
      <w:marBottom w:val="0"/>
      <w:divBdr>
        <w:top w:val="none" w:sz="0" w:space="0" w:color="auto"/>
        <w:left w:val="none" w:sz="0" w:space="0" w:color="auto"/>
        <w:bottom w:val="none" w:sz="0" w:space="0" w:color="auto"/>
        <w:right w:val="none" w:sz="0" w:space="0" w:color="auto"/>
      </w:divBdr>
    </w:div>
    <w:div w:id="857501650">
      <w:bodyDiv w:val="1"/>
      <w:marLeft w:val="0"/>
      <w:marRight w:val="0"/>
      <w:marTop w:val="0"/>
      <w:marBottom w:val="0"/>
      <w:divBdr>
        <w:top w:val="none" w:sz="0" w:space="0" w:color="auto"/>
        <w:left w:val="none" w:sz="0" w:space="0" w:color="auto"/>
        <w:bottom w:val="none" w:sz="0" w:space="0" w:color="auto"/>
        <w:right w:val="none" w:sz="0" w:space="0" w:color="auto"/>
      </w:divBdr>
    </w:div>
    <w:div w:id="863716010">
      <w:bodyDiv w:val="1"/>
      <w:marLeft w:val="0"/>
      <w:marRight w:val="0"/>
      <w:marTop w:val="0"/>
      <w:marBottom w:val="0"/>
      <w:divBdr>
        <w:top w:val="none" w:sz="0" w:space="0" w:color="auto"/>
        <w:left w:val="none" w:sz="0" w:space="0" w:color="auto"/>
        <w:bottom w:val="none" w:sz="0" w:space="0" w:color="auto"/>
        <w:right w:val="none" w:sz="0" w:space="0" w:color="auto"/>
      </w:divBdr>
    </w:div>
    <w:div w:id="864290835">
      <w:bodyDiv w:val="1"/>
      <w:marLeft w:val="0"/>
      <w:marRight w:val="0"/>
      <w:marTop w:val="0"/>
      <w:marBottom w:val="0"/>
      <w:divBdr>
        <w:top w:val="none" w:sz="0" w:space="0" w:color="auto"/>
        <w:left w:val="none" w:sz="0" w:space="0" w:color="auto"/>
        <w:bottom w:val="none" w:sz="0" w:space="0" w:color="auto"/>
        <w:right w:val="none" w:sz="0" w:space="0" w:color="auto"/>
      </w:divBdr>
    </w:div>
    <w:div w:id="865604375">
      <w:bodyDiv w:val="1"/>
      <w:marLeft w:val="0"/>
      <w:marRight w:val="0"/>
      <w:marTop w:val="0"/>
      <w:marBottom w:val="0"/>
      <w:divBdr>
        <w:top w:val="none" w:sz="0" w:space="0" w:color="auto"/>
        <w:left w:val="none" w:sz="0" w:space="0" w:color="auto"/>
        <w:bottom w:val="none" w:sz="0" w:space="0" w:color="auto"/>
        <w:right w:val="none" w:sz="0" w:space="0" w:color="auto"/>
      </w:divBdr>
    </w:div>
    <w:div w:id="870727367">
      <w:bodyDiv w:val="1"/>
      <w:marLeft w:val="0"/>
      <w:marRight w:val="0"/>
      <w:marTop w:val="0"/>
      <w:marBottom w:val="0"/>
      <w:divBdr>
        <w:top w:val="none" w:sz="0" w:space="0" w:color="auto"/>
        <w:left w:val="none" w:sz="0" w:space="0" w:color="auto"/>
        <w:bottom w:val="none" w:sz="0" w:space="0" w:color="auto"/>
        <w:right w:val="none" w:sz="0" w:space="0" w:color="auto"/>
      </w:divBdr>
    </w:div>
    <w:div w:id="871959378">
      <w:bodyDiv w:val="1"/>
      <w:marLeft w:val="0"/>
      <w:marRight w:val="0"/>
      <w:marTop w:val="0"/>
      <w:marBottom w:val="0"/>
      <w:divBdr>
        <w:top w:val="none" w:sz="0" w:space="0" w:color="auto"/>
        <w:left w:val="none" w:sz="0" w:space="0" w:color="auto"/>
        <w:bottom w:val="none" w:sz="0" w:space="0" w:color="auto"/>
        <w:right w:val="none" w:sz="0" w:space="0" w:color="auto"/>
      </w:divBdr>
    </w:div>
    <w:div w:id="875629715">
      <w:bodyDiv w:val="1"/>
      <w:marLeft w:val="0"/>
      <w:marRight w:val="0"/>
      <w:marTop w:val="0"/>
      <w:marBottom w:val="0"/>
      <w:divBdr>
        <w:top w:val="none" w:sz="0" w:space="0" w:color="auto"/>
        <w:left w:val="none" w:sz="0" w:space="0" w:color="auto"/>
        <w:bottom w:val="none" w:sz="0" w:space="0" w:color="auto"/>
        <w:right w:val="none" w:sz="0" w:space="0" w:color="auto"/>
      </w:divBdr>
    </w:div>
    <w:div w:id="876619672">
      <w:bodyDiv w:val="1"/>
      <w:marLeft w:val="0"/>
      <w:marRight w:val="0"/>
      <w:marTop w:val="0"/>
      <w:marBottom w:val="0"/>
      <w:divBdr>
        <w:top w:val="none" w:sz="0" w:space="0" w:color="auto"/>
        <w:left w:val="none" w:sz="0" w:space="0" w:color="auto"/>
        <w:bottom w:val="none" w:sz="0" w:space="0" w:color="auto"/>
        <w:right w:val="none" w:sz="0" w:space="0" w:color="auto"/>
      </w:divBdr>
    </w:div>
    <w:div w:id="880363658">
      <w:bodyDiv w:val="1"/>
      <w:marLeft w:val="0"/>
      <w:marRight w:val="0"/>
      <w:marTop w:val="0"/>
      <w:marBottom w:val="0"/>
      <w:divBdr>
        <w:top w:val="none" w:sz="0" w:space="0" w:color="auto"/>
        <w:left w:val="none" w:sz="0" w:space="0" w:color="auto"/>
        <w:bottom w:val="none" w:sz="0" w:space="0" w:color="auto"/>
        <w:right w:val="none" w:sz="0" w:space="0" w:color="auto"/>
      </w:divBdr>
    </w:div>
    <w:div w:id="880632022">
      <w:bodyDiv w:val="1"/>
      <w:marLeft w:val="0"/>
      <w:marRight w:val="0"/>
      <w:marTop w:val="0"/>
      <w:marBottom w:val="0"/>
      <w:divBdr>
        <w:top w:val="none" w:sz="0" w:space="0" w:color="auto"/>
        <w:left w:val="none" w:sz="0" w:space="0" w:color="auto"/>
        <w:bottom w:val="none" w:sz="0" w:space="0" w:color="auto"/>
        <w:right w:val="none" w:sz="0" w:space="0" w:color="auto"/>
      </w:divBdr>
    </w:div>
    <w:div w:id="882642445">
      <w:bodyDiv w:val="1"/>
      <w:marLeft w:val="0"/>
      <w:marRight w:val="0"/>
      <w:marTop w:val="0"/>
      <w:marBottom w:val="0"/>
      <w:divBdr>
        <w:top w:val="none" w:sz="0" w:space="0" w:color="auto"/>
        <w:left w:val="none" w:sz="0" w:space="0" w:color="auto"/>
        <w:bottom w:val="none" w:sz="0" w:space="0" w:color="auto"/>
        <w:right w:val="none" w:sz="0" w:space="0" w:color="auto"/>
      </w:divBdr>
    </w:div>
    <w:div w:id="883294810">
      <w:bodyDiv w:val="1"/>
      <w:marLeft w:val="0"/>
      <w:marRight w:val="0"/>
      <w:marTop w:val="0"/>
      <w:marBottom w:val="0"/>
      <w:divBdr>
        <w:top w:val="none" w:sz="0" w:space="0" w:color="auto"/>
        <w:left w:val="none" w:sz="0" w:space="0" w:color="auto"/>
        <w:bottom w:val="none" w:sz="0" w:space="0" w:color="auto"/>
        <w:right w:val="none" w:sz="0" w:space="0" w:color="auto"/>
      </w:divBdr>
    </w:div>
    <w:div w:id="887254558">
      <w:bodyDiv w:val="1"/>
      <w:marLeft w:val="0"/>
      <w:marRight w:val="0"/>
      <w:marTop w:val="0"/>
      <w:marBottom w:val="0"/>
      <w:divBdr>
        <w:top w:val="none" w:sz="0" w:space="0" w:color="auto"/>
        <w:left w:val="none" w:sz="0" w:space="0" w:color="auto"/>
        <w:bottom w:val="none" w:sz="0" w:space="0" w:color="auto"/>
        <w:right w:val="none" w:sz="0" w:space="0" w:color="auto"/>
      </w:divBdr>
    </w:div>
    <w:div w:id="888691074">
      <w:bodyDiv w:val="1"/>
      <w:marLeft w:val="0"/>
      <w:marRight w:val="0"/>
      <w:marTop w:val="0"/>
      <w:marBottom w:val="0"/>
      <w:divBdr>
        <w:top w:val="none" w:sz="0" w:space="0" w:color="auto"/>
        <w:left w:val="none" w:sz="0" w:space="0" w:color="auto"/>
        <w:bottom w:val="none" w:sz="0" w:space="0" w:color="auto"/>
        <w:right w:val="none" w:sz="0" w:space="0" w:color="auto"/>
      </w:divBdr>
    </w:div>
    <w:div w:id="892085496">
      <w:bodyDiv w:val="1"/>
      <w:marLeft w:val="0"/>
      <w:marRight w:val="0"/>
      <w:marTop w:val="0"/>
      <w:marBottom w:val="0"/>
      <w:divBdr>
        <w:top w:val="none" w:sz="0" w:space="0" w:color="auto"/>
        <w:left w:val="none" w:sz="0" w:space="0" w:color="auto"/>
        <w:bottom w:val="none" w:sz="0" w:space="0" w:color="auto"/>
        <w:right w:val="none" w:sz="0" w:space="0" w:color="auto"/>
      </w:divBdr>
    </w:div>
    <w:div w:id="899367382">
      <w:bodyDiv w:val="1"/>
      <w:marLeft w:val="0"/>
      <w:marRight w:val="0"/>
      <w:marTop w:val="0"/>
      <w:marBottom w:val="0"/>
      <w:divBdr>
        <w:top w:val="none" w:sz="0" w:space="0" w:color="auto"/>
        <w:left w:val="none" w:sz="0" w:space="0" w:color="auto"/>
        <w:bottom w:val="none" w:sz="0" w:space="0" w:color="auto"/>
        <w:right w:val="none" w:sz="0" w:space="0" w:color="auto"/>
      </w:divBdr>
    </w:div>
    <w:div w:id="905382271">
      <w:bodyDiv w:val="1"/>
      <w:marLeft w:val="0"/>
      <w:marRight w:val="0"/>
      <w:marTop w:val="0"/>
      <w:marBottom w:val="0"/>
      <w:divBdr>
        <w:top w:val="none" w:sz="0" w:space="0" w:color="auto"/>
        <w:left w:val="none" w:sz="0" w:space="0" w:color="auto"/>
        <w:bottom w:val="none" w:sz="0" w:space="0" w:color="auto"/>
        <w:right w:val="none" w:sz="0" w:space="0" w:color="auto"/>
      </w:divBdr>
    </w:div>
    <w:div w:id="907691222">
      <w:bodyDiv w:val="1"/>
      <w:marLeft w:val="0"/>
      <w:marRight w:val="0"/>
      <w:marTop w:val="0"/>
      <w:marBottom w:val="0"/>
      <w:divBdr>
        <w:top w:val="none" w:sz="0" w:space="0" w:color="auto"/>
        <w:left w:val="none" w:sz="0" w:space="0" w:color="auto"/>
        <w:bottom w:val="none" w:sz="0" w:space="0" w:color="auto"/>
        <w:right w:val="none" w:sz="0" w:space="0" w:color="auto"/>
      </w:divBdr>
    </w:div>
    <w:div w:id="907770245">
      <w:bodyDiv w:val="1"/>
      <w:marLeft w:val="0"/>
      <w:marRight w:val="0"/>
      <w:marTop w:val="0"/>
      <w:marBottom w:val="0"/>
      <w:divBdr>
        <w:top w:val="none" w:sz="0" w:space="0" w:color="auto"/>
        <w:left w:val="none" w:sz="0" w:space="0" w:color="auto"/>
        <w:bottom w:val="none" w:sz="0" w:space="0" w:color="auto"/>
        <w:right w:val="none" w:sz="0" w:space="0" w:color="auto"/>
      </w:divBdr>
    </w:div>
    <w:div w:id="909317043">
      <w:bodyDiv w:val="1"/>
      <w:marLeft w:val="0"/>
      <w:marRight w:val="0"/>
      <w:marTop w:val="0"/>
      <w:marBottom w:val="0"/>
      <w:divBdr>
        <w:top w:val="none" w:sz="0" w:space="0" w:color="auto"/>
        <w:left w:val="none" w:sz="0" w:space="0" w:color="auto"/>
        <w:bottom w:val="none" w:sz="0" w:space="0" w:color="auto"/>
        <w:right w:val="none" w:sz="0" w:space="0" w:color="auto"/>
      </w:divBdr>
    </w:div>
    <w:div w:id="913246497">
      <w:bodyDiv w:val="1"/>
      <w:marLeft w:val="0"/>
      <w:marRight w:val="0"/>
      <w:marTop w:val="0"/>
      <w:marBottom w:val="0"/>
      <w:divBdr>
        <w:top w:val="none" w:sz="0" w:space="0" w:color="auto"/>
        <w:left w:val="none" w:sz="0" w:space="0" w:color="auto"/>
        <w:bottom w:val="none" w:sz="0" w:space="0" w:color="auto"/>
        <w:right w:val="none" w:sz="0" w:space="0" w:color="auto"/>
      </w:divBdr>
    </w:div>
    <w:div w:id="920992025">
      <w:bodyDiv w:val="1"/>
      <w:marLeft w:val="0"/>
      <w:marRight w:val="0"/>
      <w:marTop w:val="0"/>
      <w:marBottom w:val="0"/>
      <w:divBdr>
        <w:top w:val="none" w:sz="0" w:space="0" w:color="auto"/>
        <w:left w:val="none" w:sz="0" w:space="0" w:color="auto"/>
        <w:bottom w:val="none" w:sz="0" w:space="0" w:color="auto"/>
        <w:right w:val="none" w:sz="0" w:space="0" w:color="auto"/>
      </w:divBdr>
    </w:div>
    <w:div w:id="921986219">
      <w:bodyDiv w:val="1"/>
      <w:marLeft w:val="0"/>
      <w:marRight w:val="0"/>
      <w:marTop w:val="0"/>
      <w:marBottom w:val="0"/>
      <w:divBdr>
        <w:top w:val="none" w:sz="0" w:space="0" w:color="auto"/>
        <w:left w:val="none" w:sz="0" w:space="0" w:color="auto"/>
        <w:bottom w:val="none" w:sz="0" w:space="0" w:color="auto"/>
        <w:right w:val="none" w:sz="0" w:space="0" w:color="auto"/>
      </w:divBdr>
    </w:div>
    <w:div w:id="924151639">
      <w:bodyDiv w:val="1"/>
      <w:marLeft w:val="0"/>
      <w:marRight w:val="0"/>
      <w:marTop w:val="0"/>
      <w:marBottom w:val="0"/>
      <w:divBdr>
        <w:top w:val="none" w:sz="0" w:space="0" w:color="auto"/>
        <w:left w:val="none" w:sz="0" w:space="0" w:color="auto"/>
        <w:bottom w:val="none" w:sz="0" w:space="0" w:color="auto"/>
        <w:right w:val="none" w:sz="0" w:space="0" w:color="auto"/>
      </w:divBdr>
    </w:div>
    <w:div w:id="929043845">
      <w:bodyDiv w:val="1"/>
      <w:marLeft w:val="0"/>
      <w:marRight w:val="0"/>
      <w:marTop w:val="0"/>
      <w:marBottom w:val="0"/>
      <w:divBdr>
        <w:top w:val="none" w:sz="0" w:space="0" w:color="auto"/>
        <w:left w:val="none" w:sz="0" w:space="0" w:color="auto"/>
        <w:bottom w:val="none" w:sz="0" w:space="0" w:color="auto"/>
        <w:right w:val="none" w:sz="0" w:space="0" w:color="auto"/>
      </w:divBdr>
    </w:div>
    <w:div w:id="939022299">
      <w:bodyDiv w:val="1"/>
      <w:marLeft w:val="0"/>
      <w:marRight w:val="0"/>
      <w:marTop w:val="0"/>
      <w:marBottom w:val="0"/>
      <w:divBdr>
        <w:top w:val="none" w:sz="0" w:space="0" w:color="auto"/>
        <w:left w:val="none" w:sz="0" w:space="0" w:color="auto"/>
        <w:bottom w:val="none" w:sz="0" w:space="0" w:color="auto"/>
        <w:right w:val="none" w:sz="0" w:space="0" w:color="auto"/>
      </w:divBdr>
    </w:div>
    <w:div w:id="944117622">
      <w:bodyDiv w:val="1"/>
      <w:marLeft w:val="0"/>
      <w:marRight w:val="0"/>
      <w:marTop w:val="0"/>
      <w:marBottom w:val="0"/>
      <w:divBdr>
        <w:top w:val="none" w:sz="0" w:space="0" w:color="auto"/>
        <w:left w:val="none" w:sz="0" w:space="0" w:color="auto"/>
        <w:bottom w:val="none" w:sz="0" w:space="0" w:color="auto"/>
        <w:right w:val="none" w:sz="0" w:space="0" w:color="auto"/>
      </w:divBdr>
    </w:div>
    <w:div w:id="957568437">
      <w:bodyDiv w:val="1"/>
      <w:marLeft w:val="0"/>
      <w:marRight w:val="0"/>
      <w:marTop w:val="0"/>
      <w:marBottom w:val="0"/>
      <w:divBdr>
        <w:top w:val="none" w:sz="0" w:space="0" w:color="auto"/>
        <w:left w:val="none" w:sz="0" w:space="0" w:color="auto"/>
        <w:bottom w:val="none" w:sz="0" w:space="0" w:color="auto"/>
        <w:right w:val="none" w:sz="0" w:space="0" w:color="auto"/>
      </w:divBdr>
    </w:div>
    <w:div w:id="959343025">
      <w:bodyDiv w:val="1"/>
      <w:marLeft w:val="0"/>
      <w:marRight w:val="0"/>
      <w:marTop w:val="0"/>
      <w:marBottom w:val="0"/>
      <w:divBdr>
        <w:top w:val="none" w:sz="0" w:space="0" w:color="auto"/>
        <w:left w:val="none" w:sz="0" w:space="0" w:color="auto"/>
        <w:bottom w:val="none" w:sz="0" w:space="0" w:color="auto"/>
        <w:right w:val="none" w:sz="0" w:space="0" w:color="auto"/>
      </w:divBdr>
    </w:div>
    <w:div w:id="961957409">
      <w:bodyDiv w:val="1"/>
      <w:marLeft w:val="0"/>
      <w:marRight w:val="0"/>
      <w:marTop w:val="0"/>
      <w:marBottom w:val="0"/>
      <w:divBdr>
        <w:top w:val="none" w:sz="0" w:space="0" w:color="auto"/>
        <w:left w:val="none" w:sz="0" w:space="0" w:color="auto"/>
        <w:bottom w:val="none" w:sz="0" w:space="0" w:color="auto"/>
        <w:right w:val="none" w:sz="0" w:space="0" w:color="auto"/>
      </w:divBdr>
    </w:div>
    <w:div w:id="969438959">
      <w:bodyDiv w:val="1"/>
      <w:marLeft w:val="0"/>
      <w:marRight w:val="0"/>
      <w:marTop w:val="0"/>
      <w:marBottom w:val="0"/>
      <w:divBdr>
        <w:top w:val="none" w:sz="0" w:space="0" w:color="auto"/>
        <w:left w:val="none" w:sz="0" w:space="0" w:color="auto"/>
        <w:bottom w:val="none" w:sz="0" w:space="0" w:color="auto"/>
        <w:right w:val="none" w:sz="0" w:space="0" w:color="auto"/>
      </w:divBdr>
    </w:div>
    <w:div w:id="969868455">
      <w:bodyDiv w:val="1"/>
      <w:marLeft w:val="0"/>
      <w:marRight w:val="0"/>
      <w:marTop w:val="0"/>
      <w:marBottom w:val="0"/>
      <w:divBdr>
        <w:top w:val="none" w:sz="0" w:space="0" w:color="auto"/>
        <w:left w:val="none" w:sz="0" w:space="0" w:color="auto"/>
        <w:bottom w:val="none" w:sz="0" w:space="0" w:color="auto"/>
        <w:right w:val="none" w:sz="0" w:space="0" w:color="auto"/>
      </w:divBdr>
    </w:div>
    <w:div w:id="972248072">
      <w:bodyDiv w:val="1"/>
      <w:marLeft w:val="0"/>
      <w:marRight w:val="0"/>
      <w:marTop w:val="0"/>
      <w:marBottom w:val="0"/>
      <w:divBdr>
        <w:top w:val="none" w:sz="0" w:space="0" w:color="auto"/>
        <w:left w:val="none" w:sz="0" w:space="0" w:color="auto"/>
        <w:bottom w:val="none" w:sz="0" w:space="0" w:color="auto"/>
        <w:right w:val="none" w:sz="0" w:space="0" w:color="auto"/>
      </w:divBdr>
    </w:div>
    <w:div w:id="973565206">
      <w:bodyDiv w:val="1"/>
      <w:marLeft w:val="0"/>
      <w:marRight w:val="0"/>
      <w:marTop w:val="0"/>
      <w:marBottom w:val="0"/>
      <w:divBdr>
        <w:top w:val="none" w:sz="0" w:space="0" w:color="auto"/>
        <w:left w:val="none" w:sz="0" w:space="0" w:color="auto"/>
        <w:bottom w:val="none" w:sz="0" w:space="0" w:color="auto"/>
        <w:right w:val="none" w:sz="0" w:space="0" w:color="auto"/>
      </w:divBdr>
    </w:div>
    <w:div w:id="973951112">
      <w:bodyDiv w:val="1"/>
      <w:marLeft w:val="0"/>
      <w:marRight w:val="0"/>
      <w:marTop w:val="0"/>
      <w:marBottom w:val="0"/>
      <w:divBdr>
        <w:top w:val="none" w:sz="0" w:space="0" w:color="auto"/>
        <w:left w:val="none" w:sz="0" w:space="0" w:color="auto"/>
        <w:bottom w:val="none" w:sz="0" w:space="0" w:color="auto"/>
        <w:right w:val="none" w:sz="0" w:space="0" w:color="auto"/>
      </w:divBdr>
    </w:div>
    <w:div w:id="984505381">
      <w:bodyDiv w:val="1"/>
      <w:marLeft w:val="0"/>
      <w:marRight w:val="0"/>
      <w:marTop w:val="0"/>
      <w:marBottom w:val="0"/>
      <w:divBdr>
        <w:top w:val="none" w:sz="0" w:space="0" w:color="auto"/>
        <w:left w:val="none" w:sz="0" w:space="0" w:color="auto"/>
        <w:bottom w:val="none" w:sz="0" w:space="0" w:color="auto"/>
        <w:right w:val="none" w:sz="0" w:space="0" w:color="auto"/>
      </w:divBdr>
    </w:div>
    <w:div w:id="990989897">
      <w:bodyDiv w:val="1"/>
      <w:marLeft w:val="0"/>
      <w:marRight w:val="0"/>
      <w:marTop w:val="0"/>
      <w:marBottom w:val="0"/>
      <w:divBdr>
        <w:top w:val="none" w:sz="0" w:space="0" w:color="auto"/>
        <w:left w:val="none" w:sz="0" w:space="0" w:color="auto"/>
        <w:bottom w:val="none" w:sz="0" w:space="0" w:color="auto"/>
        <w:right w:val="none" w:sz="0" w:space="0" w:color="auto"/>
      </w:divBdr>
    </w:div>
    <w:div w:id="994340716">
      <w:bodyDiv w:val="1"/>
      <w:marLeft w:val="0"/>
      <w:marRight w:val="0"/>
      <w:marTop w:val="0"/>
      <w:marBottom w:val="0"/>
      <w:divBdr>
        <w:top w:val="none" w:sz="0" w:space="0" w:color="auto"/>
        <w:left w:val="none" w:sz="0" w:space="0" w:color="auto"/>
        <w:bottom w:val="none" w:sz="0" w:space="0" w:color="auto"/>
        <w:right w:val="none" w:sz="0" w:space="0" w:color="auto"/>
      </w:divBdr>
    </w:div>
    <w:div w:id="995262347">
      <w:bodyDiv w:val="1"/>
      <w:marLeft w:val="0"/>
      <w:marRight w:val="0"/>
      <w:marTop w:val="0"/>
      <w:marBottom w:val="0"/>
      <w:divBdr>
        <w:top w:val="none" w:sz="0" w:space="0" w:color="auto"/>
        <w:left w:val="none" w:sz="0" w:space="0" w:color="auto"/>
        <w:bottom w:val="none" w:sz="0" w:space="0" w:color="auto"/>
        <w:right w:val="none" w:sz="0" w:space="0" w:color="auto"/>
      </w:divBdr>
    </w:div>
    <w:div w:id="995690018">
      <w:bodyDiv w:val="1"/>
      <w:marLeft w:val="0"/>
      <w:marRight w:val="0"/>
      <w:marTop w:val="0"/>
      <w:marBottom w:val="0"/>
      <w:divBdr>
        <w:top w:val="none" w:sz="0" w:space="0" w:color="auto"/>
        <w:left w:val="none" w:sz="0" w:space="0" w:color="auto"/>
        <w:bottom w:val="none" w:sz="0" w:space="0" w:color="auto"/>
        <w:right w:val="none" w:sz="0" w:space="0" w:color="auto"/>
      </w:divBdr>
    </w:div>
    <w:div w:id="999038878">
      <w:bodyDiv w:val="1"/>
      <w:marLeft w:val="0"/>
      <w:marRight w:val="0"/>
      <w:marTop w:val="0"/>
      <w:marBottom w:val="0"/>
      <w:divBdr>
        <w:top w:val="none" w:sz="0" w:space="0" w:color="auto"/>
        <w:left w:val="none" w:sz="0" w:space="0" w:color="auto"/>
        <w:bottom w:val="none" w:sz="0" w:space="0" w:color="auto"/>
        <w:right w:val="none" w:sz="0" w:space="0" w:color="auto"/>
      </w:divBdr>
    </w:div>
    <w:div w:id="1001735951">
      <w:bodyDiv w:val="1"/>
      <w:marLeft w:val="0"/>
      <w:marRight w:val="0"/>
      <w:marTop w:val="0"/>
      <w:marBottom w:val="0"/>
      <w:divBdr>
        <w:top w:val="none" w:sz="0" w:space="0" w:color="auto"/>
        <w:left w:val="none" w:sz="0" w:space="0" w:color="auto"/>
        <w:bottom w:val="none" w:sz="0" w:space="0" w:color="auto"/>
        <w:right w:val="none" w:sz="0" w:space="0" w:color="auto"/>
      </w:divBdr>
    </w:div>
    <w:div w:id="1002274560">
      <w:bodyDiv w:val="1"/>
      <w:marLeft w:val="0"/>
      <w:marRight w:val="0"/>
      <w:marTop w:val="0"/>
      <w:marBottom w:val="0"/>
      <w:divBdr>
        <w:top w:val="none" w:sz="0" w:space="0" w:color="auto"/>
        <w:left w:val="none" w:sz="0" w:space="0" w:color="auto"/>
        <w:bottom w:val="none" w:sz="0" w:space="0" w:color="auto"/>
        <w:right w:val="none" w:sz="0" w:space="0" w:color="auto"/>
      </w:divBdr>
    </w:div>
    <w:div w:id="1003316000">
      <w:bodyDiv w:val="1"/>
      <w:marLeft w:val="0"/>
      <w:marRight w:val="0"/>
      <w:marTop w:val="0"/>
      <w:marBottom w:val="0"/>
      <w:divBdr>
        <w:top w:val="none" w:sz="0" w:space="0" w:color="auto"/>
        <w:left w:val="none" w:sz="0" w:space="0" w:color="auto"/>
        <w:bottom w:val="none" w:sz="0" w:space="0" w:color="auto"/>
        <w:right w:val="none" w:sz="0" w:space="0" w:color="auto"/>
      </w:divBdr>
    </w:div>
    <w:div w:id="1003776912">
      <w:bodyDiv w:val="1"/>
      <w:marLeft w:val="0"/>
      <w:marRight w:val="0"/>
      <w:marTop w:val="0"/>
      <w:marBottom w:val="0"/>
      <w:divBdr>
        <w:top w:val="none" w:sz="0" w:space="0" w:color="auto"/>
        <w:left w:val="none" w:sz="0" w:space="0" w:color="auto"/>
        <w:bottom w:val="none" w:sz="0" w:space="0" w:color="auto"/>
        <w:right w:val="none" w:sz="0" w:space="0" w:color="auto"/>
      </w:divBdr>
    </w:div>
    <w:div w:id="1004823531">
      <w:bodyDiv w:val="1"/>
      <w:marLeft w:val="0"/>
      <w:marRight w:val="0"/>
      <w:marTop w:val="0"/>
      <w:marBottom w:val="0"/>
      <w:divBdr>
        <w:top w:val="none" w:sz="0" w:space="0" w:color="auto"/>
        <w:left w:val="none" w:sz="0" w:space="0" w:color="auto"/>
        <w:bottom w:val="none" w:sz="0" w:space="0" w:color="auto"/>
        <w:right w:val="none" w:sz="0" w:space="0" w:color="auto"/>
      </w:divBdr>
    </w:div>
    <w:div w:id="1011100369">
      <w:bodyDiv w:val="1"/>
      <w:marLeft w:val="0"/>
      <w:marRight w:val="0"/>
      <w:marTop w:val="0"/>
      <w:marBottom w:val="0"/>
      <w:divBdr>
        <w:top w:val="none" w:sz="0" w:space="0" w:color="auto"/>
        <w:left w:val="none" w:sz="0" w:space="0" w:color="auto"/>
        <w:bottom w:val="none" w:sz="0" w:space="0" w:color="auto"/>
        <w:right w:val="none" w:sz="0" w:space="0" w:color="auto"/>
      </w:divBdr>
    </w:div>
    <w:div w:id="1014069689">
      <w:bodyDiv w:val="1"/>
      <w:marLeft w:val="0"/>
      <w:marRight w:val="0"/>
      <w:marTop w:val="0"/>
      <w:marBottom w:val="0"/>
      <w:divBdr>
        <w:top w:val="none" w:sz="0" w:space="0" w:color="auto"/>
        <w:left w:val="none" w:sz="0" w:space="0" w:color="auto"/>
        <w:bottom w:val="none" w:sz="0" w:space="0" w:color="auto"/>
        <w:right w:val="none" w:sz="0" w:space="0" w:color="auto"/>
      </w:divBdr>
    </w:div>
    <w:div w:id="1018234136">
      <w:bodyDiv w:val="1"/>
      <w:marLeft w:val="0"/>
      <w:marRight w:val="0"/>
      <w:marTop w:val="0"/>
      <w:marBottom w:val="0"/>
      <w:divBdr>
        <w:top w:val="none" w:sz="0" w:space="0" w:color="auto"/>
        <w:left w:val="none" w:sz="0" w:space="0" w:color="auto"/>
        <w:bottom w:val="none" w:sz="0" w:space="0" w:color="auto"/>
        <w:right w:val="none" w:sz="0" w:space="0" w:color="auto"/>
      </w:divBdr>
    </w:div>
    <w:div w:id="1019088778">
      <w:bodyDiv w:val="1"/>
      <w:marLeft w:val="0"/>
      <w:marRight w:val="0"/>
      <w:marTop w:val="0"/>
      <w:marBottom w:val="0"/>
      <w:divBdr>
        <w:top w:val="none" w:sz="0" w:space="0" w:color="auto"/>
        <w:left w:val="none" w:sz="0" w:space="0" w:color="auto"/>
        <w:bottom w:val="none" w:sz="0" w:space="0" w:color="auto"/>
        <w:right w:val="none" w:sz="0" w:space="0" w:color="auto"/>
      </w:divBdr>
    </w:div>
    <w:div w:id="1021200592">
      <w:bodyDiv w:val="1"/>
      <w:marLeft w:val="0"/>
      <w:marRight w:val="0"/>
      <w:marTop w:val="0"/>
      <w:marBottom w:val="0"/>
      <w:divBdr>
        <w:top w:val="none" w:sz="0" w:space="0" w:color="auto"/>
        <w:left w:val="none" w:sz="0" w:space="0" w:color="auto"/>
        <w:bottom w:val="none" w:sz="0" w:space="0" w:color="auto"/>
        <w:right w:val="none" w:sz="0" w:space="0" w:color="auto"/>
      </w:divBdr>
    </w:div>
    <w:div w:id="1021514658">
      <w:bodyDiv w:val="1"/>
      <w:marLeft w:val="0"/>
      <w:marRight w:val="0"/>
      <w:marTop w:val="0"/>
      <w:marBottom w:val="0"/>
      <w:divBdr>
        <w:top w:val="none" w:sz="0" w:space="0" w:color="auto"/>
        <w:left w:val="none" w:sz="0" w:space="0" w:color="auto"/>
        <w:bottom w:val="none" w:sz="0" w:space="0" w:color="auto"/>
        <w:right w:val="none" w:sz="0" w:space="0" w:color="auto"/>
      </w:divBdr>
    </w:div>
    <w:div w:id="1037586571">
      <w:bodyDiv w:val="1"/>
      <w:marLeft w:val="0"/>
      <w:marRight w:val="0"/>
      <w:marTop w:val="0"/>
      <w:marBottom w:val="0"/>
      <w:divBdr>
        <w:top w:val="none" w:sz="0" w:space="0" w:color="auto"/>
        <w:left w:val="none" w:sz="0" w:space="0" w:color="auto"/>
        <w:bottom w:val="none" w:sz="0" w:space="0" w:color="auto"/>
        <w:right w:val="none" w:sz="0" w:space="0" w:color="auto"/>
      </w:divBdr>
    </w:div>
    <w:div w:id="1037972137">
      <w:bodyDiv w:val="1"/>
      <w:marLeft w:val="0"/>
      <w:marRight w:val="0"/>
      <w:marTop w:val="0"/>
      <w:marBottom w:val="0"/>
      <w:divBdr>
        <w:top w:val="none" w:sz="0" w:space="0" w:color="auto"/>
        <w:left w:val="none" w:sz="0" w:space="0" w:color="auto"/>
        <w:bottom w:val="none" w:sz="0" w:space="0" w:color="auto"/>
        <w:right w:val="none" w:sz="0" w:space="0" w:color="auto"/>
      </w:divBdr>
    </w:div>
    <w:div w:id="1040981181">
      <w:bodyDiv w:val="1"/>
      <w:marLeft w:val="0"/>
      <w:marRight w:val="0"/>
      <w:marTop w:val="0"/>
      <w:marBottom w:val="0"/>
      <w:divBdr>
        <w:top w:val="none" w:sz="0" w:space="0" w:color="auto"/>
        <w:left w:val="none" w:sz="0" w:space="0" w:color="auto"/>
        <w:bottom w:val="none" w:sz="0" w:space="0" w:color="auto"/>
        <w:right w:val="none" w:sz="0" w:space="0" w:color="auto"/>
      </w:divBdr>
    </w:div>
    <w:div w:id="1041709907">
      <w:bodyDiv w:val="1"/>
      <w:marLeft w:val="0"/>
      <w:marRight w:val="0"/>
      <w:marTop w:val="0"/>
      <w:marBottom w:val="0"/>
      <w:divBdr>
        <w:top w:val="none" w:sz="0" w:space="0" w:color="auto"/>
        <w:left w:val="none" w:sz="0" w:space="0" w:color="auto"/>
        <w:bottom w:val="none" w:sz="0" w:space="0" w:color="auto"/>
        <w:right w:val="none" w:sz="0" w:space="0" w:color="auto"/>
      </w:divBdr>
    </w:div>
    <w:div w:id="1042291664">
      <w:bodyDiv w:val="1"/>
      <w:marLeft w:val="0"/>
      <w:marRight w:val="0"/>
      <w:marTop w:val="0"/>
      <w:marBottom w:val="0"/>
      <w:divBdr>
        <w:top w:val="none" w:sz="0" w:space="0" w:color="auto"/>
        <w:left w:val="none" w:sz="0" w:space="0" w:color="auto"/>
        <w:bottom w:val="none" w:sz="0" w:space="0" w:color="auto"/>
        <w:right w:val="none" w:sz="0" w:space="0" w:color="auto"/>
      </w:divBdr>
    </w:div>
    <w:div w:id="1042363000">
      <w:bodyDiv w:val="1"/>
      <w:marLeft w:val="0"/>
      <w:marRight w:val="0"/>
      <w:marTop w:val="0"/>
      <w:marBottom w:val="0"/>
      <w:divBdr>
        <w:top w:val="none" w:sz="0" w:space="0" w:color="auto"/>
        <w:left w:val="none" w:sz="0" w:space="0" w:color="auto"/>
        <w:bottom w:val="none" w:sz="0" w:space="0" w:color="auto"/>
        <w:right w:val="none" w:sz="0" w:space="0" w:color="auto"/>
      </w:divBdr>
    </w:div>
    <w:div w:id="1046762233">
      <w:bodyDiv w:val="1"/>
      <w:marLeft w:val="0"/>
      <w:marRight w:val="0"/>
      <w:marTop w:val="0"/>
      <w:marBottom w:val="0"/>
      <w:divBdr>
        <w:top w:val="none" w:sz="0" w:space="0" w:color="auto"/>
        <w:left w:val="none" w:sz="0" w:space="0" w:color="auto"/>
        <w:bottom w:val="none" w:sz="0" w:space="0" w:color="auto"/>
        <w:right w:val="none" w:sz="0" w:space="0" w:color="auto"/>
      </w:divBdr>
    </w:div>
    <w:div w:id="1048458343">
      <w:bodyDiv w:val="1"/>
      <w:marLeft w:val="0"/>
      <w:marRight w:val="0"/>
      <w:marTop w:val="0"/>
      <w:marBottom w:val="0"/>
      <w:divBdr>
        <w:top w:val="none" w:sz="0" w:space="0" w:color="auto"/>
        <w:left w:val="none" w:sz="0" w:space="0" w:color="auto"/>
        <w:bottom w:val="none" w:sz="0" w:space="0" w:color="auto"/>
        <w:right w:val="none" w:sz="0" w:space="0" w:color="auto"/>
      </w:divBdr>
    </w:div>
    <w:div w:id="1049721937">
      <w:bodyDiv w:val="1"/>
      <w:marLeft w:val="0"/>
      <w:marRight w:val="0"/>
      <w:marTop w:val="0"/>
      <w:marBottom w:val="0"/>
      <w:divBdr>
        <w:top w:val="none" w:sz="0" w:space="0" w:color="auto"/>
        <w:left w:val="none" w:sz="0" w:space="0" w:color="auto"/>
        <w:bottom w:val="none" w:sz="0" w:space="0" w:color="auto"/>
        <w:right w:val="none" w:sz="0" w:space="0" w:color="auto"/>
      </w:divBdr>
    </w:div>
    <w:div w:id="1058171007">
      <w:bodyDiv w:val="1"/>
      <w:marLeft w:val="0"/>
      <w:marRight w:val="0"/>
      <w:marTop w:val="0"/>
      <w:marBottom w:val="0"/>
      <w:divBdr>
        <w:top w:val="none" w:sz="0" w:space="0" w:color="auto"/>
        <w:left w:val="none" w:sz="0" w:space="0" w:color="auto"/>
        <w:bottom w:val="none" w:sz="0" w:space="0" w:color="auto"/>
        <w:right w:val="none" w:sz="0" w:space="0" w:color="auto"/>
      </w:divBdr>
    </w:div>
    <w:div w:id="1060521800">
      <w:bodyDiv w:val="1"/>
      <w:marLeft w:val="0"/>
      <w:marRight w:val="0"/>
      <w:marTop w:val="0"/>
      <w:marBottom w:val="0"/>
      <w:divBdr>
        <w:top w:val="none" w:sz="0" w:space="0" w:color="auto"/>
        <w:left w:val="none" w:sz="0" w:space="0" w:color="auto"/>
        <w:bottom w:val="none" w:sz="0" w:space="0" w:color="auto"/>
        <w:right w:val="none" w:sz="0" w:space="0" w:color="auto"/>
      </w:divBdr>
    </w:div>
    <w:div w:id="1062290634">
      <w:bodyDiv w:val="1"/>
      <w:marLeft w:val="0"/>
      <w:marRight w:val="0"/>
      <w:marTop w:val="0"/>
      <w:marBottom w:val="0"/>
      <w:divBdr>
        <w:top w:val="none" w:sz="0" w:space="0" w:color="auto"/>
        <w:left w:val="none" w:sz="0" w:space="0" w:color="auto"/>
        <w:bottom w:val="none" w:sz="0" w:space="0" w:color="auto"/>
        <w:right w:val="none" w:sz="0" w:space="0" w:color="auto"/>
      </w:divBdr>
    </w:div>
    <w:div w:id="1062750806">
      <w:bodyDiv w:val="1"/>
      <w:marLeft w:val="0"/>
      <w:marRight w:val="0"/>
      <w:marTop w:val="0"/>
      <w:marBottom w:val="0"/>
      <w:divBdr>
        <w:top w:val="none" w:sz="0" w:space="0" w:color="auto"/>
        <w:left w:val="none" w:sz="0" w:space="0" w:color="auto"/>
        <w:bottom w:val="none" w:sz="0" w:space="0" w:color="auto"/>
        <w:right w:val="none" w:sz="0" w:space="0" w:color="auto"/>
      </w:divBdr>
    </w:div>
    <w:div w:id="1068307295">
      <w:bodyDiv w:val="1"/>
      <w:marLeft w:val="0"/>
      <w:marRight w:val="0"/>
      <w:marTop w:val="0"/>
      <w:marBottom w:val="0"/>
      <w:divBdr>
        <w:top w:val="none" w:sz="0" w:space="0" w:color="auto"/>
        <w:left w:val="none" w:sz="0" w:space="0" w:color="auto"/>
        <w:bottom w:val="none" w:sz="0" w:space="0" w:color="auto"/>
        <w:right w:val="none" w:sz="0" w:space="0" w:color="auto"/>
      </w:divBdr>
    </w:div>
    <w:div w:id="1075736229">
      <w:bodyDiv w:val="1"/>
      <w:marLeft w:val="0"/>
      <w:marRight w:val="0"/>
      <w:marTop w:val="0"/>
      <w:marBottom w:val="0"/>
      <w:divBdr>
        <w:top w:val="none" w:sz="0" w:space="0" w:color="auto"/>
        <w:left w:val="none" w:sz="0" w:space="0" w:color="auto"/>
        <w:bottom w:val="none" w:sz="0" w:space="0" w:color="auto"/>
        <w:right w:val="none" w:sz="0" w:space="0" w:color="auto"/>
      </w:divBdr>
    </w:div>
    <w:div w:id="1076053836">
      <w:bodyDiv w:val="1"/>
      <w:marLeft w:val="0"/>
      <w:marRight w:val="0"/>
      <w:marTop w:val="0"/>
      <w:marBottom w:val="0"/>
      <w:divBdr>
        <w:top w:val="none" w:sz="0" w:space="0" w:color="auto"/>
        <w:left w:val="none" w:sz="0" w:space="0" w:color="auto"/>
        <w:bottom w:val="none" w:sz="0" w:space="0" w:color="auto"/>
        <w:right w:val="none" w:sz="0" w:space="0" w:color="auto"/>
      </w:divBdr>
    </w:div>
    <w:div w:id="1077287775">
      <w:bodyDiv w:val="1"/>
      <w:marLeft w:val="0"/>
      <w:marRight w:val="0"/>
      <w:marTop w:val="0"/>
      <w:marBottom w:val="0"/>
      <w:divBdr>
        <w:top w:val="none" w:sz="0" w:space="0" w:color="auto"/>
        <w:left w:val="none" w:sz="0" w:space="0" w:color="auto"/>
        <w:bottom w:val="none" w:sz="0" w:space="0" w:color="auto"/>
        <w:right w:val="none" w:sz="0" w:space="0" w:color="auto"/>
      </w:divBdr>
    </w:div>
    <w:div w:id="1077291951">
      <w:bodyDiv w:val="1"/>
      <w:marLeft w:val="0"/>
      <w:marRight w:val="0"/>
      <w:marTop w:val="0"/>
      <w:marBottom w:val="0"/>
      <w:divBdr>
        <w:top w:val="none" w:sz="0" w:space="0" w:color="auto"/>
        <w:left w:val="none" w:sz="0" w:space="0" w:color="auto"/>
        <w:bottom w:val="none" w:sz="0" w:space="0" w:color="auto"/>
        <w:right w:val="none" w:sz="0" w:space="0" w:color="auto"/>
      </w:divBdr>
    </w:div>
    <w:div w:id="1088233799">
      <w:bodyDiv w:val="1"/>
      <w:marLeft w:val="0"/>
      <w:marRight w:val="0"/>
      <w:marTop w:val="0"/>
      <w:marBottom w:val="0"/>
      <w:divBdr>
        <w:top w:val="none" w:sz="0" w:space="0" w:color="auto"/>
        <w:left w:val="none" w:sz="0" w:space="0" w:color="auto"/>
        <w:bottom w:val="none" w:sz="0" w:space="0" w:color="auto"/>
        <w:right w:val="none" w:sz="0" w:space="0" w:color="auto"/>
      </w:divBdr>
    </w:div>
    <w:div w:id="1095782895">
      <w:bodyDiv w:val="1"/>
      <w:marLeft w:val="0"/>
      <w:marRight w:val="0"/>
      <w:marTop w:val="0"/>
      <w:marBottom w:val="0"/>
      <w:divBdr>
        <w:top w:val="none" w:sz="0" w:space="0" w:color="auto"/>
        <w:left w:val="none" w:sz="0" w:space="0" w:color="auto"/>
        <w:bottom w:val="none" w:sz="0" w:space="0" w:color="auto"/>
        <w:right w:val="none" w:sz="0" w:space="0" w:color="auto"/>
      </w:divBdr>
    </w:div>
    <w:div w:id="1099449562">
      <w:bodyDiv w:val="1"/>
      <w:marLeft w:val="0"/>
      <w:marRight w:val="0"/>
      <w:marTop w:val="0"/>
      <w:marBottom w:val="0"/>
      <w:divBdr>
        <w:top w:val="none" w:sz="0" w:space="0" w:color="auto"/>
        <w:left w:val="none" w:sz="0" w:space="0" w:color="auto"/>
        <w:bottom w:val="none" w:sz="0" w:space="0" w:color="auto"/>
        <w:right w:val="none" w:sz="0" w:space="0" w:color="auto"/>
      </w:divBdr>
    </w:div>
    <w:div w:id="1102258165">
      <w:bodyDiv w:val="1"/>
      <w:marLeft w:val="0"/>
      <w:marRight w:val="0"/>
      <w:marTop w:val="0"/>
      <w:marBottom w:val="0"/>
      <w:divBdr>
        <w:top w:val="none" w:sz="0" w:space="0" w:color="auto"/>
        <w:left w:val="none" w:sz="0" w:space="0" w:color="auto"/>
        <w:bottom w:val="none" w:sz="0" w:space="0" w:color="auto"/>
        <w:right w:val="none" w:sz="0" w:space="0" w:color="auto"/>
      </w:divBdr>
    </w:div>
    <w:div w:id="1108308428">
      <w:bodyDiv w:val="1"/>
      <w:marLeft w:val="0"/>
      <w:marRight w:val="0"/>
      <w:marTop w:val="0"/>
      <w:marBottom w:val="0"/>
      <w:divBdr>
        <w:top w:val="none" w:sz="0" w:space="0" w:color="auto"/>
        <w:left w:val="none" w:sz="0" w:space="0" w:color="auto"/>
        <w:bottom w:val="none" w:sz="0" w:space="0" w:color="auto"/>
        <w:right w:val="none" w:sz="0" w:space="0" w:color="auto"/>
      </w:divBdr>
    </w:div>
    <w:div w:id="1110511819">
      <w:bodyDiv w:val="1"/>
      <w:marLeft w:val="0"/>
      <w:marRight w:val="0"/>
      <w:marTop w:val="0"/>
      <w:marBottom w:val="0"/>
      <w:divBdr>
        <w:top w:val="none" w:sz="0" w:space="0" w:color="auto"/>
        <w:left w:val="none" w:sz="0" w:space="0" w:color="auto"/>
        <w:bottom w:val="none" w:sz="0" w:space="0" w:color="auto"/>
        <w:right w:val="none" w:sz="0" w:space="0" w:color="auto"/>
      </w:divBdr>
    </w:div>
    <w:div w:id="1111702592">
      <w:bodyDiv w:val="1"/>
      <w:marLeft w:val="0"/>
      <w:marRight w:val="0"/>
      <w:marTop w:val="0"/>
      <w:marBottom w:val="0"/>
      <w:divBdr>
        <w:top w:val="none" w:sz="0" w:space="0" w:color="auto"/>
        <w:left w:val="none" w:sz="0" w:space="0" w:color="auto"/>
        <w:bottom w:val="none" w:sz="0" w:space="0" w:color="auto"/>
        <w:right w:val="none" w:sz="0" w:space="0" w:color="auto"/>
      </w:divBdr>
    </w:div>
    <w:div w:id="1114012270">
      <w:bodyDiv w:val="1"/>
      <w:marLeft w:val="0"/>
      <w:marRight w:val="0"/>
      <w:marTop w:val="0"/>
      <w:marBottom w:val="0"/>
      <w:divBdr>
        <w:top w:val="none" w:sz="0" w:space="0" w:color="auto"/>
        <w:left w:val="none" w:sz="0" w:space="0" w:color="auto"/>
        <w:bottom w:val="none" w:sz="0" w:space="0" w:color="auto"/>
        <w:right w:val="none" w:sz="0" w:space="0" w:color="auto"/>
      </w:divBdr>
    </w:div>
    <w:div w:id="1114442426">
      <w:bodyDiv w:val="1"/>
      <w:marLeft w:val="0"/>
      <w:marRight w:val="0"/>
      <w:marTop w:val="0"/>
      <w:marBottom w:val="0"/>
      <w:divBdr>
        <w:top w:val="none" w:sz="0" w:space="0" w:color="auto"/>
        <w:left w:val="none" w:sz="0" w:space="0" w:color="auto"/>
        <w:bottom w:val="none" w:sz="0" w:space="0" w:color="auto"/>
        <w:right w:val="none" w:sz="0" w:space="0" w:color="auto"/>
      </w:divBdr>
    </w:div>
    <w:div w:id="1121925442">
      <w:bodyDiv w:val="1"/>
      <w:marLeft w:val="0"/>
      <w:marRight w:val="0"/>
      <w:marTop w:val="0"/>
      <w:marBottom w:val="0"/>
      <w:divBdr>
        <w:top w:val="none" w:sz="0" w:space="0" w:color="auto"/>
        <w:left w:val="none" w:sz="0" w:space="0" w:color="auto"/>
        <w:bottom w:val="none" w:sz="0" w:space="0" w:color="auto"/>
        <w:right w:val="none" w:sz="0" w:space="0" w:color="auto"/>
      </w:divBdr>
    </w:div>
    <w:div w:id="1122531818">
      <w:bodyDiv w:val="1"/>
      <w:marLeft w:val="0"/>
      <w:marRight w:val="0"/>
      <w:marTop w:val="0"/>
      <w:marBottom w:val="0"/>
      <w:divBdr>
        <w:top w:val="none" w:sz="0" w:space="0" w:color="auto"/>
        <w:left w:val="none" w:sz="0" w:space="0" w:color="auto"/>
        <w:bottom w:val="none" w:sz="0" w:space="0" w:color="auto"/>
        <w:right w:val="none" w:sz="0" w:space="0" w:color="auto"/>
      </w:divBdr>
    </w:div>
    <w:div w:id="1126240118">
      <w:bodyDiv w:val="1"/>
      <w:marLeft w:val="0"/>
      <w:marRight w:val="0"/>
      <w:marTop w:val="0"/>
      <w:marBottom w:val="0"/>
      <w:divBdr>
        <w:top w:val="none" w:sz="0" w:space="0" w:color="auto"/>
        <w:left w:val="none" w:sz="0" w:space="0" w:color="auto"/>
        <w:bottom w:val="none" w:sz="0" w:space="0" w:color="auto"/>
        <w:right w:val="none" w:sz="0" w:space="0" w:color="auto"/>
      </w:divBdr>
    </w:div>
    <w:div w:id="1126435716">
      <w:bodyDiv w:val="1"/>
      <w:marLeft w:val="0"/>
      <w:marRight w:val="0"/>
      <w:marTop w:val="0"/>
      <w:marBottom w:val="0"/>
      <w:divBdr>
        <w:top w:val="none" w:sz="0" w:space="0" w:color="auto"/>
        <w:left w:val="none" w:sz="0" w:space="0" w:color="auto"/>
        <w:bottom w:val="none" w:sz="0" w:space="0" w:color="auto"/>
        <w:right w:val="none" w:sz="0" w:space="0" w:color="auto"/>
      </w:divBdr>
    </w:div>
    <w:div w:id="1127697395">
      <w:bodyDiv w:val="1"/>
      <w:marLeft w:val="0"/>
      <w:marRight w:val="0"/>
      <w:marTop w:val="0"/>
      <w:marBottom w:val="0"/>
      <w:divBdr>
        <w:top w:val="none" w:sz="0" w:space="0" w:color="auto"/>
        <w:left w:val="none" w:sz="0" w:space="0" w:color="auto"/>
        <w:bottom w:val="none" w:sz="0" w:space="0" w:color="auto"/>
        <w:right w:val="none" w:sz="0" w:space="0" w:color="auto"/>
      </w:divBdr>
    </w:div>
    <w:div w:id="1133407569">
      <w:bodyDiv w:val="1"/>
      <w:marLeft w:val="0"/>
      <w:marRight w:val="0"/>
      <w:marTop w:val="0"/>
      <w:marBottom w:val="0"/>
      <w:divBdr>
        <w:top w:val="none" w:sz="0" w:space="0" w:color="auto"/>
        <w:left w:val="none" w:sz="0" w:space="0" w:color="auto"/>
        <w:bottom w:val="none" w:sz="0" w:space="0" w:color="auto"/>
        <w:right w:val="none" w:sz="0" w:space="0" w:color="auto"/>
      </w:divBdr>
    </w:div>
    <w:div w:id="1135835836">
      <w:bodyDiv w:val="1"/>
      <w:marLeft w:val="0"/>
      <w:marRight w:val="0"/>
      <w:marTop w:val="0"/>
      <w:marBottom w:val="0"/>
      <w:divBdr>
        <w:top w:val="none" w:sz="0" w:space="0" w:color="auto"/>
        <w:left w:val="none" w:sz="0" w:space="0" w:color="auto"/>
        <w:bottom w:val="none" w:sz="0" w:space="0" w:color="auto"/>
        <w:right w:val="none" w:sz="0" w:space="0" w:color="auto"/>
      </w:divBdr>
    </w:div>
    <w:div w:id="1138955400">
      <w:bodyDiv w:val="1"/>
      <w:marLeft w:val="0"/>
      <w:marRight w:val="0"/>
      <w:marTop w:val="0"/>
      <w:marBottom w:val="0"/>
      <w:divBdr>
        <w:top w:val="none" w:sz="0" w:space="0" w:color="auto"/>
        <w:left w:val="none" w:sz="0" w:space="0" w:color="auto"/>
        <w:bottom w:val="none" w:sz="0" w:space="0" w:color="auto"/>
        <w:right w:val="none" w:sz="0" w:space="0" w:color="auto"/>
      </w:divBdr>
    </w:div>
    <w:div w:id="1156342127">
      <w:bodyDiv w:val="1"/>
      <w:marLeft w:val="0"/>
      <w:marRight w:val="0"/>
      <w:marTop w:val="0"/>
      <w:marBottom w:val="0"/>
      <w:divBdr>
        <w:top w:val="none" w:sz="0" w:space="0" w:color="auto"/>
        <w:left w:val="none" w:sz="0" w:space="0" w:color="auto"/>
        <w:bottom w:val="none" w:sz="0" w:space="0" w:color="auto"/>
        <w:right w:val="none" w:sz="0" w:space="0" w:color="auto"/>
      </w:divBdr>
    </w:div>
    <w:div w:id="1157453045">
      <w:bodyDiv w:val="1"/>
      <w:marLeft w:val="0"/>
      <w:marRight w:val="0"/>
      <w:marTop w:val="0"/>
      <w:marBottom w:val="0"/>
      <w:divBdr>
        <w:top w:val="none" w:sz="0" w:space="0" w:color="auto"/>
        <w:left w:val="none" w:sz="0" w:space="0" w:color="auto"/>
        <w:bottom w:val="none" w:sz="0" w:space="0" w:color="auto"/>
        <w:right w:val="none" w:sz="0" w:space="0" w:color="auto"/>
      </w:divBdr>
    </w:div>
    <w:div w:id="1158110010">
      <w:bodyDiv w:val="1"/>
      <w:marLeft w:val="0"/>
      <w:marRight w:val="0"/>
      <w:marTop w:val="0"/>
      <w:marBottom w:val="0"/>
      <w:divBdr>
        <w:top w:val="none" w:sz="0" w:space="0" w:color="auto"/>
        <w:left w:val="none" w:sz="0" w:space="0" w:color="auto"/>
        <w:bottom w:val="none" w:sz="0" w:space="0" w:color="auto"/>
        <w:right w:val="none" w:sz="0" w:space="0" w:color="auto"/>
      </w:divBdr>
    </w:div>
    <w:div w:id="1158229477">
      <w:bodyDiv w:val="1"/>
      <w:marLeft w:val="0"/>
      <w:marRight w:val="0"/>
      <w:marTop w:val="0"/>
      <w:marBottom w:val="0"/>
      <w:divBdr>
        <w:top w:val="none" w:sz="0" w:space="0" w:color="auto"/>
        <w:left w:val="none" w:sz="0" w:space="0" w:color="auto"/>
        <w:bottom w:val="none" w:sz="0" w:space="0" w:color="auto"/>
        <w:right w:val="none" w:sz="0" w:space="0" w:color="auto"/>
      </w:divBdr>
    </w:div>
    <w:div w:id="1158611648">
      <w:bodyDiv w:val="1"/>
      <w:marLeft w:val="0"/>
      <w:marRight w:val="0"/>
      <w:marTop w:val="0"/>
      <w:marBottom w:val="0"/>
      <w:divBdr>
        <w:top w:val="none" w:sz="0" w:space="0" w:color="auto"/>
        <w:left w:val="none" w:sz="0" w:space="0" w:color="auto"/>
        <w:bottom w:val="none" w:sz="0" w:space="0" w:color="auto"/>
        <w:right w:val="none" w:sz="0" w:space="0" w:color="auto"/>
      </w:divBdr>
    </w:div>
    <w:div w:id="1162769674">
      <w:bodyDiv w:val="1"/>
      <w:marLeft w:val="0"/>
      <w:marRight w:val="0"/>
      <w:marTop w:val="0"/>
      <w:marBottom w:val="0"/>
      <w:divBdr>
        <w:top w:val="none" w:sz="0" w:space="0" w:color="auto"/>
        <w:left w:val="none" w:sz="0" w:space="0" w:color="auto"/>
        <w:bottom w:val="none" w:sz="0" w:space="0" w:color="auto"/>
        <w:right w:val="none" w:sz="0" w:space="0" w:color="auto"/>
      </w:divBdr>
    </w:div>
    <w:div w:id="1166358337">
      <w:bodyDiv w:val="1"/>
      <w:marLeft w:val="0"/>
      <w:marRight w:val="0"/>
      <w:marTop w:val="0"/>
      <w:marBottom w:val="0"/>
      <w:divBdr>
        <w:top w:val="none" w:sz="0" w:space="0" w:color="auto"/>
        <w:left w:val="none" w:sz="0" w:space="0" w:color="auto"/>
        <w:bottom w:val="none" w:sz="0" w:space="0" w:color="auto"/>
        <w:right w:val="none" w:sz="0" w:space="0" w:color="auto"/>
      </w:divBdr>
    </w:div>
    <w:div w:id="1167280771">
      <w:bodyDiv w:val="1"/>
      <w:marLeft w:val="0"/>
      <w:marRight w:val="0"/>
      <w:marTop w:val="0"/>
      <w:marBottom w:val="0"/>
      <w:divBdr>
        <w:top w:val="none" w:sz="0" w:space="0" w:color="auto"/>
        <w:left w:val="none" w:sz="0" w:space="0" w:color="auto"/>
        <w:bottom w:val="none" w:sz="0" w:space="0" w:color="auto"/>
        <w:right w:val="none" w:sz="0" w:space="0" w:color="auto"/>
      </w:divBdr>
    </w:div>
    <w:div w:id="1169372991">
      <w:bodyDiv w:val="1"/>
      <w:marLeft w:val="0"/>
      <w:marRight w:val="0"/>
      <w:marTop w:val="0"/>
      <w:marBottom w:val="0"/>
      <w:divBdr>
        <w:top w:val="none" w:sz="0" w:space="0" w:color="auto"/>
        <w:left w:val="none" w:sz="0" w:space="0" w:color="auto"/>
        <w:bottom w:val="none" w:sz="0" w:space="0" w:color="auto"/>
        <w:right w:val="none" w:sz="0" w:space="0" w:color="auto"/>
      </w:divBdr>
    </w:div>
    <w:div w:id="1175070983">
      <w:bodyDiv w:val="1"/>
      <w:marLeft w:val="0"/>
      <w:marRight w:val="0"/>
      <w:marTop w:val="0"/>
      <w:marBottom w:val="0"/>
      <w:divBdr>
        <w:top w:val="none" w:sz="0" w:space="0" w:color="auto"/>
        <w:left w:val="none" w:sz="0" w:space="0" w:color="auto"/>
        <w:bottom w:val="none" w:sz="0" w:space="0" w:color="auto"/>
        <w:right w:val="none" w:sz="0" w:space="0" w:color="auto"/>
      </w:divBdr>
    </w:div>
    <w:div w:id="1178807250">
      <w:bodyDiv w:val="1"/>
      <w:marLeft w:val="0"/>
      <w:marRight w:val="0"/>
      <w:marTop w:val="0"/>
      <w:marBottom w:val="0"/>
      <w:divBdr>
        <w:top w:val="none" w:sz="0" w:space="0" w:color="auto"/>
        <w:left w:val="none" w:sz="0" w:space="0" w:color="auto"/>
        <w:bottom w:val="none" w:sz="0" w:space="0" w:color="auto"/>
        <w:right w:val="none" w:sz="0" w:space="0" w:color="auto"/>
      </w:divBdr>
    </w:div>
    <w:div w:id="1185093066">
      <w:bodyDiv w:val="1"/>
      <w:marLeft w:val="0"/>
      <w:marRight w:val="0"/>
      <w:marTop w:val="0"/>
      <w:marBottom w:val="0"/>
      <w:divBdr>
        <w:top w:val="none" w:sz="0" w:space="0" w:color="auto"/>
        <w:left w:val="none" w:sz="0" w:space="0" w:color="auto"/>
        <w:bottom w:val="none" w:sz="0" w:space="0" w:color="auto"/>
        <w:right w:val="none" w:sz="0" w:space="0" w:color="auto"/>
      </w:divBdr>
    </w:div>
    <w:div w:id="1187251917">
      <w:bodyDiv w:val="1"/>
      <w:marLeft w:val="0"/>
      <w:marRight w:val="0"/>
      <w:marTop w:val="0"/>
      <w:marBottom w:val="0"/>
      <w:divBdr>
        <w:top w:val="none" w:sz="0" w:space="0" w:color="auto"/>
        <w:left w:val="none" w:sz="0" w:space="0" w:color="auto"/>
        <w:bottom w:val="none" w:sz="0" w:space="0" w:color="auto"/>
        <w:right w:val="none" w:sz="0" w:space="0" w:color="auto"/>
      </w:divBdr>
    </w:div>
    <w:div w:id="1198931035">
      <w:bodyDiv w:val="1"/>
      <w:marLeft w:val="0"/>
      <w:marRight w:val="0"/>
      <w:marTop w:val="0"/>
      <w:marBottom w:val="0"/>
      <w:divBdr>
        <w:top w:val="none" w:sz="0" w:space="0" w:color="auto"/>
        <w:left w:val="none" w:sz="0" w:space="0" w:color="auto"/>
        <w:bottom w:val="none" w:sz="0" w:space="0" w:color="auto"/>
        <w:right w:val="none" w:sz="0" w:space="0" w:color="auto"/>
      </w:divBdr>
    </w:div>
    <w:div w:id="1206333555">
      <w:bodyDiv w:val="1"/>
      <w:marLeft w:val="0"/>
      <w:marRight w:val="0"/>
      <w:marTop w:val="0"/>
      <w:marBottom w:val="0"/>
      <w:divBdr>
        <w:top w:val="none" w:sz="0" w:space="0" w:color="auto"/>
        <w:left w:val="none" w:sz="0" w:space="0" w:color="auto"/>
        <w:bottom w:val="none" w:sz="0" w:space="0" w:color="auto"/>
        <w:right w:val="none" w:sz="0" w:space="0" w:color="auto"/>
      </w:divBdr>
    </w:div>
    <w:div w:id="1221598883">
      <w:bodyDiv w:val="1"/>
      <w:marLeft w:val="0"/>
      <w:marRight w:val="0"/>
      <w:marTop w:val="0"/>
      <w:marBottom w:val="0"/>
      <w:divBdr>
        <w:top w:val="none" w:sz="0" w:space="0" w:color="auto"/>
        <w:left w:val="none" w:sz="0" w:space="0" w:color="auto"/>
        <w:bottom w:val="none" w:sz="0" w:space="0" w:color="auto"/>
        <w:right w:val="none" w:sz="0" w:space="0" w:color="auto"/>
      </w:divBdr>
    </w:div>
    <w:div w:id="1223370313">
      <w:bodyDiv w:val="1"/>
      <w:marLeft w:val="0"/>
      <w:marRight w:val="0"/>
      <w:marTop w:val="0"/>
      <w:marBottom w:val="0"/>
      <w:divBdr>
        <w:top w:val="none" w:sz="0" w:space="0" w:color="auto"/>
        <w:left w:val="none" w:sz="0" w:space="0" w:color="auto"/>
        <w:bottom w:val="none" w:sz="0" w:space="0" w:color="auto"/>
        <w:right w:val="none" w:sz="0" w:space="0" w:color="auto"/>
      </w:divBdr>
    </w:div>
    <w:div w:id="1226136645">
      <w:bodyDiv w:val="1"/>
      <w:marLeft w:val="0"/>
      <w:marRight w:val="0"/>
      <w:marTop w:val="0"/>
      <w:marBottom w:val="0"/>
      <w:divBdr>
        <w:top w:val="none" w:sz="0" w:space="0" w:color="auto"/>
        <w:left w:val="none" w:sz="0" w:space="0" w:color="auto"/>
        <w:bottom w:val="none" w:sz="0" w:space="0" w:color="auto"/>
        <w:right w:val="none" w:sz="0" w:space="0" w:color="auto"/>
      </w:divBdr>
    </w:div>
    <w:div w:id="1233078768">
      <w:bodyDiv w:val="1"/>
      <w:marLeft w:val="0"/>
      <w:marRight w:val="0"/>
      <w:marTop w:val="0"/>
      <w:marBottom w:val="0"/>
      <w:divBdr>
        <w:top w:val="none" w:sz="0" w:space="0" w:color="auto"/>
        <w:left w:val="none" w:sz="0" w:space="0" w:color="auto"/>
        <w:bottom w:val="none" w:sz="0" w:space="0" w:color="auto"/>
        <w:right w:val="none" w:sz="0" w:space="0" w:color="auto"/>
      </w:divBdr>
    </w:div>
    <w:div w:id="1238055786">
      <w:bodyDiv w:val="1"/>
      <w:marLeft w:val="0"/>
      <w:marRight w:val="0"/>
      <w:marTop w:val="0"/>
      <w:marBottom w:val="0"/>
      <w:divBdr>
        <w:top w:val="none" w:sz="0" w:space="0" w:color="auto"/>
        <w:left w:val="none" w:sz="0" w:space="0" w:color="auto"/>
        <w:bottom w:val="none" w:sz="0" w:space="0" w:color="auto"/>
        <w:right w:val="none" w:sz="0" w:space="0" w:color="auto"/>
      </w:divBdr>
    </w:div>
    <w:div w:id="1239510891">
      <w:bodyDiv w:val="1"/>
      <w:marLeft w:val="0"/>
      <w:marRight w:val="0"/>
      <w:marTop w:val="0"/>
      <w:marBottom w:val="0"/>
      <w:divBdr>
        <w:top w:val="none" w:sz="0" w:space="0" w:color="auto"/>
        <w:left w:val="none" w:sz="0" w:space="0" w:color="auto"/>
        <w:bottom w:val="none" w:sz="0" w:space="0" w:color="auto"/>
        <w:right w:val="none" w:sz="0" w:space="0" w:color="auto"/>
      </w:divBdr>
    </w:div>
    <w:div w:id="1242258878">
      <w:bodyDiv w:val="1"/>
      <w:marLeft w:val="0"/>
      <w:marRight w:val="0"/>
      <w:marTop w:val="0"/>
      <w:marBottom w:val="0"/>
      <w:divBdr>
        <w:top w:val="none" w:sz="0" w:space="0" w:color="auto"/>
        <w:left w:val="none" w:sz="0" w:space="0" w:color="auto"/>
        <w:bottom w:val="none" w:sz="0" w:space="0" w:color="auto"/>
        <w:right w:val="none" w:sz="0" w:space="0" w:color="auto"/>
      </w:divBdr>
    </w:div>
    <w:div w:id="1242644297">
      <w:bodyDiv w:val="1"/>
      <w:marLeft w:val="0"/>
      <w:marRight w:val="0"/>
      <w:marTop w:val="0"/>
      <w:marBottom w:val="0"/>
      <w:divBdr>
        <w:top w:val="none" w:sz="0" w:space="0" w:color="auto"/>
        <w:left w:val="none" w:sz="0" w:space="0" w:color="auto"/>
        <w:bottom w:val="none" w:sz="0" w:space="0" w:color="auto"/>
        <w:right w:val="none" w:sz="0" w:space="0" w:color="auto"/>
      </w:divBdr>
    </w:div>
    <w:div w:id="1242912612">
      <w:bodyDiv w:val="1"/>
      <w:marLeft w:val="375"/>
      <w:marRight w:val="0"/>
      <w:marTop w:val="375"/>
      <w:marBottom w:val="0"/>
      <w:divBdr>
        <w:top w:val="none" w:sz="0" w:space="0" w:color="auto"/>
        <w:left w:val="none" w:sz="0" w:space="0" w:color="auto"/>
        <w:bottom w:val="none" w:sz="0" w:space="0" w:color="auto"/>
        <w:right w:val="none" w:sz="0" w:space="0" w:color="auto"/>
      </w:divBdr>
      <w:divsChild>
        <w:div w:id="1798327740">
          <w:marLeft w:val="0"/>
          <w:marRight w:val="0"/>
          <w:marTop w:val="0"/>
          <w:marBottom w:val="0"/>
          <w:divBdr>
            <w:top w:val="none" w:sz="0" w:space="0" w:color="auto"/>
            <w:left w:val="none" w:sz="0" w:space="0" w:color="auto"/>
            <w:bottom w:val="none" w:sz="0" w:space="0" w:color="auto"/>
            <w:right w:val="none" w:sz="0" w:space="0" w:color="auto"/>
          </w:divBdr>
        </w:div>
      </w:divsChild>
    </w:div>
    <w:div w:id="1251235854">
      <w:bodyDiv w:val="1"/>
      <w:marLeft w:val="0"/>
      <w:marRight w:val="0"/>
      <w:marTop w:val="0"/>
      <w:marBottom w:val="0"/>
      <w:divBdr>
        <w:top w:val="none" w:sz="0" w:space="0" w:color="auto"/>
        <w:left w:val="none" w:sz="0" w:space="0" w:color="auto"/>
        <w:bottom w:val="none" w:sz="0" w:space="0" w:color="auto"/>
        <w:right w:val="none" w:sz="0" w:space="0" w:color="auto"/>
      </w:divBdr>
    </w:div>
    <w:div w:id="1251349143">
      <w:bodyDiv w:val="1"/>
      <w:marLeft w:val="0"/>
      <w:marRight w:val="0"/>
      <w:marTop w:val="0"/>
      <w:marBottom w:val="0"/>
      <w:divBdr>
        <w:top w:val="none" w:sz="0" w:space="0" w:color="auto"/>
        <w:left w:val="none" w:sz="0" w:space="0" w:color="auto"/>
        <w:bottom w:val="none" w:sz="0" w:space="0" w:color="auto"/>
        <w:right w:val="none" w:sz="0" w:space="0" w:color="auto"/>
      </w:divBdr>
    </w:div>
    <w:div w:id="1253004805">
      <w:bodyDiv w:val="1"/>
      <w:marLeft w:val="0"/>
      <w:marRight w:val="0"/>
      <w:marTop w:val="0"/>
      <w:marBottom w:val="0"/>
      <w:divBdr>
        <w:top w:val="none" w:sz="0" w:space="0" w:color="auto"/>
        <w:left w:val="none" w:sz="0" w:space="0" w:color="auto"/>
        <w:bottom w:val="none" w:sz="0" w:space="0" w:color="auto"/>
        <w:right w:val="none" w:sz="0" w:space="0" w:color="auto"/>
      </w:divBdr>
    </w:div>
    <w:div w:id="1255673616">
      <w:bodyDiv w:val="1"/>
      <w:marLeft w:val="0"/>
      <w:marRight w:val="0"/>
      <w:marTop w:val="0"/>
      <w:marBottom w:val="0"/>
      <w:divBdr>
        <w:top w:val="none" w:sz="0" w:space="0" w:color="auto"/>
        <w:left w:val="none" w:sz="0" w:space="0" w:color="auto"/>
        <w:bottom w:val="none" w:sz="0" w:space="0" w:color="auto"/>
        <w:right w:val="none" w:sz="0" w:space="0" w:color="auto"/>
      </w:divBdr>
    </w:div>
    <w:div w:id="1255748841">
      <w:bodyDiv w:val="1"/>
      <w:marLeft w:val="0"/>
      <w:marRight w:val="0"/>
      <w:marTop w:val="0"/>
      <w:marBottom w:val="0"/>
      <w:divBdr>
        <w:top w:val="none" w:sz="0" w:space="0" w:color="auto"/>
        <w:left w:val="none" w:sz="0" w:space="0" w:color="auto"/>
        <w:bottom w:val="none" w:sz="0" w:space="0" w:color="auto"/>
        <w:right w:val="none" w:sz="0" w:space="0" w:color="auto"/>
      </w:divBdr>
    </w:div>
    <w:div w:id="1256211649">
      <w:bodyDiv w:val="1"/>
      <w:marLeft w:val="0"/>
      <w:marRight w:val="0"/>
      <w:marTop w:val="0"/>
      <w:marBottom w:val="0"/>
      <w:divBdr>
        <w:top w:val="none" w:sz="0" w:space="0" w:color="auto"/>
        <w:left w:val="none" w:sz="0" w:space="0" w:color="auto"/>
        <w:bottom w:val="none" w:sz="0" w:space="0" w:color="auto"/>
        <w:right w:val="none" w:sz="0" w:space="0" w:color="auto"/>
      </w:divBdr>
    </w:div>
    <w:div w:id="1267081654">
      <w:bodyDiv w:val="1"/>
      <w:marLeft w:val="0"/>
      <w:marRight w:val="0"/>
      <w:marTop w:val="0"/>
      <w:marBottom w:val="0"/>
      <w:divBdr>
        <w:top w:val="none" w:sz="0" w:space="0" w:color="auto"/>
        <w:left w:val="none" w:sz="0" w:space="0" w:color="auto"/>
        <w:bottom w:val="none" w:sz="0" w:space="0" w:color="auto"/>
        <w:right w:val="none" w:sz="0" w:space="0" w:color="auto"/>
      </w:divBdr>
    </w:div>
    <w:div w:id="1267349391">
      <w:bodyDiv w:val="1"/>
      <w:marLeft w:val="0"/>
      <w:marRight w:val="0"/>
      <w:marTop w:val="0"/>
      <w:marBottom w:val="0"/>
      <w:divBdr>
        <w:top w:val="none" w:sz="0" w:space="0" w:color="auto"/>
        <w:left w:val="none" w:sz="0" w:space="0" w:color="auto"/>
        <w:bottom w:val="none" w:sz="0" w:space="0" w:color="auto"/>
        <w:right w:val="none" w:sz="0" w:space="0" w:color="auto"/>
      </w:divBdr>
    </w:div>
    <w:div w:id="1268854639">
      <w:bodyDiv w:val="1"/>
      <w:marLeft w:val="0"/>
      <w:marRight w:val="0"/>
      <w:marTop w:val="0"/>
      <w:marBottom w:val="0"/>
      <w:divBdr>
        <w:top w:val="none" w:sz="0" w:space="0" w:color="auto"/>
        <w:left w:val="none" w:sz="0" w:space="0" w:color="auto"/>
        <w:bottom w:val="none" w:sz="0" w:space="0" w:color="auto"/>
        <w:right w:val="none" w:sz="0" w:space="0" w:color="auto"/>
      </w:divBdr>
    </w:div>
    <w:div w:id="1269775105">
      <w:bodyDiv w:val="1"/>
      <w:marLeft w:val="0"/>
      <w:marRight w:val="0"/>
      <w:marTop w:val="0"/>
      <w:marBottom w:val="0"/>
      <w:divBdr>
        <w:top w:val="none" w:sz="0" w:space="0" w:color="auto"/>
        <w:left w:val="none" w:sz="0" w:space="0" w:color="auto"/>
        <w:bottom w:val="none" w:sz="0" w:space="0" w:color="auto"/>
        <w:right w:val="none" w:sz="0" w:space="0" w:color="auto"/>
      </w:divBdr>
    </w:div>
    <w:div w:id="1269972384">
      <w:bodyDiv w:val="1"/>
      <w:marLeft w:val="0"/>
      <w:marRight w:val="0"/>
      <w:marTop w:val="0"/>
      <w:marBottom w:val="0"/>
      <w:divBdr>
        <w:top w:val="none" w:sz="0" w:space="0" w:color="auto"/>
        <w:left w:val="none" w:sz="0" w:space="0" w:color="auto"/>
        <w:bottom w:val="none" w:sz="0" w:space="0" w:color="auto"/>
        <w:right w:val="none" w:sz="0" w:space="0" w:color="auto"/>
      </w:divBdr>
    </w:div>
    <w:div w:id="1272476662">
      <w:bodyDiv w:val="1"/>
      <w:marLeft w:val="0"/>
      <w:marRight w:val="0"/>
      <w:marTop w:val="0"/>
      <w:marBottom w:val="0"/>
      <w:divBdr>
        <w:top w:val="none" w:sz="0" w:space="0" w:color="auto"/>
        <w:left w:val="none" w:sz="0" w:space="0" w:color="auto"/>
        <w:bottom w:val="none" w:sz="0" w:space="0" w:color="auto"/>
        <w:right w:val="none" w:sz="0" w:space="0" w:color="auto"/>
      </w:divBdr>
    </w:div>
    <w:div w:id="1272710209">
      <w:bodyDiv w:val="1"/>
      <w:marLeft w:val="0"/>
      <w:marRight w:val="0"/>
      <w:marTop w:val="0"/>
      <w:marBottom w:val="0"/>
      <w:divBdr>
        <w:top w:val="none" w:sz="0" w:space="0" w:color="auto"/>
        <w:left w:val="none" w:sz="0" w:space="0" w:color="auto"/>
        <w:bottom w:val="none" w:sz="0" w:space="0" w:color="auto"/>
        <w:right w:val="none" w:sz="0" w:space="0" w:color="auto"/>
      </w:divBdr>
    </w:div>
    <w:div w:id="1275291274">
      <w:bodyDiv w:val="1"/>
      <w:marLeft w:val="0"/>
      <w:marRight w:val="0"/>
      <w:marTop w:val="0"/>
      <w:marBottom w:val="0"/>
      <w:divBdr>
        <w:top w:val="none" w:sz="0" w:space="0" w:color="auto"/>
        <w:left w:val="none" w:sz="0" w:space="0" w:color="auto"/>
        <w:bottom w:val="none" w:sz="0" w:space="0" w:color="auto"/>
        <w:right w:val="none" w:sz="0" w:space="0" w:color="auto"/>
      </w:divBdr>
    </w:div>
    <w:div w:id="1277639066">
      <w:bodyDiv w:val="1"/>
      <w:marLeft w:val="0"/>
      <w:marRight w:val="0"/>
      <w:marTop w:val="0"/>
      <w:marBottom w:val="0"/>
      <w:divBdr>
        <w:top w:val="none" w:sz="0" w:space="0" w:color="auto"/>
        <w:left w:val="none" w:sz="0" w:space="0" w:color="auto"/>
        <w:bottom w:val="none" w:sz="0" w:space="0" w:color="auto"/>
        <w:right w:val="none" w:sz="0" w:space="0" w:color="auto"/>
      </w:divBdr>
    </w:div>
    <w:div w:id="1280181615">
      <w:bodyDiv w:val="1"/>
      <w:marLeft w:val="0"/>
      <w:marRight w:val="0"/>
      <w:marTop w:val="0"/>
      <w:marBottom w:val="0"/>
      <w:divBdr>
        <w:top w:val="none" w:sz="0" w:space="0" w:color="auto"/>
        <w:left w:val="none" w:sz="0" w:space="0" w:color="auto"/>
        <w:bottom w:val="none" w:sz="0" w:space="0" w:color="auto"/>
        <w:right w:val="none" w:sz="0" w:space="0" w:color="auto"/>
      </w:divBdr>
    </w:div>
    <w:div w:id="1283148012">
      <w:bodyDiv w:val="1"/>
      <w:marLeft w:val="0"/>
      <w:marRight w:val="0"/>
      <w:marTop w:val="0"/>
      <w:marBottom w:val="0"/>
      <w:divBdr>
        <w:top w:val="none" w:sz="0" w:space="0" w:color="auto"/>
        <w:left w:val="none" w:sz="0" w:space="0" w:color="auto"/>
        <w:bottom w:val="none" w:sz="0" w:space="0" w:color="auto"/>
        <w:right w:val="none" w:sz="0" w:space="0" w:color="auto"/>
      </w:divBdr>
    </w:div>
    <w:div w:id="1287589516">
      <w:bodyDiv w:val="1"/>
      <w:marLeft w:val="0"/>
      <w:marRight w:val="0"/>
      <w:marTop w:val="0"/>
      <w:marBottom w:val="0"/>
      <w:divBdr>
        <w:top w:val="none" w:sz="0" w:space="0" w:color="auto"/>
        <w:left w:val="none" w:sz="0" w:space="0" w:color="auto"/>
        <w:bottom w:val="none" w:sz="0" w:space="0" w:color="auto"/>
        <w:right w:val="none" w:sz="0" w:space="0" w:color="auto"/>
      </w:divBdr>
    </w:div>
    <w:div w:id="1289815927">
      <w:bodyDiv w:val="1"/>
      <w:marLeft w:val="0"/>
      <w:marRight w:val="0"/>
      <w:marTop w:val="0"/>
      <w:marBottom w:val="0"/>
      <w:divBdr>
        <w:top w:val="none" w:sz="0" w:space="0" w:color="auto"/>
        <w:left w:val="none" w:sz="0" w:space="0" w:color="auto"/>
        <w:bottom w:val="none" w:sz="0" w:space="0" w:color="auto"/>
        <w:right w:val="none" w:sz="0" w:space="0" w:color="auto"/>
      </w:divBdr>
    </w:div>
    <w:div w:id="1292444687">
      <w:bodyDiv w:val="1"/>
      <w:marLeft w:val="0"/>
      <w:marRight w:val="0"/>
      <w:marTop w:val="0"/>
      <w:marBottom w:val="0"/>
      <w:divBdr>
        <w:top w:val="none" w:sz="0" w:space="0" w:color="auto"/>
        <w:left w:val="none" w:sz="0" w:space="0" w:color="auto"/>
        <w:bottom w:val="none" w:sz="0" w:space="0" w:color="auto"/>
        <w:right w:val="none" w:sz="0" w:space="0" w:color="auto"/>
      </w:divBdr>
    </w:div>
    <w:div w:id="1300383917">
      <w:bodyDiv w:val="1"/>
      <w:marLeft w:val="0"/>
      <w:marRight w:val="0"/>
      <w:marTop w:val="0"/>
      <w:marBottom w:val="0"/>
      <w:divBdr>
        <w:top w:val="none" w:sz="0" w:space="0" w:color="auto"/>
        <w:left w:val="none" w:sz="0" w:space="0" w:color="auto"/>
        <w:bottom w:val="none" w:sz="0" w:space="0" w:color="auto"/>
        <w:right w:val="none" w:sz="0" w:space="0" w:color="auto"/>
      </w:divBdr>
    </w:div>
    <w:div w:id="1305892678">
      <w:bodyDiv w:val="1"/>
      <w:marLeft w:val="0"/>
      <w:marRight w:val="0"/>
      <w:marTop w:val="0"/>
      <w:marBottom w:val="0"/>
      <w:divBdr>
        <w:top w:val="none" w:sz="0" w:space="0" w:color="auto"/>
        <w:left w:val="none" w:sz="0" w:space="0" w:color="auto"/>
        <w:bottom w:val="none" w:sz="0" w:space="0" w:color="auto"/>
        <w:right w:val="none" w:sz="0" w:space="0" w:color="auto"/>
      </w:divBdr>
    </w:div>
    <w:div w:id="1306087729">
      <w:bodyDiv w:val="1"/>
      <w:marLeft w:val="0"/>
      <w:marRight w:val="0"/>
      <w:marTop w:val="0"/>
      <w:marBottom w:val="0"/>
      <w:divBdr>
        <w:top w:val="none" w:sz="0" w:space="0" w:color="auto"/>
        <w:left w:val="none" w:sz="0" w:space="0" w:color="auto"/>
        <w:bottom w:val="none" w:sz="0" w:space="0" w:color="auto"/>
        <w:right w:val="none" w:sz="0" w:space="0" w:color="auto"/>
      </w:divBdr>
    </w:div>
    <w:div w:id="1306853526">
      <w:bodyDiv w:val="1"/>
      <w:marLeft w:val="0"/>
      <w:marRight w:val="0"/>
      <w:marTop w:val="0"/>
      <w:marBottom w:val="0"/>
      <w:divBdr>
        <w:top w:val="none" w:sz="0" w:space="0" w:color="auto"/>
        <w:left w:val="none" w:sz="0" w:space="0" w:color="auto"/>
        <w:bottom w:val="none" w:sz="0" w:space="0" w:color="auto"/>
        <w:right w:val="none" w:sz="0" w:space="0" w:color="auto"/>
      </w:divBdr>
    </w:div>
    <w:div w:id="1311789393">
      <w:bodyDiv w:val="1"/>
      <w:marLeft w:val="0"/>
      <w:marRight w:val="0"/>
      <w:marTop w:val="0"/>
      <w:marBottom w:val="0"/>
      <w:divBdr>
        <w:top w:val="none" w:sz="0" w:space="0" w:color="auto"/>
        <w:left w:val="none" w:sz="0" w:space="0" w:color="auto"/>
        <w:bottom w:val="none" w:sz="0" w:space="0" w:color="auto"/>
        <w:right w:val="none" w:sz="0" w:space="0" w:color="auto"/>
      </w:divBdr>
    </w:div>
    <w:div w:id="1311835596">
      <w:bodyDiv w:val="1"/>
      <w:marLeft w:val="0"/>
      <w:marRight w:val="0"/>
      <w:marTop w:val="0"/>
      <w:marBottom w:val="0"/>
      <w:divBdr>
        <w:top w:val="none" w:sz="0" w:space="0" w:color="auto"/>
        <w:left w:val="none" w:sz="0" w:space="0" w:color="auto"/>
        <w:bottom w:val="none" w:sz="0" w:space="0" w:color="auto"/>
        <w:right w:val="none" w:sz="0" w:space="0" w:color="auto"/>
      </w:divBdr>
    </w:div>
    <w:div w:id="1314336618">
      <w:bodyDiv w:val="1"/>
      <w:marLeft w:val="0"/>
      <w:marRight w:val="0"/>
      <w:marTop w:val="0"/>
      <w:marBottom w:val="0"/>
      <w:divBdr>
        <w:top w:val="none" w:sz="0" w:space="0" w:color="auto"/>
        <w:left w:val="none" w:sz="0" w:space="0" w:color="auto"/>
        <w:bottom w:val="none" w:sz="0" w:space="0" w:color="auto"/>
        <w:right w:val="none" w:sz="0" w:space="0" w:color="auto"/>
      </w:divBdr>
    </w:div>
    <w:div w:id="1314482232">
      <w:bodyDiv w:val="1"/>
      <w:marLeft w:val="0"/>
      <w:marRight w:val="0"/>
      <w:marTop w:val="0"/>
      <w:marBottom w:val="0"/>
      <w:divBdr>
        <w:top w:val="none" w:sz="0" w:space="0" w:color="auto"/>
        <w:left w:val="none" w:sz="0" w:space="0" w:color="auto"/>
        <w:bottom w:val="none" w:sz="0" w:space="0" w:color="auto"/>
        <w:right w:val="none" w:sz="0" w:space="0" w:color="auto"/>
      </w:divBdr>
      <w:divsChild>
        <w:div w:id="1350913018">
          <w:marLeft w:val="0"/>
          <w:marRight w:val="0"/>
          <w:marTop w:val="0"/>
          <w:marBottom w:val="0"/>
          <w:divBdr>
            <w:top w:val="none" w:sz="0" w:space="0" w:color="auto"/>
            <w:left w:val="none" w:sz="0" w:space="0" w:color="auto"/>
            <w:bottom w:val="none" w:sz="0" w:space="0" w:color="auto"/>
            <w:right w:val="none" w:sz="0" w:space="0" w:color="auto"/>
          </w:divBdr>
          <w:divsChild>
            <w:div w:id="1632517727">
              <w:marLeft w:val="0"/>
              <w:marRight w:val="0"/>
              <w:marTop w:val="0"/>
              <w:marBottom w:val="0"/>
              <w:divBdr>
                <w:top w:val="none" w:sz="0" w:space="0" w:color="auto"/>
                <w:left w:val="none" w:sz="0" w:space="0" w:color="auto"/>
                <w:bottom w:val="none" w:sz="0" w:space="0" w:color="auto"/>
                <w:right w:val="none" w:sz="0" w:space="0" w:color="auto"/>
              </w:divBdr>
              <w:divsChild>
                <w:div w:id="662977723">
                  <w:marLeft w:val="150"/>
                  <w:marRight w:val="150"/>
                  <w:marTop w:val="0"/>
                  <w:marBottom w:val="0"/>
                  <w:divBdr>
                    <w:top w:val="none" w:sz="0" w:space="0" w:color="auto"/>
                    <w:left w:val="none" w:sz="0" w:space="0" w:color="auto"/>
                    <w:bottom w:val="none" w:sz="0" w:space="0" w:color="auto"/>
                    <w:right w:val="none" w:sz="0" w:space="0" w:color="auto"/>
                  </w:divBdr>
                  <w:divsChild>
                    <w:div w:id="2033261010">
                      <w:marLeft w:val="0"/>
                      <w:marRight w:val="0"/>
                      <w:marTop w:val="0"/>
                      <w:marBottom w:val="0"/>
                      <w:divBdr>
                        <w:top w:val="none" w:sz="0" w:space="0" w:color="auto"/>
                        <w:left w:val="none" w:sz="0" w:space="0" w:color="auto"/>
                        <w:bottom w:val="none" w:sz="0" w:space="0" w:color="auto"/>
                        <w:right w:val="none" w:sz="0" w:space="0" w:color="auto"/>
                      </w:divBdr>
                      <w:divsChild>
                        <w:div w:id="88626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945336">
      <w:bodyDiv w:val="1"/>
      <w:marLeft w:val="0"/>
      <w:marRight w:val="0"/>
      <w:marTop w:val="0"/>
      <w:marBottom w:val="0"/>
      <w:divBdr>
        <w:top w:val="none" w:sz="0" w:space="0" w:color="auto"/>
        <w:left w:val="none" w:sz="0" w:space="0" w:color="auto"/>
        <w:bottom w:val="none" w:sz="0" w:space="0" w:color="auto"/>
        <w:right w:val="none" w:sz="0" w:space="0" w:color="auto"/>
      </w:divBdr>
    </w:div>
    <w:div w:id="1316179234">
      <w:bodyDiv w:val="1"/>
      <w:marLeft w:val="0"/>
      <w:marRight w:val="0"/>
      <w:marTop w:val="0"/>
      <w:marBottom w:val="0"/>
      <w:divBdr>
        <w:top w:val="none" w:sz="0" w:space="0" w:color="auto"/>
        <w:left w:val="none" w:sz="0" w:space="0" w:color="auto"/>
        <w:bottom w:val="none" w:sz="0" w:space="0" w:color="auto"/>
        <w:right w:val="none" w:sz="0" w:space="0" w:color="auto"/>
      </w:divBdr>
    </w:div>
    <w:div w:id="1317762589">
      <w:bodyDiv w:val="1"/>
      <w:marLeft w:val="0"/>
      <w:marRight w:val="0"/>
      <w:marTop w:val="0"/>
      <w:marBottom w:val="0"/>
      <w:divBdr>
        <w:top w:val="none" w:sz="0" w:space="0" w:color="auto"/>
        <w:left w:val="none" w:sz="0" w:space="0" w:color="auto"/>
        <w:bottom w:val="none" w:sz="0" w:space="0" w:color="auto"/>
        <w:right w:val="none" w:sz="0" w:space="0" w:color="auto"/>
      </w:divBdr>
    </w:div>
    <w:div w:id="1325662775">
      <w:bodyDiv w:val="1"/>
      <w:marLeft w:val="0"/>
      <w:marRight w:val="0"/>
      <w:marTop w:val="0"/>
      <w:marBottom w:val="0"/>
      <w:divBdr>
        <w:top w:val="none" w:sz="0" w:space="0" w:color="auto"/>
        <w:left w:val="none" w:sz="0" w:space="0" w:color="auto"/>
        <w:bottom w:val="none" w:sz="0" w:space="0" w:color="auto"/>
        <w:right w:val="none" w:sz="0" w:space="0" w:color="auto"/>
      </w:divBdr>
    </w:div>
    <w:div w:id="1332223624">
      <w:bodyDiv w:val="1"/>
      <w:marLeft w:val="0"/>
      <w:marRight w:val="0"/>
      <w:marTop w:val="0"/>
      <w:marBottom w:val="0"/>
      <w:divBdr>
        <w:top w:val="none" w:sz="0" w:space="0" w:color="auto"/>
        <w:left w:val="none" w:sz="0" w:space="0" w:color="auto"/>
        <w:bottom w:val="none" w:sz="0" w:space="0" w:color="auto"/>
        <w:right w:val="none" w:sz="0" w:space="0" w:color="auto"/>
      </w:divBdr>
    </w:div>
    <w:div w:id="1333021730">
      <w:bodyDiv w:val="1"/>
      <w:marLeft w:val="0"/>
      <w:marRight w:val="0"/>
      <w:marTop w:val="0"/>
      <w:marBottom w:val="0"/>
      <w:divBdr>
        <w:top w:val="none" w:sz="0" w:space="0" w:color="auto"/>
        <w:left w:val="none" w:sz="0" w:space="0" w:color="auto"/>
        <w:bottom w:val="none" w:sz="0" w:space="0" w:color="auto"/>
        <w:right w:val="none" w:sz="0" w:space="0" w:color="auto"/>
      </w:divBdr>
    </w:div>
    <w:div w:id="1333723716">
      <w:bodyDiv w:val="1"/>
      <w:marLeft w:val="0"/>
      <w:marRight w:val="0"/>
      <w:marTop w:val="0"/>
      <w:marBottom w:val="0"/>
      <w:divBdr>
        <w:top w:val="none" w:sz="0" w:space="0" w:color="auto"/>
        <w:left w:val="none" w:sz="0" w:space="0" w:color="auto"/>
        <w:bottom w:val="none" w:sz="0" w:space="0" w:color="auto"/>
        <w:right w:val="none" w:sz="0" w:space="0" w:color="auto"/>
      </w:divBdr>
    </w:div>
    <w:div w:id="1334600743">
      <w:bodyDiv w:val="1"/>
      <w:marLeft w:val="0"/>
      <w:marRight w:val="0"/>
      <w:marTop w:val="0"/>
      <w:marBottom w:val="0"/>
      <w:divBdr>
        <w:top w:val="none" w:sz="0" w:space="0" w:color="auto"/>
        <w:left w:val="none" w:sz="0" w:space="0" w:color="auto"/>
        <w:bottom w:val="none" w:sz="0" w:space="0" w:color="auto"/>
        <w:right w:val="none" w:sz="0" w:space="0" w:color="auto"/>
      </w:divBdr>
    </w:div>
    <w:div w:id="1335721053">
      <w:bodyDiv w:val="1"/>
      <w:marLeft w:val="0"/>
      <w:marRight w:val="0"/>
      <w:marTop w:val="0"/>
      <w:marBottom w:val="0"/>
      <w:divBdr>
        <w:top w:val="none" w:sz="0" w:space="0" w:color="auto"/>
        <w:left w:val="none" w:sz="0" w:space="0" w:color="auto"/>
        <w:bottom w:val="none" w:sz="0" w:space="0" w:color="auto"/>
        <w:right w:val="none" w:sz="0" w:space="0" w:color="auto"/>
      </w:divBdr>
    </w:div>
    <w:div w:id="1337223477">
      <w:bodyDiv w:val="1"/>
      <w:marLeft w:val="0"/>
      <w:marRight w:val="0"/>
      <w:marTop w:val="0"/>
      <w:marBottom w:val="0"/>
      <w:divBdr>
        <w:top w:val="none" w:sz="0" w:space="0" w:color="auto"/>
        <w:left w:val="none" w:sz="0" w:space="0" w:color="auto"/>
        <w:bottom w:val="none" w:sz="0" w:space="0" w:color="auto"/>
        <w:right w:val="none" w:sz="0" w:space="0" w:color="auto"/>
      </w:divBdr>
    </w:div>
    <w:div w:id="1338463353">
      <w:bodyDiv w:val="1"/>
      <w:marLeft w:val="0"/>
      <w:marRight w:val="0"/>
      <w:marTop w:val="0"/>
      <w:marBottom w:val="0"/>
      <w:divBdr>
        <w:top w:val="none" w:sz="0" w:space="0" w:color="auto"/>
        <w:left w:val="none" w:sz="0" w:space="0" w:color="auto"/>
        <w:bottom w:val="none" w:sz="0" w:space="0" w:color="auto"/>
        <w:right w:val="none" w:sz="0" w:space="0" w:color="auto"/>
      </w:divBdr>
    </w:div>
    <w:div w:id="1339039785">
      <w:bodyDiv w:val="1"/>
      <w:marLeft w:val="0"/>
      <w:marRight w:val="0"/>
      <w:marTop w:val="0"/>
      <w:marBottom w:val="0"/>
      <w:divBdr>
        <w:top w:val="none" w:sz="0" w:space="0" w:color="auto"/>
        <w:left w:val="none" w:sz="0" w:space="0" w:color="auto"/>
        <w:bottom w:val="none" w:sz="0" w:space="0" w:color="auto"/>
        <w:right w:val="none" w:sz="0" w:space="0" w:color="auto"/>
      </w:divBdr>
    </w:div>
    <w:div w:id="1343893552">
      <w:bodyDiv w:val="1"/>
      <w:marLeft w:val="0"/>
      <w:marRight w:val="0"/>
      <w:marTop w:val="0"/>
      <w:marBottom w:val="0"/>
      <w:divBdr>
        <w:top w:val="none" w:sz="0" w:space="0" w:color="auto"/>
        <w:left w:val="none" w:sz="0" w:space="0" w:color="auto"/>
        <w:bottom w:val="none" w:sz="0" w:space="0" w:color="auto"/>
        <w:right w:val="none" w:sz="0" w:space="0" w:color="auto"/>
      </w:divBdr>
    </w:div>
    <w:div w:id="1350526125">
      <w:bodyDiv w:val="1"/>
      <w:marLeft w:val="0"/>
      <w:marRight w:val="0"/>
      <w:marTop w:val="0"/>
      <w:marBottom w:val="0"/>
      <w:divBdr>
        <w:top w:val="none" w:sz="0" w:space="0" w:color="auto"/>
        <w:left w:val="none" w:sz="0" w:space="0" w:color="auto"/>
        <w:bottom w:val="none" w:sz="0" w:space="0" w:color="auto"/>
        <w:right w:val="none" w:sz="0" w:space="0" w:color="auto"/>
      </w:divBdr>
    </w:div>
    <w:div w:id="1361585525">
      <w:bodyDiv w:val="1"/>
      <w:marLeft w:val="0"/>
      <w:marRight w:val="0"/>
      <w:marTop w:val="0"/>
      <w:marBottom w:val="0"/>
      <w:divBdr>
        <w:top w:val="none" w:sz="0" w:space="0" w:color="auto"/>
        <w:left w:val="none" w:sz="0" w:space="0" w:color="auto"/>
        <w:bottom w:val="none" w:sz="0" w:space="0" w:color="auto"/>
        <w:right w:val="none" w:sz="0" w:space="0" w:color="auto"/>
      </w:divBdr>
    </w:div>
    <w:div w:id="1381244692">
      <w:bodyDiv w:val="1"/>
      <w:marLeft w:val="0"/>
      <w:marRight w:val="0"/>
      <w:marTop w:val="0"/>
      <w:marBottom w:val="0"/>
      <w:divBdr>
        <w:top w:val="none" w:sz="0" w:space="0" w:color="auto"/>
        <w:left w:val="none" w:sz="0" w:space="0" w:color="auto"/>
        <w:bottom w:val="none" w:sz="0" w:space="0" w:color="auto"/>
        <w:right w:val="none" w:sz="0" w:space="0" w:color="auto"/>
      </w:divBdr>
    </w:div>
    <w:div w:id="1383207892">
      <w:bodyDiv w:val="1"/>
      <w:marLeft w:val="0"/>
      <w:marRight w:val="0"/>
      <w:marTop w:val="0"/>
      <w:marBottom w:val="0"/>
      <w:divBdr>
        <w:top w:val="none" w:sz="0" w:space="0" w:color="auto"/>
        <w:left w:val="none" w:sz="0" w:space="0" w:color="auto"/>
        <w:bottom w:val="none" w:sz="0" w:space="0" w:color="auto"/>
        <w:right w:val="none" w:sz="0" w:space="0" w:color="auto"/>
      </w:divBdr>
    </w:div>
    <w:div w:id="1385563095">
      <w:bodyDiv w:val="1"/>
      <w:marLeft w:val="0"/>
      <w:marRight w:val="0"/>
      <w:marTop w:val="0"/>
      <w:marBottom w:val="0"/>
      <w:divBdr>
        <w:top w:val="none" w:sz="0" w:space="0" w:color="auto"/>
        <w:left w:val="none" w:sz="0" w:space="0" w:color="auto"/>
        <w:bottom w:val="none" w:sz="0" w:space="0" w:color="auto"/>
        <w:right w:val="none" w:sz="0" w:space="0" w:color="auto"/>
      </w:divBdr>
    </w:div>
    <w:div w:id="1387491309">
      <w:bodyDiv w:val="1"/>
      <w:marLeft w:val="0"/>
      <w:marRight w:val="0"/>
      <w:marTop w:val="0"/>
      <w:marBottom w:val="0"/>
      <w:divBdr>
        <w:top w:val="none" w:sz="0" w:space="0" w:color="auto"/>
        <w:left w:val="none" w:sz="0" w:space="0" w:color="auto"/>
        <w:bottom w:val="none" w:sz="0" w:space="0" w:color="auto"/>
        <w:right w:val="none" w:sz="0" w:space="0" w:color="auto"/>
      </w:divBdr>
    </w:div>
    <w:div w:id="1392315182">
      <w:bodyDiv w:val="1"/>
      <w:marLeft w:val="0"/>
      <w:marRight w:val="0"/>
      <w:marTop w:val="0"/>
      <w:marBottom w:val="0"/>
      <w:divBdr>
        <w:top w:val="none" w:sz="0" w:space="0" w:color="auto"/>
        <w:left w:val="none" w:sz="0" w:space="0" w:color="auto"/>
        <w:bottom w:val="none" w:sz="0" w:space="0" w:color="auto"/>
        <w:right w:val="none" w:sz="0" w:space="0" w:color="auto"/>
      </w:divBdr>
    </w:div>
    <w:div w:id="1392653080">
      <w:bodyDiv w:val="1"/>
      <w:marLeft w:val="0"/>
      <w:marRight w:val="0"/>
      <w:marTop w:val="0"/>
      <w:marBottom w:val="0"/>
      <w:divBdr>
        <w:top w:val="none" w:sz="0" w:space="0" w:color="auto"/>
        <w:left w:val="none" w:sz="0" w:space="0" w:color="auto"/>
        <w:bottom w:val="none" w:sz="0" w:space="0" w:color="auto"/>
        <w:right w:val="none" w:sz="0" w:space="0" w:color="auto"/>
      </w:divBdr>
    </w:div>
    <w:div w:id="1393698441">
      <w:bodyDiv w:val="1"/>
      <w:marLeft w:val="0"/>
      <w:marRight w:val="0"/>
      <w:marTop w:val="0"/>
      <w:marBottom w:val="0"/>
      <w:divBdr>
        <w:top w:val="none" w:sz="0" w:space="0" w:color="auto"/>
        <w:left w:val="none" w:sz="0" w:space="0" w:color="auto"/>
        <w:bottom w:val="none" w:sz="0" w:space="0" w:color="auto"/>
        <w:right w:val="none" w:sz="0" w:space="0" w:color="auto"/>
      </w:divBdr>
    </w:div>
    <w:div w:id="1393699598">
      <w:bodyDiv w:val="1"/>
      <w:marLeft w:val="0"/>
      <w:marRight w:val="0"/>
      <w:marTop w:val="0"/>
      <w:marBottom w:val="0"/>
      <w:divBdr>
        <w:top w:val="none" w:sz="0" w:space="0" w:color="auto"/>
        <w:left w:val="none" w:sz="0" w:space="0" w:color="auto"/>
        <w:bottom w:val="none" w:sz="0" w:space="0" w:color="auto"/>
        <w:right w:val="none" w:sz="0" w:space="0" w:color="auto"/>
      </w:divBdr>
    </w:div>
    <w:div w:id="1397707015">
      <w:bodyDiv w:val="1"/>
      <w:marLeft w:val="0"/>
      <w:marRight w:val="0"/>
      <w:marTop w:val="0"/>
      <w:marBottom w:val="0"/>
      <w:divBdr>
        <w:top w:val="none" w:sz="0" w:space="0" w:color="auto"/>
        <w:left w:val="none" w:sz="0" w:space="0" w:color="auto"/>
        <w:bottom w:val="none" w:sz="0" w:space="0" w:color="auto"/>
        <w:right w:val="none" w:sz="0" w:space="0" w:color="auto"/>
      </w:divBdr>
    </w:div>
    <w:div w:id="1399135711">
      <w:bodyDiv w:val="1"/>
      <w:marLeft w:val="0"/>
      <w:marRight w:val="0"/>
      <w:marTop w:val="0"/>
      <w:marBottom w:val="0"/>
      <w:divBdr>
        <w:top w:val="none" w:sz="0" w:space="0" w:color="auto"/>
        <w:left w:val="none" w:sz="0" w:space="0" w:color="auto"/>
        <w:bottom w:val="none" w:sz="0" w:space="0" w:color="auto"/>
        <w:right w:val="none" w:sz="0" w:space="0" w:color="auto"/>
      </w:divBdr>
    </w:div>
    <w:div w:id="1415400082">
      <w:bodyDiv w:val="1"/>
      <w:marLeft w:val="0"/>
      <w:marRight w:val="0"/>
      <w:marTop w:val="0"/>
      <w:marBottom w:val="0"/>
      <w:divBdr>
        <w:top w:val="none" w:sz="0" w:space="0" w:color="auto"/>
        <w:left w:val="none" w:sz="0" w:space="0" w:color="auto"/>
        <w:bottom w:val="none" w:sz="0" w:space="0" w:color="auto"/>
        <w:right w:val="none" w:sz="0" w:space="0" w:color="auto"/>
      </w:divBdr>
    </w:div>
    <w:div w:id="1422137418">
      <w:bodyDiv w:val="1"/>
      <w:marLeft w:val="0"/>
      <w:marRight w:val="0"/>
      <w:marTop w:val="0"/>
      <w:marBottom w:val="0"/>
      <w:divBdr>
        <w:top w:val="none" w:sz="0" w:space="0" w:color="auto"/>
        <w:left w:val="none" w:sz="0" w:space="0" w:color="auto"/>
        <w:bottom w:val="none" w:sz="0" w:space="0" w:color="auto"/>
        <w:right w:val="none" w:sz="0" w:space="0" w:color="auto"/>
      </w:divBdr>
    </w:div>
    <w:div w:id="1425687756">
      <w:bodyDiv w:val="1"/>
      <w:marLeft w:val="0"/>
      <w:marRight w:val="0"/>
      <w:marTop w:val="0"/>
      <w:marBottom w:val="0"/>
      <w:divBdr>
        <w:top w:val="none" w:sz="0" w:space="0" w:color="auto"/>
        <w:left w:val="none" w:sz="0" w:space="0" w:color="auto"/>
        <w:bottom w:val="none" w:sz="0" w:space="0" w:color="auto"/>
        <w:right w:val="none" w:sz="0" w:space="0" w:color="auto"/>
      </w:divBdr>
    </w:div>
    <w:div w:id="1429889425">
      <w:bodyDiv w:val="1"/>
      <w:marLeft w:val="0"/>
      <w:marRight w:val="0"/>
      <w:marTop w:val="0"/>
      <w:marBottom w:val="0"/>
      <w:divBdr>
        <w:top w:val="none" w:sz="0" w:space="0" w:color="auto"/>
        <w:left w:val="none" w:sz="0" w:space="0" w:color="auto"/>
        <w:bottom w:val="none" w:sz="0" w:space="0" w:color="auto"/>
        <w:right w:val="none" w:sz="0" w:space="0" w:color="auto"/>
      </w:divBdr>
    </w:div>
    <w:div w:id="1436442454">
      <w:bodyDiv w:val="1"/>
      <w:marLeft w:val="0"/>
      <w:marRight w:val="0"/>
      <w:marTop w:val="0"/>
      <w:marBottom w:val="0"/>
      <w:divBdr>
        <w:top w:val="none" w:sz="0" w:space="0" w:color="auto"/>
        <w:left w:val="none" w:sz="0" w:space="0" w:color="auto"/>
        <w:bottom w:val="none" w:sz="0" w:space="0" w:color="auto"/>
        <w:right w:val="none" w:sz="0" w:space="0" w:color="auto"/>
      </w:divBdr>
    </w:div>
    <w:div w:id="1444812486">
      <w:bodyDiv w:val="1"/>
      <w:marLeft w:val="0"/>
      <w:marRight w:val="0"/>
      <w:marTop w:val="0"/>
      <w:marBottom w:val="0"/>
      <w:divBdr>
        <w:top w:val="none" w:sz="0" w:space="0" w:color="auto"/>
        <w:left w:val="none" w:sz="0" w:space="0" w:color="auto"/>
        <w:bottom w:val="none" w:sz="0" w:space="0" w:color="auto"/>
        <w:right w:val="none" w:sz="0" w:space="0" w:color="auto"/>
      </w:divBdr>
    </w:div>
    <w:div w:id="1450590928">
      <w:bodyDiv w:val="1"/>
      <w:marLeft w:val="0"/>
      <w:marRight w:val="0"/>
      <w:marTop w:val="0"/>
      <w:marBottom w:val="0"/>
      <w:divBdr>
        <w:top w:val="none" w:sz="0" w:space="0" w:color="auto"/>
        <w:left w:val="none" w:sz="0" w:space="0" w:color="auto"/>
        <w:bottom w:val="none" w:sz="0" w:space="0" w:color="auto"/>
        <w:right w:val="none" w:sz="0" w:space="0" w:color="auto"/>
      </w:divBdr>
    </w:div>
    <w:div w:id="1451048368">
      <w:bodyDiv w:val="1"/>
      <w:marLeft w:val="0"/>
      <w:marRight w:val="0"/>
      <w:marTop w:val="0"/>
      <w:marBottom w:val="0"/>
      <w:divBdr>
        <w:top w:val="none" w:sz="0" w:space="0" w:color="auto"/>
        <w:left w:val="none" w:sz="0" w:space="0" w:color="auto"/>
        <w:bottom w:val="none" w:sz="0" w:space="0" w:color="auto"/>
        <w:right w:val="none" w:sz="0" w:space="0" w:color="auto"/>
      </w:divBdr>
    </w:div>
    <w:div w:id="1453472892">
      <w:bodyDiv w:val="1"/>
      <w:marLeft w:val="0"/>
      <w:marRight w:val="0"/>
      <w:marTop w:val="0"/>
      <w:marBottom w:val="0"/>
      <w:divBdr>
        <w:top w:val="none" w:sz="0" w:space="0" w:color="auto"/>
        <w:left w:val="none" w:sz="0" w:space="0" w:color="auto"/>
        <w:bottom w:val="none" w:sz="0" w:space="0" w:color="auto"/>
        <w:right w:val="none" w:sz="0" w:space="0" w:color="auto"/>
      </w:divBdr>
    </w:div>
    <w:div w:id="1456364096">
      <w:bodyDiv w:val="1"/>
      <w:marLeft w:val="0"/>
      <w:marRight w:val="0"/>
      <w:marTop w:val="0"/>
      <w:marBottom w:val="0"/>
      <w:divBdr>
        <w:top w:val="none" w:sz="0" w:space="0" w:color="auto"/>
        <w:left w:val="none" w:sz="0" w:space="0" w:color="auto"/>
        <w:bottom w:val="none" w:sz="0" w:space="0" w:color="auto"/>
        <w:right w:val="none" w:sz="0" w:space="0" w:color="auto"/>
      </w:divBdr>
    </w:div>
    <w:div w:id="1457749139">
      <w:bodyDiv w:val="1"/>
      <w:marLeft w:val="0"/>
      <w:marRight w:val="0"/>
      <w:marTop w:val="0"/>
      <w:marBottom w:val="0"/>
      <w:divBdr>
        <w:top w:val="none" w:sz="0" w:space="0" w:color="auto"/>
        <w:left w:val="none" w:sz="0" w:space="0" w:color="auto"/>
        <w:bottom w:val="none" w:sz="0" w:space="0" w:color="auto"/>
        <w:right w:val="none" w:sz="0" w:space="0" w:color="auto"/>
      </w:divBdr>
    </w:div>
    <w:div w:id="1458062771">
      <w:bodyDiv w:val="1"/>
      <w:marLeft w:val="0"/>
      <w:marRight w:val="0"/>
      <w:marTop w:val="0"/>
      <w:marBottom w:val="0"/>
      <w:divBdr>
        <w:top w:val="none" w:sz="0" w:space="0" w:color="auto"/>
        <w:left w:val="none" w:sz="0" w:space="0" w:color="auto"/>
        <w:bottom w:val="none" w:sz="0" w:space="0" w:color="auto"/>
        <w:right w:val="none" w:sz="0" w:space="0" w:color="auto"/>
      </w:divBdr>
    </w:div>
    <w:div w:id="1458909862">
      <w:bodyDiv w:val="1"/>
      <w:marLeft w:val="0"/>
      <w:marRight w:val="0"/>
      <w:marTop w:val="0"/>
      <w:marBottom w:val="0"/>
      <w:divBdr>
        <w:top w:val="none" w:sz="0" w:space="0" w:color="auto"/>
        <w:left w:val="none" w:sz="0" w:space="0" w:color="auto"/>
        <w:bottom w:val="none" w:sz="0" w:space="0" w:color="auto"/>
        <w:right w:val="none" w:sz="0" w:space="0" w:color="auto"/>
      </w:divBdr>
    </w:div>
    <w:div w:id="1468088403">
      <w:bodyDiv w:val="1"/>
      <w:marLeft w:val="0"/>
      <w:marRight w:val="0"/>
      <w:marTop w:val="0"/>
      <w:marBottom w:val="0"/>
      <w:divBdr>
        <w:top w:val="none" w:sz="0" w:space="0" w:color="auto"/>
        <w:left w:val="none" w:sz="0" w:space="0" w:color="auto"/>
        <w:bottom w:val="none" w:sz="0" w:space="0" w:color="auto"/>
        <w:right w:val="none" w:sz="0" w:space="0" w:color="auto"/>
      </w:divBdr>
    </w:div>
    <w:div w:id="1471242421">
      <w:bodyDiv w:val="1"/>
      <w:marLeft w:val="0"/>
      <w:marRight w:val="0"/>
      <w:marTop w:val="0"/>
      <w:marBottom w:val="0"/>
      <w:divBdr>
        <w:top w:val="none" w:sz="0" w:space="0" w:color="auto"/>
        <w:left w:val="none" w:sz="0" w:space="0" w:color="auto"/>
        <w:bottom w:val="none" w:sz="0" w:space="0" w:color="auto"/>
        <w:right w:val="none" w:sz="0" w:space="0" w:color="auto"/>
      </w:divBdr>
    </w:div>
    <w:div w:id="1475640457">
      <w:bodyDiv w:val="1"/>
      <w:marLeft w:val="0"/>
      <w:marRight w:val="0"/>
      <w:marTop w:val="0"/>
      <w:marBottom w:val="0"/>
      <w:divBdr>
        <w:top w:val="none" w:sz="0" w:space="0" w:color="auto"/>
        <w:left w:val="none" w:sz="0" w:space="0" w:color="auto"/>
        <w:bottom w:val="none" w:sz="0" w:space="0" w:color="auto"/>
        <w:right w:val="none" w:sz="0" w:space="0" w:color="auto"/>
      </w:divBdr>
    </w:div>
    <w:div w:id="1481072342">
      <w:bodyDiv w:val="1"/>
      <w:marLeft w:val="0"/>
      <w:marRight w:val="0"/>
      <w:marTop w:val="0"/>
      <w:marBottom w:val="0"/>
      <w:divBdr>
        <w:top w:val="none" w:sz="0" w:space="0" w:color="auto"/>
        <w:left w:val="none" w:sz="0" w:space="0" w:color="auto"/>
        <w:bottom w:val="none" w:sz="0" w:space="0" w:color="auto"/>
        <w:right w:val="none" w:sz="0" w:space="0" w:color="auto"/>
      </w:divBdr>
    </w:div>
    <w:div w:id="1481577672">
      <w:bodyDiv w:val="1"/>
      <w:marLeft w:val="0"/>
      <w:marRight w:val="0"/>
      <w:marTop w:val="0"/>
      <w:marBottom w:val="0"/>
      <w:divBdr>
        <w:top w:val="none" w:sz="0" w:space="0" w:color="auto"/>
        <w:left w:val="none" w:sz="0" w:space="0" w:color="auto"/>
        <w:bottom w:val="none" w:sz="0" w:space="0" w:color="auto"/>
        <w:right w:val="none" w:sz="0" w:space="0" w:color="auto"/>
      </w:divBdr>
    </w:div>
    <w:div w:id="1482429855">
      <w:bodyDiv w:val="1"/>
      <w:marLeft w:val="0"/>
      <w:marRight w:val="0"/>
      <w:marTop w:val="0"/>
      <w:marBottom w:val="0"/>
      <w:divBdr>
        <w:top w:val="none" w:sz="0" w:space="0" w:color="auto"/>
        <w:left w:val="none" w:sz="0" w:space="0" w:color="auto"/>
        <w:bottom w:val="none" w:sz="0" w:space="0" w:color="auto"/>
        <w:right w:val="none" w:sz="0" w:space="0" w:color="auto"/>
      </w:divBdr>
    </w:div>
    <w:div w:id="1498577189">
      <w:bodyDiv w:val="1"/>
      <w:marLeft w:val="0"/>
      <w:marRight w:val="0"/>
      <w:marTop w:val="0"/>
      <w:marBottom w:val="0"/>
      <w:divBdr>
        <w:top w:val="none" w:sz="0" w:space="0" w:color="auto"/>
        <w:left w:val="none" w:sz="0" w:space="0" w:color="auto"/>
        <w:bottom w:val="none" w:sz="0" w:space="0" w:color="auto"/>
        <w:right w:val="none" w:sz="0" w:space="0" w:color="auto"/>
      </w:divBdr>
    </w:div>
    <w:div w:id="1501038764">
      <w:bodyDiv w:val="1"/>
      <w:marLeft w:val="0"/>
      <w:marRight w:val="0"/>
      <w:marTop w:val="0"/>
      <w:marBottom w:val="0"/>
      <w:divBdr>
        <w:top w:val="none" w:sz="0" w:space="0" w:color="auto"/>
        <w:left w:val="none" w:sz="0" w:space="0" w:color="auto"/>
        <w:bottom w:val="none" w:sz="0" w:space="0" w:color="auto"/>
        <w:right w:val="none" w:sz="0" w:space="0" w:color="auto"/>
      </w:divBdr>
    </w:div>
    <w:div w:id="1506746354">
      <w:bodyDiv w:val="1"/>
      <w:marLeft w:val="0"/>
      <w:marRight w:val="0"/>
      <w:marTop w:val="0"/>
      <w:marBottom w:val="0"/>
      <w:divBdr>
        <w:top w:val="none" w:sz="0" w:space="0" w:color="auto"/>
        <w:left w:val="none" w:sz="0" w:space="0" w:color="auto"/>
        <w:bottom w:val="none" w:sz="0" w:space="0" w:color="auto"/>
        <w:right w:val="none" w:sz="0" w:space="0" w:color="auto"/>
      </w:divBdr>
    </w:div>
    <w:div w:id="1507555773">
      <w:bodyDiv w:val="1"/>
      <w:marLeft w:val="0"/>
      <w:marRight w:val="0"/>
      <w:marTop w:val="0"/>
      <w:marBottom w:val="0"/>
      <w:divBdr>
        <w:top w:val="none" w:sz="0" w:space="0" w:color="auto"/>
        <w:left w:val="none" w:sz="0" w:space="0" w:color="auto"/>
        <w:bottom w:val="none" w:sz="0" w:space="0" w:color="auto"/>
        <w:right w:val="none" w:sz="0" w:space="0" w:color="auto"/>
      </w:divBdr>
    </w:div>
    <w:div w:id="1511482161">
      <w:bodyDiv w:val="1"/>
      <w:marLeft w:val="0"/>
      <w:marRight w:val="0"/>
      <w:marTop w:val="0"/>
      <w:marBottom w:val="0"/>
      <w:divBdr>
        <w:top w:val="none" w:sz="0" w:space="0" w:color="auto"/>
        <w:left w:val="none" w:sz="0" w:space="0" w:color="auto"/>
        <w:bottom w:val="none" w:sz="0" w:space="0" w:color="auto"/>
        <w:right w:val="none" w:sz="0" w:space="0" w:color="auto"/>
      </w:divBdr>
    </w:div>
    <w:div w:id="1513491018">
      <w:bodyDiv w:val="1"/>
      <w:marLeft w:val="0"/>
      <w:marRight w:val="0"/>
      <w:marTop w:val="0"/>
      <w:marBottom w:val="0"/>
      <w:divBdr>
        <w:top w:val="none" w:sz="0" w:space="0" w:color="auto"/>
        <w:left w:val="none" w:sz="0" w:space="0" w:color="auto"/>
        <w:bottom w:val="none" w:sz="0" w:space="0" w:color="auto"/>
        <w:right w:val="none" w:sz="0" w:space="0" w:color="auto"/>
      </w:divBdr>
    </w:div>
    <w:div w:id="1514808471">
      <w:bodyDiv w:val="1"/>
      <w:marLeft w:val="0"/>
      <w:marRight w:val="0"/>
      <w:marTop w:val="0"/>
      <w:marBottom w:val="0"/>
      <w:divBdr>
        <w:top w:val="none" w:sz="0" w:space="0" w:color="auto"/>
        <w:left w:val="none" w:sz="0" w:space="0" w:color="auto"/>
        <w:bottom w:val="none" w:sz="0" w:space="0" w:color="auto"/>
        <w:right w:val="none" w:sz="0" w:space="0" w:color="auto"/>
      </w:divBdr>
    </w:div>
    <w:div w:id="1516722219">
      <w:bodyDiv w:val="1"/>
      <w:marLeft w:val="0"/>
      <w:marRight w:val="0"/>
      <w:marTop w:val="0"/>
      <w:marBottom w:val="0"/>
      <w:divBdr>
        <w:top w:val="none" w:sz="0" w:space="0" w:color="auto"/>
        <w:left w:val="none" w:sz="0" w:space="0" w:color="auto"/>
        <w:bottom w:val="none" w:sz="0" w:space="0" w:color="auto"/>
        <w:right w:val="none" w:sz="0" w:space="0" w:color="auto"/>
      </w:divBdr>
    </w:div>
    <w:div w:id="1516773884">
      <w:bodyDiv w:val="1"/>
      <w:marLeft w:val="0"/>
      <w:marRight w:val="0"/>
      <w:marTop w:val="0"/>
      <w:marBottom w:val="0"/>
      <w:divBdr>
        <w:top w:val="none" w:sz="0" w:space="0" w:color="auto"/>
        <w:left w:val="none" w:sz="0" w:space="0" w:color="auto"/>
        <w:bottom w:val="none" w:sz="0" w:space="0" w:color="auto"/>
        <w:right w:val="none" w:sz="0" w:space="0" w:color="auto"/>
      </w:divBdr>
    </w:div>
    <w:div w:id="1517429590">
      <w:bodyDiv w:val="1"/>
      <w:marLeft w:val="0"/>
      <w:marRight w:val="0"/>
      <w:marTop w:val="0"/>
      <w:marBottom w:val="0"/>
      <w:divBdr>
        <w:top w:val="none" w:sz="0" w:space="0" w:color="auto"/>
        <w:left w:val="none" w:sz="0" w:space="0" w:color="auto"/>
        <w:bottom w:val="none" w:sz="0" w:space="0" w:color="auto"/>
        <w:right w:val="none" w:sz="0" w:space="0" w:color="auto"/>
      </w:divBdr>
    </w:div>
    <w:div w:id="1519781343">
      <w:bodyDiv w:val="1"/>
      <w:marLeft w:val="0"/>
      <w:marRight w:val="0"/>
      <w:marTop w:val="0"/>
      <w:marBottom w:val="0"/>
      <w:divBdr>
        <w:top w:val="none" w:sz="0" w:space="0" w:color="auto"/>
        <w:left w:val="none" w:sz="0" w:space="0" w:color="auto"/>
        <w:bottom w:val="none" w:sz="0" w:space="0" w:color="auto"/>
        <w:right w:val="none" w:sz="0" w:space="0" w:color="auto"/>
      </w:divBdr>
    </w:div>
    <w:div w:id="1526599044">
      <w:bodyDiv w:val="1"/>
      <w:marLeft w:val="0"/>
      <w:marRight w:val="0"/>
      <w:marTop w:val="0"/>
      <w:marBottom w:val="0"/>
      <w:divBdr>
        <w:top w:val="none" w:sz="0" w:space="0" w:color="auto"/>
        <w:left w:val="none" w:sz="0" w:space="0" w:color="auto"/>
        <w:bottom w:val="none" w:sz="0" w:space="0" w:color="auto"/>
        <w:right w:val="none" w:sz="0" w:space="0" w:color="auto"/>
      </w:divBdr>
    </w:div>
    <w:div w:id="1528562133">
      <w:bodyDiv w:val="1"/>
      <w:marLeft w:val="0"/>
      <w:marRight w:val="0"/>
      <w:marTop w:val="0"/>
      <w:marBottom w:val="0"/>
      <w:divBdr>
        <w:top w:val="none" w:sz="0" w:space="0" w:color="auto"/>
        <w:left w:val="none" w:sz="0" w:space="0" w:color="auto"/>
        <w:bottom w:val="none" w:sz="0" w:space="0" w:color="auto"/>
        <w:right w:val="none" w:sz="0" w:space="0" w:color="auto"/>
      </w:divBdr>
    </w:div>
    <w:div w:id="1530412600">
      <w:bodyDiv w:val="1"/>
      <w:marLeft w:val="0"/>
      <w:marRight w:val="0"/>
      <w:marTop w:val="0"/>
      <w:marBottom w:val="0"/>
      <w:divBdr>
        <w:top w:val="none" w:sz="0" w:space="0" w:color="auto"/>
        <w:left w:val="none" w:sz="0" w:space="0" w:color="auto"/>
        <w:bottom w:val="none" w:sz="0" w:space="0" w:color="auto"/>
        <w:right w:val="none" w:sz="0" w:space="0" w:color="auto"/>
      </w:divBdr>
    </w:div>
    <w:div w:id="1534996145">
      <w:bodyDiv w:val="1"/>
      <w:marLeft w:val="0"/>
      <w:marRight w:val="0"/>
      <w:marTop w:val="0"/>
      <w:marBottom w:val="0"/>
      <w:divBdr>
        <w:top w:val="none" w:sz="0" w:space="0" w:color="auto"/>
        <w:left w:val="none" w:sz="0" w:space="0" w:color="auto"/>
        <w:bottom w:val="none" w:sz="0" w:space="0" w:color="auto"/>
        <w:right w:val="none" w:sz="0" w:space="0" w:color="auto"/>
      </w:divBdr>
    </w:div>
    <w:div w:id="1540629688">
      <w:bodyDiv w:val="1"/>
      <w:marLeft w:val="0"/>
      <w:marRight w:val="0"/>
      <w:marTop w:val="0"/>
      <w:marBottom w:val="0"/>
      <w:divBdr>
        <w:top w:val="none" w:sz="0" w:space="0" w:color="auto"/>
        <w:left w:val="none" w:sz="0" w:space="0" w:color="auto"/>
        <w:bottom w:val="none" w:sz="0" w:space="0" w:color="auto"/>
        <w:right w:val="none" w:sz="0" w:space="0" w:color="auto"/>
      </w:divBdr>
    </w:div>
    <w:div w:id="1543206686">
      <w:bodyDiv w:val="1"/>
      <w:marLeft w:val="0"/>
      <w:marRight w:val="0"/>
      <w:marTop w:val="0"/>
      <w:marBottom w:val="0"/>
      <w:divBdr>
        <w:top w:val="none" w:sz="0" w:space="0" w:color="auto"/>
        <w:left w:val="none" w:sz="0" w:space="0" w:color="auto"/>
        <w:bottom w:val="none" w:sz="0" w:space="0" w:color="auto"/>
        <w:right w:val="none" w:sz="0" w:space="0" w:color="auto"/>
      </w:divBdr>
    </w:div>
    <w:div w:id="1553426259">
      <w:bodyDiv w:val="1"/>
      <w:marLeft w:val="0"/>
      <w:marRight w:val="0"/>
      <w:marTop w:val="0"/>
      <w:marBottom w:val="0"/>
      <w:divBdr>
        <w:top w:val="none" w:sz="0" w:space="0" w:color="auto"/>
        <w:left w:val="none" w:sz="0" w:space="0" w:color="auto"/>
        <w:bottom w:val="none" w:sz="0" w:space="0" w:color="auto"/>
        <w:right w:val="none" w:sz="0" w:space="0" w:color="auto"/>
      </w:divBdr>
    </w:div>
    <w:div w:id="1555312031">
      <w:bodyDiv w:val="1"/>
      <w:marLeft w:val="0"/>
      <w:marRight w:val="0"/>
      <w:marTop w:val="0"/>
      <w:marBottom w:val="0"/>
      <w:divBdr>
        <w:top w:val="none" w:sz="0" w:space="0" w:color="auto"/>
        <w:left w:val="none" w:sz="0" w:space="0" w:color="auto"/>
        <w:bottom w:val="none" w:sz="0" w:space="0" w:color="auto"/>
        <w:right w:val="none" w:sz="0" w:space="0" w:color="auto"/>
      </w:divBdr>
    </w:div>
    <w:div w:id="1557231647">
      <w:bodyDiv w:val="1"/>
      <w:marLeft w:val="0"/>
      <w:marRight w:val="0"/>
      <w:marTop w:val="0"/>
      <w:marBottom w:val="0"/>
      <w:divBdr>
        <w:top w:val="none" w:sz="0" w:space="0" w:color="auto"/>
        <w:left w:val="none" w:sz="0" w:space="0" w:color="auto"/>
        <w:bottom w:val="none" w:sz="0" w:space="0" w:color="auto"/>
        <w:right w:val="none" w:sz="0" w:space="0" w:color="auto"/>
      </w:divBdr>
    </w:div>
    <w:div w:id="1565986415">
      <w:bodyDiv w:val="1"/>
      <w:marLeft w:val="0"/>
      <w:marRight w:val="0"/>
      <w:marTop w:val="0"/>
      <w:marBottom w:val="0"/>
      <w:divBdr>
        <w:top w:val="none" w:sz="0" w:space="0" w:color="auto"/>
        <w:left w:val="none" w:sz="0" w:space="0" w:color="auto"/>
        <w:bottom w:val="none" w:sz="0" w:space="0" w:color="auto"/>
        <w:right w:val="none" w:sz="0" w:space="0" w:color="auto"/>
      </w:divBdr>
    </w:div>
    <w:div w:id="1569344380">
      <w:bodyDiv w:val="1"/>
      <w:marLeft w:val="0"/>
      <w:marRight w:val="0"/>
      <w:marTop w:val="0"/>
      <w:marBottom w:val="0"/>
      <w:divBdr>
        <w:top w:val="none" w:sz="0" w:space="0" w:color="auto"/>
        <w:left w:val="none" w:sz="0" w:space="0" w:color="auto"/>
        <w:bottom w:val="none" w:sz="0" w:space="0" w:color="auto"/>
        <w:right w:val="none" w:sz="0" w:space="0" w:color="auto"/>
      </w:divBdr>
    </w:div>
    <w:div w:id="1570573302">
      <w:bodyDiv w:val="1"/>
      <w:marLeft w:val="0"/>
      <w:marRight w:val="0"/>
      <w:marTop w:val="0"/>
      <w:marBottom w:val="0"/>
      <w:divBdr>
        <w:top w:val="none" w:sz="0" w:space="0" w:color="auto"/>
        <w:left w:val="none" w:sz="0" w:space="0" w:color="auto"/>
        <w:bottom w:val="none" w:sz="0" w:space="0" w:color="auto"/>
        <w:right w:val="none" w:sz="0" w:space="0" w:color="auto"/>
      </w:divBdr>
    </w:div>
    <w:div w:id="1573007320">
      <w:bodyDiv w:val="1"/>
      <w:marLeft w:val="0"/>
      <w:marRight w:val="0"/>
      <w:marTop w:val="0"/>
      <w:marBottom w:val="0"/>
      <w:divBdr>
        <w:top w:val="none" w:sz="0" w:space="0" w:color="auto"/>
        <w:left w:val="none" w:sz="0" w:space="0" w:color="auto"/>
        <w:bottom w:val="none" w:sz="0" w:space="0" w:color="auto"/>
        <w:right w:val="none" w:sz="0" w:space="0" w:color="auto"/>
      </w:divBdr>
    </w:div>
    <w:div w:id="1573855315">
      <w:bodyDiv w:val="1"/>
      <w:marLeft w:val="0"/>
      <w:marRight w:val="0"/>
      <w:marTop w:val="0"/>
      <w:marBottom w:val="0"/>
      <w:divBdr>
        <w:top w:val="none" w:sz="0" w:space="0" w:color="auto"/>
        <w:left w:val="none" w:sz="0" w:space="0" w:color="auto"/>
        <w:bottom w:val="none" w:sz="0" w:space="0" w:color="auto"/>
        <w:right w:val="none" w:sz="0" w:space="0" w:color="auto"/>
      </w:divBdr>
    </w:div>
    <w:div w:id="1574469004">
      <w:bodyDiv w:val="1"/>
      <w:marLeft w:val="0"/>
      <w:marRight w:val="0"/>
      <w:marTop w:val="0"/>
      <w:marBottom w:val="0"/>
      <w:divBdr>
        <w:top w:val="none" w:sz="0" w:space="0" w:color="auto"/>
        <w:left w:val="none" w:sz="0" w:space="0" w:color="auto"/>
        <w:bottom w:val="none" w:sz="0" w:space="0" w:color="auto"/>
        <w:right w:val="none" w:sz="0" w:space="0" w:color="auto"/>
      </w:divBdr>
    </w:div>
    <w:div w:id="1575971952">
      <w:bodyDiv w:val="1"/>
      <w:marLeft w:val="0"/>
      <w:marRight w:val="0"/>
      <w:marTop w:val="0"/>
      <w:marBottom w:val="0"/>
      <w:divBdr>
        <w:top w:val="none" w:sz="0" w:space="0" w:color="auto"/>
        <w:left w:val="none" w:sz="0" w:space="0" w:color="auto"/>
        <w:bottom w:val="none" w:sz="0" w:space="0" w:color="auto"/>
        <w:right w:val="none" w:sz="0" w:space="0" w:color="auto"/>
      </w:divBdr>
    </w:div>
    <w:div w:id="1577547439">
      <w:bodyDiv w:val="1"/>
      <w:marLeft w:val="0"/>
      <w:marRight w:val="0"/>
      <w:marTop w:val="0"/>
      <w:marBottom w:val="0"/>
      <w:divBdr>
        <w:top w:val="none" w:sz="0" w:space="0" w:color="auto"/>
        <w:left w:val="none" w:sz="0" w:space="0" w:color="auto"/>
        <w:bottom w:val="none" w:sz="0" w:space="0" w:color="auto"/>
        <w:right w:val="none" w:sz="0" w:space="0" w:color="auto"/>
      </w:divBdr>
    </w:div>
    <w:div w:id="1584295795">
      <w:bodyDiv w:val="1"/>
      <w:marLeft w:val="0"/>
      <w:marRight w:val="0"/>
      <w:marTop w:val="0"/>
      <w:marBottom w:val="0"/>
      <w:divBdr>
        <w:top w:val="none" w:sz="0" w:space="0" w:color="auto"/>
        <w:left w:val="none" w:sz="0" w:space="0" w:color="auto"/>
        <w:bottom w:val="none" w:sz="0" w:space="0" w:color="auto"/>
        <w:right w:val="none" w:sz="0" w:space="0" w:color="auto"/>
      </w:divBdr>
    </w:div>
    <w:div w:id="1586258634">
      <w:bodyDiv w:val="1"/>
      <w:marLeft w:val="0"/>
      <w:marRight w:val="0"/>
      <w:marTop w:val="0"/>
      <w:marBottom w:val="0"/>
      <w:divBdr>
        <w:top w:val="none" w:sz="0" w:space="0" w:color="auto"/>
        <w:left w:val="none" w:sz="0" w:space="0" w:color="auto"/>
        <w:bottom w:val="none" w:sz="0" w:space="0" w:color="auto"/>
        <w:right w:val="none" w:sz="0" w:space="0" w:color="auto"/>
      </w:divBdr>
    </w:div>
    <w:div w:id="1590196648">
      <w:bodyDiv w:val="1"/>
      <w:marLeft w:val="0"/>
      <w:marRight w:val="0"/>
      <w:marTop w:val="0"/>
      <w:marBottom w:val="0"/>
      <w:divBdr>
        <w:top w:val="none" w:sz="0" w:space="0" w:color="auto"/>
        <w:left w:val="none" w:sz="0" w:space="0" w:color="auto"/>
        <w:bottom w:val="none" w:sz="0" w:space="0" w:color="auto"/>
        <w:right w:val="none" w:sz="0" w:space="0" w:color="auto"/>
      </w:divBdr>
    </w:div>
    <w:div w:id="1593509373">
      <w:bodyDiv w:val="1"/>
      <w:marLeft w:val="0"/>
      <w:marRight w:val="0"/>
      <w:marTop w:val="0"/>
      <w:marBottom w:val="0"/>
      <w:divBdr>
        <w:top w:val="none" w:sz="0" w:space="0" w:color="auto"/>
        <w:left w:val="none" w:sz="0" w:space="0" w:color="auto"/>
        <w:bottom w:val="none" w:sz="0" w:space="0" w:color="auto"/>
        <w:right w:val="none" w:sz="0" w:space="0" w:color="auto"/>
      </w:divBdr>
    </w:div>
    <w:div w:id="1593973732">
      <w:bodyDiv w:val="1"/>
      <w:marLeft w:val="0"/>
      <w:marRight w:val="0"/>
      <w:marTop w:val="0"/>
      <w:marBottom w:val="0"/>
      <w:divBdr>
        <w:top w:val="none" w:sz="0" w:space="0" w:color="auto"/>
        <w:left w:val="none" w:sz="0" w:space="0" w:color="auto"/>
        <w:bottom w:val="none" w:sz="0" w:space="0" w:color="auto"/>
        <w:right w:val="none" w:sz="0" w:space="0" w:color="auto"/>
      </w:divBdr>
    </w:div>
    <w:div w:id="1598753604">
      <w:bodyDiv w:val="1"/>
      <w:marLeft w:val="0"/>
      <w:marRight w:val="0"/>
      <w:marTop w:val="0"/>
      <w:marBottom w:val="0"/>
      <w:divBdr>
        <w:top w:val="none" w:sz="0" w:space="0" w:color="auto"/>
        <w:left w:val="none" w:sz="0" w:space="0" w:color="auto"/>
        <w:bottom w:val="none" w:sz="0" w:space="0" w:color="auto"/>
        <w:right w:val="none" w:sz="0" w:space="0" w:color="auto"/>
      </w:divBdr>
    </w:div>
    <w:div w:id="1599023353">
      <w:bodyDiv w:val="1"/>
      <w:marLeft w:val="0"/>
      <w:marRight w:val="0"/>
      <w:marTop w:val="0"/>
      <w:marBottom w:val="0"/>
      <w:divBdr>
        <w:top w:val="none" w:sz="0" w:space="0" w:color="auto"/>
        <w:left w:val="none" w:sz="0" w:space="0" w:color="auto"/>
        <w:bottom w:val="none" w:sz="0" w:space="0" w:color="auto"/>
        <w:right w:val="none" w:sz="0" w:space="0" w:color="auto"/>
      </w:divBdr>
    </w:div>
    <w:div w:id="1599213891">
      <w:bodyDiv w:val="1"/>
      <w:marLeft w:val="0"/>
      <w:marRight w:val="0"/>
      <w:marTop w:val="0"/>
      <w:marBottom w:val="0"/>
      <w:divBdr>
        <w:top w:val="none" w:sz="0" w:space="0" w:color="auto"/>
        <w:left w:val="none" w:sz="0" w:space="0" w:color="auto"/>
        <w:bottom w:val="none" w:sz="0" w:space="0" w:color="auto"/>
        <w:right w:val="none" w:sz="0" w:space="0" w:color="auto"/>
      </w:divBdr>
    </w:div>
    <w:div w:id="1600262114">
      <w:bodyDiv w:val="1"/>
      <w:marLeft w:val="0"/>
      <w:marRight w:val="0"/>
      <w:marTop w:val="0"/>
      <w:marBottom w:val="0"/>
      <w:divBdr>
        <w:top w:val="none" w:sz="0" w:space="0" w:color="auto"/>
        <w:left w:val="none" w:sz="0" w:space="0" w:color="auto"/>
        <w:bottom w:val="none" w:sz="0" w:space="0" w:color="auto"/>
        <w:right w:val="none" w:sz="0" w:space="0" w:color="auto"/>
      </w:divBdr>
    </w:div>
    <w:div w:id="1600717324">
      <w:bodyDiv w:val="1"/>
      <w:marLeft w:val="0"/>
      <w:marRight w:val="0"/>
      <w:marTop w:val="0"/>
      <w:marBottom w:val="0"/>
      <w:divBdr>
        <w:top w:val="none" w:sz="0" w:space="0" w:color="auto"/>
        <w:left w:val="none" w:sz="0" w:space="0" w:color="auto"/>
        <w:bottom w:val="none" w:sz="0" w:space="0" w:color="auto"/>
        <w:right w:val="none" w:sz="0" w:space="0" w:color="auto"/>
      </w:divBdr>
    </w:div>
    <w:div w:id="1601839071">
      <w:bodyDiv w:val="1"/>
      <w:marLeft w:val="0"/>
      <w:marRight w:val="0"/>
      <w:marTop w:val="0"/>
      <w:marBottom w:val="0"/>
      <w:divBdr>
        <w:top w:val="none" w:sz="0" w:space="0" w:color="auto"/>
        <w:left w:val="none" w:sz="0" w:space="0" w:color="auto"/>
        <w:bottom w:val="none" w:sz="0" w:space="0" w:color="auto"/>
        <w:right w:val="none" w:sz="0" w:space="0" w:color="auto"/>
      </w:divBdr>
    </w:div>
    <w:div w:id="1603563772">
      <w:bodyDiv w:val="1"/>
      <w:marLeft w:val="0"/>
      <w:marRight w:val="0"/>
      <w:marTop w:val="0"/>
      <w:marBottom w:val="0"/>
      <w:divBdr>
        <w:top w:val="none" w:sz="0" w:space="0" w:color="auto"/>
        <w:left w:val="none" w:sz="0" w:space="0" w:color="auto"/>
        <w:bottom w:val="none" w:sz="0" w:space="0" w:color="auto"/>
        <w:right w:val="none" w:sz="0" w:space="0" w:color="auto"/>
      </w:divBdr>
    </w:div>
    <w:div w:id="1603761155">
      <w:bodyDiv w:val="1"/>
      <w:marLeft w:val="0"/>
      <w:marRight w:val="0"/>
      <w:marTop w:val="0"/>
      <w:marBottom w:val="0"/>
      <w:divBdr>
        <w:top w:val="none" w:sz="0" w:space="0" w:color="auto"/>
        <w:left w:val="none" w:sz="0" w:space="0" w:color="auto"/>
        <w:bottom w:val="none" w:sz="0" w:space="0" w:color="auto"/>
        <w:right w:val="none" w:sz="0" w:space="0" w:color="auto"/>
      </w:divBdr>
    </w:div>
    <w:div w:id="1612006449">
      <w:bodyDiv w:val="1"/>
      <w:marLeft w:val="0"/>
      <w:marRight w:val="0"/>
      <w:marTop w:val="0"/>
      <w:marBottom w:val="0"/>
      <w:divBdr>
        <w:top w:val="none" w:sz="0" w:space="0" w:color="auto"/>
        <w:left w:val="none" w:sz="0" w:space="0" w:color="auto"/>
        <w:bottom w:val="none" w:sz="0" w:space="0" w:color="auto"/>
        <w:right w:val="none" w:sz="0" w:space="0" w:color="auto"/>
      </w:divBdr>
    </w:div>
    <w:div w:id="1612972651">
      <w:bodyDiv w:val="1"/>
      <w:marLeft w:val="0"/>
      <w:marRight w:val="0"/>
      <w:marTop w:val="0"/>
      <w:marBottom w:val="0"/>
      <w:divBdr>
        <w:top w:val="none" w:sz="0" w:space="0" w:color="auto"/>
        <w:left w:val="none" w:sz="0" w:space="0" w:color="auto"/>
        <w:bottom w:val="none" w:sz="0" w:space="0" w:color="auto"/>
        <w:right w:val="none" w:sz="0" w:space="0" w:color="auto"/>
      </w:divBdr>
    </w:div>
    <w:div w:id="1614096182">
      <w:bodyDiv w:val="1"/>
      <w:marLeft w:val="0"/>
      <w:marRight w:val="0"/>
      <w:marTop w:val="0"/>
      <w:marBottom w:val="0"/>
      <w:divBdr>
        <w:top w:val="none" w:sz="0" w:space="0" w:color="auto"/>
        <w:left w:val="none" w:sz="0" w:space="0" w:color="auto"/>
        <w:bottom w:val="none" w:sz="0" w:space="0" w:color="auto"/>
        <w:right w:val="none" w:sz="0" w:space="0" w:color="auto"/>
      </w:divBdr>
    </w:div>
    <w:div w:id="1622225509">
      <w:bodyDiv w:val="1"/>
      <w:marLeft w:val="0"/>
      <w:marRight w:val="0"/>
      <w:marTop w:val="0"/>
      <w:marBottom w:val="0"/>
      <w:divBdr>
        <w:top w:val="none" w:sz="0" w:space="0" w:color="auto"/>
        <w:left w:val="none" w:sz="0" w:space="0" w:color="auto"/>
        <w:bottom w:val="none" w:sz="0" w:space="0" w:color="auto"/>
        <w:right w:val="none" w:sz="0" w:space="0" w:color="auto"/>
      </w:divBdr>
    </w:div>
    <w:div w:id="1624581577">
      <w:bodyDiv w:val="1"/>
      <w:marLeft w:val="0"/>
      <w:marRight w:val="0"/>
      <w:marTop w:val="0"/>
      <w:marBottom w:val="0"/>
      <w:divBdr>
        <w:top w:val="none" w:sz="0" w:space="0" w:color="auto"/>
        <w:left w:val="none" w:sz="0" w:space="0" w:color="auto"/>
        <w:bottom w:val="none" w:sz="0" w:space="0" w:color="auto"/>
        <w:right w:val="none" w:sz="0" w:space="0" w:color="auto"/>
      </w:divBdr>
    </w:div>
    <w:div w:id="1627657839">
      <w:bodyDiv w:val="1"/>
      <w:marLeft w:val="0"/>
      <w:marRight w:val="0"/>
      <w:marTop w:val="0"/>
      <w:marBottom w:val="0"/>
      <w:divBdr>
        <w:top w:val="none" w:sz="0" w:space="0" w:color="auto"/>
        <w:left w:val="none" w:sz="0" w:space="0" w:color="auto"/>
        <w:bottom w:val="none" w:sz="0" w:space="0" w:color="auto"/>
        <w:right w:val="none" w:sz="0" w:space="0" w:color="auto"/>
      </w:divBdr>
    </w:div>
    <w:div w:id="1628732283">
      <w:bodyDiv w:val="1"/>
      <w:marLeft w:val="0"/>
      <w:marRight w:val="0"/>
      <w:marTop w:val="0"/>
      <w:marBottom w:val="0"/>
      <w:divBdr>
        <w:top w:val="none" w:sz="0" w:space="0" w:color="auto"/>
        <w:left w:val="none" w:sz="0" w:space="0" w:color="auto"/>
        <w:bottom w:val="none" w:sz="0" w:space="0" w:color="auto"/>
        <w:right w:val="none" w:sz="0" w:space="0" w:color="auto"/>
      </w:divBdr>
    </w:div>
    <w:div w:id="1631473233">
      <w:bodyDiv w:val="1"/>
      <w:marLeft w:val="0"/>
      <w:marRight w:val="0"/>
      <w:marTop w:val="0"/>
      <w:marBottom w:val="0"/>
      <w:divBdr>
        <w:top w:val="none" w:sz="0" w:space="0" w:color="auto"/>
        <w:left w:val="none" w:sz="0" w:space="0" w:color="auto"/>
        <w:bottom w:val="none" w:sz="0" w:space="0" w:color="auto"/>
        <w:right w:val="none" w:sz="0" w:space="0" w:color="auto"/>
      </w:divBdr>
    </w:div>
    <w:div w:id="1632051652">
      <w:bodyDiv w:val="1"/>
      <w:marLeft w:val="0"/>
      <w:marRight w:val="0"/>
      <w:marTop w:val="0"/>
      <w:marBottom w:val="0"/>
      <w:divBdr>
        <w:top w:val="none" w:sz="0" w:space="0" w:color="auto"/>
        <w:left w:val="none" w:sz="0" w:space="0" w:color="auto"/>
        <w:bottom w:val="none" w:sz="0" w:space="0" w:color="auto"/>
        <w:right w:val="none" w:sz="0" w:space="0" w:color="auto"/>
      </w:divBdr>
    </w:div>
    <w:div w:id="1632663780">
      <w:bodyDiv w:val="1"/>
      <w:marLeft w:val="0"/>
      <w:marRight w:val="0"/>
      <w:marTop w:val="0"/>
      <w:marBottom w:val="0"/>
      <w:divBdr>
        <w:top w:val="none" w:sz="0" w:space="0" w:color="auto"/>
        <w:left w:val="none" w:sz="0" w:space="0" w:color="auto"/>
        <w:bottom w:val="none" w:sz="0" w:space="0" w:color="auto"/>
        <w:right w:val="none" w:sz="0" w:space="0" w:color="auto"/>
      </w:divBdr>
    </w:div>
    <w:div w:id="1633707043">
      <w:bodyDiv w:val="1"/>
      <w:marLeft w:val="0"/>
      <w:marRight w:val="0"/>
      <w:marTop w:val="0"/>
      <w:marBottom w:val="0"/>
      <w:divBdr>
        <w:top w:val="none" w:sz="0" w:space="0" w:color="auto"/>
        <w:left w:val="none" w:sz="0" w:space="0" w:color="auto"/>
        <w:bottom w:val="none" w:sz="0" w:space="0" w:color="auto"/>
        <w:right w:val="none" w:sz="0" w:space="0" w:color="auto"/>
      </w:divBdr>
    </w:div>
    <w:div w:id="1637251601">
      <w:bodyDiv w:val="1"/>
      <w:marLeft w:val="0"/>
      <w:marRight w:val="0"/>
      <w:marTop w:val="0"/>
      <w:marBottom w:val="0"/>
      <w:divBdr>
        <w:top w:val="none" w:sz="0" w:space="0" w:color="auto"/>
        <w:left w:val="none" w:sz="0" w:space="0" w:color="auto"/>
        <w:bottom w:val="none" w:sz="0" w:space="0" w:color="auto"/>
        <w:right w:val="none" w:sz="0" w:space="0" w:color="auto"/>
      </w:divBdr>
    </w:div>
    <w:div w:id="1638993626">
      <w:bodyDiv w:val="1"/>
      <w:marLeft w:val="0"/>
      <w:marRight w:val="0"/>
      <w:marTop w:val="0"/>
      <w:marBottom w:val="0"/>
      <w:divBdr>
        <w:top w:val="none" w:sz="0" w:space="0" w:color="auto"/>
        <w:left w:val="none" w:sz="0" w:space="0" w:color="auto"/>
        <w:bottom w:val="none" w:sz="0" w:space="0" w:color="auto"/>
        <w:right w:val="none" w:sz="0" w:space="0" w:color="auto"/>
      </w:divBdr>
    </w:div>
    <w:div w:id="1643076914">
      <w:bodyDiv w:val="1"/>
      <w:marLeft w:val="0"/>
      <w:marRight w:val="0"/>
      <w:marTop w:val="0"/>
      <w:marBottom w:val="0"/>
      <w:divBdr>
        <w:top w:val="none" w:sz="0" w:space="0" w:color="auto"/>
        <w:left w:val="none" w:sz="0" w:space="0" w:color="auto"/>
        <w:bottom w:val="none" w:sz="0" w:space="0" w:color="auto"/>
        <w:right w:val="none" w:sz="0" w:space="0" w:color="auto"/>
      </w:divBdr>
    </w:div>
    <w:div w:id="1649475614">
      <w:bodyDiv w:val="1"/>
      <w:marLeft w:val="0"/>
      <w:marRight w:val="0"/>
      <w:marTop w:val="0"/>
      <w:marBottom w:val="0"/>
      <w:divBdr>
        <w:top w:val="none" w:sz="0" w:space="0" w:color="auto"/>
        <w:left w:val="none" w:sz="0" w:space="0" w:color="auto"/>
        <w:bottom w:val="none" w:sz="0" w:space="0" w:color="auto"/>
        <w:right w:val="none" w:sz="0" w:space="0" w:color="auto"/>
      </w:divBdr>
    </w:div>
    <w:div w:id="1650817936">
      <w:bodyDiv w:val="1"/>
      <w:marLeft w:val="0"/>
      <w:marRight w:val="0"/>
      <w:marTop w:val="0"/>
      <w:marBottom w:val="0"/>
      <w:divBdr>
        <w:top w:val="none" w:sz="0" w:space="0" w:color="auto"/>
        <w:left w:val="none" w:sz="0" w:space="0" w:color="auto"/>
        <w:bottom w:val="none" w:sz="0" w:space="0" w:color="auto"/>
        <w:right w:val="none" w:sz="0" w:space="0" w:color="auto"/>
      </w:divBdr>
    </w:div>
    <w:div w:id="1656493683">
      <w:bodyDiv w:val="1"/>
      <w:marLeft w:val="0"/>
      <w:marRight w:val="0"/>
      <w:marTop w:val="0"/>
      <w:marBottom w:val="0"/>
      <w:divBdr>
        <w:top w:val="none" w:sz="0" w:space="0" w:color="auto"/>
        <w:left w:val="none" w:sz="0" w:space="0" w:color="auto"/>
        <w:bottom w:val="none" w:sz="0" w:space="0" w:color="auto"/>
        <w:right w:val="none" w:sz="0" w:space="0" w:color="auto"/>
      </w:divBdr>
    </w:div>
    <w:div w:id="1657102488">
      <w:bodyDiv w:val="1"/>
      <w:marLeft w:val="0"/>
      <w:marRight w:val="0"/>
      <w:marTop w:val="0"/>
      <w:marBottom w:val="0"/>
      <w:divBdr>
        <w:top w:val="none" w:sz="0" w:space="0" w:color="auto"/>
        <w:left w:val="none" w:sz="0" w:space="0" w:color="auto"/>
        <w:bottom w:val="none" w:sz="0" w:space="0" w:color="auto"/>
        <w:right w:val="none" w:sz="0" w:space="0" w:color="auto"/>
      </w:divBdr>
    </w:div>
    <w:div w:id="1661494349">
      <w:bodyDiv w:val="1"/>
      <w:marLeft w:val="0"/>
      <w:marRight w:val="0"/>
      <w:marTop w:val="0"/>
      <w:marBottom w:val="0"/>
      <w:divBdr>
        <w:top w:val="none" w:sz="0" w:space="0" w:color="auto"/>
        <w:left w:val="none" w:sz="0" w:space="0" w:color="auto"/>
        <w:bottom w:val="none" w:sz="0" w:space="0" w:color="auto"/>
        <w:right w:val="none" w:sz="0" w:space="0" w:color="auto"/>
      </w:divBdr>
    </w:div>
    <w:div w:id="1662614270">
      <w:bodyDiv w:val="1"/>
      <w:marLeft w:val="0"/>
      <w:marRight w:val="0"/>
      <w:marTop w:val="0"/>
      <w:marBottom w:val="0"/>
      <w:divBdr>
        <w:top w:val="none" w:sz="0" w:space="0" w:color="auto"/>
        <w:left w:val="none" w:sz="0" w:space="0" w:color="auto"/>
        <w:bottom w:val="none" w:sz="0" w:space="0" w:color="auto"/>
        <w:right w:val="none" w:sz="0" w:space="0" w:color="auto"/>
      </w:divBdr>
    </w:div>
    <w:div w:id="1665741767">
      <w:bodyDiv w:val="1"/>
      <w:marLeft w:val="0"/>
      <w:marRight w:val="0"/>
      <w:marTop w:val="0"/>
      <w:marBottom w:val="0"/>
      <w:divBdr>
        <w:top w:val="none" w:sz="0" w:space="0" w:color="auto"/>
        <w:left w:val="none" w:sz="0" w:space="0" w:color="auto"/>
        <w:bottom w:val="none" w:sz="0" w:space="0" w:color="auto"/>
        <w:right w:val="none" w:sz="0" w:space="0" w:color="auto"/>
      </w:divBdr>
    </w:div>
    <w:div w:id="1671323387">
      <w:bodyDiv w:val="1"/>
      <w:marLeft w:val="0"/>
      <w:marRight w:val="0"/>
      <w:marTop w:val="0"/>
      <w:marBottom w:val="0"/>
      <w:divBdr>
        <w:top w:val="none" w:sz="0" w:space="0" w:color="auto"/>
        <w:left w:val="none" w:sz="0" w:space="0" w:color="auto"/>
        <w:bottom w:val="none" w:sz="0" w:space="0" w:color="auto"/>
        <w:right w:val="none" w:sz="0" w:space="0" w:color="auto"/>
      </w:divBdr>
    </w:div>
    <w:div w:id="1671367172">
      <w:bodyDiv w:val="1"/>
      <w:marLeft w:val="0"/>
      <w:marRight w:val="0"/>
      <w:marTop w:val="0"/>
      <w:marBottom w:val="0"/>
      <w:divBdr>
        <w:top w:val="none" w:sz="0" w:space="0" w:color="auto"/>
        <w:left w:val="none" w:sz="0" w:space="0" w:color="auto"/>
        <w:bottom w:val="none" w:sz="0" w:space="0" w:color="auto"/>
        <w:right w:val="none" w:sz="0" w:space="0" w:color="auto"/>
      </w:divBdr>
    </w:div>
    <w:div w:id="1672222768">
      <w:bodyDiv w:val="1"/>
      <w:marLeft w:val="0"/>
      <w:marRight w:val="0"/>
      <w:marTop w:val="0"/>
      <w:marBottom w:val="0"/>
      <w:divBdr>
        <w:top w:val="none" w:sz="0" w:space="0" w:color="auto"/>
        <w:left w:val="none" w:sz="0" w:space="0" w:color="auto"/>
        <w:bottom w:val="none" w:sz="0" w:space="0" w:color="auto"/>
        <w:right w:val="none" w:sz="0" w:space="0" w:color="auto"/>
      </w:divBdr>
    </w:div>
    <w:div w:id="1677221268">
      <w:bodyDiv w:val="1"/>
      <w:marLeft w:val="0"/>
      <w:marRight w:val="0"/>
      <w:marTop w:val="0"/>
      <w:marBottom w:val="0"/>
      <w:divBdr>
        <w:top w:val="none" w:sz="0" w:space="0" w:color="auto"/>
        <w:left w:val="none" w:sz="0" w:space="0" w:color="auto"/>
        <w:bottom w:val="none" w:sz="0" w:space="0" w:color="auto"/>
        <w:right w:val="none" w:sz="0" w:space="0" w:color="auto"/>
      </w:divBdr>
      <w:divsChild>
        <w:div w:id="1504517485">
          <w:marLeft w:val="0"/>
          <w:marRight w:val="0"/>
          <w:marTop w:val="0"/>
          <w:marBottom w:val="0"/>
          <w:divBdr>
            <w:top w:val="none" w:sz="0" w:space="0" w:color="auto"/>
            <w:left w:val="none" w:sz="0" w:space="0" w:color="auto"/>
            <w:bottom w:val="none" w:sz="0" w:space="0" w:color="auto"/>
            <w:right w:val="none" w:sz="0" w:space="0" w:color="auto"/>
          </w:divBdr>
          <w:divsChild>
            <w:div w:id="79779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340106">
      <w:bodyDiv w:val="1"/>
      <w:marLeft w:val="0"/>
      <w:marRight w:val="0"/>
      <w:marTop w:val="0"/>
      <w:marBottom w:val="0"/>
      <w:divBdr>
        <w:top w:val="none" w:sz="0" w:space="0" w:color="auto"/>
        <w:left w:val="none" w:sz="0" w:space="0" w:color="auto"/>
        <w:bottom w:val="none" w:sz="0" w:space="0" w:color="auto"/>
        <w:right w:val="none" w:sz="0" w:space="0" w:color="auto"/>
      </w:divBdr>
    </w:div>
    <w:div w:id="1678382722">
      <w:bodyDiv w:val="1"/>
      <w:marLeft w:val="0"/>
      <w:marRight w:val="0"/>
      <w:marTop w:val="0"/>
      <w:marBottom w:val="0"/>
      <w:divBdr>
        <w:top w:val="none" w:sz="0" w:space="0" w:color="auto"/>
        <w:left w:val="none" w:sz="0" w:space="0" w:color="auto"/>
        <w:bottom w:val="none" w:sz="0" w:space="0" w:color="auto"/>
        <w:right w:val="none" w:sz="0" w:space="0" w:color="auto"/>
      </w:divBdr>
    </w:div>
    <w:div w:id="1678386990">
      <w:bodyDiv w:val="1"/>
      <w:marLeft w:val="0"/>
      <w:marRight w:val="0"/>
      <w:marTop w:val="0"/>
      <w:marBottom w:val="0"/>
      <w:divBdr>
        <w:top w:val="none" w:sz="0" w:space="0" w:color="auto"/>
        <w:left w:val="none" w:sz="0" w:space="0" w:color="auto"/>
        <w:bottom w:val="none" w:sz="0" w:space="0" w:color="auto"/>
        <w:right w:val="none" w:sz="0" w:space="0" w:color="auto"/>
      </w:divBdr>
    </w:div>
    <w:div w:id="1680351862">
      <w:bodyDiv w:val="1"/>
      <w:marLeft w:val="0"/>
      <w:marRight w:val="0"/>
      <w:marTop w:val="0"/>
      <w:marBottom w:val="0"/>
      <w:divBdr>
        <w:top w:val="none" w:sz="0" w:space="0" w:color="auto"/>
        <w:left w:val="none" w:sz="0" w:space="0" w:color="auto"/>
        <w:bottom w:val="none" w:sz="0" w:space="0" w:color="auto"/>
        <w:right w:val="none" w:sz="0" w:space="0" w:color="auto"/>
      </w:divBdr>
    </w:div>
    <w:div w:id="1680809421">
      <w:bodyDiv w:val="1"/>
      <w:marLeft w:val="0"/>
      <w:marRight w:val="0"/>
      <w:marTop w:val="0"/>
      <w:marBottom w:val="0"/>
      <w:divBdr>
        <w:top w:val="none" w:sz="0" w:space="0" w:color="auto"/>
        <w:left w:val="none" w:sz="0" w:space="0" w:color="auto"/>
        <w:bottom w:val="none" w:sz="0" w:space="0" w:color="auto"/>
        <w:right w:val="none" w:sz="0" w:space="0" w:color="auto"/>
      </w:divBdr>
    </w:div>
    <w:div w:id="1684210545">
      <w:bodyDiv w:val="1"/>
      <w:marLeft w:val="0"/>
      <w:marRight w:val="0"/>
      <w:marTop w:val="0"/>
      <w:marBottom w:val="0"/>
      <w:divBdr>
        <w:top w:val="none" w:sz="0" w:space="0" w:color="auto"/>
        <w:left w:val="none" w:sz="0" w:space="0" w:color="auto"/>
        <w:bottom w:val="none" w:sz="0" w:space="0" w:color="auto"/>
        <w:right w:val="none" w:sz="0" w:space="0" w:color="auto"/>
      </w:divBdr>
    </w:div>
    <w:div w:id="1696610910">
      <w:bodyDiv w:val="1"/>
      <w:marLeft w:val="0"/>
      <w:marRight w:val="0"/>
      <w:marTop w:val="0"/>
      <w:marBottom w:val="0"/>
      <w:divBdr>
        <w:top w:val="none" w:sz="0" w:space="0" w:color="auto"/>
        <w:left w:val="none" w:sz="0" w:space="0" w:color="auto"/>
        <w:bottom w:val="none" w:sz="0" w:space="0" w:color="auto"/>
        <w:right w:val="none" w:sz="0" w:space="0" w:color="auto"/>
      </w:divBdr>
    </w:div>
    <w:div w:id="1697850424">
      <w:bodyDiv w:val="1"/>
      <w:marLeft w:val="0"/>
      <w:marRight w:val="0"/>
      <w:marTop w:val="0"/>
      <w:marBottom w:val="0"/>
      <w:divBdr>
        <w:top w:val="none" w:sz="0" w:space="0" w:color="auto"/>
        <w:left w:val="none" w:sz="0" w:space="0" w:color="auto"/>
        <w:bottom w:val="none" w:sz="0" w:space="0" w:color="auto"/>
        <w:right w:val="none" w:sz="0" w:space="0" w:color="auto"/>
      </w:divBdr>
    </w:div>
    <w:div w:id="1700466905">
      <w:bodyDiv w:val="1"/>
      <w:marLeft w:val="0"/>
      <w:marRight w:val="0"/>
      <w:marTop w:val="0"/>
      <w:marBottom w:val="0"/>
      <w:divBdr>
        <w:top w:val="none" w:sz="0" w:space="0" w:color="auto"/>
        <w:left w:val="none" w:sz="0" w:space="0" w:color="auto"/>
        <w:bottom w:val="none" w:sz="0" w:space="0" w:color="auto"/>
        <w:right w:val="none" w:sz="0" w:space="0" w:color="auto"/>
      </w:divBdr>
    </w:div>
    <w:div w:id="1706632339">
      <w:bodyDiv w:val="1"/>
      <w:marLeft w:val="0"/>
      <w:marRight w:val="0"/>
      <w:marTop w:val="0"/>
      <w:marBottom w:val="0"/>
      <w:divBdr>
        <w:top w:val="none" w:sz="0" w:space="0" w:color="auto"/>
        <w:left w:val="none" w:sz="0" w:space="0" w:color="auto"/>
        <w:bottom w:val="none" w:sz="0" w:space="0" w:color="auto"/>
        <w:right w:val="none" w:sz="0" w:space="0" w:color="auto"/>
      </w:divBdr>
    </w:div>
    <w:div w:id="1710838622">
      <w:bodyDiv w:val="1"/>
      <w:marLeft w:val="0"/>
      <w:marRight w:val="0"/>
      <w:marTop w:val="0"/>
      <w:marBottom w:val="0"/>
      <w:divBdr>
        <w:top w:val="none" w:sz="0" w:space="0" w:color="auto"/>
        <w:left w:val="none" w:sz="0" w:space="0" w:color="auto"/>
        <w:bottom w:val="none" w:sz="0" w:space="0" w:color="auto"/>
        <w:right w:val="none" w:sz="0" w:space="0" w:color="auto"/>
      </w:divBdr>
    </w:div>
    <w:div w:id="1715814501">
      <w:bodyDiv w:val="1"/>
      <w:marLeft w:val="0"/>
      <w:marRight w:val="0"/>
      <w:marTop w:val="0"/>
      <w:marBottom w:val="0"/>
      <w:divBdr>
        <w:top w:val="none" w:sz="0" w:space="0" w:color="auto"/>
        <w:left w:val="none" w:sz="0" w:space="0" w:color="auto"/>
        <w:bottom w:val="none" w:sz="0" w:space="0" w:color="auto"/>
        <w:right w:val="none" w:sz="0" w:space="0" w:color="auto"/>
      </w:divBdr>
    </w:div>
    <w:div w:id="1724989145">
      <w:bodyDiv w:val="1"/>
      <w:marLeft w:val="0"/>
      <w:marRight w:val="0"/>
      <w:marTop w:val="0"/>
      <w:marBottom w:val="0"/>
      <w:divBdr>
        <w:top w:val="none" w:sz="0" w:space="0" w:color="auto"/>
        <w:left w:val="none" w:sz="0" w:space="0" w:color="auto"/>
        <w:bottom w:val="none" w:sz="0" w:space="0" w:color="auto"/>
        <w:right w:val="none" w:sz="0" w:space="0" w:color="auto"/>
      </w:divBdr>
    </w:div>
    <w:div w:id="1725181697">
      <w:bodyDiv w:val="1"/>
      <w:marLeft w:val="0"/>
      <w:marRight w:val="0"/>
      <w:marTop w:val="0"/>
      <w:marBottom w:val="0"/>
      <w:divBdr>
        <w:top w:val="none" w:sz="0" w:space="0" w:color="auto"/>
        <w:left w:val="none" w:sz="0" w:space="0" w:color="auto"/>
        <w:bottom w:val="none" w:sz="0" w:space="0" w:color="auto"/>
        <w:right w:val="none" w:sz="0" w:space="0" w:color="auto"/>
      </w:divBdr>
    </w:div>
    <w:div w:id="1726027710">
      <w:bodyDiv w:val="1"/>
      <w:marLeft w:val="0"/>
      <w:marRight w:val="0"/>
      <w:marTop w:val="0"/>
      <w:marBottom w:val="0"/>
      <w:divBdr>
        <w:top w:val="none" w:sz="0" w:space="0" w:color="auto"/>
        <w:left w:val="none" w:sz="0" w:space="0" w:color="auto"/>
        <w:bottom w:val="none" w:sz="0" w:space="0" w:color="auto"/>
        <w:right w:val="none" w:sz="0" w:space="0" w:color="auto"/>
      </w:divBdr>
    </w:div>
    <w:div w:id="1726878002">
      <w:bodyDiv w:val="1"/>
      <w:marLeft w:val="0"/>
      <w:marRight w:val="0"/>
      <w:marTop w:val="0"/>
      <w:marBottom w:val="0"/>
      <w:divBdr>
        <w:top w:val="none" w:sz="0" w:space="0" w:color="auto"/>
        <w:left w:val="none" w:sz="0" w:space="0" w:color="auto"/>
        <w:bottom w:val="none" w:sz="0" w:space="0" w:color="auto"/>
        <w:right w:val="none" w:sz="0" w:space="0" w:color="auto"/>
      </w:divBdr>
    </w:div>
    <w:div w:id="1727490611">
      <w:bodyDiv w:val="1"/>
      <w:marLeft w:val="0"/>
      <w:marRight w:val="0"/>
      <w:marTop w:val="0"/>
      <w:marBottom w:val="0"/>
      <w:divBdr>
        <w:top w:val="none" w:sz="0" w:space="0" w:color="auto"/>
        <w:left w:val="none" w:sz="0" w:space="0" w:color="auto"/>
        <w:bottom w:val="none" w:sz="0" w:space="0" w:color="auto"/>
        <w:right w:val="none" w:sz="0" w:space="0" w:color="auto"/>
      </w:divBdr>
    </w:div>
    <w:div w:id="1745373181">
      <w:bodyDiv w:val="1"/>
      <w:marLeft w:val="0"/>
      <w:marRight w:val="0"/>
      <w:marTop w:val="0"/>
      <w:marBottom w:val="0"/>
      <w:divBdr>
        <w:top w:val="none" w:sz="0" w:space="0" w:color="auto"/>
        <w:left w:val="none" w:sz="0" w:space="0" w:color="auto"/>
        <w:bottom w:val="none" w:sz="0" w:space="0" w:color="auto"/>
        <w:right w:val="none" w:sz="0" w:space="0" w:color="auto"/>
      </w:divBdr>
    </w:div>
    <w:div w:id="1756701256">
      <w:bodyDiv w:val="1"/>
      <w:marLeft w:val="0"/>
      <w:marRight w:val="0"/>
      <w:marTop w:val="0"/>
      <w:marBottom w:val="0"/>
      <w:divBdr>
        <w:top w:val="none" w:sz="0" w:space="0" w:color="auto"/>
        <w:left w:val="none" w:sz="0" w:space="0" w:color="auto"/>
        <w:bottom w:val="none" w:sz="0" w:space="0" w:color="auto"/>
        <w:right w:val="none" w:sz="0" w:space="0" w:color="auto"/>
      </w:divBdr>
    </w:div>
    <w:div w:id="1757705849">
      <w:bodyDiv w:val="1"/>
      <w:marLeft w:val="0"/>
      <w:marRight w:val="0"/>
      <w:marTop w:val="0"/>
      <w:marBottom w:val="0"/>
      <w:divBdr>
        <w:top w:val="none" w:sz="0" w:space="0" w:color="auto"/>
        <w:left w:val="none" w:sz="0" w:space="0" w:color="auto"/>
        <w:bottom w:val="none" w:sz="0" w:space="0" w:color="auto"/>
        <w:right w:val="none" w:sz="0" w:space="0" w:color="auto"/>
      </w:divBdr>
    </w:div>
    <w:div w:id="1760256051">
      <w:bodyDiv w:val="1"/>
      <w:marLeft w:val="0"/>
      <w:marRight w:val="0"/>
      <w:marTop w:val="0"/>
      <w:marBottom w:val="0"/>
      <w:divBdr>
        <w:top w:val="none" w:sz="0" w:space="0" w:color="auto"/>
        <w:left w:val="none" w:sz="0" w:space="0" w:color="auto"/>
        <w:bottom w:val="none" w:sz="0" w:space="0" w:color="auto"/>
        <w:right w:val="none" w:sz="0" w:space="0" w:color="auto"/>
      </w:divBdr>
    </w:div>
    <w:div w:id="1760590442">
      <w:bodyDiv w:val="1"/>
      <w:marLeft w:val="0"/>
      <w:marRight w:val="0"/>
      <w:marTop w:val="0"/>
      <w:marBottom w:val="0"/>
      <w:divBdr>
        <w:top w:val="none" w:sz="0" w:space="0" w:color="auto"/>
        <w:left w:val="none" w:sz="0" w:space="0" w:color="auto"/>
        <w:bottom w:val="none" w:sz="0" w:space="0" w:color="auto"/>
        <w:right w:val="none" w:sz="0" w:space="0" w:color="auto"/>
      </w:divBdr>
    </w:div>
    <w:div w:id="1761415243">
      <w:bodyDiv w:val="1"/>
      <w:marLeft w:val="0"/>
      <w:marRight w:val="0"/>
      <w:marTop w:val="0"/>
      <w:marBottom w:val="0"/>
      <w:divBdr>
        <w:top w:val="none" w:sz="0" w:space="0" w:color="auto"/>
        <w:left w:val="none" w:sz="0" w:space="0" w:color="auto"/>
        <w:bottom w:val="none" w:sz="0" w:space="0" w:color="auto"/>
        <w:right w:val="none" w:sz="0" w:space="0" w:color="auto"/>
      </w:divBdr>
    </w:div>
    <w:div w:id="1768232315">
      <w:bodyDiv w:val="1"/>
      <w:marLeft w:val="0"/>
      <w:marRight w:val="0"/>
      <w:marTop w:val="0"/>
      <w:marBottom w:val="0"/>
      <w:divBdr>
        <w:top w:val="none" w:sz="0" w:space="0" w:color="auto"/>
        <w:left w:val="none" w:sz="0" w:space="0" w:color="auto"/>
        <w:bottom w:val="none" w:sz="0" w:space="0" w:color="auto"/>
        <w:right w:val="none" w:sz="0" w:space="0" w:color="auto"/>
      </w:divBdr>
    </w:div>
    <w:div w:id="1777946104">
      <w:bodyDiv w:val="1"/>
      <w:marLeft w:val="0"/>
      <w:marRight w:val="0"/>
      <w:marTop w:val="0"/>
      <w:marBottom w:val="0"/>
      <w:divBdr>
        <w:top w:val="none" w:sz="0" w:space="0" w:color="auto"/>
        <w:left w:val="none" w:sz="0" w:space="0" w:color="auto"/>
        <w:bottom w:val="none" w:sz="0" w:space="0" w:color="auto"/>
        <w:right w:val="none" w:sz="0" w:space="0" w:color="auto"/>
      </w:divBdr>
    </w:div>
    <w:div w:id="1778138831">
      <w:bodyDiv w:val="1"/>
      <w:marLeft w:val="0"/>
      <w:marRight w:val="0"/>
      <w:marTop w:val="0"/>
      <w:marBottom w:val="0"/>
      <w:divBdr>
        <w:top w:val="none" w:sz="0" w:space="0" w:color="auto"/>
        <w:left w:val="none" w:sz="0" w:space="0" w:color="auto"/>
        <w:bottom w:val="none" w:sz="0" w:space="0" w:color="auto"/>
        <w:right w:val="none" w:sz="0" w:space="0" w:color="auto"/>
      </w:divBdr>
    </w:div>
    <w:div w:id="1783960730">
      <w:bodyDiv w:val="1"/>
      <w:marLeft w:val="0"/>
      <w:marRight w:val="0"/>
      <w:marTop w:val="0"/>
      <w:marBottom w:val="0"/>
      <w:divBdr>
        <w:top w:val="none" w:sz="0" w:space="0" w:color="auto"/>
        <w:left w:val="none" w:sz="0" w:space="0" w:color="auto"/>
        <w:bottom w:val="none" w:sz="0" w:space="0" w:color="auto"/>
        <w:right w:val="none" w:sz="0" w:space="0" w:color="auto"/>
      </w:divBdr>
    </w:div>
    <w:div w:id="1785805527">
      <w:bodyDiv w:val="1"/>
      <w:marLeft w:val="0"/>
      <w:marRight w:val="0"/>
      <w:marTop w:val="0"/>
      <w:marBottom w:val="0"/>
      <w:divBdr>
        <w:top w:val="none" w:sz="0" w:space="0" w:color="auto"/>
        <w:left w:val="none" w:sz="0" w:space="0" w:color="auto"/>
        <w:bottom w:val="none" w:sz="0" w:space="0" w:color="auto"/>
        <w:right w:val="none" w:sz="0" w:space="0" w:color="auto"/>
      </w:divBdr>
    </w:div>
    <w:div w:id="1785925172">
      <w:bodyDiv w:val="1"/>
      <w:marLeft w:val="0"/>
      <w:marRight w:val="0"/>
      <w:marTop w:val="0"/>
      <w:marBottom w:val="0"/>
      <w:divBdr>
        <w:top w:val="none" w:sz="0" w:space="0" w:color="auto"/>
        <w:left w:val="none" w:sz="0" w:space="0" w:color="auto"/>
        <w:bottom w:val="none" w:sz="0" w:space="0" w:color="auto"/>
        <w:right w:val="none" w:sz="0" w:space="0" w:color="auto"/>
      </w:divBdr>
    </w:div>
    <w:div w:id="1791321359">
      <w:bodyDiv w:val="1"/>
      <w:marLeft w:val="0"/>
      <w:marRight w:val="0"/>
      <w:marTop w:val="0"/>
      <w:marBottom w:val="0"/>
      <w:divBdr>
        <w:top w:val="none" w:sz="0" w:space="0" w:color="auto"/>
        <w:left w:val="none" w:sz="0" w:space="0" w:color="auto"/>
        <w:bottom w:val="none" w:sz="0" w:space="0" w:color="auto"/>
        <w:right w:val="none" w:sz="0" w:space="0" w:color="auto"/>
      </w:divBdr>
    </w:div>
    <w:div w:id="1795558488">
      <w:bodyDiv w:val="1"/>
      <w:marLeft w:val="0"/>
      <w:marRight w:val="0"/>
      <w:marTop w:val="0"/>
      <w:marBottom w:val="0"/>
      <w:divBdr>
        <w:top w:val="none" w:sz="0" w:space="0" w:color="auto"/>
        <w:left w:val="none" w:sz="0" w:space="0" w:color="auto"/>
        <w:bottom w:val="none" w:sz="0" w:space="0" w:color="auto"/>
        <w:right w:val="none" w:sz="0" w:space="0" w:color="auto"/>
      </w:divBdr>
    </w:div>
    <w:div w:id="1799758315">
      <w:bodyDiv w:val="1"/>
      <w:marLeft w:val="0"/>
      <w:marRight w:val="0"/>
      <w:marTop w:val="0"/>
      <w:marBottom w:val="0"/>
      <w:divBdr>
        <w:top w:val="none" w:sz="0" w:space="0" w:color="auto"/>
        <w:left w:val="none" w:sz="0" w:space="0" w:color="auto"/>
        <w:bottom w:val="none" w:sz="0" w:space="0" w:color="auto"/>
        <w:right w:val="none" w:sz="0" w:space="0" w:color="auto"/>
      </w:divBdr>
    </w:div>
    <w:div w:id="1800105408">
      <w:bodyDiv w:val="1"/>
      <w:marLeft w:val="0"/>
      <w:marRight w:val="0"/>
      <w:marTop w:val="0"/>
      <w:marBottom w:val="0"/>
      <w:divBdr>
        <w:top w:val="none" w:sz="0" w:space="0" w:color="auto"/>
        <w:left w:val="none" w:sz="0" w:space="0" w:color="auto"/>
        <w:bottom w:val="none" w:sz="0" w:space="0" w:color="auto"/>
        <w:right w:val="none" w:sz="0" w:space="0" w:color="auto"/>
      </w:divBdr>
    </w:div>
    <w:div w:id="1802990609">
      <w:bodyDiv w:val="1"/>
      <w:marLeft w:val="0"/>
      <w:marRight w:val="0"/>
      <w:marTop w:val="0"/>
      <w:marBottom w:val="0"/>
      <w:divBdr>
        <w:top w:val="none" w:sz="0" w:space="0" w:color="auto"/>
        <w:left w:val="none" w:sz="0" w:space="0" w:color="auto"/>
        <w:bottom w:val="none" w:sz="0" w:space="0" w:color="auto"/>
        <w:right w:val="none" w:sz="0" w:space="0" w:color="auto"/>
      </w:divBdr>
    </w:div>
    <w:div w:id="1808744319">
      <w:bodyDiv w:val="1"/>
      <w:marLeft w:val="0"/>
      <w:marRight w:val="0"/>
      <w:marTop w:val="0"/>
      <w:marBottom w:val="0"/>
      <w:divBdr>
        <w:top w:val="none" w:sz="0" w:space="0" w:color="auto"/>
        <w:left w:val="none" w:sz="0" w:space="0" w:color="auto"/>
        <w:bottom w:val="none" w:sz="0" w:space="0" w:color="auto"/>
        <w:right w:val="none" w:sz="0" w:space="0" w:color="auto"/>
      </w:divBdr>
    </w:div>
    <w:div w:id="1808934813">
      <w:bodyDiv w:val="1"/>
      <w:marLeft w:val="0"/>
      <w:marRight w:val="0"/>
      <w:marTop w:val="0"/>
      <w:marBottom w:val="0"/>
      <w:divBdr>
        <w:top w:val="none" w:sz="0" w:space="0" w:color="auto"/>
        <w:left w:val="none" w:sz="0" w:space="0" w:color="auto"/>
        <w:bottom w:val="none" w:sz="0" w:space="0" w:color="auto"/>
        <w:right w:val="none" w:sz="0" w:space="0" w:color="auto"/>
      </w:divBdr>
    </w:div>
    <w:div w:id="1810122177">
      <w:bodyDiv w:val="1"/>
      <w:marLeft w:val="0"/>
      <w:marRight w:val="0"/>
      <w:marTop w:val="0"/>
      <w:marBottom w:val="0"/>
      <w:divBdr>
        <w:top w:val="none" w:sz="0" w:space="0" w:color="auto"/>
        <w:left w:val="none" w:sz="0" w:space="0" w:color="auto"/>
        <w:bottom w:val="none" w:sz="0" w:space="0" w:color="auto"/>
        <w:right w:val="none" w:sz="0" w:space="0" w:color="auto"/>
      </w:divBdr>
    </w:div>
    <w:div w:id="1811822419">
      <w:bodyDiv w:val="1"/>
      <w:marLeft w:val="0"/>
      <w:marRight w:val="0"/>
      <w:marTop w:val="0"/>
      <w:marBottom w:val="0"/>
      <w:divBdr>
        <w:top w:val="none" w:sz="0" w:space="0" w:color="auto"/>
        <w:left w:val="none" w:sz="0" w:space="0" w:color="auto"/>
        <w:bottom w:val="none" w:sz="0" w:space="0" w:color="auto"/>
        <w:right w:val="none" w:sz="0" w:space="0" w:color="auto"/>
      </w:divBdr>
    </w:div>
    <w:div w:id="1812165527">
      <w:bodyDiv w:val="1"/>
      <w:marLeft w:val="0"/>
      <w:marRight w:val="0"/>
      <w:marTop w:val="0"/>
      <w:marBottom w:val="0"/>
      <w:divBdr>
        <w:top w:val="none" w:sz="0" w:space="0" w:color="auto"/>
        <w:left w:val="none" w:sz="0" w:space="0" w:color="auto"/>
        <w:bottom w:val="none" w:sz="0" w:space="0" w:color="auto"/>
        <w:right w:val="none" w:sz="0" w:space="0" w:color="auto"/>
      </w:divBdr>
    </w:div>
    <w:div w:id="1816290727">
      <w:bodyDiv w:val="1"/>
      <w:marLeft w:val="0"/>
      <w:marRight w:val="0"/>
      <w:marTop w:val="0"/>
      <w:marBottom w:val="0"/>
      <w:divBdr>
        <w:top w:val="none" w:sz="0" w:space="0" w:color="auto"/>
        <w:left w:val="none" w:sz="0" w:space="0" w:color="auto"/>
        <w:bottom w:val="none" w:sz="0" w:space="0" w:color="auto"/>
        <w:right w:val="none" w:sz="0" w:space="0" w:color="auto"/>
      </w:divBdr>
    </w:div>
    <w:div w:id="1819228474">
      <w:bodyDiv w:val="1"/>
      <w:marLeft w:val="0"/>
      <w:marRight w:val="0"/>
      <w:marTop w:val="0"/>
      <w:marBottom w:val="0"/>
      <w:divBdr>
        <w:top w:val="none" w:sz="0" w:space="0" w:color="auto"/>
        <w:left w:val="none" w:sz="0" w:space="0" w:color="auto"/>
        <w:bottom w:val="none" w:sz="0" w:space="0" w:color="auto"/>
        <w:right w:val="none" w:sz="0" w:space="0" w:color="auto"/>
      </w:divBdr>
    </w:div>
    <w:div w:id="1828397233">
      <w:bodyDiv w:val="1"/>
      <w:marLeft w:val="0"/>
      <w:marRight w:val="0"/>
      <w:marTop w:val="0"/>
      <w:marBottom w:val="0"/>
      <w:divBdr>
        <w:top w:val="none" w:sz="0" w:space="0" w:color="auto"/>
        <w:left w:val="none" w:sz="0" w:space="0" w:color="auto"/>
        <w:bottom w:val="none" w:sz="0" w:space="0" w:color="auto"/>
        <w:right w:val="none" w:sz="0" w:space="0" w:color="auto"/>
      </w:divBdr>
    </w:div>
    <w:div w:id="1828401931">
      <w:bodyDiv w:val="1"/>
      <w:marLeft w:val="0"/>
      <w:marRight w:val="0"/>
      <w:marTop w:val="0"/>
      <w:marBottom w:val="0"/>
      <w:divBdr>
        <w:top w:val="none" w:sz="0" w:space="0" w:color="auto"/>
        <w:left w:val="none" w:sz="0" w:space="0" w:color="auto"/>
        <w:bottom w:val="none" w:sz="0" w:space="0" w:color="auto"/>
        <w:right w:val="none" w:sz="0" w:space="0" w:color="auto"/>
      </w:divBdr>
    </w:div>
    <w:div w:id="1830948031">
      <w:bodyDiv w:val="1"/>
      <w:marLeft w:val="0"/>
      <w:marRight w:val="0"/>
      <w:marTop w:val="0"/>
      <w:marBottom w:val="0"/>
      <w:divBdr>
        <w:top w:val="none" w:sz="0" w:space="0" w:color="auto"/>
        <w:left w:val="none" w:sz="0" w:space="0" w:color="auto"/>
        <w:bottom w:val="none" w:sz="0" w:space="0" w:color="auto"/>
        <w:right w:val="none" w:sz="0" w:space="0" w:color="auto"/>
      </w:divBdr>
    </w:div>
    <w:div w:id="1836920695">
      <w:bodyDiv w:val="1"/>
      <w:marLeft w:val="0"/>
      <w:marRight w:val="0"/>
      <w:marTop w:val="0"/>
      <w:marBottom w:val="0"/>
      <w:divBdr>
        <w:top w:val="none" w:sz="0" w:space="0" w:color="auto"/>
        <w:left w:val="none" w:sz="0" w:space="0" w:color="auto"/>
        <w:bottom w:val="none" w:sz="0" w:space="0" w:color="auto"/>
        <w:right w:val="none" w:sz="0" w:space="0" w:color="auto"/>
      </w:divBdr>
    </w:div>
    <w:div w:id="1844276636">
      <w:bodyDiv w:val="1"/>
      <w:marLeft w:val="0"/>
      <w:marRight w:val="0"/>
      <w:marTop w:val="0"/>
      <w:marBottom w:val="0"/>
      <w:divBdr>
        <w:top w:val="none" w:sz="0" w:space="0" w:color="auto"/>
        <w:left w:val="none" w:sz="0" w:space="0" w:color="auto"/>
        <w:bottom w:val="none" w:sz="0" w:space="0" w:color="auto"/>
        <w:right w:val="none" w:sz="0" w:space="0" w:color="auto"/>
      </w:divBdr>
    </w:div>
    <w:div w:id="1844390549">
      <w:bodyDiv w:val="1"/>
      <w:marLeft w:val="0"/>
      <w:marRight w:val="0"/>
      <w:marTop w:val="0"/>
      <w:marBottom w:val="0"/>
      <w:divBdr>
        <w:top w:val="none" w:sz="0" w:space="0" w:color="auto"/>
        <w:left w:val="none" w:sz="0" w:space="0" w:color="auto"/>
        <w:bottom w:val="none" w:sz="0" w:space="0" w:color="auto"/>
        <w:right w:val="none" w:sz="0" w:space="0" w:color="auto"/>
      </w:divBdr>
    </w:div>
    <w:div w:id="1849170634">
      <w:bodyDiv w:val="1"/>
      <w:marLeft w:val="0"/>
      <w:marRight w:val="0"/>
      <w:marTop w:val="0"/>
      <w:marBottom w:val="0"/>
      <w:divBdr>
        <w:top w:val="none" w:sz="0" w:space="0" w:color="auto"/>
        <w:left w:val="none" w:sz="0" w:space="0" w:color="auto"/>
        <w:bottom w:val="none" w:sz="0" w:space="0" w:color="auto"/>
        <w:right w:val="none" w:sz="0" w:space="0" w:color="auto"/>
      </w:divBdr>
    </w:div>
    <w:div w:id="1852332441">
      <w:bodyDiv w:val="1"/>
      <w:marLeft w:val="0"/>
      <w:marRight w:val="0"/>
      <w:marTop w:val="0"/>
      <w:marBottom w:val="0"/>
      <w:divBdr>
        <w:top w:val="none" w:sz="0" w:space="0" w:color="auto"/>
        <w:left w:val="none" w:sz="0" w:space="0" w:color="auto"/>
        <w:bottom w:val="none" w:sz="0" w:space="0" w:color="auto"/>
        <w:right w:val="none" w:sz="0" w:space="0" w:color="auto"/>
      </w:divBdr>
    </w:div>
    <w:div w:id="1852598469">
      <w:bodyDiv w:val="1"/>
      <w:marLeft w:val="0"/>
      <w:marRight w:val="0"/>
      <w:marTop w:val="0"/>
      <w:marBottom w:val="0"/>
      <w:divBdr>
        <w:top w:val="none" w:sz="0" w:space="0" w:color="auto"/>
        <w:left w:val="none" w:sz="0" w:space="0" w:color="auto"/>
        <w:bottom w:val="none" w:sz="0" w:space="0" w:color="auto"/>
        <w:right w:val="none" w:sz="0" w:space="0" w:color="auto"/>
      </w:divBdr>
    </w:div>
    <w:div w:id="1853452943">
      <w:bodyDiv w:val="1"/>
      <w:marLeft w:val="0"/>
      <w:marRight w:val="0"/>
      <w:marTop w:val="0"/>
      <w:marBottom w:val="0"/>
      <w:divBdr>
        <w:top w:val="none" w:sz="0" w:space="0" w:color="auto"/>
        <w:left w:val="none" w:sz="0" w:space="0" w:color="auto"/>
        <w:bottom w:val="none" w:sz="0" w:space="0" w:color="auto"/>
        <w:right w:val="none" w:sz="0" w:space="0" w:color="auto"/>
      </w:divBdr>
    </w:div>
    <w:div w:id="1854220815">
      <w:bodyDiv w:val="1"/>
      <w:marLeft w:val="0"/>
      <w:marRight w:val="0"/>
      <w:marTop w:val="0"/>
      <w:marBottom w:val="0"/>
      <w:divBdr>
        <w:top w:val="none" w:sz="0" w:space="0" w:color="auto"/>
        <w:left w:val="none" w:sz="0" w:space="0" w:color="auto"/>
        <w:bottom w:val="none" w:sz="0" w:space="0" w:color="auto"/>
        <w:right w:val="none" w:sz="0" w:space="0" w:color="auto"/>
      </w:divBdr>
    </w:div>
    <w:div w:id="1855605341">
      <w:bodyDiv w:val="1"/>
      <w:marLeft w:val="0"/>
      <w:marRight w:val="0"/>
      <w:marTop w:val="0"/>
      <w:marBottom w:val="0"/>
      <w:divBdr>
        <w:top w:val="none" w:sz="0" w:space="0" w:color="auto"/>
        <w:left w:val="none" w:sz="0" w:space="0" w:color="auto"/>
        <w:bottom w:val="none" w:sz="0" w:space="0" w:color="auto"/>
        <w:right w:val="none" w:sz="0" w:space="0" w:color="auto"/>
      </w:divBdr>
    </w:div>
    <w:div w:id="1859195825">
      <w:bodyDiv w:val="1"/>
      <w:marLeft w:val="0"/>
      <w:marRight w:val="0"/>
      <w:marTop w:val="0"/>
      <w:marBottom w:val="0"/>
      <w:divBdr>
        <w:top w:val="none" w:sz="0" w:space="0" w:color="auto"/>
        <w:left w:val="none" w:sz="0" w:space="0" w:color="auto"/>
        <w:bottom w:val="none" w:sz="0" w:space="0" w:color="auto"/>
        <w:right w:val="none" w:sz="0" w:space="0" w:color="auto"/>
      </w:divBdr>
    </w:div>
    <w:div w:id="1862282471">
      <w:bodyDiv w:val="1"/>
      <w:marLeft w:val="0"/>
      <w:marRight w:val="0"/>
      <w:marTop w:val="0"/>
      <w:marBottom w:val="0"/>
      <w:divBdr>
        <w:top w:val="none" w:sz="0" w:space="0" w:color="auto"/>
        <w:left w:val="none" w:sz="0" w:space="0" w:color="auto"/>
        <w:bottom w:val="none" w:sz="0" w:space="0" w:color="auto"/>
        <w:right w:val="none" w:sz="0" w:space="0" w:color="auto"/>
      </w:divBdr>
    </w:div>
    <w:div w:id="1863667594">
      <w:bodyDiv w:val="1"/>
      <w:marLeft w:val="0"/>
      <w:marRight w:val="0"/>
      <w:marTop w:val="0"/>
      <w:marBottom w:val="0"/>
      <w:divBdr>
        <w:top w:val="none" w:sz="0" w:space="0" w:color="auto"/>
        <w:left w:val="none" w:sz="0" w:space="0" w:color="auto"/>
        <w:bottom w:val="none" w:sz="0" w:space="0" w:color="auto"/>
        <w:right w:val="none" w:sz="0" w:space="0" w:color="auto"/>
      </w:divBdr>
    </w:div>
    <w:div w:id="1867329508">
      <w:bodyDiv w:val="1"/>
      <w:marLeft w:val="0"/>
      <w:marRight w:val="0"/>
      <w:marTop w:val="0"/>
      <w:marBottom w:val="0"/>
      <w:divBdr>
        <w:top w:val="none" w:sz="0" w:space="0" w:color="auto"/>
        <w:left w:val="none" w:sz="0" w:space="0" w:color="auto"/>
        <w:bottom w:val="none" w:sz="0" w:space="0" w:color="auto"/>
        <w:right w:val="none" w:sz="0" w:space="0" w:color="auto"/>
      </w:divBdr>
    </w:div>
    <w:div w:id="1867988552">
      <w:bodyDiv w:val="1"/>
      <w:marLeft w:val="0"/>
      <w:marRight w:val="0"/>
      <w:marTop w:val="0"/>
      <w:marBottom w:val="0"/>
      <w:divBdr>
        <w:top w:val="none" w:sz="0" w:space="0" w:color="auto"/>
        <w:left w:val="none" w:sz="0" w:space="0" w:color="auto"/>
        <w:bottom w:val="none" w:sz="0" w:space="0" w:color="auto"/>
        <w:right w:val="none" w:sz="0" w:space="0" w:color="auto"/>
      </w:divBdr>
    </w:div>
    <w:div w:id="1868640081">
      <w:bodyDiv w:val="1"/>
      <w:marLeft w:val="0"/>
      <w:marRight w:val="0"/>
      <w:marTop w:val="0"/>
      <w:marBottom w:val="0"/>
      <w:divBdr>
        <w:top w:val="none" w:sz="0" w:space="0" w:color="auto"/>
        <w:left w:val="none" w:sz="0" w:space="0" w:color="auto"/>
        <w:bottom w:val="none" w:sz="0" w:space="0" w:color="auto"/>
        <w:right w:val="none" w:sz="0" w:space="0" w:color="auto"/>
      </w:divBdr>
    </w:div>
    <w:div w:id="1869636712">
      <w:bodyDiv w:val="1"/>
      <w:marLeft w:val="0"/>
      <w:marRight w:val="0"/>
      <w:marTop w:val="0"/>
      <w:marBottom w:val="0"/>
      <w:divBdr>
        <w:top w:val="none" w:sz="0" w:space="0" w:color="auto"/>
        <w:left w:val="none" w:sz="0" w:space="0" w:color="auto"/>
        <w:bottom w:val="none" w:sz="0" w:space="0" w:color="auto"/>
        <w:right w:val="none" w:sz="0" w:space="0" w:color="auto"/>
      </w:divBdr>
    </w:div>
    <w:div w:id="1874536066">
      <w:bodyDiv w:val="1"/>
      <w:marLeft w:val="0"/>
      <w:marRight w:val="0"/>
      <w:marTop w:val="0"/>
      <w:marBottom w:val="0"/>
      <w:divBdr>
        <w:top w:val="none" w:sz="0" w:space="0" w:color="auto"/>
        <w:left w:val="none" w:sz="0" w:space="0" w:color="auto"/>
        <w:bottom w:val="none" w:sz="0" w:space="0" w:color="auto"/>
        <w:right w:val="none" w:sz="0" w:space="0" w:color="auto"/>
      </w:divBdr>
    </w:div>
    <w:div w:id="1882547220">
      <w:bodyDiv w:val="1"/>
      <w:marLeft w:val="0"/>
      <w:marRight w:val="0"/>
      <w:marTop w:val="0"/>
      <w:marBottom w:val="0"/>
      <w:divBdr>
        <w:top w:val="none" w:sz="0" w:space="0" w:color="auto"/>
        <w:left w:val="none" w:sz="0" w:space="0" w:color="auto"/>
        <w:bottom w:val="none" w:sz="0" w:space="0" w:color="auto"/>
        <w:right w:val="none" w:sz="0" w:space="0" w:color="auto"/>
      </w:divBdr>
    </w:div>
    <w:div w:id="1887719267">
      <w:bodyDiv w:val="1"/>
      <w:marLeft w:val="0"/>
      <w:marRight w:val="0"/>
      <w:marTop w:val="0"/>
      <w:marBottom w:val="0"/>
      <w:divBdr>
        <w:top w:val="none" w:sz="0" w:space="0" w:color="auto"/>
        <w:left w:val="none" w:sz="0" w:space="0" w:color="auto"/>
        <w:bottom w:val="none" w:sz="0" w:space="0" w:color="auto"/>
        <w:right w:val="none" w:sz="0" w:space="0" w:color="auto"/>
      </w:divBdr>
    </w:div>
    <w:div w:id="1889761670">
      <w:bodyDiv w:val="1"/>
      <w:marLeft w:val="0"/>
      <w:marRight w:val="0"/>
      <w:marTop w:val="0"/>
      <w:marBottom w:val="0"/>
      <w:divBdr>
        <w:top w:val="none" w:sz="0" w:space="0" w:color="auto"/>
        <w:left w:val="none" w:sz="0" w:space="0" w:color="auto"/>
        <w:bottom w:val="none" w:sz="0" w:space="0" w:color="auto"/>
        <w:right w:val="none" w:sz="0" w:space="0" w:color="auto"/>
      </w:divBdr>
    </w:div>
    <w:div w:id="1891258440">
      <w:bodyDiv w:val="1"/>
      <w:marLeft w:val="0"/>
      <w:marRight w:val="0"/>
      <w:marTop w:val="0"/>
      <w:marBottom w:val="0"/>
      <w:divBdr>
        <w:top w:val="none" w:sz="0" w:space="0" w:color="auto"/>
        <w:left w:val="none" w:sz="0" w:space="0" w:color="auto"/>
        <w:bottom w:val="none" w:sz="0" w:space="0" w:color="auto"/>
        <w:right w:val="none" w:sz="0" w:space="0" w:color="auto"/>
      </w:divBdr>
    </w:div>
    <w:div w:id="1897005453">
      <w:bodyDiv w:val="1"/>
      <w:marLeft w:val="0"/>
      <w:marRight w:val="0"/>
      <w:marTop w:val="0"/>
      <w:marBottom w:val="0"/>
      <w:divBdr>
        <w:top w:val="none" w:sz="0" w:space="0" w:color="auto"/>
        <w:left w:val="none" w:sz="0" w:space="0" w:color="auto"/>
        <w:bottom w:val="none" w:sz="0" w:space="0" w:color="auto"/>
        <w:right w:val="none" w:sz="0" w:space="0" w:color="auto"/>
      </w:divBdr>
    </w:div>
    <w:div w:id="1899002883">
      <w:bodyDiv w:val="1"/>
      <w:marLeft w:val="0"/>
      <w:marRight w:val="0"/>
      <w:marTop w:val="0"/>
      <w:marBottom w:val="0"/>
      <w:divBdr>
        <w:top w:val="none" w:sz="0" w:space="0" w:color="auto"/>
        <w:left w:val="none" w:sz="0" w:space="0" w:color="auto"/>
        <w:bottom w:val="none" w:sz="0" w:space="0" w:color="auto"/>
        <w:right w:val="none" w:sz="0" w:space="0" w:color="auto"/>
      </w:divBdr>
    </w:div>
    <w:div w:id="1909263574">
      <w:bodyDiv w:val="1"/>
      <w:marLeft w:val="0"/>
      <w:marRight w:val="0"/>
      <w:marTop w:val="0"/>
      <w:marBottom w:val="0"/>
      <w:divBdr>
        <w:top w:val="none" w:sz="0" w:space="0" w:color="auto"/>
        <w:left w:val="none" w:sz="0" w:space="0" w:color="auto"/>
        <w:bottom w:val="none" w:sz="0" w:space="0" w:color="auto"/>
        <w:right w:val="none" w:sz="0" w:space="0" w:color="auto"/>
      </w:divBdr>
    </w:div>
    <w:div w:id="1913201159">
      <w:bodyDiv w:val="1"/>
      <w:marLeft w:val="0"/>
      <w:marRight w:val="0"/>
      <w:marTop w:val="0"/>
      <w:marBottom w:val="0"/>
      <w:divBdr>
        <w:top w:val="none" w:sz="0" w:space="0" w:color="auto"/>
        <w:left w:val="none" w:sz="0" w:space="0" w:color="auto"/>
        <w:bottom w:val="none" w:sz="0" w:space="0" w:color="auto"/>
        <w:right w:val="none" w:sz="0" w:space="0" w:color="auto"/>
      </w:divBdr>
    </w:div>
    <w:div w:id="1936085495">
      <w:bodyDiv w:val="1"/>
      <w:marLeft w:val="0"/>
      <w:marRight w:val="0"/>
      <w:marTop w:val="0"/>
      <w:marBottom w:val="0"/>
      <w:divBdr>
        <w:top w:val="none" w:sz="0" w:space="0" w:color="auto"/>
        <w:left w:val="none" w:sz="0" w:space="0" w:color="auto"/>
        <w:bottom w:val="none" w:sz="0" w:space="0" w:color="auto"/>
        <w:right w:val="none" w:sz="0" w:space="0" w:color="auto"/>
      </w:divBdr>
    </w:div>
    <w:div w:id="1936940845">
      <w:bodyDiv w:val="1"/>
      <w:marLeft w:val="0"/>
      <w:marRight w:val="0"/>
      <w:marTop w:val="0"/>
      <w:marBottom w:val="0"/>
      <w:divBdr>
        <w:top w:val="none" w:sz="0" w:space="0" w:color="auto"/>
        <w:left w:val="none" w:sz="0" w:space="0" w:color="auto"/>
        <w:bottom w:val="none" w:sz="0" w:space="0" w:color="auto"/>
        <w:right w:val="none" w:sz="0" w:space="0" w:color="auto"/>
      </w:divBdr>
    </w:div>
    <w:div w:id="1942880378">
      <w:bodyDiv w:val="1"/>
      <w:marLeft w:val="0"/>
      <w:marRight w:val="0"/>
      <w:marTop w:val="0"/>
      <w:marBottom w:val="0"/>
      <w:divBdr>
        <w:top w:val="none" w:sz="0" w:space="0" w:color="auto"/>
        <w:left w:val="none" w:sz="0" w:space="0" w:color="auto"/>
        <w:bottom w:val="none" w:sz="0" w:space="0" w:color="auto"/>
        <w:right w:val="none" w:sz="0" w:space="0" w:color="auto"/>
      </w:divBdr>
    </w:div>
    <w:div w:id="1944679350">
      <w:bodyDiv w:val="1"/>
      <w:marLeft w:val="0"/>
      <w:marRight w:val="0"/>
      <w:marTop w:val="0"/>
      <w:marBottom w:val="0"/>
      <w:divBdr>
        <w:top w:val="none" w:sz="0" w:space="0" w:color="auto"/>
        <w:left w:val="none" w:sz="0" w:space="0" w:color="auto"/>
        <w:bottom w:val="none" w:sz="0" w:space="0" w:color="auto"/>
        <w:right w:val="none" w:sz="0" w:space="0" w:color="auto"/>
      </w:divBdr>
    </w:div>
    <w:div w:id="1944991244">
      <w:bodyDiv w:val="1"/>
      <w:marLeft w:val="0"/>
      <w:marRight w:val="0"/>
      <w:marTop w:val="0"/>
      <w:marBottom w:val="0"/>
      <w:divBdr>
        <w:top w:val="none" w:sz="0" w:space="0" w:color="auto"/>
        <w:left w:val="none" w:sz="0" w:space="0" w:color="auto"/>
        <w:bottom w:val="none" w:sz="0" w:space="0" w:color="auto"/>
        <w:right w:val="none" w:sz="0" w:space="0" w:color="auto"/>
      </w:divBdr>
    </w:div>
    <w:div w:id="1952131793">
      <w:bodyDiv w:val="1"/>
      <w:marLeft w:val="0"/>
      <w:marRight w:val="0"/>
      <w:marTop w:val="0"/>
      <w:marBottom w:val="0"/>
      <w:divBdr>
        <w:top w:val="none" w:sz="0" w:space="0" w:color="auto"/>
        <w:left w:val="none" w:sz="0" w:space="0" w:color="auto"/>
        <w:bottom w:val="none" w:sz="0" w:space="0" w:color="auto"/>
        <w:right w:val="none" w:sz="0" w:space="0" w:color="auto"/>
      </w:divBdr>
    </w:div>
    <w:div w:id="1953322436">
      <w:bodyDiv w:val="1"/>
      <w:marLeft w:val="0"/>
      <w:marRight w:val="0"/>
      <w:marTop w:val="0"/>
      <w:marBottom w:val="0"/>
      <w:divBdr>
        <w:top w:val="none" w:sz="0" w:space="0" w:color="auto"/>
        <w:left w:val="none" w:sz="0" w:space="0" w:color="auto"/>
        <w:bottom w:val="none" w:sz="0" w:space="0" w:color="auto"/>
        <w:right w:val="none" w:sz="0" w:space="0" w:color="auto"/>
      </w:divBdr>
    </w:div>
    <w:div w:id="1961066215">
      <w:bodyDiv w:val="1"/>
      <w:marLeft w:val="0"/>
      <w:marRight w:val="0"/>
      <w:marTop w:val="0"/>
      <w:marBottom w:val="0"/>
      <w:divBdr>
        <w:top w:val="none" w:sz="0" w:space="0" w:color="auto"/>
        <w:left w:val="none" w:sz="0" w:space="0" w:color="auto"/>
        <w:bottom w:val="none" w:sz="0" w:space="0" w:color="auto"/>
        <w:right w:val="none" w:sz="0" w:space="0" w:color="auto"/>
      </w:divBdr>
    </w:div>
    <w:div w:id="1961640554">
      <w:bodyDiv w:val="1"/>
      <w:marLeft w:val="0"/>
      <w:marRight w:val="0"/>
      <w:marTop w:val="0"/>
      <w:marBottom w:val="0"/>
      <w:divBdr>
        <w:top w:val="none" w:sz="0" w:space="0" w:color="auto"/>
        <w:left w:val="none" w:sz="0" w:space="0" w:color="auto"/>
        <w:bottom w:val="none" w:sz="0" w:space="0" w:color="auto"/>
        <w:right w:val="none" w:sz="0" w:space="0" w:color="auto"/>
      </w:divBdr>
    </w:div>
    <w:div w:id="1963075265">
      <w:bodyDiv w:val="1"/>
      <w:marLeft w:val="0"/>
      <w:marRight w:val="0"/>
      <w:marTop w:val="0"/>
      <w:marBottom w:val="0"/>
      <w:divBdr>
        <w:top w:val="none" w:sz="0" w:space="0" w:color="auto"/>
        <w:left w:val="none" w:sz="0" w:space="0" w:color="auto"/>
        <w:bottom w:val="none" w:sz="0" w:space="0" w:color="auto"/>
        <w:right w:val="none" w:sz="0" w:space="0" w:color="auto"/>
      </w:divBdr>
    </w:div>
    <w:div w:id="1964918241">
      <w:bodyDiv w:val="1"/>
      <w:marLeft w:val="0"/>
      <w:marRight w:val="0"/>
      <w:marTop w:val="0"/>
      <w:marBottom w:val="0"/>
      <w:divBdr>
        <w:top w:val="none" w:sz="0" w:space="0" w:color="auto"/>
        <w:left w:val="none" w:sz="0" w:space="0" w:color="auto"/>
        <w:bottom w:val="none" w:sz="0" w:space="0" w:color="auto"/>
        <w:right w:val="none" w:sz="0" w:space="0" w:color="auto"/>
      </w:divBdr>
    </w:div>
    <w:div w:id="1965502282">
      <w:bodyDiv w:val="1"/>
      <w:marLeft w:val="0"/>
      <w:marRight w:val="0"/>
      <w:marTop w:val="0"/>
      <w:marBottom w:val="0"/>
      <w:divBdr>
        <w:top w:val="none" w:sz="0" w:space="0" w:color="auto"/>
        <w:left w:val="none" w:sz="0" w:space="0" w:color="auto"/>
        <w:bottom w:val="none" w:sz="0" w:space="0" w:color="auto"/>
        <w:right w:val="none" w:sz="0" w:space="0" w:color="auto"/>
      </w:divBdr>
    </w:div>
    <w:div w:id="1967849909">
      <w:bodyDiv w:val="1"/>
      <w:marLeft w:val="0"/>
      <w:marRight w:val="0"/>
      <w:marTop w:val="0"/>
      <w:marBottom w:val="0"/>
      <w:divBdr>
        <w:top w:val="none" w:sz="0" w:space="0" w:color="auto"/>
        <w:left w:val="none" w:sz="0" w:space="0" w:color="auto"/>
        <w:bottom w:val="none" w:sz="0" w:space="0" w:color="auto"/>
        <w:right w:val="none" w:sz="0" w:space="0" w:color="auto"/>
      </w:divBdr>
    </w:div>
    <w:div w:id="1973244876">
      <w:bodyDiv w:val="1"/>
      <w:marLeft w:val="0"/>
      <w:marRight w:val="0"/>
      <w:marTop w:val="0"/>
      <w:marBottom w:val="0"/>
      <w:divBdr>
        <w:top w:val="none" w:sz="0" w:space="0" w:color="auto"/>
        <w:left w:val="none" w:sz="0" w:space="0" w:color="auto"/>
        <w:bottom w:val="none" w:sz="0" w:space="0" w:color="auto"/>
        <w:right w:val="none" w:sz="0" w:space="0" w:color="auto"/>
      </w:divBdr>
    </w:div>
    <w:div w:id="1977100418">
      <w:bodyDiv w:val="1"/>
      <w:marLeft w:val="0"/>
      <w:marRight w:val="0"/>
      <w:marTop w:val="0"/>
      <w:marBottom w:val="0"/>
      <w:divBdr>
        <w:top w:val="none" w:sz="0" w:space="0" w:color="auto"/>
        <w:left w:val="none" w:sz="0" w:space="0" w:color="auto"/>
        <w:bottom w:val="none" w:sz="0" w:space="0" w:color="auto"/>
        <w:right w:val="none" w:sz="0" w:space="0" w:color="auto"/>
      </w:divBdr>
    </w:div>
    <w:div w:id="1977567445">
      <w:bodyDiv w:val="1"/>
      <w:marLeft w:val="0"/>
      <w:marRight w:val="0"/>
      <w:marTop w:val="0"/>
      <w:marBottom w:val="0"/>
      <w:divBdr>
        <w:top w:val="none" w:sz="0" w:space="0" w:color="auto"/>
        <w:left w:val="none" w:sz="0" w:space="0" w:color="auto"/>
        <w:bottom w:val="none" w:sz="0" w:space="0" w:color="auto"/>
        <w:right w:val="none" w:sz="0" w:space="0" w:color="auto"/>
      </w:divBdr>
    </w:div>
    <w:div w:id="1978535926">
      <w:bodyDiv w:val="1"/>
      <w:marLeft w:val="0"/>
      <w:marRight w:val="0"/>
      <w:marTop w:val="0"/>
      <w:marBottom w:val="0"/>
      <w:divBdr>
        <w:top w:val="none" w:sz="0" w:space="0" w:color="auto"/>
        <w:left w:val="none" w:sz="0" w:space="0" w:color="auto"/>
        <w:bottom w:val="none" w:sz="0" w:space="0" w:color="auto"/>
        <w:right w:val="none" w:sz="0" w:space="0" w:color="auto"/>
      </w:divBdr>
    </w:div>
    <w:div w:id="1980718694">
      <w:bodyDiv w:val="1"/>
      <w:marLeft w:val="0"/>
      <w:marRight w:val="0"/>
      <w:marTop w:val="0"/>
      <w:marBottom w:val="0"/>
      <w:divBdr>
        <w:top w:val="none" w:sz="0" w:space="0" w:color="auto"/>
        <w:left w:val="none" w:sz="0" w:space="0" w:color="auto"/>
        <w:bottom w:val="none" w:sz="0" w:space="0" w:color="auto"/>
        <w:right w:val="none" w:sz="0" w:space="0" w:color="auto"/>
      </w:divBdr>
    </w:div>
    <w:div w:id="1983271942">
      <w:bodyDiv w:val="1"/>
      <w:marLeft w:val="0"/>
      <w:marRight w:val="0"/>
      <w:marTop w:val="0"/>
      <w:marBottom w:val="0"/>
      <w:divBdr>
        <w:top w:val="none" w:sz="0" w:space="0" w:color="auto"/>
        <w:left w:val="none" w:sz="0" w:space="0" w:color="auto"/>
        <w:bottom w:val="none" w:sz="0" w:space="0" w:color="auto"/>
        <w:right w:val="none" w:sz="0" w:space="0" w:color="auto"/>
      </w:divBdr>
    </w:div>
    <w:div w:id="1989092578">
      <w:bodyDiv w:val="1"/>
      <w:marLeft w:val="0"/>
      <w:marRight w:val="0"/>
      <w:marTop w:val="0"/>
      <w:marBottom w:val="0"/>
      <w:divBdr>
        <w:top w:val="none" w:sz="0" w:space="0" w:color="auto"/>
        <w:left w:val="none" w:sz="0" w:space="0" w:color="auto"/>
        <w:bottom w:val="none" w:sz="0" w:space="0" w:color="auto"/>
        <w:right w:val="none" w:sz="0" w:space="0" w:color="auto"/>
      </w:divBdr>
    </w:div>
    <w:div w:id="1997149791">
      <w:bodyDiv w:val="1"/>
      <w:marLeft w:val="0"/>
      <w:marRight w:val="0"/>
      <w:marTop w:val="0"/>
      <w:marBottom w:val="0"/>
      <w:divBdr>
        <w:top w:val="none" w:sz="0" w:space="0" w:color="auto"/>
        <w:left w:val="none" w:sz="0" w:space="0" w:color="auto"/>
        <w:bottom w:val="none" w:sz="0" w:space="0" w:color="auto"/>
        <w:right w:val="none" w:sz="0" w:space="0" w:color="auto"/>
      </w:divBdr>
    </w:div>
    <w:div w:id="1998416918">
      <w:bodyDiv w:val="1"/>
      <w:marLeft w:val="0"/>
      <w:marRight w:val="0"/>
      <w:marTop w:val="0"/>
      <w:marBottom w:val="0"/>
      <w:divBdr>
        <w:top w:val="none" w:sz="0" w:space="0" w:color="auto"/>
        <w:left w:val="none" w:sz="0" w:space="0" w:color="auto"/>
        <w:bottom w:val="none" w:sz="0" w:space="0" w:color="auto"/>
        <w:right w:val="none" w:sz="0" w:space="0" w:color="auto"/>
      </w:divBdr>
    </w:div>
    <w:div w:id="2008627389">
      <w:bodyDiv w:val="1"/>
      <w:marLeft w:val="0"/>
      <w:marRight w:val="0"/>
      <w:marTop w:val="0"/>
      <w:marBottom w:val="0"/>
      <w:divBdr>
        <w:top w:val="none" w:sz="0" w:space="0" w:color="auto"/>
        <w:left w:val="none" w:sz="0" w:space="0" w:color="auto"/>
        <w:bottom w:val="none" w:sz="0" w:space="0" w:color="auto"/>
        <w:right w:val="none" w:sz="0" w:space="0" w:color="auto"/>
      </w:divBdr>
    </w:div>
    <w:div w:id="2009821388">
      <w:bodyDiv w:val="1"/>
      <w:marLeft w:val="0"/>
      <w:marRight w:val="0"/>
      <w:marTop w:val="0"/>
      <w:marBottom w:val="0"/>
      <w:divBdr>
        <w:top w:val="none" w:sz="0" w:space="0" w:color="auto"/>
        <w:left w:val="none" w:sz="0" w:space="0" w:color="auto"/>
        <w:bottom w:val="none" w:sz="0" w:space="0" w:color="auto"/>
        <w:right w:val="none" w:sz="0" w:space="0" w:color="auto"/>
      </w:divBdr>
    </w:div>
    <w:div w:id="2018534830">
      <w:bodyDiv w:val="1"/>
      <w:marLeft w:val="0"/>
      <w:marRight w:val="0"/>
      <w:marTop w:val="0"/>
      <w:marBottom w:val="0"/>
      <w:divBdr>
        <w:top w:val="none" w:sz="0" w:space="0" w:color="auto"/>
        <w:left w:val="none" w:sz="0" w:space="0" w:color="auto"/>
        <w:bottom w:val="none" w:sz="0" w:space="0" w:color="auto"/>
        <w:right w:val="none" w:sz="0" w:space="0" w:color="auto"/>
      </w:divBdr>
    </w:div>
    <w:div w:id="2019388193">
      <w:bodyDiv w:val="1"/>
      <w:marLeft w:val="0"/>
      <w:marRight w:val="0"/>
      <w:marTop w:val="0"/>
      <w:marBottom w:val="0"/>
      <w:divBdr>
        <w:top w:val="none" w:sz="0" w:space="0" w:color="auto"/>
        <w:left w:val="none" w:sz="0" w:space="0" w:color="auto"/>
        <w:bottom w:val="none" w:sz="0" w:space="0" w:color="auto"/>
        <w:right w:val="none" w:sz="0" w:space="0" w:color="auto"/>
      </w:divBdr>
    </w:div>
    <w:div w:id="2023896927">
      <w:bodyDiv w:val="1"/>
      <w:marLeft w:val="0"/>
      <w:marRight w:val="0"/>
      <w:marTop w:val="0"/>
      <w:marBottom w:val="0"/>
      <w:divBdr>
        <w:top w:val="none" w:sz="0" w:space="0" w:color="auto"/>
        <w:left w:val="none" w:sz="0" w:space="0" w:color="auto"/>
        <w:bottom w:val="none" w:sz="0" w:space="0" w:color="auto"/>
        <w:right w:val="none" w:sz="0" w:space="0" w:color="auto"/>
      </w:divBdr>
    </w:div>
    <w:div w:id="2026903332">
      <w:bodyDiv w:val="1"/>
      <w:marLeft w:val="0"/>
      <w:marRight w:val="0"/>
      <w:marTop w:val="0"/>
      <w:marBottom w:val="0"/>
      <w:divBdr>
        <w:top w:val="none" w:sz="0" w:space="0" w:color="auto"/>
        <w:left w:val="none" w:sz="0" w:space="0" w:color="auto"/>
        <w:bottom w:val="none" w:sz="0" w:space="0" w:color="auto"/>
        <w:right w:val="none" w:sz="0" w:space="0" w:color="auto"/>
      </w:divBdr>
    </w:div>
    <w:div w:id="2029062657">
      <w:bodyDiv w:val="1"/>
      <w:marLeft w:val="0"/>
      <w:marRight w:val="0"/>
      <w:marTop w:val="0"/>
      <w:marBottom w:val="0"/>
      <w:divBdr>
        <w:top w:val="none" w:sz="0" w:space="0" w:color="auto"/>
        <w:left w:val="none" w:sz="0" w:space="0" w:color="auto"/>
        <w:bottom w:val="none" w:sz="0" w:space="0" w:color="auto"/>
        <w:right w:val="none" w:sz="0" w:space="0" w:color="auto"/>
      </w:divBdr>
    </w:div>
    <w:div w:id="2033453429">
      <w:bodyDiv w:val="1"/>
      <w:marLeft w:val="0"/>
      <w:marRight w:val="0"/>
      <w:marTop w:val="0"/>
      <w:marBottom w:val="0"/>
      <w:divBdr>
        <w:top w:val="none" w:sz="0" w:space="0" w:color="auto"/>
        <w:left w:val="none" w:sz="0" w:space="0" w:color="auto"/>
        <w:bottom w:val="none" w:sz="0" w:space="0" w:color="auto"/>
        <w:right w:val="none" w:sz="0" w:space="0" w:color="auto"/>
      </w:divBdr>
    </w:div>
    <w:div w:id="2034186059">
      <w:bodyDiv w:val="1"/>
      <w:marLeft w:val="0"/>
      <w:marRight w:val="0"/>
      <w:marTop w:val="0"/>
      <w:marBottom w:val="0"/>
      <w:divBdr>
        <w:top w:val="none" w:sz="0" w:space="0" w:color="auto"/>
        <w:left w:val="none" w:sz="0" w:space="0" w:color="auto"/>
        <w:bottom w:val="none" w:sz="0" w:space="0" w:color="auto"/>
        <w:right w:val="none" w:sz="0" w:space="0" w:color="auto"/>
      </w:divBdr>
    </w:div>
    <w:div w:id="2040469674">
      <w:bodyDiv w:val="1"/>
      <w:marLeft w:val="0"/>
      <w:marRight w:val="0"/>
      <w:marTop w:val="0"/>
      <w:marBottom w:val="0"/>
      <w:divBdr>
        <w:top w:val="none" w:sz="0" w:space="0" w:color="auto"/>
        <w:left w:val="none" w:sz="0" w:space="0" w:color="auto"/>
        <w:bottom w:val="none" w:sz="0" w:space="0" w:color="auto"/>
        <w:right w:val="none" w:sz="0" w:space="0" w:color="auto"/>
      </w:divBdr>
    </w:div>
    <w:div w:id="2043821273">
      <w:bodyDiv w:val="1"/>
      <w:marLeft w:val="0"/>
      <w:marRight w:val="0"/>
      <w:marTop w:val="0"/>
      <w:marBottom w:val="0"/>
      <w:divBdr>
        <w:top w:val="none" w:sz="0" w:space="0" w:color="auto"/>
        <w:left w:val="none" w:sz="0" w:space="0" w:color="auto"/>
        <w:bottom w:val="none" w:sz="0" w:space="0" w:color="auto"/>
        <w:right w:val="none" w:sz="0" w:space="0" w:color="auto"/>
      </w:divBdr>
    </w:div>
    <w:div w:id="2046296835">
      <w:bodyDiv w:val="1"/>
      <w:marLeft w:val="0"/>
      <w:marRight w:val="0"/>
      <w:marTop w:val="0"/>
      <w:marBottom w:val="0"/>
      <w:divBdr>
        <w:top w:val="none" w:sz="0" w:space="0" w:color="auto"/>
        <w:left w:val="none" w:sz="0" w:space="0" w:color="auto"/>
        <w:bottom w:val="none" w:sz="0" w:space="0" w:color="auto"/>
        <w:right w:val="none" w:sz="0" w:space="0" w:color="auto"/>
      </w:divBdr>
    </w:div>
    <w:div w:id="2046979007">
      <w:bodyDiv w:val="1"/>
      <w:marLeft w:val="0"/>
      <w:marRight w:val="0"/>
      <w:marTop w:val="0"/>
      <w:marBottom w:val="0"/>
      <w:divBdr>
        <w:top w:val="none" w:sz="0" w:space="0" w:color="auto"/>
        <w:left w:val="none" w:sz="0" w:space="0" w:color="auto"/>
        <w:bottom w:val="none" w:sz="0" w:space="0" w:color="auto"/>
        <w:right w:val="none" w:sz="0" w:space="0" w:color="auto"/>
      </w:divBdr>
    </w:div>
    <w:div w:id="2047951152">
      <w:bodyDiv w:val="1"/>
      <w:marLeft w:val="0"/>
      <w:marRight w:val="0"/>
      <w:marTop w:val="0"/>
      <w:marBottom w:val="0"/>
      <w:divBdr>
        <w:top w:val="none" w:sz="0" w:space="0" w:color="auto"/>
        <w:left w:val="none" w:sz="0" w:space="0" w:color="auto"/>
        <w:bottom w:val="none" w:sz="0" w:space="0" w:color="auto"/>
        <w:right w:val="none" w:sz="0" w:space="0" w:color="auto"/>
      </w:divBdr>
    </w:div>
    <w:div w:id="2049796651">
      <w:bodyDiv w:val="1"/>
      <w:marLeft w:val="0"/>
      <w:marRight w:val="0"/>
      <w:marTop w:val="0"/>
      <w:marBottom w:val="0"/>
      <w:divBdr>
        <w:top w:val="none" w:sz="0" w:space="0" w:color="auto"/>
        <w:left w:val="none" w:sz="0" w:space="0" w:color="auto"/>
        <w:bottom w:val="none" w:sz="0" w:space="0" w:color="auto"/>
        <w:right w:val="none" w:sz="0" w:space="0" w:color="auto"/>
      </w:divBdr>
    </w:div>
    <w:div w:id="2054189854">
      <w:bodyDiv w:val="1"/>
      <w:marLeft w:val="0"/>
      <w:marRight w:val="0"/>
      <w:marTop w:val="0"/>
      <w:marBottom w:val="0"/>
      <w:divBdr>
        <w:top w:val="none" w:sz="0" w:space="0" w:color="auto"/>
        <w:left w:val="none" w:sz="0" w:space="0" w:color="auto"/>
        <w:bottom w:val="none" w:sz="0" w:space="0" w:color="auto"/>
        <w:right w:val="none" w:sz="0" w:space="0" w:color="auto"/>
      </w:divBdr>
    </w:div>
    <w:div w:id="2054384231">
      <w:bodyDiv w:val="1"/>
      <w:marLeft w:val="0"/>
      <w:marRight w:val="0"/>
      <w:marTop w:val="0"/>
      <w:marBottom w:val="0"/>
      <w:divBdr>
        <w:top w:val="none" w:sz="0" w:space="0" w:color="auto"/>
        <w:left w:val="none" w:sz="0" w:space="0" w:color="auto"/>
        <w:bottom w:val="none" w:sz="0" w:space="0" w:color="auto"/>
        <w:right w:val="none" w:sz="0" w:space="0" w:color="auto"/>
      </w:divBdr>
    </w:div>
    <w:div w:id="2054574277">
      <w:bodyDiv w:val="1"/>
      <w:marLeft w:val="0"/>
      <w:marRight w:val="0"/>
      <w:marTop w:val="0"/>
      <w:marBottom w:val="0"/>
      <w:divBdr>
        <w:top w:val="none" w:sz="0" w:space="0" w:color="auto"/>
        <w:left w:val="none" w:sz="0" w:space="0" w:color="auto"/>
        <w:bottom w:val="none" w:sz="0" w:space="0" w:color="auto"/>
        <w:right w:val="none" w:sz="0" w:space="0" w:color="auto"/>
      </w:divBdr>
    </w:div>
    <w:div w:id="2057923641">
      <w:bodyDiv w:val="1"/>
      <w:marLeft w:val="0"/>
      <w:marRight w:val="0"/>
      <w:marTop w:val="0"/>
      <w:marBottom w:val="0"/>
      <w:divBdr>
        <w:top w:val="none" w:sz="0" w:space="0" w:color="auto"/>
        <w:left w:val="none" w:sz="0" w:space="0" w:color="auto"/>
        <w:bottom w:val="none" w:sz="0" w:space="0" w:color="auto"/>
        <w:right w:val="none" w:sz="0" w:space="0" w:color="auto"/>
      </w:divBdr>
    </w:div>
    <w:div w:id="2058357910">
      <w:bodyDiv w:val="1"/>
      <w:marLeft w:val="0"/>
      <w:marRight w:val="0"/>
      <w:marTop w:val="0"/>
      <w:marBottom w:val="0"/>
      <w:divBdr>
        <w:top w:val="none" w:sz="0" w:space="0" w:color="auto"/>
        <w:left w:val="none" w:sz="0" w:space="0" w:color="auto"/>
        <w:bottom w:val="none" w:sz="0" w:space="0" w:color="auto"/>
        <w:right w:val="none" w:sz="0" w:space="0" w:color="auto"/>
      </w:divBdr>
    </w:div>
    <w:div w:id="2058553585">
      <w:bodyDiv w:val="1"/>
      <w:marLeft w:val="0"/>
      <w:marRight w:val="0"/>
      <w:marTop w:val="0"/>
      <w:marBottom w:val="0"/>
      <w:divBdr>
        <w:top w:val="none" w:sz="0" w:space="0" w:color="auto"/>
        <w:left w:val="none" w:sz="0" w:space="0" w:color="auto"/>
        <w:bottom w:val="none" w:sz="0" w:space="0" w:color="auto"/>
        <w:right w:val="none" w:sz="0" w:space="0" w:color="auto"/>
      </w:divBdr>
    </w:div>
    <w:div w:id="2060855425">
      <w:bodyDiv w:val="1"/>
      <w:marLeft w:val="0"/>
      <w:marRight w:val="0"/>
      <w:marTop w:val="0"/>
      <w:marBottom w:val="0"/>
      <w:divBdr>
        <w:top w:val="none" w:sz="0" w:space="0" w:color="auto"/>
        <w:left w:val="none" w:sz="0" w:space="0" w:color="auto"/>
        <w:bottom w:val="none" w:sz="0" w:space="0" w:color="auto"/>
        <w:right w:val="none" w:sz="0" w:space="0" w:color="auto"/>
      </w:divBdr>
    </w:div>
    <w:div w:id="2063556905">
      <w:bodyDiv w:val="1"/>
      <w:marLeft w:val="0"/>
      <w:marRight w:val="0"/>
      <w:marTop w:val="0"/>
      <w:marBottom w:val="0"/>
      <w:divBdr>
        <w:top w:val="none" w:sz="0" w:space="0" w:color="auto"/>
        <w:left w:val="none" w:sz="0" w:space="0" w:color="auto"/>
        <w:bottom w:val="none" w:sz="0" w:space="0" w:color="auto"/>
        <w:right w:val="none" w:sz="0" w:space="0" w:color="auto"/>
      </w:divBdr>
    </w:div>
    <w:div w:id="2070107621">
      <w:bodyDiv w:val="1"/>
      <w:marLeft w:val="0"/>
      <w:marRight w:val="0"/>
      <w:marTop w:val="0"/>
      <w:marBottom w:val="0"/>
      <w:divBdr>
        <w:top w:val="none" w:sz="0" w:space="0" w:color="auto"/>
        <w:left w:val="none" w:sz="0" w:space="0" w:color="auto"/>
        <w:bottom w:val="none" w:sz="0" w:space="0" w:color="auto"/>
        <w:right w:val="none" w:sz="0" w:space="0" w:color="auto"/>
      </w:divBdr>
    </w:div>
    <w:div w:id="2073037347">
      <w:bodyDiv w:val="1"/>
      <w:marLeft w:val="0"/>
      <w:marRight w:val="0"/>
      <w:marTop w:val="0"/>
      <w:marBottom w:val="0"/>
      <w:divBdr>
        <w:top w:val="none" w:sz="0" w:space="0" w:color="auto"/>
        <w:left w:val="none" w:sz="0" w:space="0" w:color="auto"/>
        <w:bottom w:val="none" w:sz="0" w:space="0" w:color="auto"/>
        <w:right w:val="none" w:sz="0" w:space="0" w:color="auto"/>
      </w:divBdr>
    </w:div>
    <w:div w:id="2082756411">
      <w:bodyDiv w:val="1"/>
      <w:marLeft w:val="0"/>
      <w:marRight w:val="0"/>
      <w:marTop w:val="0"/>
      <w:marBottom w:val="0"/>
      <w:divBdr>
        <w:top w:val="none" w:sz="0" w:space="0" w:color="auto"/>
        <w:left w:val="none" w:sz="0" w:space="0" w:color="auto"/>
        <w:bottom w:val="none" w:sz="0" w:space="0" w:color="auto"/>
        <w:right w:val="none" w:sz="0" w:space="0" w:color="auto"/>
      </w:divBdr>
    </w:div>
    <w:div w:id="2084599086">
      <w:bodyDiv w:val="1"/>
      <w:marLeft w:val="0"/>
      <w:marRight w:val="0"/>
      <w:marTop w:val="0"/>
      <w:marBottom w:val="0"/>
      <w:divBdr>
        <w:top w:val="none" w:sz="0" w:space="0" w:color="auto"/>
        <w:left w:val="none" w:sz="0" w:space="0" w:color="auto"/>
        <w:bottom w:val="none" w:sz="0" w:space="0" w:color="auto"/>
        <w:right w:val="none" w:sz="0" w:space="0" w:color="auto"/>
      </w:divBdr>
    </w:div>
    <w:div w:id="2086222002">
      <w:bodyDiv w:val="1"/>
      <w:marLeft w:val="0"/>
      <w:marRight w:val="0"/>
      <w:marTop w:val="0"/>
      <w:marBottom w:val="0"/>
      <w:divBdr>
        <w:top w:val="none" w:sz="0" w:space="0" w:color="auto"/>
        <w:left w:val="none" w:sz="0" w:space="0" w:color="auto"/>
        <w:bottom w:val="none" w:sz="0" w:space="0" w:color="auto"/>
        <w:right w:val="none" w:sz="0" w:space="0" w:color="auto"/>
      </w:divBdr>
    </w:div>
    <w:div w:id="2087919331">
      <w:bodyDiv w:val="1"/>
      <w:marLeft w:val="0"/>
      <w:marRight w:val="0"/>
      <w:marTop w:val="0"/>
      <w:marBottom w:val="0"/>
      <w:divBdr>
        <w:top w:val="none" w:sz="0" w:space="0" w:color="auto"/>
        <w:left w:val="none" w:sz="0" w:space="0" w:color="auto"/>
        <w:bottom w:val="none" w:sz="0" w:space="0" w:color="auto"/>
        <w:right w:val="none" w:sz="0" w:space="0" w:color="auto"/>
      </w:divBdr>
    </w:div>
    <w:div w:id="2088769640">
      <w:bodyDiv w:val="1"/>
      <w:marLeft w:val="0"/>
      <w:marRight w:val="0"/>
      <w:marTop w:val="0"/>
      <w:marBottom w:val="0"/>
      <w:divBdr>
        <w:top w:val="none" w:sz="0" w:space="0" w:color="auto"/>
        <w:left w:val="none" w:sz="0" w:space="0" w:color="auto"/>
        <w:bottom w:val="none" w:sz="0" w:space="0" w:color="auto"/>
        <w:right w:val="none" w:sz="0" w:space="0" w:color="auto"/>
      </w:divBdr>
    </w:div>
    <w:div w:id="2088795046">
      <w:bodyDiv w:val="1"/>
      <w:marLeft w:val="0"/>
      <w:marRight w:val="0"/>
      <w:marTop w:val="0"/>
      <w:marBottom w:val="0"/>
      <w:divBdr>
        <w:top w:val="none" w:sz="0" w:space="0" w:color="auto"/>
        <w:left w:val="none" w:sz="0" w:space="0" w:color="auto"/>
        <w:bottom w:val="none" w:sz="0" w:space="0" w:color="auto"/>
        <w:right w:val="none" w:sz="0" w:space="0" w:color="auto"/>
      </w:divBdr>
    </w:div>
    <w:div w:id="2093623290">
      <w:bodyDiv w:val="1"/>
      <w:marLeft w:val="0"/>
      <w:marRight w:val="0"/>
      <w:marTop w:val="0"/>
      <w:marBottom w:val="0"/>
      <w:divBdr>
        <w:top w:val="none" w:sz="0" w:space="0" w:color="auto"/>
        <w:left w:val="none" w:sz="0" w:space="0" w:color="auto"/>
        <w:bottom w:val="none" w:sz="0" w:space="0" w:color="auto"/>
        <w:right w:val="none" w:sz="0" w:space="0" w:color="auto"/>
      </w:divBdr>
    </w:div>
    <w:div w:id="2094548240">
      <w:bodyDiv w:val="1"/>
      <w:marLeft w:val="0"/>
      <w:marRight w:val="0"/>
      <w:marTop w:val="0"/>
      <w:marBottom w:val="0"/>
      <w:divBdr>
        <w:top w:val="none" w:sz="0" w:space="0" w:color="auto"/>
        <w:left w:val="none" w:sz="0" w:space="0" w:color="auto"/>
        <w:bottom w:val="none" w:sz="0" w:space="0" w:color="auto"/>
        <w:right w:val="none" w:sz="0" w:space="0" w:color="auto"/>
      </w:divBdr>
    </w:div>
    <w:div w:id="2095514597">
      <w:bodyDiv w:val="1"/>
      <w:marLeft w:val="0"/>
      <w:marRight w:val="0"/>
      <w:marTop w:val="0"/>
      <w:marBottom w:val="0"/>
      <w:divBdr>
        <w:top w:val="none" w:sz="0" w:space="0" w:color="auto"/>
        <w:left w:val="none" w:sz="0" w:space="0" w:color="auto"/>
        <w:bottom w:val="none" w:sz="0" w:space="0" w:color="auto"/>
        <w:right w:val="none" w:sz="0" w:space="0" w:color="auto"/>
      </w:divBdr>
    </w:div>
    <w:div w:id="2099522988">
      <w:bodyDiv w:val="1"/>
      <w:marLeft w:val="0"/>
      <w:marRight w:val="0"/>
      <w:marTop w:val="0"/>
      <w:marBottom w:val="0"/>
      <w:divBdr>
        <w:top w:val="none" w:sz="0" w:space="0" w:color="auto"/>
        <w:left w:val="none" w:sz="0" w:space="0" w:color="auto"/>
        <w:bottom w:val="none" w:sz="0" w:space="0" w:color="auto"/>
        <w:right w:val="none" w:sz="0" w:space="0" w:color="auto"/>
      </w:divBdr>
    </w:div>
    <w:div w:id="2103261590">
      <w:bodyDiv w:val="1"/>
      <w:marLeft w:val="0"/>
      <w:marRight w:val="0"/>
      <w:marTop w:val="0"/>
      <w:marBottom w:val="0"/>
      <w:divBdr>
        <w:top w:val="none" w:sz="0" w:space="0" w:color="auto"/>
        <w:left w:val="none" w:sz="0" w:space="0" w:color="auto"/>
        <w:bottom w:val="none" w:sz="0" w:space="0" w:color="auto"/>
        <w:right w:val="none" w:sz="0" w:space="0" w:color="auto"/>
      </w:divBdr>
    </w:div>
    <w:div w:id="2105027067">
      <w:bodyDiv w:val="1"/>
      <w:marLeft w:val="0"/>
      <w:marRight w:val="0"/>
      <w:marTop w:val="0"/>
      <w:marBottom w:val="0"/>
      <w:divBdr>
        <w:top w:val="none" w:sz="0" w:space="0" w:color="auto"/>
        <w:left w:val="none" w:sz="0" w:space="0" w:color="auto"/>
        <w:bottom w:val="none" w:sz="0" w:space="0" w:color="auto"/>
        <w:right w:val="none" w:sz="0" w:space="0" w:color="auto"/>
      </w:divBdr>
    </w:div>
    <w:div w:id="2109617857">
      <w:bodyDiv w:val="1"/>
      <w:marLeft w:val="0"/>
      <w:marRight w:val="0"/>
      <w:marTop w:val="0"/>
      <w:marBottom w:val="0"/>
      <w:divBdr>
        <w:top w:val="none" w:sz="0" w:space="0" w:color="auto"/>
        <w:left w:val="none" w:sz="0" w:space="0" w:color="auto"/>
        <w:bottom w:val="none" w:sz="0" w:space="0" w:color="auto"/>
        <w:right w:val="none" w:sz="0" w:space="0" w:color="auto"/>
      </w:divBdr>
    </w:div>
    <w:div w:id="2110005985">
      <w:bodyDiv w:val="1"/>
      <w:marLeft w:val="0"/>
      <w:marRight w:val="0"/>
      <w:marTop w:val="0"/>
      <w:marBottom w:val="0"/>
      <w:divBdr>
        <w:top w:val="none" w:sz="0" w:space="0" w:color="auto"/>
        <w:left w:val="none" w:sz="0" w:space="0" w:color="auto"/>
        <w:bottom w:val="none" w:sz="0" w:space="0" w:color="auto"/>
        <w:right w:val="none" w:sz="0" w:space="0" w:color="auto"/>
      </w:divBdr>
    </w:div>
    <w:div w:id="2110157215">
      <w:bodyDiv w:val="1"/>
      <w:marLeft w:val="0"/>
      <w:marRight w:val="0"/>
      <w:marTop w:val="0"/>
      <w:marBottom w:val="0"/>
      <w:divBdr>
        <w:top w:val="none" w:sz="0" w:space="0" w:color="auto"/>
        <w:left w:val="none" w:sz="0" w:space="0" w:color="auto"/>
        <w:bottom w:val="none" w:sz="0" w:space="0" w:color="auto"/>
        <w:right w:val="none" w:sz="0" w:space="0" w:color="auto"/>
      </w:divBdr>
    </w:div>
    <w:div w:id="2111270616">
      <w:bodyDiv w:val="1"/>
      <w:marLeft w:val="0"/>
      <w:marRight w:val="0"/>
      <w:marTop w:val="0"/>
      <w:marBottom w:val="0"/>
      <w:divBdr>
        <w:top w:val="none" w:sz="0" w:space="0" w:color="auto"/>
        <w:left w:val="none" w:sz="0" w:space="0" w:color="auto"/>
        <w:bottom w:val="none" w:sz="0" w:space="0" w:color="auto"/>
        <w:right w:val="none" w:sz="0" w:space="0" w:color="auto"/>
      </w:divBdr>
    </w:div>
    <w:div w:id="2111852989">
      <w:bodyDiv w:val="1"/>
      <w:marLeft w:val="0"/>
      <w:marRight w:val="0"/>
      <w:marTop w:val="0"/>
      <w:marBottom w:val="0"/>
      <w:divBdr>
        <w:top w:val="none" w:sz="0" w:space="0" w:color="auto"/>
        <w:left w:val="none" w:sz="0" w:space="0" w:color="auto"/>
        <w:bottom w:val="none" w:sz="0" w:space="0" w:color="auto"/>
        <w:right w:val="none" w:sz="0" w:space="0" w:color="auto"/>
      </w:divBdr>
    </w:div>
    <w:div w:id="2113745522">
      <w:bodyDiv w:val="1"/>
      <w:marLeft w:val="0"/>
      <w:marRight w:val="0"/>
      <w:marTop w:val="0"/>
      <w:marBottom w:val="0"/>
      <w:divBdr>
        <w:top w:val="none" w:sz="0" w:space="0" w:color="auto"/>
        <w:left w:val="none" w:sz="0" w:space="0" w:color="auto"/>
        <w:bottom w:val="none" w:sz="0" w:space="0" w:color="auto"/>
        <w:right w:val="none" w:sz="0" w:space="0" w:color="auto"/>
      </w:divBdr>
    </w:div>
    <w:div w:id="2117751976">
      <w:bodyDiv w:val="1"/>
      <w:marLeft w:val="0"/>
      <w:marRight w:val="0"/>
      <w:marTop w:val="0"/>
      <w:marBottom w:val="0"/>
      <w:divBdr>
        <w:top w:val="none" w:sz="0" w:space="0" w:color="auto"/>
        <w:left w:val="none" w:sz="0" w:space="0" w:color="auto"/>
        <w:bottom w:val="none" w:sz="0" w:space="0" w:color="auto"/>
        <w:right w:val="none" w:sz="0" w:space="0" w:color="auto"/>
      </w:divBdr>
    </w:div>
    <w:div w:id="2118937854">
      <w:bodyDiv w:val="1"/>
      <w:marLeft w:val="0"/>
      <w:marRight w:val="0"/>
      <w:marTop w:val="0"/>
      <w:marBottom w:val="0"/>
      <w:divBdr>
        <w:top w:val="none" w:sz="0" w:space="0" w:color="auto"/>
        <w:left w:val="none" w:sz="0" w:space="0" w:color="auto"/>
        <w:bottom w:val="none" w:sz="0" w:space="0" w:color="auto"/>
        <w:right w:val="none" w:sz="0" w:space="0" w:color="auto"/>
      </w:divBdr>
    </w:div>
    <w:div w:id="2125153985">
      <w:bodyDiv w:val="1"/>
      <w:marLeft w:val="0"/>
      <w:marRight w:val="0"/>
      <w:marTop w:val="0"/>
      <w:marBottom w:val="0"/>
      <w:divBdr>
        <w:top w:val="none" w:sz="0" w:space="0" w:color="auto"/>
        <w:left w:val="none" w:sz="0" w:space="0" w:color="auto"/>
        <w:bottom w:val="none" w:sz="0" w:space="0" w:color="auto"/>
        <w:right w:val="none" w:sz="0" w:space="0" w:color="auto"/>
      </w:divBdr>
    </w:div>
    <w:div w:id="2125810579">
      <w:bodyDiv w:val="1"/>
      <w:marLeft w:val="0"/>
      <w:marRight w:val="0"/>
      <w:marTop w:val="0"/>
      <w:marBottom w:val="0"/>
      <w:divBdr>
        <w:top w:val="none" w:sz="0" w:space="0" w:color="auto"/>
        <w:left w:val="none" w:sz="0" w:space="0" w:color="auto"/>
        <w:bottom w:val="none" w:sz="0" w:space="0" w:color="auto"/>
        <w:right w:val="none" w:sz="0" w:space="0" w:color="auto"/>
      </w:divBdr>
    </w:div>
    <w:div w:id="2126074931">
      <w:bodyDiv w:val="1"/>
      <w:marLeft w:val="0"/>
      <w:marRight w:val="0"/>
      <w:marTop w:val="0"/>
      <w:marBottom w:val="0"/>
      <w:divBdr>
        <w:top w:val="none" w:sz="0" w:space="0" w:color="auto"/>
        <w:left w:val="none" w:sz="0" w:space="0" w:color="auto"/>
        <w:bottom w:val="none" w:sz="0" w:space="0" w:color="auto"/>
        <w:right w:val="none" w:sz="0" w:space="0" w:color="auto"/>
      </w:divBdr>
    </w:div>
    <w:div w:id="2129816953">
      <w:bodyDiv w:val="1"/>
      <w:marLeft w:val="0"/>
      <w:marRight w:val="0"/>
      <w:marTop w:val="0"/>
      <w:marBottom w:val="0"/>
      <w:divBdr>
        <w:top w:val="none" w:sz="0" w:space="0" w:color="auto"/>
        <w:left w:val="none" w:sz="0" w:space="0" w:color="auto"/>
        <w:bottom w:val="none" w:sz="0" w:space="0" w:color="auto"/>
        <w:right w:val="none" w:sz="0" w:space="0" w:color="auto"/>
      </w:divBdr>
    </w:div>
    <w:div w:id="2130320319">
      <w:bodyDiv w:val="1"/>
      <w:marLeft w:val="0"/>
      <w:marRight w:val="0"/>
      <w:marTop w:val="0"/>
      <w:marBottom w:val="0"/>
      <w:divBdr>
        <w:top w:val="none" w:sz="0" w:space="0" w:color="auto"/>
        <w:left w:val="none" w:sz="0" w:space="0" w:color="auto"/>
        <w:bottom w:val="none" w:sz="0" w:space="0" w:color="auto"/>
        <w:right w:val="none" w:sz="0" w:space="0" w:color="auto"/>
      </w:divBdr>
    </w:div>
    <w:div w:id="2131321011">
      <w:bodyDiv w:val="1"/>
      <w:marLeft w:val="0"/>
      <w:marRight w:val="0"/>
      <w:marTop w:val="0"/>
      <w:marBottom w:val="0"/>
      <w:divBdr>
        <w:top w:val="none" w:sz="0" w:space="0" w:color="auto"/>
        <w:left w:val="none" w:sz="0" w:space="0" w:color="auto"/>
        <w:bottom w:val="none" w:sz="0" w:space="0" w:color="auto"/>
        <w:right w:val="none" w:sz="0" w:space="0" w:color="auto"/>
      </w:divBdr>
    </w:div>
    <w:div w:id="2145734172">
      <w:bodyDiv w:val="1"/>
      <w:marLeft w:val="0"/>
      <w:marRight w:val="0"/>
      <w:marTop w:val="0"/>
      <w:marBottom w:val="0"/>
      <w:divBdr>
        <w:top w:val="none" w:sz="0" w:space="0" w:color="auto"/>
        <w:left w:val="none" w:sz="0" w:space="0" w:color="auto"/>
        <w:bottom w:val="none" w:sz="0" w:space="0" w:color="auto"/>
        <w:right w:val="none" w:sz="0" w:space="0" w:color="auto"/>
      </w:divBdr>
    </w:div>
    <w:div w:id="2146504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chart" Target="charts/chart1.xml"/><Relationship Id="rId26" Type="http://schemas.openxmlformats.org/officeDocument/2006/relationships/image" Target="media/image7.png"/><Relationship Id="rId39" Type="http://schemas.openxmlformats.org/officeDocument/2006/relationships/hyperlink" Target="file:///C:\Users\krczuz\AppData\Local\Microsoft\Windows\Temporary%20Internet%20Files\Content.MSO\1D90CCD3.xlsx" TargetMode="External"/><Relationship Id="rId21" Type="http://schemas.openxmlformats.org/officeDocument/2006/relationships/hyperlink" Target="http://www.strukturalni-fondy.cz/cs/Jak-na-projekt/Prehled-otevrenych-vyzev-%e2%80%93-archiv" TargetMode="External"/><Relationship Id="rId34" Type="http://schemas.openxmlformats.org/officeDocument/2006/relationships/image" Target="media/image9.jpeg"/><Relationship Id="rId42" Type="http://schemas.openxmlformats.org/officeDocument/2006/relationships/chart" Target="charts/chart9.xml"/><Relationship Id="rId47" Type="http://schemas.openxmlformats.org/officeDocument/2006/relationships/image" Target="media/image15.jpeg"/><Relationship Id="rId50" Type="http://schemas.openxmlformats.org/officeDocument/2006/relationships/hyperlink" Target="http://www.google.cz/url?sa=i&amp;rct=j&amp;q=&amp;esrc=s&amp;source=images&amp;cd=&amp;cad=rja&amp;uact=8&amp;ved=0CAcQjRxqFQoTCO7B-YDRv8gCFYdEFAodEegCSA&amp;url=http://www.mmr.cz/cs/Ministerstvo/Ministerstvo/Pro-media/Tiskove-zpravy/2015/Jasansky-vystavuje-na-namesti-Jiriho-z-Podebrad&amp;psig=AFQjCNE8ThOiD_XZsPn5fVR8XUxrw34-ug&amp;ust=1444832061436477" TargetMode="External"/><Relationship Id="rId55" Type="http://schemas.openxmlformats.org/officeDocument/2006/relationships/hyperlink" Target="http://www.crr.cz"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5.png"/><Relationship Id="rId29" Type="http://schemas.openxmlformats.org/officeDocument/2006/relationships/chart" Target="charts/chart3.xml"/><Relationship Id="rId41" Type="http://schemas.openxmlformats.org/officeDocument/2006/relationships/hyperlink" Target="file:///C:\Users\krczuz\AppData\Local\Microsoft\Windows\Temporary%20Internet%20Files\Content.MSO\1D90CCD3.xlsx" TargetMode="External"/><Relationship Id="rId54" Type="http://schemas.openxmlformats.org/officeDocument/2006/relationships/hyperlink" Target="http://www.strukturalni-fondy.cz/io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dotinfo.cz" TargetMode="External"/><Relationship Id="rId32" Type="http://schemas.openxmlformats.org/officeDocument/2006/relationships/chart" Target="charts/chart6.xml"/><Relationship Id="rId37" Type="http://schemas.openxmlformats.org/officeDocument/2006/relationships/image" Target="media/image12.png"/><Relationship Id="rId40" Type="http://schemas.openxmlformats.org/officeDocument/2006/relationships/hyperlink" Target="file:///C:\Users\krczuz\AppData\Local\Microsoft\Windows\Temporary%20Internet%20Files\Content.MSO\1D90CCD3.xlsx" TargetMode="External"/><Relationship Id="rId45" Type="http://schemas.openxmlformats.org/officeDocument/2006/relationships/image" Target="media/image13.jpeg"/><Relationship Id="rId53" Type="http://schemas.openxmlformats.org/officeDocument/2006/relationships/footer" Target="footer5.xm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www.risy.cz" TargetMode="External"/><Relationship Id="rId28" Type="http://schemas.openxmlformats.org/officeDocument/2006/relationships/image" Target="media/image8.jpeg"/><Relationship Id="rId36" Type="http://schemas.openxmlformats.org/officeDocument/2006/relationships/image" Target="media/image11.jpeg"/><Relationship Id="rId49" Type="http://schemas.openxmlformats.org/officeDocument/2006/relationships/hyperlink" Target="http://www.strukturalni-fondy.cz/cs/Microsites/Integrovany-OP/Zadatele-a-prijemci/Seznam-podporenych-projektu" TargetMode="External"/><Relationship Id="rId57" Type="http://schemas.openxmlformats.org/officeDocument/2006/relationships/hyperlink" Target="http://www.kvalitazivota.eu" TargetMode="Externa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chart" Target="charts/chart5.xml"/><Relationship Id="rId44" Type="http://schemas.openxmlformats.org/officeDocument/2006/relationships/chart" Target="charts/chart11.xml"/><Relationship Id="rId52" Type="http://schemas.openxmlformats.org/officeDocument/2006/relationships/hyperlink" Target="http://www.strukturalni-fondy.cz/cs/Microsites/Integrovany-OP/O-programu/Dokumenty%20" TargetMode="External"/><Relationship Id="rId73"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yperlink" Target="http://www.strukturalni-fondy.cz/cs/Microsites/Integrovany-OP/Zadatele-a-prijemci/Seznam-podporenych-projektu" TargetMode="External"/><Relationship Id="rId27" Type="http://schemas.openxmlformats.org/officeDocument/2006/relationships/chart" Target="charts/chart2.xml"/><Relationship Id="rId30" Type="http://schemas.openxmlformats.org/officeDocument/2006/relationships/chart" Target="charts/chart4.xml"/><Relationship Id="rId35" Type="http://schemas.openxmlformats.org/officeDocument/2006/relationships/image" Target="media/image10.jpeg"/><Relationship Id="rId43" Type="http://schemas.openxmlformats.org/officeDocument/2006/relationships/chart" Target="charts/chart10.xml"/><Relationship Id="rId48" Type="http://schemas.openxmlformats.org/officeDocument/2006/relationships/image" Target="media/image16.jpeg"/><Relationship Id="rId56" Type="http://schemas.openxmlformats.org/officeDocument/2006/relationships/hyperlink" Target="http://www.risy.cz" TargetMode="External"/><Relationship Id="rId8" Type="http://schemas.openxmlformats.org/officeDocument/2006/relationships/endnotes" Target="endnotes.xml"/><Relationship Id="rId51" Type="http://schemas.openxmlformats.org/officeDocument/2006/relationships/image" Target="media/image17.jpeg"/><Relationship Id="rId72" Type="http://schemas.microsoft.com/office/2011/relationships/commentsExtended" Target="commentsExtended.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6.png"/><Relationship Id="rId33" Type="http://schemas.openxmlformats.org/officeDocument/2006/relationships/chart" Target="charts/chart7.xml"/><Relationship Id="rId38" Type="http://schemas.openxmlformats.org/officeDocument/2006/relationships/chart" Target="charts/chart8.xml"/><Relationship Id="rId46" Type="http://schemas.openxmlformats.org/officeDocument/2006/relationships/image" Target="media/image14.jpeg"/><Relationship Id="rId5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oleObject" Target="file:///\\nt1\dfs\J\SF\IOP\A4%20-%20Zpr&#225;vy%20o%20realizaci%20programu\Zpr&#225;va%20o%20realizaci%20programu\2015%20k%2030.9\Tabulky\Graf%20&#269;erp&#225;n&#237;%20-%20kumulativn&#283;.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D:\usr\excel\obnoven&#237;\Indik&#225;tory%20tabulky,%20grafy%20k%201.10%20(version%201).xlsb"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D:\usr\excel\obnoven&#237;\Indik&#225;tory%20tabulky,%20grafy%20k%201.10%20(version%201).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krczuz\AppData\Local\Microsoft\Windows\Temporary%20Internet%20Files\Content.Outlook\9WYBMVUP\Indik&#225;tory%20tabulky%20grafy%20k%201%2010%202015.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krczuz\AppData\Local\Microsoft\Windows\Temporary%20Internet%20Files\Content.Outlook\9WYBMVUP\Indik&#225;tory%20tabulky%20grafy%20k%201%2010%202015.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nt1\dfs\J\SF\IOP\A4%20-%20Zpr&#225;vy%20o%20realizaci%20programu\Zpr&#225;va%20o%20realizaci%20programu\2015%20k%2030.9\Tabulky\Indik&#225;tory%20tabulky%20grafy%20k%201%2010%202015_ZoR.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nt1\dfs\J\SF\IOP\A4%20-%20Zpr&#225;vy%20o%20realizaci%20programu\Zpr&#225;va%20o%20realizaci%20programu\2015%20k%2030.9\Tabulky\Indik&#225;tory%20tabulky%20grafy%20k%201%2010%202015_ZoR.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nt1\dfs\J\SF\IOP\A4%20-%20Zpr&#225;vy%20o%20realizaci%20programu\Zpr&#225;va%20o%20realizaci%20programu\2015%20k%2030.9\Tabulky\Indik&#225;tory%20tabulky%20grafy%20k%201%2010%202015_ZoR.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nt1\dfs\J\SF\IOP\A4%20-%20Zpr&#225;vy%20o%20realizaci%20programu\Zpr&#225;va%20o%20realizaci%20programu\2015%20k%2030.9\Tabulky\Indik&#225;tory%20tabulky%20grafy%20k%201%2010%202015_ZoR.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nt1\dfs\J\SF\IOP\A4%20-%20Zpr&#225;vy%20o%20realizaci%20programu\Zpr&#225;va%20o%20realizaci%20programu\2015%20k%2030.9\Tabulky\Indik&#225;tory%20tabulky%20grafy%20k%201%2010%202015_ZoR.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D:\usr\excel\obnoven&#237;\Indik&#225;tory%20tabulky,%20grafy%20k%201.10%20(version%201).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8.3891349518810152E-2"/>
          <c:y val="0.111470180810732"/>
          <c:w val="0.90603920603674537"/>
          <c:h val="0.63892585498884713"/>
        </c:manualLayout>
      </c:layout>
      <c:bar3DChart>
        <c:barDir val="col"/>
        <c:grouping val="stacked"/>
        <c:varyColors val="0"/>
        <c:ser>
          <c:idx val="0"/>
          <c:order val="0"/>
          <c:tx>
            <c:strRef>
              <c:f>List2!$A$3</c:f>
              <c:strCache>
                <c:ptCount val="1"/>
                <c:pt idx="0">
                  <c:v>Přehled čerpání IOP kumulativně</c:v>
                </c:pt>
              </c:strCache>
            </c:strRef>
          </c:tx>
          <c:invertIfNegative val="0"/>
          <c:cat>
            <c:strRef>
              <c:f>List2!$B$1:$G$1</c:f>
              <c:strCache>
                <c:ptCount val="6"/>
                <c:pt idx="0">
                  <c:v>Celková alokace 2007-2013</c:v>
                </c:pt>
                <c:pt idx="1">
                  <c:v>Podané žádosti</c:v>
                </c:pt>
                <c:pt idx="2">
                  <c:v>Prostředky kryté Rozhodnutím</c:v>
                </c:pt>
                <c:pt idx="3">
                  <c:v>Proplacené prostředky příjemcům</c:v>
                </c:pt>
                <c:pt idx="4">
                  <c:v>Souhrnné žádosti zaúčtované PCO </c:v>
                </c:pt>
                <c:pt idx="5">
                  <c:v>Certifikované prostředky (včetně vratek)</c:v>
                </c:pt>
              </c:strCache>
            </c:strRef>
          </c:cat>
          <c:val>
            <c:numRef>
              <c:f>List2!$B$3:$G$3</c:f>
              <c:numCache>
                <c:formatCode>#,##0.00</c:formatCode>
                <c:ptCount val="6"/>
                <c:pt idx="0">
                  <c:v>1617.4640509999999</c:v>
                </c:pt>
                <c:pt idx="1">
                  <c:v>2735.18</c:v>
                </c:pt>
                <c:pt idx="2">
                  <c:v>1623.15</c:v>
                </c:pt>
                <c:pt idx="3">
                  <c:v>1049.95</c:v>
                </c:pt>
                <c:pt idx="4">
                  <c:v>1022.63</c:v>
                </c:pt>
                <c:pt idx="5">
                  <c:v>1003.92</c:v>
                </c:pt>
              </c:numCache>
            </c:numRef>
          </c:val>
        </c:ser>
        <c:ser>
          <c:idx val="1"/>
          <c:order val="1"/>
          <c:tx>
            <c:strRef>
              <c:f>List2!$A$4</c:f>
              <c:strCache>
                <c:ptCount val="1"/>
                <c:pt idx="0">
                  <c:v>Pokrok v čerpání za sledované období</c:v>
                </c:pt>
              </c:strCache>
            </c:strRef>
          </c:tx>
          <c:invertIfNegative val="0"/>
          <c:cat>
            <c:strRef>
              <c:f>List2!$B$1:$G$1</c:f>
              <c:strCache>
                <c:ptCount val="6"/>
                <c:pt idx="0">
                  <c:v>Celková alokace 2007-2013</c:v>
                </c:pt>
                <c:pt idx="1">
                  <c:v>Podané žádosti</c:v>
                </c:pt>
                <c:pt idx="2">
                  <c:v>Prostředky kryté Rozhodnutím</c:v>
                </c:pt>
                <c:pt idx="3">
                  <c:v>Proplacené prostředky příjemcům</c:v>
                </c:pt>
                <c:pt idx="4">
                  <c:v>Souhrnné žádosti zaúčtované PCO </c:v>
                </c:pt>
                <c:pt idx="5">
                  <c:v>Certifikované prostředky (včetně vratek)</c:v>
                </c:pt>
              </c:strCache>
            </c:strRef>
          </c:cat>
          <c:val>
            <c:numRef>
              <c:f>List2!$B$4:$G$4</c:f>
              <c:numCache>
                <c:formatCode>#,##0.00</c:formatCode>
                <c:ptCount val="6"/>
                <c:pt idx="1">
                  <c:v>93.816632659999868</c:v>
                </c:pt>
                <c:pt idx="2">
                  <c:v>156.21838430000003</c:v>
                </c:pt>
                <c:pt idx="3">
                  <c:v>146.04544672000009</c:v>
                </c:pt>
                <c:pt idx="4">
                  <c:v>153.45657265</c:v>
                </c:pt>
                <c:pt idx="5">
                  <c:v>194.70727820999991</c:v>
                </c:pt>
              </c:numCache>
            </c:numRef>
          </c:val>
        </c:ser>
        <c:dLbls>
          <c:showLegendKey val="0"/>
          <c:showVal val="0"/>
          <c:showCatName val="0"/>
          <c:showSerName val="0"/>
          <c:showPercent val="0"/>
          <c:showBubbleSize val="0"/>
        </c:dLbls>
        <c:gapWidth val="75"/>
        <c:shape val="box"/>
        <c:axId val="78776960"/>
        <c:axId val="78659968"/>
        <c:axId val="0"/>
      </c:bar3DChart>
      <c:catAx>
        <c:axId val="78776960"/>
        <c:scaling>
          <c:orientation val="minMax"/>
        </c:scaling>
        <c:delete val="0"/>
        <c:axPos val="b"/>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cs-CZ"/>
          </a:p>
        </c:txPr>
        <c:crossAx val="78659968"/>
        <c:crosses val="autoZero"/>
        <c:auto val="1"/>
        <c:lblAlgn val="ctr"/>
        <c:lblOffset val="100"/>
        <c:noMultiLvlLbl val="0"/>
      </c:catAx>
      <c:valAx>
        <c:axId val="78659968"/>
        <c:scaling>
          <c:orientation val="minMax"/>
        </c:scaling>
        <c:delete val="0"/>
        <c:axPos val="l"/>
        <c:majorGridlines/>
        <c:numFmt formatCode="#,##0.00" sourceLinked="1"/>
        <c:majorTickMark val="none"/>
        <c:minorTickMark val="none"/>
        <c:tickLblPos val="nextTo"/>
        <c:spPr>
          <a:ln w="9525">
            <a:noFill/>
          </a:ln>
        </c:spPr>
        <c:crossAx val="78776960"/>
        <c:crosses val="autoZero"/>
        <c:crossBetween val="between"/>
        <c:dispUnits>
          <c:builtInUnit val="thousands"/>
        </c:dispUnits>
      </c:valAx>
    </c:plotArea>
    <c:legend>
      <c:legendPos val="b"/>
      <c:overlay val="0"/>
      <c:txPr>
        <a:bodyPr/>
        <a:lstStyle/>
        <a:p>
          <a:pPr>
            <a:defRPr sz="1000">
              <a:latin typeface="Times New Roman" panose="02020603050405020304" pitchFamily="18" charset="0"/>
              <a:cs typeface="Times New Roman" panose="02020603050405020304" pitchFamily="18" charset="0"/>
            </a:defRPr>
          </a:pPr>
          <a:endParaRPr lang="cs-CZ"/>
        </a:p>
      </c:txPr>
    </c:legend>
    <c:plotVisOnly val="1"/>
    <c:dispBlanksAs val="gap"/>
    <c:showDLblsOverMax val="0"/>
  </c:chart>
  <c:spPr>
    <a:ln>
      <a:solidFill>
        <a:schemeClr val="tx2"/>
      </a:solid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Times New Roman" panose="02020603050405020304" pitchFamily="18" charset="0"/>
                <a:cs typeface="Times New Roman" panose="02020603050405020304" pitchFamily="18" charset="0"/>
              </a:defRPr>
            </a:pPr>
            <a:r>
              <a:rPr lang="cs-CZ" sz="1100" b="1" i="0" u="none" strike="noStrike" baseline="0">
                <a:effectLst/>
                <a:latin typeface="Times New Roman" panose="02020603050405020304" pitchFamily="18" charset="0"/>
                <a:cs typeface="Times New Roman" panose="02020603050405020304" pitchFamily="18" charset="0"/>
              </a:rPr>
              <a:t>Věcný a finanční pokrok v oblasti intervence </a:t>
            </a:r>
            <a:r>
              <a:rPr lang="cs-CZ" sz="1100" baseline="0">
                <a:latin typeface="Times New Roman" panose="02020603050405020304" pitchFamily="18" charset="0"/>
                <a:cs typeface="Times New Roman" panose="02020603050405020304" pitchFamily="18" charset="0"/>
              </a:rPr>
              <a:t>5.2</a:t>
            </a:r>
            <a:endParaRPr lang="cs-CZ" sz="1100">
              <a:latin typeface="Times New Roman" panose="02020603050405020304" pitchFamily="18" charset="0"/>
              <a:cs typeface="Times New Roman" panose="02020603050405020304" pitchFamily="18" charset="0"/>
            </a:endParaRPr>
          </a:p>
        </c:rich>
      </c:tx>
      <c:overlay val="0"/>
    </c:title>
    <c:autoTitleDeleted val="0"/>
    <c:plotArea>
      <c:layout>
        <c:manualLayout>
          <c:layoutTarget val="inner"/>
          <c:xMode val="edge"/>
          <c:yMode val="edge"/>
          <c:x val="0.1056216567970326"/>
          <c:y val="0.14136292174004567"/>
          <c:w val="0.88993314678640378"/>
          <c:h val="0.68715717581263058"/>
        </c:manualLayout>
      </c:layout>
      <c:barChart>
        <c:barDir val="col"/>
        <c:grouping val="clustered"/>
        <c:varyColors val="0"/>
        <c:ser>
          <c:idx val="0"/>
          <c:order val="0"/>
          <c:tx>
            <c:strRef>
              <c:f>'Věcné a finanční plnění tabulka'!$L$68</c:f>
              <c:strCache>
                <c:ptCount val="1"/>
                <c:pt idx="0">
                  <c:v>Závazek ze schválených projektů</c:v>
                </c:pt>
              </c:strCache>
            </c:strRef>
          </c:tx>
          <c:spPr>
            <a:solidFill>
              <a:schemeClr val="accent4">
                <a:lumMod val="75000"/>
              </a:schemeClr>
            </a:solidFill>
          </c:spPr>
          <c:invertIfNegative val="0"/>
          <c:dPt>
            <c:idx val="3"/>
            <c:invertIfNegative val="0"/>
            <c:bubble3D val="0"/>
          </c:dPt>
          <c:cat>
            <c:strRef>
              <c:f>('Věcné a finanční plnění tabulka'!$A$71:$A$74;'Věcné a finanční plnění tabulka'!$A$82:$A$85)</c:f>
              <c:strCache>
                <c:ptCount val="8"/>
                <c:pt idx="0">
                  <c:v>330100 
Core 39</c:v>
                </c:pt>
                <c:pt idx="1">
                  <c:v>330103</c:v>
                </c:pt>
                <c:pt idx="2">
                  <c:v>330101</c:v>
                </c:pt>
                <c:pt idx="3">
                  <c:v>330102</c:v>
                </c:pt>
                <c:pt idx="4">
                  <c:v>331200</c:v>
                </c:pt>
                <c:pt idx="5">
                  <c:v>331300</c:v>
                </c:pt>
                <c:pt idx="6">
                  <c:v>331500</c:v>
                </c:pt>
                <c:pt idx="7">
                  <c:v>331000</c:v>
                </c:pt>
              </c:strCache>
            </c:strRef>
          </c:cat>
          <c:val>
            <c:numRef>
              <c:f>('Věcné a finanční plnění tabulka'!$L$71:$L$74;'Věcné a finanční plnění tabulka'!$L$82:$L$85)</c:f>
              <c:numCache>
                <c:formatCode>0.00%</c:formatCode>
                <c:ptCount val="8"/>
                <c:pt idx="0">
                  <c:v>1.466</c:v>
                </c:pt>
                <c:pt idx="1">
                  <c:v>6.2439024390243905</c:v>
                </c:pt>
                <c:pt idx="2">
                  <c:v>1.1378947368421053</c:v>
                </c:pt>
                <c:pt idx="3">
                  <c:v>0.8571428571428571</c:v>
                </c:pt>
                <c:pt idx="4">
                  <c:v>2.3103265306122447</c:v>
                </c:pt>
                <c:pt idx="5">
                  <c:v>1.3925323636806233</c:v>
                </c:pt>
                <c:pt idx="6">
                  <c:v>1.526</c:v>
                </c:pt>
                <c:pt idx="7">
                  <c:v>1</c:v>
                </c:pt>
              </c:numCache>
            </c:numRef>
          </c:val>
        </c:ser>
        <c:ser>
          <c:idx val="1"/>
          <c:order val="1"/>
          <c:tx>
            <c:strRef>
              <c:f>'Věcné a finanční plnění tabulka'!$M$68</c:f>
              <c:strCache>
                <c:ptCount val="1"/>
                <c:pt idx="0">
                  <c:v>Projekty s vydaným Rozhodnutím/Stanovením výdajů</c:v>
                </c:pt>
              </c:strCache>
            </c:strRef>
          </c:tx>
          <c:spPr>
            <a:solidFill>
              <a:schemeClr val="accent5">
                <a:lumMod val="60000"/>
                <a:lumOff val="40000"/>
              </a:schemeClr>
            </a:solidFill>
          </c:spPr>
          <c:invertIfNegative val="0"/>
          <c:cat>
            <c:strRef>
              <c:f>('Věcné a finanční plnění tabulka'!$A$71:$A$74;'Věcné a finanční plnění tabulka'!$A$82:$A$85)</c:f>
              <c:strCache>
                <c:ptCount val="8"/>
                <c:pt idx="0">
                  <c:v>330100 
Core 39</c:v>
                </c:pt>
                <c:pt idx="1">
                  <c:v>330103</c:v>
                </c:pt>
                <c:pt idx="2">
                  <c:v>330101</c:v>
                </c:pt>
                <c:pt idx="3">
                  <c:v>330102</c:v>
                </c:pt>
                <c:pt idx="4">
                  <c:v>331200</c:v>
                </c:pt>
                <c:pt idx="5">
                  <c:v>331300</c:v>
                </c:pt>
                <c:pt idx="6">
                  <c:v>331500</c:v>
                </c:pt>
                <c:pt idx="7">
                  <c:v>331000</c:v>
                </c:pt>
              </c:strCache>
            </c:strRef>
          </c:cat>
          <c:val>
            <c:numRef>
              <c:f>('Věcné a finanční plnění tabulka'!$M$71:$M$74;'Věcné a finanční plnění tabulka'!$M$82:$M$85)</c:f>
              <c:numCache>
                <c:formatCode>0.00%</c:formatCode>
                <c:ptCount val="8"/>
                <c:pt idx="0">
                  <c:v>1.0639129804963514</c:v>
                </c:pt>
                <c:pt idx="1">
                  <c:v>1.1024837426184853</c:v>
                </c:pt>
                <c:pt idx="2">
                  <c:v>1.0358776072165963</c:v>
                </c:pt>
                <c:pt idx="3">
                  <c:v>0.89160893360384141</c:v>
                </c:pt>
                <c:pt idx="4">
                  <c:v>1.0152690182212709</c:v>
                </c:pt>
                <c:pt idx="5">
                  <c:v>1.1024837426184853</c:v>
                </c:pt>
                <c:pt idx="6">
                  <c:v>1.0152690182212709</c:v>
                </c:pt>
                <c:pt idx="7">
                  <c:v>1</c:v>
                </c:pt>
              </c:numCache>
            </c:numRef>
          </c:val>
        </c:ser>
        <c:dLbls>
          <c:showLegendKey val="0"/>
          <c:showVal val="0"/>
          <c:showCatName val="0"/>
          <c:showSerName val="0"/>
          <c:showPercent val="0"/>
          <c:showBubbleSize val="0"/>
        </c:dLbls>
        <c:gapWidth val="150"/>
        <c:axId val="31767552"/>
        <c:axId val="31777536"/>
      </c:barChart>
      <c:catAx>
        <c:axId val="31767552"/>
        <c:scaling>
          <c:orientation val="minMax"/>
        </c:scaling>
        <c:delete val="0"/>
        <c:axPos val="b"/>
        <c:numFmt formatCode="General" sourceLinked="1"/>
        <c:majorTickMark val="out"/>
        <c:minorTickMark val="none"/>
        <c:tickLblPos val="nextTo"/>
        <c:txPr>
          <a:bodyPr/>
          <a:lstStyle/>
          <a:p>
            <a:pPr>
              <a:defRPr sz="900" b="1">
                <a:latin typeface="Times New Roman" panose="02020603050405020304" pitchFamily="18" charset="0"/>
                <a:cs typeface="Times New Roman" panose="02020603050405020304" pitchFamily="18" charset="0"/>
              </a:defRPr>
            </a:pPr>
            <a:endParaRPr lang="cs-CZ"/>
          </a:p>
        </c:txPr>
        <c:crossAx val="31777536"/>
        <c:crosses val="autoZero"/>
        <c:auto val="1"/>
        <c:lblAlgn val="ctr"/>
        <c:lblOffset val="100"/>
        <c:noMultiLvlLbl val="0"/>
      </c:catAx>
      <c:valAx>
        <c:axId val="31777536"/>
        <c:scaling>
          <c:orientation val="minMax"/>
          <c:max val="2"/>
        </c:scaling>
        <c:delete val="0"/>
        <c:axPos val="l"/>
        <c:majorGridlines/>
        <c:numFmt formatCode="0.0%" sourceLinked="0"/>
        <c:majorTickMark val="out"/>
        <c:minorTickMark val="none"/>
        <c:tickLblPos val="nextTo"/>
        <c:txPr>
          <a:bodyPr/>
          <a:lstStyle/>
          <a:p>
            <a:pPr>
              <a:defRPr b="1"/>
            </a:pPr>
            <a:endParaRPr lang="cs-CZ"/>
          </a:p>
        </c:txPr>
        <c:crossAx val="31767552"/>
        <c:crosses val="autoZero"/>
        <c:crossBetween val="between"/>
      </c:valAx>
      <c:spPr>
        <a:solidFill>
          <a:schemeClr val="bg1">
            <a:lumMod val="85000"/>
          </a:schemeClr>
        </a:solidFill>
      </c:spPr>
    </c:plotArea>
    <c:legend>
      <c:legendPos val="b"/>
      <c:layout>
        <c:manualLayout>
          <c:xMode val="edge"/>
          <c:yMode val="edge"/>
          <c:x val="1.3508555843927331E-2"/>
          <c:y val="0.93405101605453955"/>
          <c:w val="0.93441436662522448"/>
          <c:h val="5.1688175907472045E-2"/>
        </c:manualLayout>
      </c:layout>
      <c:overlay val="0"/>
      <c:txPr>
        <a:bodyPr/>
        <a:lstStyle/>
        <a:p>
          <a:pPr>
            <a:defRPr sz="900" b="1">
              <a:latin typeface="Times New Roman" panose="02020603050405020304" pitchFamily="18" charset="0"/>
              <a:cs typeface="Times New Roman" panose="02020603050405020304" pitchFamily="18" charset="0"/>
            </a:defRPr>
          </a:pPr>
          <a:endParaRPr lang="cs-CZ"/>
        </a:p>
      </c:txPr>
    </c:legend>
    <c:plotVisOnly val="1"/>
    <c:dispBlanksAs val="gap"/>
    <c:showDLblsOverMax val="0"/>
  </c:chart>
  <c:spPr>
    <a:solidFill>
      <a:schemeClr val="accent1">
        <a:lumMod val="20000"/>
        <a:lumOff val="80000"/>
      </a:schemeClr>
    </a:solidFill>
    <a:ln>
      <a:solidFill>
        <a:schemeClr val="tx2"/>
      </a:solidFill>
    </a:ln>
  </c:sp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solidFill>
                  <a:sysClr val="windowText" lastClr="000000"/>
                </a:solidFill>
              </a:defRPr>
            </a:pPr>
            <a:r>
              <a:rPr lang="cs-CZ" sz="1050" b="1" i="0" u="none" strike="noStrike" baseline="0">
                <a:effectLst/>
              </a:rPr>
              <a:t>Věcný a finanční pokrok v oblasti intervence </a:t>
            </a:r>
            <a:r>
              <a:rPr lang="cs-CZ" sz="1100" baseline="0">
                <a:solidFill>
                  <a:sysClr val="windowText" lastClr="000000"/>
                </a:solidFill>
              </a:rPr>
              <a:t>5.3</a:t>
            </a:r>
            <a:endParaRPr lang="cs-CZ" sz="1100">
              <a:solidFill>
                <a:sysClr val="windowText" lastClr="000000"/>
              </a:solidFill>
            </a:endParaRPr>
          </a:p>
        </c:rich>
      </c:tx>
      <c:overlay val="0"/>
    </c:title>
    <c:autoTitleDeleted val="0"/>
    <c:plotArea>
      <c:layout>
        <c:manualLayout>
          <c:layoutTarget val="inner"/>
          <c:xMode val="edge"/>
          <c:yMode val="edge"/>
          <c:x val="7.9850873747669901E-2"/>
          <c:y val="0.16223140140269501"/>
          <c:w val="0.90273028223016061"/>
          <c:h val="0.63170747099235569"/>
        </c:manualLayout>
      </c:layout>
      <c:barChart>
        <c:barDir val="col"/>
        <c:grouping val="clustered"/>
        <c:varyColors val="0"/>
        <c:ser>
          <c:idx val="0"/>
          <c:order val="0"/>
          <c:tx>
            <c:strRef>
              <c:f>'Věcné a finanční plnění tabulka'!$L$68</c:f>
              <c:strCache>
                <c:ptCount val="1"/>
                <c:pt idx="0">
                  <c:v>Závazek ze schválených projektů</c:v>
                </c:pt>
              </c:strCache>
            </c:strRef>
          </c:tx>
          <c:spPr>
            <a:solidFill>
              <a:schemeClr val="accent4">
                <a:lumMod val="75000"/>
              </a:schemeClr>
            </a:solidFill>
          </c:spPr>
          <c:invertIfNegative val="0"/>
          <c:dPt>
            <c:idx val="0"/>
            <c:invertIfNegative val="0"/>
            <c:bubble3D val="0"/>
            <c:spPr>
              <a:solidFill>
                <a:schemeClr val="accent4">
                  <a:lumMod val="75000"/>
                </a:schemeClr>
              </a:solidFill>
            </c:spPr>
          </c:dPt>
          <c:dPt>
            <c:idx val="4"/>
            <c:invertIfNegative val="0"/>
            <c:bubble3D val="0"/>
          </c:dPt>
          <c:dLbls>
            <c:dLbl>
              <c:idx val="4"/>
              <c:spPr/>
              <c:txPr>
                <a:bodyPr/>
                <a:lstStyle/>
                <a:p>
                  <a:pPr>
                    <a:defRPr/>
                  </a:pPr>
                  <a:endParaRPr lang="cs-CZ"/>
                </a:p>
              </c:txPr>
              <c:showLegendKey val="0"/>
              <c:showVal val="1"/>
              <c:showCatName val="0"/>
              <c:showSerName val="0"/>
              <c:showPercent val="0"/>
              <c:showBubbleSize val="0"/>
            </c:dLbl>
            <c:showLegendKey val="0"/>
            <c:showVal val="0"/>
            <c:showCatName val="0"/>
            <c:showSerName val="0"/>
            <c:showPercent val="0"/>
            <c:showBubbleSize val="0"/>
          </c:dLbls>
          <c:cat>
            <c:numRef>
              <c:f>('Věcné a finanční plnění tabulka'!$A$75:$A$79;'Věcné a finanční plnění tabulka'!$A$86:$A$87)</c:f>
              <c:numCache>
                <c:formatCode>General</c:formatCode>
                <c:ptCount val="7"/>
                <c:pt idx="0">
                  <c:v>330400</c:v>
                </c:pt>
                <c:pt idx="1">
                  <c:v>330401</c:v>
                </c:pt>
                <c:pt idx="2">
                  <c:v>330411</c:v>
                </c:pt>
                <c:pt idx="3">
                  <c:v>330415</c:v>
                </c:pt>
                <c:pt idx="4">
                  <c:v>330416</c:v>
                </c:pt>
                <c:pt idx="5">
                  <c:v>330418</c:v>
                </c:pt>
                <c:pt idx="6">
                  <c:v>330417</c:v>
                </c:pt>
              </c:numCache>
            </c:numRef>
          </c:cat>
          <c:val>
            <c:numRef>
              <c:f>('Věcné a finanční plnění tabulka'!$L$75:$L$79;'Věcné a finanční plnění tabulka'!$L$86:$L$87)</c:f>
              <c:numCache>
                <c:formatCode>0.00%</c:formatCode>
                <c:ptCount val="7"/>
                <c:pt idx="0">
                  <c:v>0.9</c:v>
                </c:pt>
                <c:pt idx="1">
                  <c:v>1.2142857142857142</c:v>
                </c:pt>
                <c:pt idx="2">
                  <c:v>6.8666666666666663</c:v>
                </c:pt>
                <c:pt idx="3">
                  <c:v>1.8217824712643678</c:v>
                </c:pt>
                <c:pt idx="4">
                  <c:v>73.995785714285716</c:v>
                </c:pt>
                <c:pt idx="5">
                  <c:v>158.33333333333334</c:v>
                </c:pt>
                <c:pt idx="6">
                  <c:v>4.3405405405405402</c:v>
                </c:pt>
              </c:numCache>
            </c:numRef>
          </c:val>
        </c:ser>
        <c:ser>
          <c:idx val="1"/>
          <c:order val="1"/>
          <c:tx>
            <c:strRef>
              <c:f>'Věcné a finanční plnění tabulka'!$M$68</c:f>
              <c:strCache>
                <c:ptCount val="1"/>
                <c:pt idx="0">
                  <c:v>Projekty s vydaným Rozhodnutím/Stanovením výdajů</c:v>
                </c:pt>
              </c:strCache>
            </c:strRef>
          </c:tx>
          <c:spPr>
            <a:solidFill>
              <a:schemeClr val="accent5">
                <a:lumMod val="60000"/>
                <a:lumOff val="40000"/>
              </a:schemeClr>
            </a:solidFill>
          </c:spPr>
          <c:invertIfNegative val="0"/>
          <c:cat>
            <c:numRef>
              <c:f>('Věcné a finanční plnění tabulka'!$A$75:$A$79;'Věcné a finanční plnění tabulka'!$A$86:$A$87)</c:f>
              <c:numCache>
                <c:formatCode>General</c:formatCode>
                <c:ptCount val="7"/>
                <c:pt idx="0">
                  <c:v>330400</c:v>
                </c:pt>
                <c:pt idx="1">
                  <c:v>330401</c:v>
                </c:pt>
                <c:pt idx="2">
                  <c:v>330411</c:v>
                </c:pt>
                <c:pt idx="3">
                  <c:v>330415</c:v>
                </c:pt>
                <c:pt idx="4">
                  <c:v>330416</c:v>
                </c:pt>
                <c:pt idx="5">
                  <c:v>330418</c:v>
                </c:pt>
                <c:pt idx="6">
                  <c:v>330417</c:v>
                </c:pt>
              </c:numCache>
            </c:numRef>
          </c:cat>
          <c:val>
            <c:numRef>
              <c:f>('Věcné a finanční plnění tabulka'!$M$75:$M$79;'Věcné a finanční plnění tabulka'!$M$86:$M$87)</c:f>
              <c:numCache>
                <c:formatCode>0.00%</c:formatCode>
                <c:ptCount val="7"/>
                <c:pt idx="0">
                  <c:v>0.65318021030916207</c:v>
                </c:pt>
                <c:pt idx="1">
                  <c:v>0.65318021030916207</c:v>
                </c:pt>
                <c:pt idx="2">
                  <c:v>1.2619333104139572</c:v>
                </c:pt>
                <c:pt idx="3">
                  <c:v>0.65318021030916207</c:v>
                </c:pt>
                <c:pt idx="4">
                  <c:v>1.2619333104139572</c:v>
                </c:pt>
                <c:pt idx="5">
                  <c:v>1.2619333104139572</c:v>
                </c:pt>
                <c:pt idx="6">
                  <c:v>0.65318021030916207</c:v>
                </c:pt>
              </c:numCache>
            </c:numRef>
          </c:val>
        </c:ser>
        <c:dLbls>
          <c:showLegendKey val="0"/>
          <c:showVal val="0"/>
          <c:showCatName val="0"/>
          <c:showSerName val="0"/>
          <c:showPercent val="0"/>
          <c:showBubbleSize val="0"/>
        </c:dLbls>
        <c:gapWidth val="150"/>
        <c:axId val="31629696"/>
        <c:axId val="31631232"/>
      </c:barChart>
      <c:catAx>
        <c:axId val="31629696"/>
        <c:scaling>
          <c:orientation val="minMax"/>
        </c:scaling>
        <c:delete val="0"/>
        <c:axPos val="b"/>
        <c:numFmt formatCode="General" sourceLinked="1"/>
        <c:majorTickMark val="out"/>
        <c:minorTickMark val="none"/>
        <c:tickLblPos val="nextTo"/>
        <c:txPr>
          <a:bodyPr/>
          <a:lstStyle/>
          <a:p>
            <a:pPr>
              <a:defRPr b="1"/>
            </a:pPr>
            <a:endParaRPr lang="cs-CZ"/>
          </a:p>
        </c:txPr>
        <c:crossAx val="31631232"/>
        <c:crosses val="autoZero"/>
        <c:auto val="1"/>
        <c:lblAlgn val="ctr"/>
        <c:lblOffset val="100"/>
        <c:noMultiLvlLbl val="0"/>
      </c:catAx>
      <c:valAx>
        <c:axId val="31631232"/>
        <c:scaling>
          <c:orientation val="minMax"/>
          <c:max val="2"/>
        </c:scaling>
        <c:delete val="0"/>
        <c:axPos val="l"/>
        <c:majorGridlines/>
        <c:numFmt formatCode="0.0%" sourceLinked="0"/>
        <c:majorTickMark val="out"/>
        <c:minorTickMark val="none"/>
        <c:tickLblPos val="nextTo"/>
        <c:txPr>
          <a:bodyPr/>
          <a:lstStyle/>
          <a:p>
            <a:pPr>
              <a:defRPr b="1"/>
            </a:pPr>
            <a:endParaRPr lang="cs-CZ"/>
          </a:p>
        </c:txPr>
        <c:crossAx val="31629696"/>
        <c:crosses val="autoZero"/>
        <c:crossBetween val="between"/>
        <c:majorUnit val="0.2"/>
      </c:valAx>
      <c:spPr>
        <a:solidFill>
          <a:schemeClr val="bg1">
            <a:lumMod val="85000"/>
          </a:schemeClr>
        </a:solidFill>
      </c:spPr>
    </c:plotArea>
    <c:legend>
      <c:legendPos val="b"/>
      <c:overlay val="0"/>
      <c:txPr>
        <a:bodyPr/>
        <a:lstStyle/>
        <a:p>
          <a:pPr>
            <a:defRPr b="1"/>
          </a:pPr>
          <a:endParaRPr lang="cs-CZ"/>
        </a:p>
      </c:txPr>
    </c:legend>
    <c:plotVisOnly val="1"/>
    <c:dispBlanksAs val="gap"/>
    <c:showDLblsOverMax val="0"/>
  </c:chart>
  <c:spPr>
    <a:solidFill>
      <a:schemeClr val="accent1">
        <a:lumMod val="20000"/>
        <a:lumOff val="80000"/>
      </a:schemeClr>
    </a:solidFill>
    <a:ln>
      <a:solidFill>
        <a:schemeClr val="tx2"/>
      </a:solid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solidFill>
                  <a:sysClr val="windowText" lastClr="000000"/>
                </a:solidFill>
              </a:defRPr>
            </a:pPr>
            <a:r>
              <a:rPr lang="cs-CZ" sz="1100">
                <a:solidFill>
                  <a:sysClr val="windowText" lastClr="000000"/>
                </a:solidFill>
                <a:latin typeface="Times New Roman" panose="02020603050405020304" pitchFamily="18" charset="0"/>
                <a:cs typeface="Times New Roman" panose="02020603050405020304" pitchFamily="18" charset="0"/>
              </a:rPr>
              <a:t>Věcný a finanční pokrok v oblasti intervence 1.1</a:t>
            </a:r>
          </a:p>
        </c:rich>
      </c:tx>
      <c:overlay val="0"/>
    </c:title>
    <c:autoTitleDeleted val="0"/>
    <c:plotArea>
      <c:layout>
        <c:manualLayout>
          <c:layoutTarget val="inner"/>
          <c:xMode val="edge"/>
          <c:yMode val="edge"/>
          <c:x val="9.5230302094591116E-2"/>
          <c:y val="8.59782404500051E-2"/>
          <c:w val="0.89524708880870862"/>
          <c:h val="0.75642498112393486"/>
        </c:manualLayout>
      </c:layout>
      <c:barChart>
        <c:barDir val="col"/>
        <c:grouping val="clustered"/>
        <c:varyColors val="0"/>
        <c:ser>
          <c:idx val="0"/>
          <c:order val="0"/>
          <c:tx>
            <c:strRef>
              <c:f>'Věcné a finanční plnění tabulka'!$L$3</c:f>
              <c:strCache>
                <c:ptCount val="1"/>
                <c:pt idx="0">
                  <c:v>Závazek ze schválených projektů</c:v>
                </c:pt>
              </c:strCache>
            </c:strRef>
          </c:tx>
          <c:spPr>
            <a:solidFill>
              <a:schemeClr val="accent4">
                <a:lumMod val="75000"/>
              </a:schemeClr>
            </a:solidFill>
          </c:spPr>
          <c:invertIfNegative val="0"/>
          <c:cat>
            <c:numRef>
              <c:f>('Věcné a finanční plnění tabulka'!$A$4:$A$10;'Věcné a finanční plnění tabulka'!$A$10)</c:f>
              <c:numCache>
                <c:formatCode>General</c:formatCode>
                <c:ptCount val="8"/>
                <c:pt idx="0">
                  <c:v>150106</c:v>
                </c:pt>
                <c:pt idx="1">
                  <c:v>150109</c:v>
                </c:pt>
                <c:pt idx="2">
                  <c:v>150110</c:v>
                </c:pt>
                <c:pt idx="3">
                  <c:v>150111</c:v>
                </c:pt>
                <c:pt idx="4">
                  <c:v>150112</c:v>
                </c:pt>
                <c:pt idx="5">
                  <c:v>150113</c:v>
                </c:pt>
                <c:pt idx="6">
                  <c:v>152105</c:v>
                </c:pt>
                <c:pt idx="7">
                  <c:v>152105</c:v>
                </c:pt>
              </c:numCache>
            </c:numRef>
          </c:cat>
          <c:val>
            <c:numRef>
              <c:f>('Věcné a finanční plnění tabulka'!$L$4:$L$9;'Věcné a finanční plnění tabulka'!$L$10)</c:f>
              <c:numCache>
                <c:formatCode>0.00%</c:formatCode>
                <c:ptCount val="7"/>
                <c:pt idx="0">
                  <c:v>1.25</c:v>
                </c:pt>
                <c:pt idx="1">
                  <c:v>1.1637333333333333</c:v>
                </c:pt>
                <c:pt idx="2">
                  <c:v>1.1668749999999999</c:v>
                </c:pt>
                <c:pt idx="3">
                  <c:v>1.0421333333333334</c:v>
                </c:pt>
                <c:pt idx="4">
                  <c:v>2.1725000000000003</c:v>
                </c:pt>
                <c:pt idx="5">
                  <c:v>1</c:v>
                </c:pt>
                <c:pt idx="6">
                  <c:v>1</c:v>
                </c:pt>
              </c:numCache>
            </c:numRef>
          </c:val>
        </c:ser>
        <c:ser>
          <c:idx val="1"/>
          <c:order val="1"/>
          <c:tx>
            <c:strRef>
              <c:f>'Věcné a finanční plnění tabulka'!$M$3</c:f>
              <c:strCache>
                <c:ptCount val="1"/>
                <c:pt idx="0">
                  <c:v>Projekty s vydaným Rozhodnutím/Stanovením výdajů</c:v>
                </c:pt>
              </c:strCache>
            </c:strRef>
          </c:tx>
          <c:spPr>
            <a:solidFill>
              <a:schemeClr val="accent5">
                <a:lumMod val="60000"/>
                <a:lumOff val="40000"/>
              </a:schemeClr>
            </a:solidFill>
          </c:spPr>
          <c:invertIfNegative val="0"/>
          <c:cat>
            <c:numRef>
              <c:f>('Věcné a finanční plnění tabulka'!$A$4:$A$10;'Věcné a finanční plnění tabulka'!$A$10)</c:f>
              <c:numCache>
                <c:formatCode>General</c:formatCode>
                <c:ptCount val="8"/>
                <c:pt idx="0">
                  <c:v>150106</c:v>
                </c:pt>
                <c:pt idx="1">
                  <c:v>150109</c:v>
                </c:pt>
                <c:pt idx="2">
                  <c:v>150110</c:v>
                </c:pt>
                <c:pt idx="3">
                  <c:v>150111</c:v>
                </c:pt>
                <c:pt idx="4">
                  <c:v>150112</c:v>
                </c:pt>
                <c:pt idx="5">
                  <c:v>150113</c:v>
                </c:pt>
                <c:pt idx="6">
                  <c:v>152105</c:v>
                </c:pt>
                <c:pt idx="7">
                  <c:v>152105</c:v>
                </c:pt>
              </c:numCache>
            </c:numRef>
          </c:cat>
          <c:val>
            <c:numRef>
              <c:f>('Věcné a finanční plnění tabulka'!$M$4:$M$9;'Věcné a finanční plnění tabulka'!$M$10)</c:f>
              <c:numCache>
                <c:formatCode>0.00%</c:formatCode>
                <c:ptCount val="7"/>
                <c:pt idx="0">
                  <c:v>1.0327747704123094</c:v>
                </c:pt>
                <c:pt idx="1">
                  <c:v>1.0327747704123094</c:v>
                </c:pt>
                <c:pt idx="2">
                  <c:v>2.8862667491872132</c:v>
                </c:pt>
                <c:pt idx="3">
                  <c:v>1.0771334574711124</c:v>
                </c:pt>
                <c:pt idx="4">
                  <c:v>0.28211271970486351</c:v>
                </c:pt>
                <c:pt idx="5">
                  <c:v>0.28211271970486351</c:v>
                </c:pt>
                <c:pt idx="6">
                  <c:v>0.87009504392117265</c:v>
                </c:pt>
              </c:numCache>
            </c:numRef>
          </c:val>
        </c:ser>
        <c:dLbls>
          <c:showLegendKey val="0"/>
          <c:showVal val="0"/>
          <c:showCatName val="0"/>
          <c:showSerName val="0"/>
          <c:showPercent val="0"/>
          <c:showBubbleSize val="0"/>
        </c:dLbls>
        <c:gapWidth val="150"/>
        <c:axId val="7136000"/>
        <c:axId val="7137536"/>
      </c:barChart>
      <c:catAx>
        <c:axId val="7136000"/>
        <c:scaling>
          <c:orientation val="minMax"/>
        </c:scaling>
        <c:delete val="0"/>
        <c:axPos val="b"/>
        <c:numFmt formatCode="General" sourceLinked="1"/>
        <c:majorTickMark val="out"/>
        <c:minorTickMark val="none"/>
        <c:tickLblPos val="nextTo"/>
        <c:txPr>
          <a:bodyPr/>
          <a:lstStyle/>
          <a:p>
            <a:pPr>
              <a:defRPr sz="900" b="1">
                <a:latin typeface="Times New Roman" panose="02020603050405020304" pitchFamily="18" charset="0"/>
                <a:cs typeface="Times New Roman" panose="02020603050405020304" pitchFamily="18" charset="0"/>
              </a:defRPr>
            </a:pPr>
            <a:endParaRPr lang="cs-CZ"/>
          </a:p>
        </c:txPr>
        <c:crossAx val="7137536"/>
        <c:crosses val="autoZero"/>
        <c:auto val="1"/>
        <c:lblAlgn val="ctr"/>
        <c:lblOffset val="100"/>
        <c:noMultiLvlLbl val="0"/>
      </c:catAx>
      <c:valAx>
        <c:axId val="7137536"/>
        <c:scaling>
          <c:orientation val="minMax"/>
        </c:scaling>
        <c:delete val="0"/>
        <c:axPos val="l"/>
        <c:majorGridlines/>
        <c:numFmt formatCode="0%" sourceLinked="0"/>
        <c:majorTickMark val="out"/>
        <c:minorTickMark val="none"/>
        <c:tickLblPos val="nextTo"/>
        <c:txPr>
          <a:bodyPr/>
          <a:lstStyle/>
          <a:p>
            <a:pPr>
              <a:defRPr b="1"/>
            </a:pPr>
            <a:endParaRPr lang="cs-CZ"/>
          </a:p>
        </c:txPr>
        <c:crossAx val="7136000"/>
        <c:crosses val="autoZero"/>
        <c:crossBetween val="between"/>
        <c:majorUnit val="0.2"/>
      </c:valAx>
      <c:spPr>
        <a:solidFill>
          <a:schemeClr val="bg1">
            <a:lumMod val="85000"/>
          </a:schemeClr>
        </a:solidFill>
      </c:spPr>
    </c:plotArea>
    <c:legend>
      <c:legendPos val="b"/>
      <c:overlay val="0"/>
      <c:txPr>
        <a:bodyPr/>
        <a:lstStyle/>
        <a:p>
          <a:pPr>
            <a:defRPr sz="900" b="1">
              <a:latin typeface="Times New Roman" panose="02020603050405020304" pitchFamily="18" charset="0"/>
              <a:cs typeface="Times New Roman" panose="02020603050405020304" pitchFamily="18" charset="0"/>
            </a:defRPr>
          </a:pPr>
          <a:endParaRPr lang="cs-CZ"/>
        </a:p>
      </c:txPr>
    </c:legend>
    <c:plotVisOnly val="1"/>
    <c:dispBlanksAs val="gap"/>
    <c:showDLblsOverMax val="0"/>
  </c:chart>
  <c:spPr>
    <a:solidFill>
      <a:schemeClr val="accent1">
        <a:lumMod val="20000"/>
        <a:lumOff val="80000"/>
      </a:schemeClr>
    </a:solidFill>
    <a:ln cmpd="sng">
      <a:solidFill>
        <a:schemeClr val="tx2"/>
      </a:solidFill>
    </a:ln>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cs-CZ" sz="1000" b="1" i="0" baseline="0">
                <a:effectLst/>
                <a:latin typeface="Times New Roman" panose="02020603050405020304" pitchFamily="18" charset="0"/>
                <a:cs typeface="Times New Roman" panose="02020603050405020304" pitchFamily="18" charset="0"/>
              </a:rPr>
              <a:t>Věcný a finanční pokrok v oblasti intervence  </a:t>
            </a:r>
            <a:r>
              <a:rPr lang="cs-CZ" sz="1000" baseline="0">
                <a:latin typeface="Times New Roman" panose="02020603050405020304" pitchFamily="18" charset="0"/>
                <a:cs typeface="Times New Roman" panose="02020603050405020304" pitchFamily="18" charset="0"/>
              </a:rPr>
              <a:t>2.1</a:t>
            </a:r>
            <a:endParaRPr lang="cs-CZ" sz="1000">
              <a:latin typeface="Times New Roman" panose="02020603050405020304" pitchFamily="18" charset="0"/>
              <a:cs typeface="Times New Roman" panose="02020603050405020304" pitchFamily="18" charset="0"/>
            </a:endParaRPr>
          </a:p>
        </c:rich>
      </c:tx>
      <c:overlay val="0"/>
    </c:title>
    <c:autoTitleDeleted val="0"/>
    <c:plotArea>
      <c:layout>
        <c:manualLayout>
          <c:layoutTarget val="inner"/>
          <c:xMode val="edge"/>
          <c:yMode val="edge"/>
          <c:x val="8.9170301275117561E-2"/>
          <c:y val="0.17055688038995126"/>
          <c:w val="0.89137784832598843"/>
          <c:h val="0.624152223684735"/>
        </c:manualLayout>
      </c:layout>
      <c:barChart>
        <c:barDir val="col"/>
        <c:grouping val="clustered"/>
        <c:varyColors val="0"/>
        <c:ser>
          <c:idx val="0"/>
          <c:order val="0"/>
          <c:tx>
            <c:strRef>
              <c:f>'Věcné a finanční plnění tabulka'!$L$13</c:f>
              <c:strCache>
                <c:ptCount val="1"/>
                <c:pt idx="0">
                  <c:v>Závazek ze schválených projektů</c:v>
                </c:pt>
              </c:strCache>
            </c:strRef>
          </c:tx>
          <c:spPr>
            <a:solidFill>
              <a:schemeClr val="accent4">
                <a:lumMod val="75000"/>
              </a:schemeClr>
            </a:solidFill>
          </c:spPr>
          <c:invertIfNegative val="0"/>
          <c:dPt>
            <c:idx val="2"/>
            <c:invertIfNegative val="0"/>
            <c:bubble3D val="0"/>
            <c:spPr>
              <a:solidFill>
                <a:schemeClr val="accent4">
                  <a:lumMod val="75000"/>
                </a:schemeClr>
              </a:solidFill>
            </c:spPr>
          </c:dPt>
          <c:dPt>
            <c:idx val="3"/>
            <c:invertIfNegative val="0"/>
            <c:bubble3D val="0"/>
            <c:spPr>
              <a:solidFill>
                <a:schemeClr val="accent4">
                  <a:lumMod val="75000"/>
                </a:schemeClr>
              </a:solidFill>
            </c:spPr>
          </c:dPt>
          <c:dPt>
            <c:idx val="4"/>
            <c:invertIfNegative val="0"/>
            <c:bubble3D val="0"/>
            <c:spPr>
              <a:solidFill>
                <a:srgbClr val="8064A2">
                  <a:lumMod val="75000"/>
                </a:srgbClr>
              </a:solidFill>
              <a:ln cap="flat">
                <a:noFill/>
                <a:miter lim="800000"/>
              </a:ln>
              <a:effectLst>
                <a:outerShdw blurRad="50800" dist="50800" dir="5400000" algn="ctr" rotWithShape="0">
                  <a:schemeClr val="accent1"/>
                </a:outerShdw>
              </a:effectLst>
            </c:spPr>
          </c:dPt>
          <c:dPt>
            <c:idx val="6"/>
            <c:invertIfNegative val="0"/>
            <c:bubble3D val="0"/>
            <c:spPr>
              <a:solidFill>
                <a:schemeClr val="accent4">
                  <a:lumMod val="75000"/>
                </a:schemeClr>
              </a:solidFill>
            </c:spPr>
          </c:dPt>
          <c:cat>
            <c:numRef>
              <c:f>'Věcné a finanční plnění tabulka'!$A$14:$A$20</c:f>
              <c:numCache>
                <c:formatCode>General</c:formatCode>
                <c:ptCount val="7"/>
                <c:pt idx="0">
                  <c:v>150105</c:v>
                </c:pt>
                <c:pt idx="1">
                  <c:v>150117</c:v>
                </c:pt>
                <c:pt idx="2">
                  <c:v>150115</c:v>
                </c:pt>
                <c:pt idx="3">
                  <c:v>150116</c:v>
                </c:pt>
                <c:pt idx="4">
                  <c:v>150114</c:v>
                </c:pt>
                <c:pt idx="5">
                  <c:v>150112</c:v>
                </c:pt>
                <c:pt idx="6">
                  <c:v>150113</c:v>
                </c:pt>
              </c:numCache>
            </c:numRef>
          </c:cat>
          <c:val>
            <c:numRef>
              <c:f>'Věcné a finanční plnění tabulka'!$L$14:$L$20</c:f>
              <c:numCache>
                <c:formatCode>0.00%</c:formatCode>
                <c:ptCount val="7"/>
                <c:pt idx="0">
                  <c:v>1.0523702754644459</c:v>
                </c:pt>
                <c:pt idx="1">
                  <c:v>1.3333333333333333</c:v>
                </c:pt>
                <c:pt idx="2">
                  <c:v>0.95023529411764707</c:v>
                </c:pt>
                <c:pt idx="3">
                  <c:v>0.80399999999999994</c:v>
                </c:pt>
                <c:pt idx="4">
                  <c:v>2.5555555555555554</c:v>
                </c:pt>
                <c:pt idx="5">
                  <c:v>1.1545000000000001</c:v>
                </c:pt>
                <c:pt idx="6">
                  <c:v>0.5403</c:v>
                </c:pt>
              </c:numCache>
            </c:numRef>
          </c:val>
        </c:ser>
        <c:ser>
          <c:idx val="1"/>
          <c:order val="1"/>
          <c:tx>
            <c:strRef>
              <c:f>'Věcné a finanční plnění tabulka'!$M$13</c:f>
              <c:strCache>
                <c:ptCount val="1"/>
                <c:pt idx="0">
                  <c:v>Projekty s vydaným Rozhodnutím/Stanovením výdajů</c:v>
                </c:pt>
              </c:strCache>
            </c:strRef>
          </c:tx>
          <c:spPr>
            <a:solidFill>
              <a:schemeClr val="accent5">
                <a:lumMod val="60000"/>
                <a:lumOff val="40000"/>
              </a:schemeClr>
            </a:solidFill>
          </c:spPr>
          <c:invertIfNegative val="0"/>
          <c:cat>
            <c:numRef>
              <c:f>'Věcné a finanční plnění tabulka'!$A$14:$A$20</c:f>
              <c:numCache>
                <c:formatCode>General</c:formatCode>
                <c:ptCount val="7"/>
                <c:pt idx="0">
                  <c:v>150105</c:v>
                </c:pt>
                <c:pt idx="1">
                  <c:v>150117</c:v>
                </c:pt>
                <c:pt idx="2">
                  <c:v>150115</c:v>
                </c:pt>
                <c:pt idx="3">
                  <c:v>150116</c:v>
                </c:pt>
                <c:pt idx="4">
                  <c:v>150114</c:v>
                </c:pt>
                <c:pt idx="5">
                  <c:v>150112</c:v>
                </c:pt>
                <c:pt idx="6">
                  <c:v>150113</c:v>
                </c:pt>
              </c:numCache>
            </c:numRef>
          </c:cat>
          <c:val>
            <c:numRef>
              <c:f>'Věcné a finanční plnění tabulka'!$M$14:$M$20</c:f>
              <c:numCache>
                <c:formatCode>0.00%</c:formatCode>
                <c:ptCount val="7"/>
                <c:pt idx="0">
                  <c:v>0.75915942400000003</c:v>
                </c:pt>
                <c:pt idx="1">
                  <c:v>0.90439570890914245</c:v>
                </c:pt>
                <c:pt idx="2">
                  <c:v>0.49331482304106061</c:v>
                </c:pt>
                <c:pt idx="3">
                  <c:v>0.62518149955076752</c:v>
                </c:pt>
                <c:pt idx="4">
                  <c:v>1.6470372533425262</c:v>
                </c:pt>
                <c:pt idx="5">
                  <c:v>1.6470372533425262</c:v>
                </c:pt>
                <c:pt idx="6">
                  <c:v>1.6470372533425262</c:v>
                </c:pt>
              </c:numCache>
            </c:numRef>
          </c:val>
        </c:ser>
        <c:dLbls>
          <c:showLegendKey val="0"/>
          <c:showVal val="0"/>
          <c:showCatName val="0"/>
          <c:showSerName val="0"/>
          <c:showPercent val="0"/>
          <c:showBubbleSize val="0"/>
        </c:dLbls>
        <c:gapWidth val="150"/>
        <c:axId val="30304128"/>
        <c:axId val="30305664"/>
      </c:barChart>
      <c:catAx>
        <c:axId val="30304128"/>
        <c:scaling>
          <c:orientation val="minMax"/>
        </c:scaling>
        <c:delete val="0"/>
        <c:axPos val="b"/>
        <c:numFmt formatCode="General" sourceLinked="1"/>
        <c:majorTickMark val="out"/>
        <c:minorTickMark val="none"/>
        <c:tickLblPos val="nextTo"/>
        <c:txPr>
          <a:bodyPr/>
          <a:lstStyle/>
          <a:p>
            <a:pPr>
              <a:defRPr sz="900" b="1">
                <a:latin typeface="Times New Roman" panose="02020603050405020304" pitchFamily="18" charset="0"/>
                <a:cs typeface="Times New Roman" panose="02020603050405020304" pitchFamily="18" charset="0"/>
              </a:defRPr>
            </a:pPr>
            <a:endParaRPr lang="cs-CZ"/>
          </a:p>
        </c:txPr>
        <c:crossAx val="30305664"/>
        <c:crosses val="autoZero"/>
        <c:auto val="1"/>
        <c:lblAlgn val="ctr"/>
        <c:lblOffset val="100"/>
        <c:noMultiLvlLbl val="0"/>
      </c:catAx>
      <c:valAx>
        <c:axId val="30305664"/>
        <c:scaling>
          <c:orientation val="minMax"/>
          <c:max val="2"/>
        </c:scaling>
        <c:delete val="0"/>
        <c:axPos val="l"/>
        <c:majorGridlines/>
        <c:numFmt formatCode="0%" sourceLinked="0"/>
        <c:majorTickMark val="out"/>
        <c:minorTickMark val="none"/>
        <c:tickLblPos val="nextTo"/>
        <c:txPr>
          <a:bodyPr/>
          <a:lstStyle/>
          <a:p>
            <a:pPr>
              <a:defRPr b="1"/>
            </a:pPr>
            <a:endParaRPr lang="cs-CZ"/>
          </a:p>
        </c:txPr>
        <c:crossAx val="30304128"/>
        <c:crosses val="autoZero"/>
        <c:crossBetween val="between"/>
        <c:majorUnit val="0.2"/>
      </c:valAx>
      <c:spPr>
        <a:solidFill>
          <a:schemeClr val="bg1">
            <a:lumMod val="85000"/>
          </a:schemeClr>
        </a:solidFill>
      </c:spPr>
    </c:plotArea>
    <c:legend>
      <c:legendPos val="b"/>
      <c:overlay val="0"/>
      <c:txPr>
        <a:bodyPr/>
        <a:lstStyle/>
        <a:p>
          <a:pPr rtl="0">
            <a:defRPr sz="900" b="1">
              <a:latin typeface="Times New Roman" panose="02020603050405020304" pitchFamily="18" charset="0"/>
              <a:cs typeface="Times New Roman" panose="02020603050405020304" pitchFamily="18" charset="0"/>
            </a:defRPr>
          </a:pPr>
          <a:endParaRPr lang="cs-CZ"/>
        </a:p>
      </c:txPr>
    </c:legend>
    <c:plotVisOnly val="1"/>
    <c:dispBlanksAs val="gap"/>
    <c:showDLblsOverMax val="0"/>
  </c:chart>
  <c:spPr>
    <a:solidFill>
      <a:schemeClr val="accent1">
        <a:lumMod val="20000"/>
        <a:lumOff val="80000"/>
      </a:schemeClr>
    </a:solidFill>
    <a:ln>
      <a:solidFill>
        <a:schemeClr val="tx2"/>
      </a:solidFill>
    </a:ln>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cs-CZ" sz="1100" b="1" i="0" baseline="0">
                <a:effectLst/>
              </a:rPr>
              <a:t>Věcný a finanční pokrok v oblasti intervence  3.1</a:t>
            </a:r>
            <a:endParaRPr lang="cs-CZ" sz="1100">
              <a:effectLst/>
            </a:endParaRPr>
          </a:p>
        </c:rich>
      </c:tx>
      <c:overlay val="0"/>
    </c:title>
    <c:autoTitleDeleted val="0"/>
    <c:plotArea>
      <c:layout/>
      <c:barChart>
        <c:barDir val="col"/>
        <c:grouping val="clustered"/>
        <c:varyColors val="0"/>
        <c:ser>
          <c:idx val="0"/>
          <c:order val="0"/>
          <c:tx>
            <c:strRef>
              <c:f>'Věcné a finanční plnění tabulka'!$L$25</c:f>
              <c:strCache>
                <c:ptCount val="1"/>
                <c:pt idx="0">
                  <c:v>Závazek ze schválených projektů</c:v>
                </c:pt>
              </c:strCache>
            </c:strRef>
          </c:tx>
          <c:spPr>
            <a:solidFill>
              <a:schemeClr val="accent4">
                <a:lumMod val="75000"/>
              </a:schemeClr>
            </a:solidFill>
          </c:spPr>
          <c:invertIfNegative val="0"/>
          <c:dPt>
            <c:idx val="0"/>
            <c:invertIfNegative val="0"/>
            <c:bubble3D val="0"/>
            <c:spPr>
              <a:solidFill>
                <a:schemeClr val="accent4">
                  <a:lumMod val="75000"/>
                </a:schemeClr>
              </a:solidFill>
            </c:spPr>
          </c:dPt>
          <c:dPt>
            <c:idx val="3"/>
            <c:invertIfNegative val="0"/>
            <c:bubble3D val="0"/>
          </c:dPt>
          <c:dPt>
            <c:idx val="5"/>
            <c:invertIfNegative val="0"/>
            <c:bubble3D val="0"/>
          </c:dPt>
          <c:cat>
            <c:numRef>
              <c:f>('Věcné a finanční plnění tabulka'!$A$26:$A$29;'Věcné a finanční plnění tabulka'!$A$41:$A$43)</c:f>
              <c:numCache>
                <c:formatCode>General</c:formatCode>
                <c:ptCount val="7"/>
                <c:pt idx="0">
                  <c:v>330300</c:v>
                </c:pt>
                <c:pt idx="1">
                  <c:v>75713</c:v>
                </c:pt>
                <c:pt idx="2">
                  <c:v>75714</c:v>
                </c:pt>
                <c:pt idx="3">
                  <c:v>75802</c:v>
                </c:pt>
                <c:pt idx="4">
                  <c:v>75711</c:v>
                </c:pt>
                <c:pt idx="5">
                  <c:v>75712</c:v>
                </c:pt>
                <c:pt idx="6">
                  <c:v>75603</c:v>
                </c:pt>
              </c:numCache>
            </c:numRef>
          </c:cat>
          <c:val>
            <c:numRef>
              <c:f>('Věcné a finanční plnění tabulka'!$L$26:$L$29;'Věcné a finanční plnění tabulka'!$L$41:$L$43)</c:f>
              <c:numCache>
                <c:formatCode>0.00%</c:formatCode>
                <c:ptCount val="7"/>
                <c:pt idx="0">
                  <c:v>1.0078740157480315</c:v>
                </c:pt>
                <c:pt idx="1">
                  <c:v>1.05</c:v>
                </c:pt>
                <c:pt idx="2">
                  <c:v>0.96666666666666667</c:v>
                </c:pt>
                <c:pt idx="3">
                  <c:v>1.0192307692307692</c:v>
                </c:pt>
                <c:pt idx="4">
                  <c:v>1.2077922077922079</c:v>
                </c:pt>
                <c:pt idx="5">
                  <c:v>0.88732394366197187</c:v>
                </c:pt>
                <c:pt idx="6">
                  <c:v>1.2250000000000001</c:v>
                </c:pt>
              </c:numCache>
            </c:numRef>
          </c:val>
        </c:ser>
        <c:ser>
          <c:idx val="1"/>
          <c:order val="1"/>
          <c:tx>
            <c:strRef>
              <c:f>'Věcné a finanční plnění tabulka'!$M$25</c:f>
              <c:strCache>
                <c:ptCount val="1"/>
                <c:pt idx="0">
                  <c:v>Projekty s vydaným Rozhodnutím/Stanovením výdajů</c:v>
                </c:pt>
              </c:strCache>
            </c:strRef>
          </c:tx>
          <c:spPr>
            <a:solidFill>
              <a:schemeClr val="accent5">
                <a:lumMod val="60000"/>
                <a:lumOff val="40000"/>
              </a:schemeClr>
            </a:solidFill>
          </c:spPr>
          <c:invertIfNegative val="0"/>
          <c:cat>
            <c:numRef>
              <c:f>('Věcné a finanční plnění tabulka'!$A$26:$A$29;'Věcné a finanční plnění tabulka'!$A$41:$A$43)</c:f>
              <c:numCache>
                <c:formatCode>General</c:formatCode>
                <c:ptCount val="7"/>
                <c:pt idx="0">
                  <c:v>330300</c:v>
                </c:pt>
                <c:pt idx="1">
                  <c:v>75713</c:v>
                </c:pt>
                <c:pt idx="2">
                  <c:v>75714</c:v>
                </c:pt>
                <c:pt idx="3">
                  <c:v>75802</c:v>
                </c:pt>
                <c:pt idx="4">
                  <c:v>75711</c:v>
                </c:pt>
                <c:pt idx="5">
                  <c:v>75712</c:v>
                </c:pt>
                <c:pt idx="6">
                  <c:v>75603</c:v>
                </c:pt>
              </c:numCache>
            </c:numRef>
          </c:cat>
          <c:val>
            <c:numRef>
              <c:f>('Věcné a finanční plnění tabulka'!$M$26:$M$29;'Věcné a finanční plnění tabulka'!$M$41:$M$43)</c:f>
              <c:numCache>
                <c:formatCode>0.00%</c:formatCode>
                <c:ptCount val="7"/>
                <c:pt idx="0">
                  <c:v>0.88909974115833412</c:v>
                </c:pt>
                <c:pt idx="1">
                  <c:v>0.94723574612092676</c:v>
                </c:pt>
                <c:pt idx="2">
                  <c:v>0.68633542984655704</c:v>
                </c:pt>
                <c:pt idx="3">
                  <c:v>0.90873458561941178</c:v>
                </c:pt>
                <c:pt idx="4">
                  <c:v>0.94723574612092676</c:v>
                </c:pt>
                <c:pt idx="5">
                  <c:v>0.68633542984655704</c:v>
                </c:pt>
                <c:pt idx="6">
                  <c:v>0.90873458561941178</c:v>
                </c:pt>
              </c:numCache>
            </c:numRef>
          </c:val>
        </c:ser>
        <c:dLbls>
          <c:showLegendKey val="0"/>
          <c:showVal val="0"/>
          <c:showCatName val="0"/>
          <c:showSerName val="0"/>
          <c:showPercent val="0"/>
          <c:showBubbleSize val="0"/>
        </c:dLbls>
        <c:gapWidth val="150"/>
        <c:axId val="31467392"/>
        <c:axId val="31468928"/>
      </c:barChart>
      <c:catAx>
        <c:axId val="31467392"/>
        <c:scaling>
          <c:orientation val="minMax"/>
        </c:scaling>
        <c:delete val="0"/>
        <c:axPos val="b"/>
        <c:numFmt formatCode="General" sourceLinked="1"/>
        <c:majorTickMark val="out"/>
        <c:minorTickMark val="none"/>
        <c:tickLblPos val="nextTo"/>
        <c:crossAx val="31468928"/>
        <c:crosses val="autoZero"/>
        <c:auto val="1"/>
        <c:lblAlgn val="ctr"/>
        <c:lblOffset val="100"/>
        <c:noMultiLvlLbl val="0"/>
      </c:catAx>
      <c:valAx>
        <c:axId val="31468928"/>
        <c:scaling>
          <c:orientation val="minMax"/>
          <c:max val="1.2"/>
          <c:min val="0"/>
        </c:scaling>
        <c:delete val="0"/>
        <c:axPos val="l"/>
        <c:majorGridlines/>
        <c:numFmt formatCode="0%" sourceLinked="0"/>
        <c:majorTickMark val="out"/>
        <c:minorTickMark val="none"/>
        <c:tickLblPos val="nextTo"/>
        <c:txPr>
          <a:bodyPr/>
          <a:lstStyle/>
          <a:p>
            <a:pPr>
              <a:defRPr sz="900" b="1">
                <a:latin typeface="Times New Roman" panose="02020603050405020304" pitchFamily="18" charset="0"/>
                <a:cs typeface="Times New Roman" panose="02020603050405020304" pitchFamily="18" charset="0"/>
              </a:defRPr>
            </a:pPr>
            <a:endParaRPr lang="cs-CZ"/>
          </a:p>
        </c:txPr>
        <c:crossAx val="31467392"/>
        <c:crosses val="autoZero"/>
        <c:crossBetween val="between"/>
        <c:majorUnit val="0.1"/>
      </c:valAx>
      <c:spPr>
        <a:solidFill>
          <a:schemeClr val="bg1">
            <a:lumMod val="85000"/>
          </a:schemeClr>
        </a:solidFill>
      </c:spPr>
    </c:plotArea>
    <c:legend>
      <c:legendPos val="b"/>
      <c:overlay val="0"/>
    </c:legend>
    <c:plotVisOnly val="1"/>
    <c:dispBlanksAs val="gap"/>
    <c:showDLblsOverMax val="0"/>
  </c:chart>
  <c:spPr>
    <a:solidFill>
      <a:schemeClr val="accent1">
        <a:lumMod val="20000"/>
        <a:lumOff val="80000"/>
      </a:schemeClr>
    </a:solidFill>
    <a:ln>
      <a:solidFill>
        <a:schemeClr val="tx2"/>
      </a:solidFill>
    </a:ln>
  </c:spPr>
  <c:txPr>
    <a:bodyPr/>
    <a:lstStyle/>
    <a:p>
      <a:pPr>
        <a:defRPr b="1"/>
      </a:pPr>
      <a:endParaRPr lang="cs-CZ"/>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cs-CZ" sz="1100" b="1" i="0" u="none" strike="noStrike" baseline="0">
                <a:effectLst/>
              </a:rPr>
              <a:t>Věcný a finanční pokrok v oblasti intervence </a:t>
            </a:r>
            <a:r>
              <a:rPr lang="cs-CZ" sz="1100" b="1" i="0" baseline="0"/>
              <a:t>3.2</a:t>
            </a:r>
          </a:p>
        </c:rich>
      </c:tx>
      <c:overlay val="0"/>
    </c:title>
    <c:autoTitleDeleted val="0"/>
    <c:plotArea>
      <c:layout/>
      <c:barChart>
        <c:barDir val="col"/>
        <c:grouping val="clustered"/>
        <c:varyColors val="0"/>
        <c:ser>
          <c:idx val="0"/>
          <c:order val="0"/>
          <c:tx>
            <c:strRef>
              <c:f>'Věcné a finanční plnění tabulka'!$L$25</c:f>
              <c:strCache>
                <c:ptCount val="1"/>
                <c:pt idx="0">
                  <c:v>Závazek ze schválených projektů</c:v>
                </c:pt>
              </c:strCache>
            </c:strRef>
          </c:tx>
          <c:spPr>
            <a:solidFill>
              <a:schemeClr val="accent4">
                <a:lumMod val="75000"/>
              </a:schemeClr>
            </a:solidFill>
          </c:spPr>
          <c:invertIfNegative val="0"/>
          <c:dPt>
            <c:idx val="6"/>
            <c:invertIfNegative val="0"/>
            <c:bubble3D val="0"/>
            <c:spPr>
              <a:solidFill>
                <a:schemeClr val="accent4">
                  <a:lumMod val="75000"/>
                </a:schemeClr>
              </a:solidFill>
            </c:spPr>
          </c:dPt>
          <c:cat>
            <c:numRef>
              <c:f>('Věcné a finanční plnění tabulka'!$A$30:$A$33;'Věcné a finanční plnění tabulka'!$A$44:$A$46)</c:f>
              <c:numCache>
                <c:formatCode>General</c:formatCode>
                <c:ptCount val="7"/>
                <c:pt idx="0">
                  <c:v>80100</c:v>
                </c:pt>
                <c:pt idx="1">
                  <c:v>80102</c:v>
                </c:pt>
                <c:pt idx="2">
                  <c:v>80101</c:v>
                </c:pt>
                <c:pt idx="3">
                  <c:v>80702</c:v>
                </c:pt>
                <c:pt idx="4">
                  <c:v>80721</c:v>
                </c:pt>
                <c:pt idx="5">
                  <c:v>80712</c:v>
                </c:pt>
                <c:pt idx="6">
                  <c:v>80704</c:v>
                </c:pt>
              </c:numCache>
            </c:numRef>
          </c:cat>
          <c:val>
            <c:numRef>
              <c:f>('Věcné a finanční plnění tabulka'!$L$30:$L$33;'Věcné a finanční plnění tabulka'!$L$44:$L$46)</c:f>
              <c:numCache>
                <c:formatCode>0.00%</c:formatCode>
                <c:ptCount val="7"/>
                <c:pt idx="0">
                  <c:v>1.9272727272727272</c:v>
                </c:pt>
                <c:pt idx="1">
                  <c:v>2.8</c:v>
                </c:pt>
                <c:pt idx="2">
                  <c:v>1.2</c:v>
                </c:pt>
                <c:pt idx="3">
                  <c:v>1.2666666666666666</c:v>
                </c:pt>
                <c:pt idx="4">
                  <c:v>1</c:v>
                </c:pt>
                <c:pt idx="5">
                  <c:v>1.2222222222222223</c:v>
                </c:pt>
                <c:pt idx="6">
                  <c:v>1</c:v>
                </c:pt>
              </c:numCache>
            </c:numRef>
          </c:val>
        </c:ser>
        <c:ser>
          <c:idx val="1"/>
          <c:order val="1"/>
          <c:tx>
            <c:strRef>
              <c:f>'Věcné a finanční plnění tabulka'!$M$25</c:f>
              <c:strCache>
                <c:ptCount val="1"/>
                <c:pt idx="0">
                  <c:v>Projekty s vydaným Rozhodnutím/Stanovením výdajů</c:v>
                </c:pt>
              </c:strCache>
            </c:strRef>
          </c:tx>
          <c:spPr>
            <a:solidFill>
              <a:schemeClr val="accent5">
                <a:lumMod val="60000"/>
                <a:lumOff val="40000"/>
              </a:schemeClr>
            </a:solidFill>
          </c:spPr>
          <c:invertIfNegative val="0"/>
          <c:cat>
            <c:numRef>
              <c:f>('Věcné a finanční plnění tabulka'!$A$30:$A$33;'Věcné a finanční plnění tabulka'!$A$44:$A$46)</c:f>
              <c:numCache>
                <c:formatCode>General</c:formatCode>
                <c:ptCount val="7"/>
                <c:pt idx="0">
                  <c:v>80100</c:v>
                </c:pt>
                <c:pt idx="1">
                  <c:v>80102</c:v>
                </c:pt>
                <c:pt idx="2">
                  <c:v>80101</c:v>
                </c:pt>
                <c:pt idx="3">
                  <c:v>80702</c:v>
                </c:pt>
                <c:pt idx="4">
                  <c:v>80721</c:v>
                </c:pt>
                <c:pt idx="5">
                  <c:v>80712</c:v>
                </c:pt>
                <c:pt idx="6">
                  <c:v>80704</c:v>
                </c:pt>
              </c:numCache>
            </c:numRef>
          </c:cat>
          <c:val>
            <c:numRef>
              <c:f>('Věcné a finanční plnění tabulka'!$M$30:$M$33;'Věcné a finanční plnění tabulka'!$M$44:$M$46)</c:f>
              <c:numCache>
                <c:formatCode>0.00%</c:formatCode>
                <c:ptCount val="7"/>
                <c:pt idx="0">
                  <c:v>1.2351833720323848</c:v>
                </c:pt>
                <c:pt idx="1">
                  <c:v>1.5880086949217964</c:v>
                </c:pt>
                <c:pt idx="2">
                  <c:v>0.48763843322376904</c:v>
                </c:pt>
                <c:pt idx="3">
                  <c:v>0.67373086402151972</c:v>
                </c:pt>
                <c:pt idx="4">
                  <c:v>1.5880086949217964</c:v>
                </c:pt>
                <c:pt idx="5">
                  <c:v>0.48763843322376904</c:v>
                </c:pt>
                <c:pt idx="6">
                  <c:v>0.67373086402151972</c:v>
                </c:pt>
              </c:numCache>
            </c:numRef>
          </c:val>
        </c:ser>
        <c:dLbls>
          <c:showLegendKey val="0"/>
          <c:showVal val="0"/>
          <c:showCatName val="0"/>
          <c:showSerName val="0"/>
          <c:showPercent val="0"/>
          <c:showBubbleSize val="0"/>
        </c:dLbls>
        <c:gapWidth val="150"/>
        <c:axId val="31504256"/>
        <c:axId val="31505792"/>
      </c:barChart>
      <c:catAx>
        <c:axId val="31504256"/>
        <c:scaling>
          <c:orientation val="minMax"/>
        </c:scaling>
        <c:delete val="0"/>
        <c:axPos val="b"/>
        <c:numFmt formatCode="General" sourceLinked="1"/>
        <c:majorTickMark val="out"/>
        <c:minorTickMark val="none"/>
        <c:tickLblPos val="nextTo"/>
        <c:txPr>
          <a:bodyPr/>
          <a:lstStyle/>
          <a:p>
            <a:pPr>
              <a:defRPr b="1"/>
            </a:pPr>
            <a:endParaRPr lang="cs-CZ"/>
          </a:p>
        </c:txPr>
        <c:crossAx val="31505792"/>
        <c:crosses val="autoZero"/>
        <c:auto val="1"/>
        <c:lblAlgn val="ctr"/>
        <c:lblOffset val="100"/>
        <c:noMultiLvlLbl val="0"/>
      </c:catAx>
      <c:valAx>
        <c:axId val="31505792"/>
        <c:scaling>
          <c:orientation val="minMax"/>
        </c:scaling>
        <c:delete val="0"/>
        <c:axPos val="l"/>
        <c:majorGridlines/>
        <c:numFmt formatCode="0%" sourceLinked="0"/>
        <c:majorTickMark val="out"/>
        <c:minorTickMark val="none"/>
        <c:tickLblPos val="nextTo"/>
        <c:txPr>
          <a:bodyPr/>
          <a:lstStyle/>
          <a:p>
            <a:pPr>
              <a:defRPr sz="900" b="1">
                <a:latin typeface="Times New Roman" panose="02020603050405020304" pitchFamily="18" charset="0"/>
                <a:cs typeface="Times New Roman" panose="02020603050405020304" pitchFamily="18" charset="0"/>
              </a:defRPr>
            </a:pPr>
            <a:endParaRPr lang="cs-CZ"/>
          </a:p>
        </c:txPr>
        <c:crossAx val="31504256"/>
        <c:crosses val="autoZero"/>
        <c:crossBetween val="between"/>
        <c:majorUnit val="0.2"/>
      </c:valAx>
      <c:spPr>
        <a:solidFill>
          <a:schemeClr val="bg1">
            <a:lumMod val="85000"/>
          </a:schemeClr>
        </a:solidFill>
      </c:spPr>
    </c:plotArea>
    <c:legend>
      <c:legendPos val="b"/>
      <c:overlay val="0"/>
      <c:txPr>
        <a:bodyPr/>
        <a:lstStyle/>
        <a:p>
          <a:pPr>
            <a:defRPr b="1"/>
          </a:pPr>
          <a:endParaRPr lang="cs-CZ"/>
        </a:p>
      </c:txPr>
    </c:legend>
    <c:plotVisOnly val="1"/>
    <c:dispBlanksAs val="gap"/>
    <c:showDLblsOverMax val="0"/>
  </c:chart>
  <c:spPr>
    <a:solidFill>
      <a:schemeClr val="accent1">
        <a:lumMod val="20000"/>
        <a:lumOff val="80000"/>
      </a:schemeClr>
    </a:solidFill>
    <a:ln>
      <a:solidFill>
        <a:schemeClr val="tx2"/>
      </a:solidFill>
    </a:ln>
  </c:sp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050" b="1" i="0" u="none" strike="noStrike" baseline="0">
                <a:effectLst/>
                <a:latin typeface="Times New Roman" panose="02020603050405020304" pitchFamily="18" charset="0"/>
                <a:cs typeface="Times New Roman" panose="02020603050405020304" pitchFamily="18" charset="0"/>
              </a:rPr>
              <a:t>Věcný a finanční pokrok v oblasti intervence </a:t>
            </a:r>
            <a:r>
              <a:rPr lang="cs-CZ" sz="1050" b="1" i="0" baseline="0">
                <a:latin typeface="Times New Roman" panose="02020603050405020304" pitchFamily="18" charset="0"/>
                <a:cs typeface="Times New Roman" panose="02020603050405020304" pitchFamily="18" charset="0"/>
              </a:rPr>
              <a:t>3.3</a:t>
            </a:r>
            <a:endParaRPr lang="cs-CZ" sz="105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'Věcné a finanční plnění tabulka'!$L$25</c:f>
              <c:strCache>
                <c:ptCount val="1"/>
                <c:pt idx="0">
                  <c:v>Závazek ze schválených projektů</c:v>
                </c:pt>
              </c:strCache>
            </c:strRef>
          </c:tx>
          <c:spPr>
            <a:solidFill>
              <a:schemeClr val="accent4">
                <a:lumMod val="75000"/>
              </a:schemeClr>
            </a:solidFill>
          </c:spPr>
          <c:invertIfNegative val="0"/>
          <c:cat>
            <c:numRef>
              <c:f>('Věcné a finanční plnění tabulka'!$A$34:$A$36;'Věcné a finanční plnění tabulka'!$A$47:$A$49)</c:f>
              <c:numCache>
                <c:formatCode>General</c:formatCode>
                <c:ptCount val="6"/>
                <c:pt idx="0">
                  <c:v>74521</c:v>
                </c:pt>
                <c:pt idx="1">
                  <c:v>74532</c:v>
                </c:pt>
                <c:pt idx="2">
                  <c:v>74533</c:v>
                </c:pt>
                <c:pt idx="3">
                  <c:v>74514</c:v>
                </c:pt>
                <c:pt idx="4">
                  <c:v>74512</c:v>
                </c:pt>
                <c:pt idx="5">
                  <c:v>74513</c:v>
                </c:pt>
              </c:numCache>
            </c:numRef>
          </c:cat>
          <c:val>
            <c:numRef>
              <c:f>('Věcné a finanční plnění tabulka'!$L$34:$L$36;'Věcné a finanční plnění tabulka'!$L$47:$L$49)</c:f>
              <c:numCache>
                <c:formatCode>0.00%</c:formatCode>
                <c:ptCount val="6"/>
                <c:pt idx="0">
                  <c:v>1.0833333333333333</c:v>
                </c:pt>
                <c:pt idx="1">
                  <c:v>1.3333333333333333</c:v>
                </c:pt>
                <c:pt idx="2">
                  <c:v>1</c:v>
                </c:pt>
                <c:pt idx="3">
                  <c:v>1.143888888888889</c:v>
                </c:pt>
                <c:pt idx="4">
                  <c:v>1.0015000000000001</c:v>
                </c:pt>
                <c:pt idx="5">
                  <c:v>1</c:v>
                </c:pt>
              </c:numCache>
            </c:numRef>
          </c:val>
        </c:ser>
        <c:ser>
          <c:idx val="1"/>
          <c:order val="1"/>
          <c:tx>
            <c:strRef>
              <c:f>'Věcné a finanční plnění tabulka'!$M$25</c:f>
              <c:strCache>
                <c:ptCount val="1"/>
                <c:pt idx="0">
                  <c:v>Projekty s vydaným Rozhodnutím/Stanovením výdajů</c:v>
                </c:pt>
              </c:strCache>
            </c:strRef>
          </c:tx>
          <c:spPr>
            <a:solidFill>
              <a:schemeClr val="accent5">
                <a:lumMod val="60000"/>
                <a:lumOff val="40000"/>
              </a:schemeClr>
            </a:solidFill>
          </c:spPr>
          <c:invertIfNegative val="0"/>
          <c:cat>
            <c:numRef>
              <c:f>('Věcné a finanční plnění tabulka'!$A$34:$A$36;'Věcné a finanční plnění tabulka'!$A$47:$A$49)</c:f>
              <c:numCache>
                <c:formatCode>General</c:formatCode>
                <c:ptCount val="6"/>
                <c:pt idx="0">
                  <c:v>74521</c:v>
                </c:pt>
                <c:pt idx="1">
                  <c:v>74532</c:v>
                </c:pt>
                <c:pt idx="2">
                  <c:v>74533</c:v>
                </c:pt>
                <c:pt idx="3">
                  <c:v>74514</c:v>
                </c:pt>
                <c:pt idx="4">
                  <c:v>74512</c:v>
                </c:pt>
                <c:pt idx="5">
                  <c:v>74513</c:v>
                </c:pt>
              </c:numCache>
            </c:numRef>
          </c:cat>
          <c:val>
            <c:numRef>
              <c:f>('Věcné a finanční plnění tabulka'!$M$34:$M$36;'Věcné a finanční plnění tabulka'!$M$47:$M$49)</c:f>
              <c:numCache>
                <c:formatCode>0.00%</c:formatCode>
                <c:ptCount val="6"/>
                <c:pt idx="0">
                  <c:v>0.72376723721653391</c:v>
                </c:pt>
                <c:pt idx="1">
                  <c:v>0.69056401286969438</c:v>
                </c:pt>
                <c:pt idx="2">
                  <c:v>0.52781969825240715</c:v>
                </c:pt>
                <c:pt idx="3">
                  <c:v>0.72376723721653391</c:v>
                </c:pt>
                <c:pt idx="4">
                  <c:v>0.69056401286969438</c:v>
                </c:pt>
                <c:pt idx="5">
                  <c:v>0.52781969825240715</c:v>
                </c:pt>
              </c:numCache>
            </c:numRef>
          </c:val>
        </c:ser>
        <c:dLbls>
          <c:showLegendKey val="0"/>
          <c:showVal val="0"/>
          <c:showCatName val="0"/>
          <c:showSerName val="0"/>
          <c:showPercent val="0"/>
          <c:showBubbleSize val="0"/>
        </c:dLbls>
        <c:gapWidth val="150"/>
        <c:axId val="30270592"/>
        <c:axId val="30272128"/>
      </c:barChart>
      <c:catAx>
        <c:axId val="30270592"/>
        <c:scaling>
          <c:orientation val="minMax"/>
        </c:scaling>
        <c:delete val="0"/>
        <c:axPos val="b"/>
        <c:numFmt formatCode="General" sourceLinked="1"/>
        <c:majorTickMark val="out"/>
        <c:minorTickMark val="none"/>
        <c:tickLblPos val="nextTo"/>
        <c:txPr>
          <a:bodyPr/>
          <a:lstStyle/>
          <a:p>
            <a:pPr>
              <a:defRPr b="1"/>
            </a:pPr>
            <a:endParaRPr lang="cs-CZ"/>
          </a:p>
        </c:txPr>
        <c:crossAx val="30272128"/>
        <c:crosses val="autoZero"/>
        <c:auto val="1"/>
        <c:lblAlgn val="ctr"/>
        <c:lblOffset val="100"/>
        <c:noMultiLvlLbl val="0"/>
      </c:catAx>
      <c:valAx>
        <c:axId val="30272128"/>
        <c:scaling>
          <c:orientation val="minMax"/>
        </c:scaling>
        <c:delete val="0"/>
        <c:axPos val="l"/>
        <c:majorGridlines/>
        <c:numFmt formatCode="0%" sourceLinked="0"/>
        <c:majorTickMark val="out"/>
        <c:minorTickMark val="none"/>
        <c:tickLblPos val="nextTo"/>
        <c:txPr>
          <a:bodyPr/>
          <a:lstStyle/>
          <a:p>
            <a:pPr>
              <a:defRPr b="1"/>
            </a:pPr>
            <a:endParaRPr lang="cs-CZ"/>
          </a:p>
        </c:txPr>
        <c:crossAx val="30270592"/>
        <c:crosses val="autoZero"/>
        <c:crossBetween val="between"/>
      </c:valAx>
      <c:spPr>
        <a:solidFill>
          <a:schemeClr val="bg1">
            <a:lumMod val="85000"/>
          </a:schemeClr>
        </a:solidFill>
      </c:spPr>
    </c:plotArea>
    <c:legend>
      <c:legendPos val="b"/>
      <c:overlay val="0"/>
      <c:txPr>
        <a:bodyPr/>
        <a:lstStyle/>
        <a:p>
          <a:pPr>
            <a:defRPr b="1"/>
          </a:pPr>
          <a:endParaRPr lang="cs-CZ"/>
        </a:p>
      </c:txPr>
    </c:legend>
    <c:plotVisOnly val="1"/>
    <c:dispBlanksAs val="gap"/>
    <c:showDLblsOverMax val="0"/>
  </c:chart>
  <c:spPr>
    <a:solidFill>
      <a:schemeClr val="accent1">
        <a:lumMod val="20000"/>
        <a:lumOff val="80000"/>
      </a:schemeClr>
    </a:solidFill>
    <a:ln>
      <a:solidFill>
        <a:schemeClr val="tx2"/>
      </a:solidFill>
    </a:ln>
  </c:sp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latin typeface="Times New Roman" panose="02020603050405020304" pitchFamily="18" charset="0"/>
                <a:cs typeface="Times New Roman" panose="02020603050405020304" pitchFamily="18" charset="0"/>
              </a:defRPr>
            </a:pPr>
            <a:r>
              <a:rPr lang="cs-CZ" sz="1050" b="1" i="0" u="none" strike="noStrike" baseline="0">
                <a:effectLst/>
                <a:latin typeface="Times New Roman" panose="02020603050405020304" pitchFamily="18" charset="0"/>
                <a:cs typeface="Times New Roman" panose="02020603050405020304" pitchFamily="18" charset="0"/>
              </a:rPr>
              <a:t>Věcný a finanční pokrok v oblasti intervence </a:t>
            </a:r>
            <a:r>
              <a:rPr lang="cs-CZ" sz="1050" b="1" i="0" baseline="0">
                <a:latin typeface="Times New Roman" panose="02020603050405020304" pitchFamily="18" charset="0"/>
                <a:cs typeface="Times New Roman" panose="02020603050405020304" pitchFamily="18" charset="0"/>
              </a:rPr>
              <a:t>3.4</a:t>
            </a:r>
          </a:p>
        </c:rich>
      </c:tx>
      <c:overlay val="0"/>
    </c:title>
    <c:autoTitleDeleted val="0"/>
    <c:plotArea>
      <c:layout/>
      <c:barChart>
        <c:barDir val="col"/>
        <c:grouping val="clustered"/>
        <c:varyColors val="0"/>
        <c:ser>
          <c:idx val="0"/>
          <c:order val="0"/>
          <c:tx>
            <c:strRef>
              <c:f>'Věcné a finanční plnění tabulka'!$L$25</c:f>
              <c:strCache>
                <c:ptCount val="1"/>
                <c:pt idx="0">
                  <c:v>Závazek ze schválených projektů</c:v>
                </c:pt>
              </c:strCache>
            </c:strRef>
          </c:tx>
          <c:spPr>
            <a:solidFill>
              <a:schemeClr val="accent4">
                <a:lumMod val="75000"/>
              </a:schemeClr>
            </a:solidFill>
          </c:spPr>
          <c:invertIfNegative val="0"/>
          <c:dPt>
            <c:idx val="1"/>
            <c:invertIfNegative val="0"/>
            <c:bubble3D val="0"/>
            <c:spPr>
              <a:solidFill>
                <a:schemeClr val="accent4">
                  <a:lumMod val="75000"/>
                </a:schemeClr>
              </a:solidFill>
            </c:spPr>
          </c:dPt>
          <c:dPt>
            <c:idx val="3"/>
            <c:invertIfNegative val="0"/>
            <c:bubble3D val="0"/>
            <c:spPr>
              <a:solidFill>
                <a:schemeClr val="accent4">
                  <a:lumMod val="75000"/>
                </a:schemeClr>
              </a:solidFill>
            </c:spPr>
          </c:dPt>
          <c:dPt>
            <c:idx val="6"/>
            <c:invertIfNegative val="0"/>
            <c:bubble3D val="0"/>
            <c:spPr>
              <a:solidFill>
                <a:schemeClr val="accent4">
                  <a:lumMod val="75000"/>
                </a:schemeClr>
              </a:solidFill>
            </c:spPr>
          </c:dPt>
          <c:cat>
            <c:numRef>
              <c:f>('Věcné a finanční plnění tabulka'!$A$37:$A$40;'Věcné a finanční plnění tabulka'!$A$50:$A$52)</c:f>
              <c:numCache>
                <c:formatCode>General</c:formatCode>
                <c:ptCount val="7"/>
                <c:pt idx="0">
                  <c:v>260407</c:v>
                </c:pt>
                <c:pt idx="1">
                  <c:v>260408</c:v>
                </c:pt>
                <c:pt idx="2">
                  <c:v>260410</c:v>
                </c:pt>
                <c:pt idx="3">
                  <c:v>260412</c:v>
                </c:pt>
                <c:pt idx="4">
                  <c:v>260401</c:v>
                </c:pt>
                <c:pt idx="5">
                  <c:v>260406</c:v>
                </c:pt>
                <c:pt idx="6">
                  <c:v>260404</c:v>
                </c:pt>
              </c:numCache>
            </c:numRef>
          </c:cat>
          <c:val>
            <c:numRef>
              <c:f>('Věcné a finanční plnění tabulka'!$L$37:$L$40;'Věcné a finanční plnění tabulka'!$L$50:$L$52)</c:f>
              <c:numCache>
                <c:formatCode>0.00%</c:formatCode>
                <c:ptCount val="7"/>
                <c:pt idx="0">
                  <c:v>1</c:v>
                </c:pt>
                <c:pt idx="1">
                  <c:v>1</c:v>
                </c:pt>
                <c:pt idx="2">
                  <c:v>0.99728997289972898</c:v>
                </c:pt>
                <c:pt idx="3">
                  <c:v>2.1743761412051126</c:v>
                </c:pt>
                <c:pt idx="4">
                  <c:v>1</c:v>
                </c:pt>
                <c:pt idx="5">
                  <c:v>0</c:v>
                </c:pt>
                <c:pt idx="6">
                  <c:v>1</c:v>
                </c:pt>
              </c:numCache>
            </c:numRef>
          </c:val>
        </c:ser>
        <c:ser>
          <c:idx val="1"/>
          <c:order val="1"/>
          <c:tx>
            <c:strRef>
              <c:f>'Věcné a finanční plnění tabulka'!$M$25</c:f>
              <c:strCache>
                <c:ptCount val="1"/>
                <c:pt idx="0">
                  <c:v>Projekty s vydaným Rozhodnutím/Stanovením výdajů</c:v>
                </c:pt>
              </c:strCache>
            </c:strRef>
          </c:tx>
          <c:spPr>
            <a:solidFill>
              <a:schemeClr val="accent5">
                <a:lumMod val="60000"/>
                <a:lumOff val="40000"/>
              </a:schemeClr>
            </a:solidFill>
          </c:spPr>
          <c:invertIfNegative val="0"/>
          <c:cat>
            <c:numRef>
              <c:f>('Věcné a finanční plnění tabulka'!$A$37:$A$40;'Věcné a finanční plnění tabulka'!$A$50:$A$52)</c:f>
              <c:numCache>
                <c:formatCode>General</c:formatCode>
                <c:ptCount val="7"/>
                <c:pt idx="0">
                  <c:v>260407</c:v>
                </c:pt>
                <c:pt idx="1">
                  <c:v>260408</c:v>
                </c:pt>
                <c:pt idx="2">
                  <c:v>260410</c:v>
                </c:pt>
                <c:pt idx="3">
                  <c:v>260412</c:v>
                </c:pt>
                <c:pt idx="4">
                  <c:v>260401</c:v>
                </c:pt>
                <c:pt idx="5">
                  <c:v>260406</c:v>
                </c:pt>
                <c:pt idx="6">
                  <c:v>260404</c:v>
                </c:pt>
              </c:numCache>
            </c:numRef>
          </c:cat>
          <c:val>
            <c:numRef>
              <c:f>('Věcné a finanční plnění tabulka'!$M$37:$M$40;'Věcné a finanční plnění tabulka'!$M$50:$M$52)</c:f>
              <c:numCache>
                <c:formatCode>0.00%</c:formatCode>
                <c:ptCount val="7"/>
                <c:pt idx="0">
                  <c:v>0.98391373096953727</c:v>
                </c:pt>
                <c:pt idx="1">
                  <c:v>0.79152250483924846</c:v>
                </c:pt>
                <c:pt idx="2">
                  <c:v>1.1148226862198751</c:v>
                </c:pt>
                <c:pt idx="3">
                  <c:v>1.0749482111264104</c:v>
                </c:pt>
                <c:pt idx="4">
                  <c:v>0.98391373096953727</c:v>
                </c:pt>
                <c:pt idx="5">
                  <c:v>1.0749482111264104</c:v>
                </c:pt>
                <c:pt idx="6">
                  <c:v>0.79152250483924846</c:v>
                </c:pt>
              </c:numCache>
            </c:numRef>
          </c:val>
        </c:ser>
        <c:dLbls>
          <c:showLegendKey val="0"/>
          <c:showVal val="0"/>
          <c:showCatName val="0"/>
          <c:showSerName val="0"/>
          <c:showPercent val="0"/>
          <c:showBubbleSize val="0"/>
        </c:dLbls>
        <c:gapWidth val="150"/>
        <c:axId val="31659136"/>
        <c:axId val="31660672"/>
      </c:barChart>
      <c:catAx>
        <c:axId val="31659136"/>
        <c:scaling>
          <c:orientation val="minMax"/>
        </c:scaling>
        <c:delete val="0"/>
        <c:axPos val="b"/>
        <c:numFmt formatCode="General" sourceLinked="1"/>
        <c:majorTickMark val="out"/>
        <c:minorTickMark val="none"/>
        <c:tickLblPos val="nextTo"/>
        <c:txPr>
          <a:bodyPr/>
          <a:lstStyle/>
          <a:p>
            <a:pPr>
              <a:defRPr b="1"/>
            </a:pPr>
            <a:endParaRPr lang="cs-CZ"/>
          </a:p>
        </c:txPr>
        <c:crossAx val="31660672"/>
        <c:crosses val="autoZero"/>
        <c:auto val="1"/>
        <c:lblAlgn val="ctr"/>
        <c:lblOffset val="100"/>
        <c:noMultiLvlLbl val="0"/>
      </c:catAx>
      <c:valAx>
        <c:axId val="31660672"/>
        <c:scaling>
          <c:orientation val="minMax"/>
          <c:min val="0"/>
        </c:scaling>
        <c:delete val="0"/>
        <c:axPos val="l"/>
        <c:majorGridlines/>
        <c:numFmt formatCode="0%" sourceLinked="0"/>
        <c:majorTickMark val="out"/>
        <c:minorTickMark val="none"/>
        <c:tickLblPos val="nextTo"/>
        <c:txPr>
          <a:bodyPr/>
          <a:lstStyle/>
          <a:p>
            <a:pPr>
              <a:defRPr b="1"/>
            </a:pPr>
            <a:endParaRPr lang="cs-CZ"/>
          </a:p>
        </c:txPr>
        <c:crossAx val="31659136"/>
        <c:crosses val="autoZero"/>
        <c:crossBetween val="between"/>
        <c:majorUnit val="0.2"/>
      </c:valAx>
      <c:spPr>
        <a:solidFill>
          <a:schemeClr val="bg1">
            <a:lumMod val="85000"/>
          </a:schemeClr>
        </a:solidFill>
      </c:spPr>
    </c:plotArea>
    <c:legend>
      <c:legendPos val="b"/>
      <c:overlay val="0"/>
      <c:txPr>
        <a:bodyPr/>
        <a:lstStyle/>
        <a:p>
          <a:pPr>
            <a:defRPr b="1"/>
          </a:pPr>
          <a:endParaRPr lang="cs-CZ"/>
        </a:p>
      </c:txPr>
    </c:legend>
    <c:plotVisOnly val="1"/>
    <c:dispBlanksAs val="gap"/>
    <c:showDLblsOverMax val="0"/>
  </c:chart>
  <c:spPr>
    <a:solidFill>
      <a:schemeClr val="accent1">
        <a:lumMod val="20000"/>
        <a:lumOff val="80000"/>
      </a:schemeClr>
    </a:solidFill>
    <a:ln>
      <a:solidFill>
        <a:schemeClr val="tx2"/>
      </a:solidFill>
    </a:ln>
  </c:sp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latin typeface="Times New Roman" panose="02020603050405020304" pitchFamily="18" charset="0"/>
                <a:cs typeface="Times New Roman" panose="02020603050405020304" pitchFamily="18" charset="0"/>
              </a:defRPr>
            </a:pPr>
            <a:r>
              <a:rPr lang="cs-CZ" sz="1050" b="1" i="0" u="none" strike="noStrike" baseline="0">
                <a:effectLst/>
                <a:latin typeface="Times New Roman" panose="02020603050405020304" pitchFamily="18" charset="0"/>
                <a:cs typeface="Times New Roman" panose="02020603050405020304" pitchFamily="18" charset="0"/>
              </a:rPr>
              <a:t>Věcný a finanční pokrok v oblasti intervence </a:t>
            </a:r>
            <a:r>
              <a:rPr lang="cs-CZ" sz="1050">
                <a:latin typeface="Times New Roman" panose="02020603050405020304" pitchFamily="18" charset="0"/>
                <a:cs typeface="Times New Roman" panose="02020603050405020304" pitchFamily="18" charset="0"/>
              </a:rPr>
              <a:t>4.1</a:t>
            </a:r>
          </a:p>
        </c:rich>
      </c:tx>
      <c:overlay val="0"/>
    </c:title>
    <c:autoTitleDeleted val="0"/>
    <c:plotArea>
      <c:layout>
        <c:manualLayout>
          <c:layoutTarget val="inner"/>
          <c:xMode val="edge"/>
          <c:yMode val="edge"/>
          <c:x val="0.10341745298366629"/>
          <c:y val="0.18190148464266395"/>
          <c:w val="0.89573831370252277"/>
          <c:h val="0.57948100805591374"/>
        </c:manualLayout>
      </c:layout>
      <c:barChart>
        <c:barDir val="col"/>
        <c:grouping val="clustered"/>
        <c:varyColors val="0"/>
        <c:ser>
          <c:idx val="0"/>
          <c:order val="0"/>
          <c:tx>
            <c:strRef>
              <c:f>'Věcné a finanční plnění tabulka'!$L$68</c:f>
              <c:strCache>
                <c:ptCount val="1"/>
                <c:pt idx="0">
                  <c:v>Závazek ze schválených projektů</c:v>
                </c:pt>
              </c:strCache>
            </c:strRef>
          </c:tx>
          <c:spPr>
            <a:solidFill>
              <a:schemeClr val="accent4">
                <a:lumMod val="75000"/>
              </a:schemeClr>
            </a:solidFill>
          </c:spPr>
          <c:invertIfNegative val="0"/>
          <c:dPt>
            <c:idx val="0"/>
            <c:invertIfNegative val="0"/>
            <c:bubble3D val="0"/>
          </c:dPt>
          <c:dPt>
            <c:idx val="5"/>
            <c:invertIfNegative val="0"/>
            <c:bubble3D val="0"/>
          </c:dPt>
          <c:cat>
            <c:strRef>
              <c:f>'Věcné a finanční plnění tabulka'!$A$57:$A$65</c:f>
              <c:strCache>
                <c:ptCount val="9"/>
                <c:pt idx="0">
                  <c:v>410100   Core 34</c:v>
                </c:pt>
                <c:pt idx="1">
                  <c:v>413305</c:v>
                </c:pt>
                <c:pt idx="2">
                  <c:v>413315</c:v>
                </c:pt>
                <c:pt idx="3">
                  <c:v>410304</c:v>
                </c:pt>
                <c:pt idx="4">
                  <c:v>410303</c:v>
                </c:pt>
                <c:pt idx="5">
                  <c:v>413311</c:v>
                </c:pt>
                <c:pt idx="6">
                  <c:v>413320</c:v>
                </c:pt>
                <c:pt idx="7">
                  <c:v>413321</c:v>
                </c:pt>
                <c:pt idx="8">
                  <c:v>410302</c:v>
                </c:pt>
              </c:strCache>
            </c:strRef>
          </c:cat>
          <c:val>
            <c:numRef>
              <c:f>('Věcné a finanční plnění tabulka'!$L$57:$L$61;'Věcné a finanční plnění tabulka'!$L$62:$L$65)</c:f>
              <c:numCache>
                <c:formatCode>0.00%</c:formatCode>
                <c:ptCount val="9"/>
                <c:pt idx="0">
                  <c:v>1.2537313432835822</c:v>
                </c:pt>
                <c:pt idx="1">
                  <c:v>0</c:v>
                </c:pt>
                <c:pt idx="2">
                  <c:v>0.5</c:v>
                </c:pt>
                <c:pt idx="3">
                  <c:v>1.0833333333333333</c:v>
                </c:pt>
                <c:pt idx="4">
                  <c:v>1.2093023255813953</c:v>
                </c:pt>
                <c:pt idx="5">
                  <c:v>0</c:v>
                </c:pt>
                <c:pt idx="6">
                  <c:v>1.1399999999999999</c:v>
                </c:pt>
                <c:pt idx="7">
                  <c:v>0.58333333333333337</c:v>
                </c:pt>
                <c:pt idx="8">
                  <c:v>1.7</c:v>
                </c:pt>
              </c:numCache>
            </c:numRef>
          </c:val>
        </c:ser>
        <c:ser>
          <c:idx val="1"/>
          <c:order val="1"/>
          <c:tx>
            <c:strRef>
              <c:f>'Věcné a finanční plnění tabulka'!$M$68</c:f>
              <c:strCache>
                <c:ptCount val="1"/>
                <c:pt idx="0">
                  <c:v>Projekty s vydaným Rozhodnutím/Stanovením výdajů</c:v>
                </c:pt>
              </c:strCache>
            </c:strRef>
          </c:tx>
          <c:spPr>
            <a:solidFill>
              <a:schemeClr val="accent5">
                <a:lumMod val="60000"/>
                <a:lumOff val="40000"/>
              </a:schemeClr>
            </a:solidFill>
          </c:spPr>
          <c:invertIfNegative val="0"/>
          <c:cat>
            <c:strRef>
              <c:f>'Věcné a finanční plnění tabulka'!$A$57:$A$65</c:f>
              <c:strCache>
                <c:ptCount val="9"/>
                <c:pt idx="0">
                  <c:v>410100   Core 34</c:v>
                </c:pt>
                <c:pt idx="1">
                  <c:v>413305</c:v>
                </c:pt>
                <c:pt idx="2">
                  <c:v>413315</c:v>
                </c:pt>
                <c:pt idx="3">
                  <c:v>410304</c:v>
                </c:pt>
                <c:pt idx="4">
                  <c:v>410303</c:v>
                </c:pt>
                <c:pt idx="5">
                  <c:v>413311</c:v>
                </c:pt>
                <c:pt idx="6">
                  <c:v>413320</c:v>
                </c:pt>
                <c:pt idx="7">
                  <c:v>413321</c:v>
                </c:pt>
                <c:pt idx="8">
                  <c:v>410302</c:v>
                </c:pt>
              </c:strCache>
            </c:strRef>
          </c:cat>
          <c:val>
            <c:numRef>
              <c:f>('Věcné a finanční plnění tabulka'!$M$57:$M$61;'Věcné a finanční plnění tabulka'!$M$62:$M$65)</c:f>
              <c:numCache>
                <c:formatCode>0.00%</c:formatCode>
                <c:ptCount val="9"/>
                <c:pt idx="0">
                  <c:v>0.89047298108954553</c:v>
                </c:pt>
                <c:pt idx="1">
                  <c:v>0</c:v>
                </c:pt>
                <c:pt idx="2">
                  <c:v>0.1990789929407282</c:v>
                </c:pt>
                <c:pt idx="3">
                  <c:v>0.54719297279881929</c:v>
                </c:pt>
                <c:pt idx="4">
                  <c:v>0.66720150530270028</c:v>
                </c:pt>
                <c:pt idx="5">
                  <c:v>0</c:v>
                </c:pt>
                <c:pt idx="6">
                  <c:v>0.1990789929407282</c:v>
                </c:pt>
                <c:pt idx="7">
                  <c:v>0.54719297279881929</c:v>
                </c:pt>
                <c:pt idx="8">
                  <c:v>1.9432045370675108</c:v>
                </c:pt>
              </c:numCache>
            </c:numRef>
          </c:val>
        </c:ser>
        <c:dLbls>
          <c:showLegendKey val="0"/>
          <c:showVal val="0"/>
          <c:showCatName val="0"/>
          <c:showSerName val="0"/>
          <c:showPercent val="0"/>
          <c:showBubbleSize val="0"/>
        </c:dLbls>
        <c:gapWidth val="150"/>
        <c:axId val="31698944"/>
        <c:axId val="31700480"/>
      </c:barChart>
      <c:catAx>
        <c:axId val="31698944"/>
        <c:scaling>
          <c:orientation val="minMax"/>
        </c:scaling>
        <c:delete val="0"/>
        <c:axPos val="b"/>
        <c:numFmt formatCode="General" sourceLinked="1"/>
        <c:majorTickMark val="out"/>
        <c:minorTickMark val="none"/>
        <c:tickLblPos val="nextTo"/>
        <c:txPr>
          <a:bodyPr/>
          <a:lstStyle/>
          <a:p>
            <a:pPr>
              <a:defRPr b="1"/>
            </a:pPr>
            <a:endParaRPr lang="cs-CZ"/>
          </a:p>
        </c:txPr>
        <c:crossAx val="31700480"/>
        <c:crosses val="autoZero"/>
        <c:auto val="1"/>
        <c:lblAlgn val="ctr"/>
        <c:lblOffset val="100"/>
        <c:noMultiLvlLbl val="0"/>
      </c:catAx>
      <c:valAx>
        <c:axId val="31700480"/>
        <c:scaling>
          <c:orientation val="minMax"/>
          <c:max val="2.5"/>
        </c:scaling>
        <c:delete val="0"/>
        <c:axPos val="l"/>
        <c:majorGridlines/>
        <c:numFmt formatCode="0.0%" sourceLinked="0"/>
        <c:majorTickMark val="out"/>
        <c:minorTickMark val="none"/>
        <c:tickLblPos val="nextTo"/>
        <c:txPr>
          <a:bodyPr/>
          <a:lstStyle/>
          <a:p>
            <a:pPr>
              <a:defRPr b="1"/>
            </a:pPr>
            <a:endParaRPr lang="cs-CZ"/>
          </a:p>
        </c:txPr>
        <c:crossAx val="31698944"/>
        <c:crosses val="autoZero"/>
        <c:crossBetween val="between"/>
      </c:valAx>
      <c:spPr>
        <a:solidFill>
          <a:schemeClr val="bg1">
            <a:lumMod val="85000"/>
          </a:schemeClr>
        </a:solidFill>
      </c:spPr>
    </c:plotArea>
    <c:legend>
      <c:legendPos val="b"/>
      <c:overlay val="0"/>
      <c:txPr>
        <a:bodyPr/>
        <a:lstStyle/>
        <a:p>
          <a:pPr>
            <a:defRPr b="1">
              <a:latin typeface="Times New Roman" panose="02020603050405020304" pitchFamily="18" charset="0"/>
              <a:cs typeface="Times New Roman" panose="02020603050405020304" pitchFamily="18" charset="0"/>
            </a:defRPr>
          </a:pPr>
          <a:endParaRPr lang="cs-CZ"/>
        </a:p>
      </c:txPr>
    </c:legend>
    <c:plotVisOnly val="1"/>
    <c:dispBlanksAs val="gap"/>
    <c:showDLblsOverMax val="0"/>
  </c:chart>
  <c:spPr>
    <a:solidFill>
      <a:schemeClr val="accent1">
        <a:lumMod val="20000"/>
        <a:lumOff val="80000"/>
      </a:schemeClr>
    </a:solidFill>
    <a:ln>
      <a:solidFill>
        <a:schemeClr val="tx2"/>
      </a:solidFill>
    </a:ln>
  </c:sp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latin typeface="Times New Roman" panose="02020603050405020304" pitchFamily="18" charset="0"/>
                <a:cs typeface="Times New Roman" panose="02020603050405020304" pitchFamily="18" charset="0"/>
              </a:defRPr>
            </a:pPr>
            <a:r>
              <a:rPr lang="cs-CZ" sz="1050" b="1" i="0" u="none" strike="noStrike" baseline="0">
                <a:effectLst/>
                <a:latin typeface="Times New Roman" panose="02020603050405020304" pitchFamily="18" charset="0"/>
                <a:cs typeface="Times New Roman" panose="02020603050405020304" pitchFamily="18" charset="0"/>
              </a:rPr>
              <a:t>Věcný a finanční pokrok v oblasti intervence </a:t>
            </a:r>
            <a:r>
              <a:rPr lang="cs-CZ" sz="1050" b="1" i="0" baseline="0">
                <a:latin typeface="Times New Roman" panose="02020603050405020304" pitchFamily="18" charset="0"/>
                <a:cs typeface="Times New Roman" panose="02020603050405020304" pitchFamily="18" charset="0"/>
              </a:rPr>
              <a:t>5.1</a:t>
            </a:r>
            <a:endParaRPr lang="cs-CZ" sz="1050">
              <a:latin typeface="Times New Roman" panose="02020603050405020304" pitchFamily="18" charset="0"/>
              <a:cs typeface="Times New Roman" panose="02020603050405020304" pitchFamily="18" charset="0"/>
            </a:endParaRPr>
          </a:p>
        </c:rich>
      </c:tx>
      <c:overlay val="0"/>
    </c:title>
    <c:autoTitleDeleted val="0"/>
    <c:plotArea>
      <c:layout>
        <c:manualLayout>
          <c:layoutTarget val="inner"/>
          <c:xMode val="edge"/>
          <c:yMode val="edge"/>
          <c:x val="0.11299966981621519"/>
          <c:y val="0.12684097180160173"/>
          <c:w val="0.86993754911064358"/>
          <c:h val="0.63431994077663356"/>
        </c:manualLayout>
      </c:layout>
      <c:barChart>
        <c:barDir val="col"/>
        <c:grouping val="clustered"/>
        <c:varyColors val="0"/>
        <c:ser>
          <c:idx val="0"/>
          <c:order val="0"/>
          <c:tx>
            <c:strRef>
              <c:f>'Věcné a finanční plnění tabulka'!$L$68</c:f>
              <c:strCache>
                <c:ptCount val="1"/>
                <c:pt idx="0">
                  <c:v>Závazek ze schválených projektů</c:v>
                </c:pt>
              </c:strCache>
            </c:strRef>
          </c:tx>
          <c:spPr>
            <a:solidFill>
              <a:schemeClr val="accent4">
                <a:lumMod val="75000"/>
              </a:schemeClr>
            </a:solidFill>
          </c:spPr>
          <c:invertIfNegative val="0"/>
          <c:dPt>
            <c:idx val="1"/>
            <c:invertIfNegative val="0"/>
            <c:bubble3D val="0"/>
            <c:spPr>
              <a:solidFill>
                <a:schemeClr val="accent4">
                  <a:lumMod val="75000"/>
                </a:schemeClr>
              </a:solidFill>
            </c:spPr>
          </c:dPt>
          <c:cat>
            <c:numRef>
              <c:f>('Věcné a finanční plnění tabulka'!$A$69:$A$70;'Věcné a finanční plnění tabulka'!$A$80:$A$81)</c:f>
              <c:numCache>
                <c:formatCode>General</c:formatCode>
                <c:ptCount val="4"/>
                <c:pt idx="0">
                  <c:v>410401</c:v>
                </c:pt>
                <c:pt idx="1">
                  <c:v>410402</c:v>
                </c:pt>
                <c:pt idx="2">
                  <c:v>410404</c:v>
                </c:pt>
                <c:pt idx="3">
                  <c:v>410411</c:v>
                </c:pt>
              </c:numCache>
            </c:numRef>
          </c:cat>
          <c:val>
            <c:numRef>
              <c:f>('Věcné a finanční plnění tabulka'!$L$69:$L$70;'Věcné a finanční plnění tabulka'!$L$80:$L$81)</c:f>
              <c:numCache>
                <c:formatCode>0.00%</c:formatCode>
                <c:ptCount val="4"/>
                <c:pt idx="0">
                  <c:v>1.5571428571428572</c:v>
                </c:pt>
                <c:pt idx="1">
                  <c:v>0.8</c:v>
                </c:pt>
                <c:pt idx="2">
                  <c:v>1</c:v>
                </c:pt>
                <c:pt idx="3">
                  <c:v>1.1444720496894409</c:v>
                </c:pt>
              </c:numCache>
            </c:numRef>
          </c:val>
        </c:ser>
        <c:ser>
          <c:idx val="1"/>
          <c:order val="1"/>
          <c:tx>
            <c:strRef>
              <c:f>'Věcné a finanční plnění tabulka'!$M$68</c:f>
              <c:strCache>
                <c:ptCount val="1"/>
                <c:pt idx="0">
                  <c:v>Projekty s vydaným Rozhodnutím/Stanovením výdajů</c:v>
                </c:pt>
              </c:strCache>
            </c:strRef>
          </c:tx>
          <c:spPr>
            <a:solidFill>
              <a:schemeClr val="accent5">
                <a:lumMod val="60000"/>
                <a:lumOff val="40000"/>
              </a:schemeClr>
            </a:solidFill>
          </c:spPr>
          <c:invertIfNegative val="0"/>
          <c:cat>
            <c:numRef>
              <c:f>('Věcné a finanční plnění tabulka'!$A$69:$A$70;'Věcné a finanční plnění tabulka'!$A$80:$A$81)</c:f>
              <c:numCache>
                <c:formatCode>General</c:formatCode>
                <c:ptCount val="4"/>
                <c:pt idx="0">
                  <c:v>410401</c:v>
                </c:pt>
                <c:pt idx="1">
                  <c:v>410402</c:v>
                </c:pt>
                <c:pt idx="2">
                  <c:v>410404</c:v>
                </c:pt>
                <c:pt idx="3">
                  <c:v>410411</c:v>
                </c:pt>
              </c:numCache>
            </c:numRef>
          </c:cat>
          <c:val>
            <c:numRef>
              <c:f>('Věcné a finanční plnění tabulka'!$M$69:$M$70;'Věcné a finanční plnění tabulka'!$M$80:$M$81)</c:f>
              <c:numCache>
                <c:formatCode>0.00%</c:formatCode>
                <c:ptCount val="4"/>
                <c:pt idx="0">
                  <c:v>0.99326501143999535</c:v>
                </c:pt>
                <c:pt idx="1">
                  <c:v>0.63635901276880391</c:v>
                </c:pt>
                <c:pt idx="2">
                  <c:v>0.30274321102686347</c:v>
                </c:pt>
                <c:pt idx="3">
                  <c:v>1.1879285915830322</c:v>
                </c:pt>
              </c:numCache>
            </c:numRef>
          </c:val>
        </c:ser>
        <c:dLbls>
          <c:showLegendKey val="0"/>
          <c:showVal val="0"/>
          <c:showCatName val="0"/>
          <c:showSerName val="0"/>
          <c:showPercent val="0"/>
          <c:showBubbleSize val="0"/>
        </c:dLbls>
        <c:gapWidth val="150"/>
        <c:axId val="31722880"/>
        <c:axId val="31745152"/>
      </c:barChart>
      <c:catAx>
        <c:axId val="31722880"/>
        <c:scaling>
          <c:orientation val="minMax"/>
        </c:scaling>
        <c:delete val="0"/>
        <c:axPos val="b"/>
        <c:numFmt formatCode="General" sourceLinked="1"/>
        <c:majorTickMark val="out"/>
        <c:minorTickMark val="none"/>
        <c:tickLblPos val="nextTo"/>
        <c:txPr>
          <a:bodyPr/>
          <a:lstStyle/>
          <a:p>
            <a:pPr>
              <a:defRPr b="1"/>
            </a:pPr>
            <a:endParaRPr lang="cs-CZ"/>
          </a:p>
        </c:txPr>
        <c:crossAx val="31745152"/>
        <c:crosses val="autoZero"/>
        <c:auto val="1"/>
        <c:lblAlgn val="ctr"/>
        <c:lblOffset val="100"/>
        <c:noMultiLvlLbl val="0"/>
      </c:catAx>
      <c:valAx>
        <c:axId val="31745152"/>
        <c:scaling>
          <c:orientation val="minMax"/>
          <c:max val="2"/>
        </c:scaling>
        <c:delete val="0"/>
        <c:axPos val="l"/>
        <c:majorGridlines/>
        <c:numFmt formatCode="0.0%" sourceLinked="0"/>
        <c:majorTickMark val="out"/>
        <c:minorTickMark val="none"/>
        <c:tickLblPos val="nextTo"/>
        <c:txPr>
          <a:bodyPr/>
          <a:lstStyle/>
          <a:p>
            <a:pPr>
              <a:defRPr b="1"/>
            </a:pPr>
            <a:endParaRPr lang="cs-CZ"/>
          </a:p>
        </c:txPr>
        <c:crossAx val="31722880"/>
        <c:crosses val="autoZero"/>
        <c:crossBetween val="between"/>
        <c:majorUnit val="0.2"/>
      </c:valAx>
      <c:spPr>
        <a:solidFill>
          <a:schemeClr val="bg1">
            <a:lumMod val="85000"/>
          </a:schemeClr>
        </a:solidFill>
      </c:spPr>
    </c:plotArea>
    <c:legend>
      <c:legendPos val="b"/>
      <c:layout>
        <c:manualLayout>
          <c:xMode val="edge"/>
          <c:yMode val="edge"/>
          <c:x val="2.8939233968936436E-2"/>
          <c:y val="0.84123090382932908"/>
          <c:w val="0.95127099419519634"/>
          <c:h val="0.12791742378356549"/>
        </c:manualLayout>
      </c:layout>
      <c:overlay val="0"/>
      <c:txPr>
        <a:bodyPr/>
        <a:lstStyle/>
        <a:p>
          <a:pPr>
            <a:defRPr b="1"/>
          </a:pPr>
          <a:endParaRPr lang="cs-CZ"/>
        </a:p>
      </c:txPr>
    </c:legend>
    <c:plotVisOnly val="1"/>
    <c:dispBlanksAs val="gap"/>
    <c:showDLblsOverMax val="0"/>
  </c:chart>
  <c:spPr>
    <a:solidFill>
      <a:schemeClr val="accent1">
        <a:lumMod val="20000"/>
        <a:lumOff val="80000"/>
      </a:schemeClr>
    </a:solidFill>
    <a:ln>
      <a:solidFill>
        <a:schemeClr val="tx2"/>
      </a:solid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0.08933</cdr:x>
      <cdr:y>0.6161</cdr:y>
    </cdr:from>
    <cdr:to>
      <cdr:x>0.98179</cdr:x>
      <cdr:y>0.61658</cdr:y>
    </cdr:to>
    <cdr:sp macro="" textlink="">
      <cdr:nvSpPr>
        <cdr:cNvPr id="3" name="Přímá spojovací čára 2"/>
        <cdr:cNvSpPr/>
      </cdr:nvSpPr>
      <cdr:spPr>
        <a:xfrm xmlns:a="http://schemas.openxmlformats.org/drawingml/2006/main">
          <a:off x="607512" y="2265187"/>
          <a:ext cx="6069487" cy="1765"/>
        </a:xfrm>
        <a:prstGeom xmlns:a="http://schemas.openxmlformats.org/drawingml/2006/main" prst="line">
          <a:avLst/>
        </a:prstGeom>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userShapes>
</file>

<file path=word/drawings/drawing10.xml><?xml version="1.0" encoding="utf-8"?>
<c:userShapes xmlns:c="http://schemas.openxmlformats.org/drawingml/2006/chart">
  <cdr:relSizeAnchor xmlns:cdr="http://schemas.openxmlformats.org/drawingml/2006/chartDrawing">
    <cdr:from>
      <cdr:x>0.09045</cdr:x>
      <cdr:y>0.47338</cdr:y>
    </cdr:from>
    <cdr:to>
      <cdr:x>0.9905</cdr:x>
      <cdr:y>0.47706</cdr:y>
    </cdr:to>
    <cdr:sp macro="" textlink="">
      <cdr:nvSpPr>
        <cdr:cNvPr id="6" name="Přímá spojovací čára 5"/>
        <cdr:cNvSpPr/>
      </cdr:nvSpPr>
      <cdr:spPr>
        <a:xfrm xmlns:a="http://schemas.openxmlformats.org/drawingml/2006/main" flipV="1">
          <a:off x="520996" y="1392662"/>
          <a:ext cx="5184368" cy="10835"/>
        </a:xfrm>
        <a:prstGeom xmlns:a="http://schemas.openxmlformats.org/drawingml/2006/main" prst="line">
          <a:avLst/>
        </a:prstGeom>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0.74318</cdr:x>
      <cdr:y>0.09118</cdr:y>
    </cdr:from>
    <cdr:to>
      <cdr:x>0.81562</cdr:x>
      <cdr:y>0.23052</cdr:y>
    </cdr:to>
    <cdr:sp macro="" textlink="">
      <cdr:nvSpPr>
        <cdr:cNvPr id="5" name="Šipka nahoru 4"/>
        <cdr:cNvSpPr/>
      </cdr:nvSpPr>
      <cdr:spPr>
        <a:xfrm xmlns:a="http://schemas.openxmlformats.org/drawingml/2006/main">
          <a:off x="4280801" y="268260"/>
          <a:ext cx="417260" cy="409932"/>
        </a:xfrm>
        <a:prstGeom xmlns:a="http://schemas.openxmlformats.org/drawingml/2006/main" prst="upArrow">
          <a:avLst/>
        </a:prstGeom>
        <a:solidFill xmlns:a="http://schemas.openxmlformats.org/drawingml/2006/main">
          <a:srgbClr val="8064A2">
            <a:lumMod val="75000"/>
          </a:srgbClr>
        </a:solidFill>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endParaRPr lang="cs-CZ"/>
        </a:p>
      </cdr:txBody>
    </cdr:sp>
  </cdr:relSizeAnchor>
  <cdr:relSizeAnchor xmlns:cdr="http://schemas.openxmlformats.org/drawingml/2006/chartDrawing">
    <cdr:from>
      <cdr:x>0.61436</cdr:x>
      <cdr:y>0.08994</cdr:y>
    </cdr:from>
    <cdr:to>
      <cdr:x>0.68965</cdr:x>
      <cdr:y>0.23748</cdr:y>
    </cdr:to>
    <cdr:sp macro="" textlink="">
      <cdr:nvSpPr>
        <cdr:cNvPr id="7" name="Šipka nahoru 6"/>
        <cdr:cNvSpPr/>
      </cdr:nvSpPr>
      <cdr:spPr>
        <a:xfrm xmlns:a="http://schemas.openxmlformats.org/drawingml/2006/main">
          <a:off x="3538763" y="264606"/>
          <a:ext cx="433677" cy="434056"/>
        </a:xfrm>
        <a:prstGeom xmlns:a="http://schemas.openxmlformats.org/drawingml/2006/main" prst="upArrow">
          <a:avLst/>
        </a:prstGeom>
        <a:solidFill xmlns:a="http://schemas.openxmlformats.org/drawingml/2006/main">
          <a:srgbClr val="8064A2">
            <a:lumMod val="75000"/>
          </a:srgbClr>
        </a:solidFill>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cs-CZ"/>
        </a:p>
      </cdr:txBody>
    </cdr:sp>
  </cdr:relSizeAnchor>
  <cdr:relSizeAnchor xmlns:cdr="http://schemas.openxmlformats.org/drawingml/2006/chartDrawing">
    <cdr:from>
      <cdr:x>0.87044</cdr:x>
      <cdr:y>0.09559</cdr:y>
    </cdr:from>
    <cdr:to>
      <cdr:x>0.94572</cdr:x>
      <cdr:y>0.24314</cdr:y>
    </cdr:to>
    <cdr:sp macro="" textlink="">
      <cdr:nvSpPr>
        <cdr:cNvPr id="8" name="Šipka nahoru 7"/>
        <cdr:cNvSpPr/>
      </cdr:nvSpPr>
      <cdr:spPr>
        <a:xfrm xmlns:a="http://schemas.openxmlformats.org/drawingml/2006/main">
          <a:off x="5013782" y="281229"/>
          <a:ext cx="433619" cy="434085"/>
        </a:xfrm>
        <a:prstGeom xmlns:a="http://schemas.openxmlformats.org/drawingml/2006/main" prst="upArrow">
          <a:avLst/>
        </a:prstGeom>
        <a:solidFill xmlns:a="http://schemas.openxmlformats.org/drawingml/2006/main">
          <a:srgbClr val="8064A2">
            <a:lumMod val="75000"/>
          </a:srgbClr>
        </a:solidFill>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endParaRPr lang="cs-CZ"/>
        </a:p>
      </cdr:txBody>
    </cdr:sp>
  </cdr:relSizeAnchor>
  <cdr:relSizeAnchor xmlns:cdr="http://schemas.openxmlformats.org/drawingml/2006/chartDrawing">
    <cdr:from>
      <cdr:x>0.35729</cdr:x>
      <cdr:y>0.09423</cdr:y>
    </cdr:from>
    <cdr:to>
      <cdr:x>0.43257</cdr:x>
      <cdr:y>0.24177</cdr:y>
    </cdr:to>
    <cdr:sp macro="" textlink="">
      <cdr:nvSpPr>
        <cdr:cNvPr id="9" name="Šipka nahoru 8"/>
        <cdr:cNvSpPr/>
      </cdr:nvSpPr>
      <cdr:spPr>
        <a:xfrm xmlns:a="http://schemas.openxmlformats.org/drawingml/2006/main">
          <a:off x="2058017" y="277232"/>
          <a:ext cx="433619" cy="434056"/>
        </a:xfrm>
        <a:prstGeom xmlns:a="http://schemas.openxmlformats.org/drawingml/2006/main" prst="upArrow">
          <a:avLst/>
        </a:prstGeom>
        <a:solidFill xmlns:a="http://schemas.openxmlformats.org/drawingml/2006/main">
          <a:srgbClr val="8064A2">
            <a:lumMod val="75000"/>
          </a:srgbClr>
        </a:solidFill>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endParaRPr lang="cs-CZ"/>
        </a:p>
      </cdr:txBody>
    </cdr:sp>
  </cdr:relSizeAnchor>
</c:userShapes>
</file>

<file path=word/drawings/drawing2.xml><?xml version="1.0" encoding="utf-8"?>
<c:userShapes xmlns:c="http://schemas.openxmlformats.org/drawingml/2006/chart">
  <cdr:relSizeAnchor xmlns:cdr="http://schemas.openxmlformats.org/drawingml/2006/chartDrawing">
    <cdr:from>
      <cdr:x>0.08223</cdr:x>
      <cdr:y>0.47714</cdr:y>
    </cdr:from>
    <cdr:to>
      <cdr:x>0.98818</cdr:x>
      <cdr:y>0.47982</cdr:y>
    </cdr:to>
    <cdr:sp macro="" textlink="">
      <cdr:nvSpPr>
        <cdr:cNvPr id="3" name="Přímá spojovací čára 2"/>
        <cdr:cNvSpPr/>
      </cdr:nvSpPr>
      <cdr:spPr>
        <a:xfrm xmlns:a="http://schemas.openxmlformats.org/drawingml/2006/main" flipV="1">
          <a:off x="530254" y="1590674"/>
          <a:ext cx="5841971" cy="8920"/>
        </a:xfrm>
        <a:prstGeom xmlns:a="http://schemas.openxmlformats.org/drawingml/2006/main" prst="line">
          <a:avLst/>
        </a:prstGeom>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0.60699</cdr:x>
      <cdr:y>0.08872</cdr:y>
    </cdr:from>
    <cdr:to>
      <cdr:x>0.68122</cdr:x>
      <cdr:y>0.21964</cdr:y>
    </cdr:to>
    <cdr:sp macro="" textlink="">
      <cdr:nvSpPr>
        <cdr:cNvPr id="4" name="Šipka nahoru 3"/>
        <cdr:cNvSpPr/>
      </cdr:nvSpPr>
      <cdr:spPr>
        <a:xfrm xmlns:a="http://schemas.openxmlformats.org/drawingml/2006/main">
          <a:off x="3971925" y="327037"/>
          <a:ext cx="485775" cy="482587"/>
        </a:xfrm>
        <a:prstGeom xmlns:a="http://schemas.openxmlformats.org/drawingml/2006/main" prst="upArrow">
          <a:avLst/>
        </a:prstGeom>
        <a:solidFill xmlns:a="http://schemas.openxmlformats.org/drawingml/2006/main">
          <a:srgbClr val="8064A2">
            <a:lumMod val="75000"/>
          </a:srgbClr>
        </a:solidFill>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cs-CZ"/>
        </a:p>
      </cdr:txBody>
    </cdr:sp>
  </cdr:relSizeAnchor>
</c:userShapes>
</file>

<file path=word/drawings/drawing3.xml><?xml version="1.0" encoding="utf-8"?>
<c:userShapes xmlns:c="http://schemas.openxmlformats.org/drawingml/2006/chart">
  <cdr:relSizeAnchor xmlns:cdr="http://schemas.openxmlformats.org/drawingml/2006/chartDrawing">
    <cdr:from>
      <cdr:x>0.08338</cdr:x>
      <cdr:y>0.25157</cdr:y>
    </cdr:from>
    <cdr:to>
      <cdr:x>0.96909</cdr:x>
      <cdr:y>0.25157</cdr:y>
    </cdr:to>
    <cdr:sp macro="" textlink="">
      <cdr:nvSpPr>
        <cdr:cNvPr id="2" name="Přímá spojovací čára 1"/>
        <cdr:cNvSpPr/>
      </cdr:nvSpPr>
      <cdr:spPr>
        <a:xfrm xmlns:a="http://schemas.openxmlformats.org/drawingml/2006/main">
          <a:off x="590878" y="761979"/>
          <a:ext cx="6276672" cy="0"/>
        </a:xfrm>
        <a:prstGeom xmlns:a="http://schemas.openxmlformats.org/drawingml/2006/main" prst="line">
          <a:avLst/>
        </a:prstGeo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cs-CZ"/>
        </a:p>
      </cdr:txBody>
    </cdr:sp>
  </cdr:relSizeAnchor>
  <cdr:relSizeAnchor xmlns:cdr="http://schemas.openxmlformats.org/drawingml/2006/chartDrawing">
    <cdr:from>
      <cdr:x>0.59906</cdr:x>
      <cdr:y>0.09026</cdr:y>
    </cdr:from>
    <cdr:to>
      <cdr:x>0.66927</cdr:x>
      <cdr:y>0.24203</cdr:y>
    </cdr:to>
    <cdr:sp macro="" textlink="">
      <cdr:nvSpPr>
        <cdr:cNvPr id="3" name="Šipka nahoru 2"/>
        <cdr:cNvSpPr/>
      </cdr:nvSpPr>
      <cdr:spPr>
        <a:xfrm xmlns:a="http://schemas.openxmlformats.org/drawingml/2006/main">
          <a:off x="4079850" y="279411"/>
          <a:ext cx="478157" cy="469823"/>
        </a:xfrm>
        <a:prstGeom xmlns:a="http://schemas.openxmlformats.org/drawingml/2006/main" prst="upArrow">
          <a:avLst/>
        </a:prstGeom>
        <a:solidFill xmlns:a="http://schemas.openxmlformats.org/drawingml/2006/main">
          <a:srgbClr val="8064A2">
            <a:lumMod val="75000"/>
          </a:srgbClr>
        </a:solidFill>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cs-CZ"/>
        </a:p>
      </cdr:txBody>
    </cdr:sp>
  </cdr:relSizeAnchor>
  <cdr:relSizeAnchor xmlns:cdr="http://schemas.openxmlformats.org/drawingml/2006/chartDrawing">
    <cdr:from>
      <cdr:x>0.85781</cdr:x>
      <cdr:y>0.08718</cdr:y>
    </cdr:from>
    <cdr:to>
      <cdr:x>0.92802</cdr:x>
      <cdr:y>0.23895</cdr:y>
    </cdr:to>
    <cdr:sp macro="" textlink="">
      <cdr:nvSpPr>
        <cdr:cNvPr id="4" name="Šipka nahoru 3"/>
        <cdr:cNvSpPr/>
      </cdr:nvSpPr>
      <cdr:spPr>
        <a:xfrm xmlns:a="http://schemas.openxmlformats.org/drawingml/2006/main">
          <a:off x="5841987" y="269877"/>
          <a:ext cx="478157" cy="469823"/>
        </a:xfrm>
        <a:prstGeom xmlns:a="http://schemas.openxmlformats.org/drawingml/2006/main" prst="upArrow">
          <a:avLst/>
        </a:prstGeom>
        <a:solidFill xmlns:a="http://schemas.openxmlformats.org/drawingml/2006/main">
          <a:srgbClr val="8064A2">
            <a:lumMod val="75000"/>
          </a:srgbClr>
        </a:solidFill>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cs-CZ"/>
        </a:p>
      </cdr:txBody>
    </cdr:sp>
  </cdr:relSizeAnchor>
</c:userShapes>
</file>

<file path=word/drawings/drawing4.xml><?xml version="1.0" encoding="utf-8"?>
<c:userShapes xmlns:c="http://schemas.openxmlformats.org/drawingml/2006/chart">
  <cdr:relSizeAnchor xmlns:cdr="http://schemas.openxmlformats.org/drawingml/2006/chartDrawing">
    <cdr:from>
      <cdr:x>0.08443</cdr:x>
      <cdr:y>0.57807</cdr:y>
    </cdr:from>
    <cdr:to>
      <cdr:x>0.97606</cdr:x>
      <cdr:y>0.57876</cdr:y>
    </cdr:to>
    <cdr:sp macro="" textlink="">
      <cdr:nvSpPr>
        <cdr:cNvPr id="3" name="Přímá spojovací čára 2"/>
        <cdr:cNvSpPr/>
      </cdr:nvSpPr>
      <cdr:spPr>
        <a:xfrm xmlns:a="http://schemas.openxmlformats.org/drawingml/2006/main">
          <a:off x="551699" y="1800513"/>
          <a:ext cx="5826044" cy="2149"/>
        </a:xfrm>
        <a:prstGeom xmlns:a="http://schemas.openxmlformats.org/drawingml/2006/main" prst="line">
          <a:avLst/>
        </a:prstGeom>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userShapes>
</file>

<file path=word/drawings/drawing5.xml><?xml version="1.0" encoding="utf-8"?>
<c:userShapes xmlns:c="http://schemas.openxmlformats.org/drawingml/2006/chart">
  <cdr:relSizeAnchor xmlns:cdr="http://schemas.openxmlformats.org/drawingml/2006/chartDrawing">
    <cdr:from>
      <cdr:x>0.08278</cdr:x>
      <cdr:y>0.32716</cdr:y>
    </cdr:from>
    <cdr:to>
      <cdr:x>0.9853</cdr:x>
      <cdr:y>0.32787</cdr:y>
    </cdr:to>
    <cdr:sp macro="" textlink="">
      <cdr:nvSpPr>
        <cdr:cNvPr id="6" name="Přímá spojovací čára 5"/>
        <cdr:cNvSpPr/>
      </cdr:nvSpPr>
      <cdr:spPr>
        <a:xfrm xmlns:a="http://schemas.openxmlformats.org/drawingml/2006/main">
          <a:off x="581083" y="1009662"/>
          <a:ext cx="6335623" cy="2191"/>
        </a:xfrm>
        <a:prstGeom xmlns:a="http://schemas.openxmlformats.org/drawingml/2006/main" prst="line">
          <a:avLst/>
        </a:prstGeo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cs-CZ"/>
        </a:p>
      </cdr:txBody>
    </cdr:sp>
  </cdr:relSizeAnchor>
</c:userShapes>
</file>

<file path=word/drawings/drawing6.xml><?xml version="1.0" encoding="utf-8"?>
<c:userShapes xmlns:c="http://schemas.openxmlformats.org/drawingml/2006/chart">
  <cdr:relSizeAnchor xmlns:cdr="http://schemas.openxmlformats.org/drawingml/2006/chartDrawing">
    <cdr:from>
      <cdr:x>0.08371</cdr:x>
      <cdr:y>0.52255</cdr:y>
    </cdr:from>
    <cdr:to>
      <cdr:x>0.99173</cdr:x>
      <cdr:y>0.52301</cdr:y>
    </cdr:to>
    <cdr:sp macro="" textlink="">
      <cdr:nvSpPr>
        <cdr:cNvPr id="3" name="Přímá spojovací čára 2"/>
        <cdr:cNvSpPr/>
      </cdr:nvSpPr>
      <cdr:spPr>
        <a:xfrm xmlns:a="http://schemas.openxmlformats.org/drawingml/2006/main">
          <a:off x="548549" y="1642499"/>
          <a:ext cx="5950436" cy="1446"/>
        </a:xfrm>
        <a:prstGeom xmlns:a="http://schemas.openxmlformats.org/drawingml/2006/main" prst="line">
          <a:avLst/>
        </a:prstGeom>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userShapes>
</file>

<file path=word/drawings/drawing7.xml><?xml version="1.0" encoding="utf-8"?>
<c:userShapes xmlns:c="http://schemas.openxmlformats.org/drawingml/2006/chart">
  <cdr:relSizeAnchor xmlns:cdr="http://schemas.openxmlformats.org/drawingml/2006/chartDrawing">
    <cdr:from>
      <cdr:x>0.10702</cdr:x>
      <cdr:y>0.51011</cdr:y>
    </cdr:from>
    <cdr:to>
      <cdr:x>1</cdr:x>
      <cdr:y>0.51127</cdr:y>
    </cdr:to>
    <cdr:sp macro="" textlink="">
      <cdr:nvSpPr>
        <cdr:cNvPr id="3" name="Přímá spojovací čára 2"/>
        <cdr:cNvSpPr/>
      </cdr:nvSpPr>
      <cdr:spPr>
        <a:xfrm xmlns:a="http://schemas.openxmlformats.org/drawingml/2006/main" flipV="1">
          <a:off x="616689" y="1697345"/>
          <a:ext cx="5145936" cy="3863"/>
        </a:xfrm>
        <a:prstGeom xmlns:a="http://schemas.openxmlformats.org/drawingml/2006/main" prst="line">
          <a:avLst/>
        </a:prstGeom>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0.91516</cdr:x>
      <cdr:y>0.23827</cdr:y>
    </cdr:from>
    <cdr:to>
      <cdr:x>0.95617</cdr:x>
      <cdr:y>0.37387</cdr:y>
    </cdr:to>
    <cdr:sp macro="" textlink="">
      <cdr:nvSpPr>
        <cdr:cNvPr id="4" name="Šipka nahoru 3"/>
        <cdr:cNvSpPr/>
      </cdr:nvSpPr>
      <cdr:spPr>
        <a:xfrm xmlns:a="http://schemas.openxmlformats.org/drawingml/2006/main">
          <a:off x="5273749" y="792813"/>
          <a:ext cx="236327" cy="451196"/>
        </a:xfrm>
        <a:prstGeom xmlns:a="http://schemas.openxmlformats.org/drawingml/2006/main" prst="upArrow">
          <a:avLst>
            <a:gd name="adj1" fmla="val 77587"/>
            <a:gd name="adj2" fmla="val 50000"/>
          </a:avLst>
        </a:prstGeom>
        <a:solidFill xmlns:a="http://schemas.openxmlformats.org/drawingml/2006/main">
          <a:srgbClr val="8064A2">
            <a:lumMod val="75000"/>
          </a:srgbClr>
        </a:solidFill>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cs-CZ"/>
        </a:p>
      </cdr:txBody>
    </cdr:sp>
  </cdr:relSizeAnchor>
</c:userShapes>
</file>

<file path=word/drawings/drawing8.xml><?xml version="1.0" encoding="utf-8"?>
<c:userShapes xmlns:c="http://schemas.openxmlformats.org/drawingml/2006/chart">
  <cdr:relSizeAnchor xmlns:cdr="http://schemas.openxmlformats.org/drawingml/2006/chartDrawing">
    <cdr:from>
      <cdr:x>0.10701</cdr:x>
      <cdr:y>0.44551</cdr:y>
    </cdr:from>
    <cdr:to>
      <cdr:x>0.99515</cdr:x>
      <cdr:y>0.44629</cdr:y>
    </cdr:to>
    <cdr:sp macro="" textlink="">
      <cdr:nvSpPr>
        <cdr:cNvPr id="4" name="Přímá spojovací čára 3"/>
        <cdr:cNvSpPr/>
      </cdr:nvSpPr>
      <cdr:spPr>
        <a:xfrm xmlns:a="http://schemas.openxmlformats.org/drawingml/2006/main" flipV="1">
          <a:off x="630934" y="1323981"/>
          <a:ext cx="5236452" cy="2318"/>
        </a:xfrm>
        <a:prstGeom xmlns:a="http://schemas.openxmlformats.org/drawingml/2006/main" prst="line">
          <a:avLst/>
        </a:prstGeom>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0.10701</cdr:x>
      <cdr:y>0.44551</cdr:y>
    </cdr:from>
    <cdr:to>
      <cdr:x>0.99515</cdr:x>
      <cdr:y>0.44629</cdr:y>
    </cdr:to>
    <cdr:sp macro="" textlink="">
      <cdr:nvSpPr>
        <cdr:cNvPr id="5" name="Přímá spojovací čára 3"/>
        <cdr:cNvSpPr/>
      </cdr:nvSpPr>
      <cdr:spPr>
        <a:xfrm xmlns:a="http://schemas.openxmlformats.org/drawingml/2006/main" flipV="1">
          <a:off x="630934" y="1323981"/>
          <a:ext cx="5236452" cy="2318"/>
        </a:xfrm>
        <a:prstGeom xmlns:a="http://schemas.openxmlformats.org/drawingml/2006/main" prst="line">
          <a:avLst/>
        </a:prstGeom>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0.10701</cdr:x>
      <cdr:y>0.44551</cdr:y>
    </cdr:from>
    <cdr:to>
      <cdr:x>0.99515</cdr:x>
      <cdr:y>0.44629</cdr:y>
    </cdr:to>
    <cdr:sp macro="" textlink="">
      <cdr:nvSpPr>
        <cdr:cNvPr id="7" name="Přímá spojovací čára 3"/>
        <cdr:cNvSpPr/>
      </cdr:nvSpPr>
      <cdr:spPr>
        <a:xfrm xmlns:a="http://schemas.openxmlformats.org/drawingml/2006/main" flipV="1">
          <a:off x="630934" y="1323981"/>
          <a:ext cx="5236452" cy="2318"/>
        </a:xfrm>
        <a:prstGeom xmlns:a="http://schemas.openxmlformats.org/drawingml/2006/main" prst="line">
          <a:avLst/>
        </a:prstGeom>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userShapes>
</file>

<file path=word/drawings/drawing9.xml><?xml version="1.0" encoding="utf-8"?>
<c:userShapes xmlns:c="http://schemas.openxmlformats.org/drawingml/2006/chart">
  <cdr:relSizeAnchor xmlns:cdr="http://schemas.openxmlformats.org/drawingml/2006/chartDrawing">
    <cdr:from>
      <cdr:x>0.10333</cdr:x>
      <cdr:y>0.48141</cdr:y>
    </cdr:from>
    <cdr:to>
      <cdr:x>1</cdr:x>
      <cdr:y>0.4834</cdr:y>
    </cdr:to>
    <cdr:sp macro="" textlink="">
      <cdr:nvSpPr>
        <cdr:cNvPr id="4" name="Přímá spojovací čára 3"/>
        <cdr:cNvSpPr/>
      </cdr:nvSpPr>
      <cdr:spPr>
        <a:xfrm xmlns:a="http://schemas.openxmlformats.org/drawingml/2006/main">
          <a:off x="595424" y="1509823"/>
          <a:ext cx="5167201" cy="6248"/>
        </a:xfrm>
        <a:prstGeom xmlns:a="http://schemas.openxmlformats.org/drawingml/2006/main" prst="line">
          <a:avLst/>
        </a:prstGeom>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0.22956</cdr:x>
      <cdr:y>0.09403</cdr:y>
    </cdr:from>
    <cdr:to>
      <cdr:x>0.28345</cdr:x>
      <cdr:y>0.18198</cdr:y>
    </cdr:to>
    <cdr:sp macro="" textlink="">
      <cdr:nvSpPr>
        <cdr:cNvPr id="5" name="Šipka nahoru 4"/>
        <cdr:cNvSpPr/>
      </cdr:nvSpPr>
      <cdr:spPr>
        <a:xfrm xmlns:a="http://schemas.openxmlformats.org/drawingml/2006/main">
          <a:off x="1322877" y="294892"/>
          <a:ext cx="310547" cy="275834"/>
        </a:xfrm>
        <a:prstGeom xmlns:a="http://schemas.openxmlformats.org/drawingml/2006/main" prst="upArrow">
          <a:avLst/>
        </a:prstGeom>
        <a:solidFill xmlns:a="http://schemas.openxmlformats.org/drawingml/2006/main">
          <a:schemeClr val="accent4">
            <a:lumMod val="75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0.56051</cdr:x>
      <cdr:y>0.10411</cdr:y>
    </cdr:from>
    <cdr:to>
      <cdr:x>0.6144</cdr:x>
      <cdr:y>0.17835</cdr:y>
    </cdr:to>
    <cdr:sp macro="" textlink="">
      <cdr:nvSpPr>
        <cdr:cNvPr id="6" name="Šipka nahoru 5"/>
        <cdr:cNvSpPr/>
      </cdr:nvSpPr>
      <cdr:spPr>
        <a:xfrm xmlns:a="http://schemas.openxmlformats.org/drawingml/2006/main">
          <a:off x="3230015" y="326530"/>
          <a:ext cx="310547" cy="232832"/>
        </a:xfrm>
        <a:prstGeom xmlns:a="http://schemas.openxmlformats.org/drawingml/2006/main" prst="upArrow">
          <a:avLst/>
        </a:prstGeom>
        <a:solidFill xmlns:a="http://schemas.openxmlformats.org/drawingml/2006/main">
          <a:schemeClr val="accent4">
            <a:lumMod val="75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cs-CZ"/>
        </a:p>
      </cdr:txBody>
    </cdr:sp>
  </cdr:relSizeAnchor>
</c:userShape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11EACD-E0E3-45A0-BB78-BF9770350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128</Pages>
  <Words>40842</Words>
  <Characters>240559</Characters>
  <Application>Microsoft Office Word</Application>
  <DocSecurity>0</DocSecurity>
  <Lines>2004</Lines>
  <Paragraphs>561</Paragraphs>
  <ScaleCrop>false</ScaleCrop>
  <HeadingPairs>
    <vt:vector size="2" baseType="variant">
      <vt:variant>
        <vt:lpstr>Název</vt:lpstr>
      </vt:variant>
      <vt:variant>
        <vt:i4>1</vt:i4>
      </vt:variant>
    </vt:vector>
  </HeadingPairs>
  <TitlesOfParts>
    <vt:vector size="1" baseType="lpstr">
      <vt:lpstr>ZPRÁVA O REALIZACI</vt:lpstr>
    </vt:vector>
  </TitlesOfParts>
  <Company>MMR</Company>
  <LinksUpToDate>false</LinksUpToDate>
  <CharactersWithSpaces>280840</CharactersWithSpaces>
  <SharedDoc>false</SharedDoc>
  <HLinks>
    <vt:vector size="1086" baseType="variant">
      <vt:variant>
        <vt:i4>8257577</vt:i4>
      </vt:variant>
      <vt:variant>
        <vt:i4>1097</vt:i4>
      </vt:variant>
      <vt:variant>
        <vt:i4>0</vt:i4>
      </vt:variant>
      <vt:variant>
        <vt:i4>5</vt:i4>
      </vt:variant>
      <vt:variant>
        <vt:lpwstr>http://www.strukturalni-fondy.cz/cs/Microsites/Integrovany-OP/O-programu/Dokumenty</vt:lpwstr>
      </vt:variant>
      <vt:variant>
        <vt:lpwstr/>
      </vt:variant>
      <vt:variant>
        <vt:i4>262173</vt:i4>
      </vt:variant>
      <vt:variant>
        <vt:i4>1094</vt:i4>
      </vt:variant>
      <vt:variant>
        <vt:i4>0</vt:i4>
      </vt:variant>
      <vt:variant>
        <vt:i4>5</vt:i4>
      </vt:variant>
      <vt:variant>
        <vt:lpwstr>http://www.kvalitazivota.eu/</vt:lpwstr>
      </vt:variant>
      <vt:variant>
        <vt:lpwstr/>
      </vt:variant>
      <vt:variant>
        <vt:i4>262173</vt:i4>
      </vt:variant>
      <vt:variant>
        <vt:i4>1091</vt:i4>
      </vt:variant>
      <vt:variant>
        <vt:i4>0</vt:i4>
      </vt:variant>
      <vt:variant>
        <vt:i4>5</vt:i4>
      </vt:variant>
      <vt:variant>
        <vt:lpwstr>http://www.kvalitazivota.eu/</vt:lpwstr>
      </vt:variant>
      <vt:variant>
        <vt:lpwstr/>
      </vt:variant>
      <vt:variant>
        <vt:i4>8257571</vt:i4>
      </vt:variant>
      <vt:variant>
        <vt:i4>1088</vt:i4>
      </vt:variant>
      <vt:variant>
        <vt:i4>0</vt:i4>
      </vt:variant>
      <vt:variant>
        <vt:i4>5</vt:i4>
      </vt:variant>
      <vt:variant>
        <vt:lpwstr>http://www.risy.cz/</vt:lpwstr>
      </vt:variant>
      <vt:variant>
        <vt:lpwstr/>
      </vt:variant>
      <vt:variant>
        <vt:i4>7733366</vt:i4>
      </vt:variant>
      <vt:variant>
        <vt:i4>1085</vt:i4>
      </vt:variant>
      <vt:variant>
        <vt:i4>0</vt:i4>
      </vt:variant>
      <vt:variant>
        <vt:i4>5</vt:i4>
      </vt:variant>
      <vt:variant>
        <vt:lpwstr>http://www.crr.cz/</vt:lpwstr>
      </vt:variant>
      <vt:variant>
        <vt:lpwstr/>
      </vt:variant>
      <vt:variant>
        <vt:i4>262173</vt:i4>
      </vt:variant>
      <vt:variant>
        <vt:i4>1082</vt:i4>
      </vt:variant>
      <vt:variant>
        <vt:i4>0</vt:i4>
      </vt:variant>
      <vt:variant>
        <vt:i4>5</vt:i4>
      </vt:variant>
      <vt:variant>
        <vt:lpwstr>http://www.kvalitazivota.eu/</vt:lpwstr>
      </vt:variant>
      <vt:variant>
        <vt:lpwstr/>
      </vt:variant>
      <vt:variant>
        <vt:i4>5242880</vt:i4>
      </vt:variant>
      <vt:variant>
        <vt:i4>1079</vt:i4>
      </vt:variant>
      <vt:variant>
        <vt:i4>0</vt:i4>
      </vt:variant>
      <vt:variant>
        <vt:i4>5</vt:i4>
      </vt:variant>
      <vt:variant>
        <vt:lpwstr>http://www.strukturalni-fondy.cz/iop</vt:lpwstr>
      </vt:variant>
      <vt:variant>
        <vt:lpwstr/>
      </vt:variant>
      <vt:variant>
        <vt:i4>8257577</vt:i4>
      </vt:variant>
      <vt:variant>
        <vt:i4>1074</vt:i4>
      </vt:variant>
      <vt:variant>
        <vt:i4>0</vt:i4>
      </vt:variant>
      <vt:variant>
        <vt:i4>5</vt:i4>
      </vt:variant>
      <vt:variant>
        <vt:lpwstr>http://www.strukturalni-fondy.cz/cs/Microsites/Integrovany-OP/O-programu/Dokumenty</vt:lpwstr>
      </vt:variant>
      <vt:variant>
        <vt:lpwstr/>
      </vt:variant>
      <vt:variant>
        <vt:i4>1114115</vt:i4>
      </vt:variant>
      <vt:variant>
        <vt:i4>1071</vt:i4>
      </vt:variant>
      <vt:variant>
        <vt:i4>0</vt:i4>
      </vt:variant>
      <vt:variant>
        <vt:i4>5</vt:i4>
      </vt:variant>
      <vt:variant>
        <vt:lpwstr>http://www.strukturalni-fondy.cz/cs/Microsites/Integrovany-OP/Zadatele-a-prijemci/Seznam-podporenych-projektu</vt:lpwstr>
      </vt:variant>
      <vt:variant>
        <vt:lpwstr/>
      </vt:variant>
      <vt:variant>
        <vt:i4>14483662</vt:i4>
      </vt:variant>
      <vt:variant>
        <vt:i4>1068</vt:i4>
      </vt:variant>
      <vt:variant>
        <vt:i4>0</vt:i4>
      </vt:variant>
      <vt:variant>
        <vt:i4>5</vt:i4>
      </vt:variant>
      <vt:variant>
        <vt:lpwstr>C:\Users\herzuz\Desktop\ZoR 2013 II\Indikátory\Indikátory.xlsx</vt:lpwstr>
      </vt:variant>
      <vt:variant>
        <vt:lpwstr>RANGE!#ODKAZ!</vt:lpwstr>
      </vt:variant>
      <vt:variant>
        <vt:i4>14483662</vt:i4>
      </vt:variant>
      <vt:variant>
        <vt:i4>1065</vt:i4>
      </vt:variant>
      <vt:variant>
        <vt:i4>0</vt:i4>
      </vt:variant>
      <vt:variant>
        <vt:i4>5</vt:i4>
      </vt:variant>
      <vt:variant>
        <vt:lpwstr>C:\Users\herzuz\Desktop\ZoR 2013 II\Indikátory\Indikátory.xlsx</vt:lpwstr>
      </vt:variant>
      <vt:variant>
        <vt:lpwstr>RANGE!#ODKAZ!</vt:lpwstr>
      </vt:variant>
      <vt:variant>
        <vt:i4>14483662</vt:i4>
      </vt:variant>
      <vt:variant>
        <vt:i4>1062</vt:i4>
      </vt:variant>
      <vt:variant>
        <vt:i4>0</vt:i4>
      </vt:variant>
      <vt:variant>
        <vt:i4>5</vt:i4>
      </vt:variant>
      <vt:variant>
        <vt:lpwstr>C:\Users\herzuz\Desktop\ZoR 2013 II\Indikátory\Indikátory.xlsx</vt:lpwstr>
      </vt:variant>
      <vt:variant>
        <vt:lpwstr>RANGE!#ODKAZ!</vt:lpwstr>
      </vt:variant>
      <vt:variant>
        <vt:i4>5964260</vt:i4>
      </vt:variant>
      <vt:variant>
        <vt:i4>1059</vt:i4>
      </vt:variant>
      <vt:variant>
        <vt:i4>0</vt:i4>
      </vt:variant>
      <vt:variant>
        <vt:i4>5</vt:i4>
      </vt:variant>
      <vt:variant>
        <vt:lpwstr>C:\Users\herzuz\Desktop\ZoR 2013 II\úkoly\AppData\Roaming\Indikátory\Analýza indikátorů 2011\PRŮBĚŽNÉ ZPRÁVY\30.9.2010\Připomínky VO, ŘO\Připomínky VO, ŘO\2. kolo připomínek\indiky makchek 25.10.2010.xls</vt:lpwstr>
      </vt:variant>
      <vt:variant>
        <vt:lpwstr>List3!_ftn2#RANGE!_ftn2</vt:lpwstr>
      </vt:variant>
      <vt:variant>
        <vt:i4>14483662</vt:i4>
      </vt:variant>
      <vt:variant>
        <vt:i4>1056</vt:i4>
      </vt:variant>
      <vt:variant>
        <vt:i4>0</vt:i4>
      </vt:variant>
      <vt:variant>
        <vt:i4>5</vt:i4>
      </vt:variant>
      <vt:variant>
        <vt:lpwstr>C:\Users\herzuz\Desktop\ZoR 2013 II\Indikátory\Indikátory.xlsx</vt:lpwstr>
      </vt:variant>
      <vt:variant>
        <vt:lpwstr>RANGE!#ODKAZ!</vt:lpwstr>
      </vt:variant>
      <vt:variant>
        <vt:i4>14483662</vt:i4>
      </vt:variant>
      <vt:variant>
        <vt:i4>1053</vt:i4>
      </vt:variant>
      <vt:variant>
        <vt:i4>0</vt:i4>
      </vt:variant>
      <vt:variant>
        <vt:i4>5</vt:i4>
      </vt:variant>
      <vt:variant>
        <vt:lpwstr>C:\Users\herzuz\Desktop\ZoR 2013 II\Indikátory\Indikátory.xlsx</vt:lpwstr>
      </vt:variant>
      <vt:variant>
        <vt:lpwstr>RANGE!#ODKAZ!</vt:lpwstr>
      </vt:variant>
      <vt:variant>
        <vt:i4>14483662</vt:i4>
      </vt:variant>
      <vt:variant>
        <vt:i4>1050</vt:i4>
      </vt:variant>
      <vt:variant>
        <vt:i4>0</vt:i4>
      </vt:variant>
      <vt:variant>
        <vt:i4>5</vt:i4>
      </vt:variant>
      <vt:variant>
        <vt:lpwstr>C:\Users\herzuz\Desktop\ZoR 2013 II\Indikátory\Indikátory.xlsx</vt:lpwstr>
      </vt:variant>
      <vt:variant>
        <vt:lpwstr>RANGE!#ODKAZ!</vt:lpwstr>
      </vt:variant>
      <vt:variant>
        <vt:i4>5964257</vt:i4>
      </vt:variant>
      <vt:variant>
        <vt:i4>1047</vt:i4>
      </vt:variant>
      <vt:variant>
        <vt:i4>0</vt:i4>
      </vt:variant>
      <vt:variant>
        <vt:i4>5</vt:i4>
      </vt:variant>
      <vt:variant>
        <vt:lpwstr>C:\Users\herzuz\Desktop\ZoR 2013 II\úkoly\AppData\Roaming\Indikátory\Analýza indikátorů 2011\PRŮBĚŽNÉ ZPRÁVY\30.9.2010\Připomínky VO, ŘO\Připomínky VO, ŘO\2. kolo připomínek\indiky makchek 25.10.2010.xls</vt:lpwstr>
      </vt:variant>
      <vt:variant>
        <vt:lpwstr>List6!_ftn2#RANGE!_ftn2</vt:lpwstr>
      </vt:variant>
      <vt:variant>
        <vt:i4>8257571</vt:i4>
      </vt:variant>
      <vt:variant>
        <vt:i4>1038</vt:i4>
      </vt:variant>
      <vt:variant>
        <vt:i4>0</vt:i4>
      </vt:variant>
      <vt:variant>
        <vt:i4>5</vt:i4>
      </vt:variant>
      <vt:variant>
        <vt:lpwstr>http://www.risy.cz/</vt:lpwstr>
      </vt:variant>
      <vt:variant>
        <vt:lpwstr/>
      </vt:variant>
      <vt:variant>
        <vt:i4>1114115</vt:i4>
      </vt:variant>
      <vt:variant>
        <vt:i4>1035</vt:i4>
      </vt:variant>
      <vt:variant>
        <vt:i4>0</vt:i4>
      </vt:variant>
      <vt:variant>
        <vt:i4>5</vt:i4>
      </vt:variant>
      <vt:variant>
        <vt:lpwstr>http://www.strukturalni-fondy.cz/cs/Microsites/Integrovany-OP/Zadatele-a-prijemci/Seznam-podporenych-projektu</vt:lpwstr>
      </vt:variant>
      <vt:variant>
        <vt:lpwstr/>
      </vt:variant>
      <vt:variant>
        <vt:i4>1048624</vt:i4>
      </vt:variant>
      <vt:variant>
        <vt:i4>974</vt:i4>
      </vt:variant>
      <vt:variant>
        <vt:i4>0</vt:i4>
      </vt:variant>
      <vt:variant>
        <vt:i4>5</vt:i4>
      </vt:variant>
      <vt:variant>
        <vt:lpwstr/>
      </vt:variant>
      <vt:variant>
        <vt:lpwstr>_Toc370315263</vt:lpwstr>
      </vt:variant>
      <vt:variant>
        <vt:i4>1048624</vt:i4>
      </vt:variant>
      <vt:variant>
        <vt:i4>968</vt:i4>
      </vt:variant>
      <vt:variant>
        <vt:i4>0</vt:i4>
      </vt:variant>
      <vt:variant>
        <vt:i4>5</vt:i4>
      </vt:variant>
      <vt:variant>
        <vt:lpwstr/>
      </vt:variant>
      <vt:variant>
        <vt:lpwstr>_Toc370315262</vt:lpwstr>
      </vt:variant>
      <vt:variant>
        <vt:i4>1048624</vt:i4>
      </vt:variant>
      <vt:variant>
        <vt:i4>962</vt:i4>
      </vt:variant>
      <vt:variant>
        <vt:i4>0</vt:i4>
      </vt:variant>
      <vt:variant>
        <vt:i4>5</vt:i4>
      </vt:variant>
      <vt:variant>
        <vt:lpwstr/>
      </vt:variant>
      <vt:variant>
        <vt:lpwstr>_Toc370315261</vt:lpwstr>
      </vt:variant>
      <vt:variant>
        <vt:i4>1048624</vt:i4>
      </vt:variant>
      <vt:variant>
        <vt:i4>956</vt:i4>
      </vt:variant>
      <vt:variant>
        <vt:i4>0</vt:i4>
      </vt:variant>
      <vt:variant>
        <vt:i4>5</vt:i4>
      </vt:variant>
      <vt:variant>
        <vt:lpwstr/>
      </vt:variant>
      <vt:variant>
        <vt:lpwstr>_Toc370315260</vt:lpwstr>
      </vt:variant>
      <vt:variant>
        <vt:i4>1245232</vt:i4>
      </vt:variant>
      <vt:variant>
        <vt:i4>950</vt:i4>
      </vt:variant>
      <vt:variant>
        <vt:i4>0</vt:i4>
      </vt:variant>
      <vt:variant>
        <vt:i4>5</vt:i4>
      </vt:variant>
      <vt:variant>
        <vt:lpwstr/>
      </vt:variant>
      <vt:variant>
        <vt:lpwstr>_Toc370315259</vt:lpwstr>
      </vt:variant>
      <vt:variant>
        <vt:i4>1245232</vt:i4>
      </vt:variant>
      <vt:variant>
        <vt:i4>944</vt:i4>
      </vt:variant>
      <vt:variant>
        <vt:i4>0</vt:i4>
      </vt:variant>
      <vt:variant>
        <vt:i4>5</vt:i4>
      </vt:variant>
      <vt:variant>
        <vt:lpwstr/>
      </vt:variant>
      <vt:variant>
        <vt:lpwstr>_Toc370315258</vt:lpwstr>
      </vt:variant>
      <vt:variant>
        <vt:i4>1245232</vt:i4>
      </vt:variant>
      <vt:variant>
        <vt:i4>938</vt:i4>
      </vt:variant>
      <vt:variant>
        <vt:i4>0</vt:i4>
      </vt:variant>
      <vt:variant>
        <vt:i4>5</vt:i4>
      </vt:variant>
      <vt:variant>
        <vt:lpwstr/>
      </vt:variant>
      <vt:variant>
        <vt:lpwstr>_Toc370315257</vt:lpwstr>
      </vt:variant>
      <vt:variant>
        <vt:i4>1245232</vt:i4>
      </vt:variant>
      <vt:variant>
        <vt:i4>932</vt:i4>
      </vt:variant>
      <vt:variant>
        <vt:i4>0</vt:i4>
      </vt:variant>
      <vt:variant>
        <vt:i4>5</vt:i4>
      </vt:variant>
      <vt:variant>
        <vt:lpwstr/>
      </vt:variant>
      <vt:variant>
        <vt:lpwstr>_Toc370315256</vt:lpwstr>
      </vt:variant>
      <vt:variant>
        <vt:i4>1245232</vt:i4>
      </vt:variant>
      <vt:variant>
        <vt:i4>926</vt:i4>
      </vt:variant>
      <vt:variant>
        <vt:i4>0</vt:i4>
      </vt:variant>
      <vt:variant>
        <vt:i4>5</vt:i4>
      </vt:variant>
      <vt:variant>
        <vt:lpwstr/>
      </vt:variant>
      <vt:variant>
        <vt:lpwstr>_Toc370315255</vt:lpwstr>
      </vt:variant>
      <vt:variant>
        <vt:i4>1245232</vt:i4>
      </vt:variant>
      <vt:variant>
        <vt:i4>920</vt:i4>
      </vt:variant>
      <vt:variant>
        <vt:i4>0</vt:i4>
      </vt:variant>
      <vt:variant>
        <vt:i4>5</vt:i4>
      </vt:variant>
      <vt:variant>
        <vt:lpwstr/>
      </vt:variant>
      <vt:variant>
        <vt:lpwstr>_Toc370315254</vt:lpwstr>
      </vt:variant>
      <vt:variant>
        <vt:i4>1245232</vt:i4>
      </vt:variant>
      <vt:variant>
        <vt:i4>914</vt:i4>
      </vt:variant>
      <vt:variant>
        <vt:i4>0</vt:i4>
      </vt:variant>
      <vt:variant>
        <vt:i4>5</vt:i4>
      </vt:variant>
      <vt:variant>
        <vt:lpwstr/>
      </vt:variant>
      <vt:variant>
        <vt:lpwstr>_Toc370315253</vt:lpwstr>
      </vt:variant>
      <vt:variant>
        <vt:i4>1245232</vt:i4>
      </vt:variant>
      <vt:variant>
        <vt:i4>908</vt:i4>
      </vt:variant>
      <vt:variant>
        <vt:i4>0</vt:i4>
      </vt:variant>
      <vt:variant>
        <vt:i4>5</vt:i4>
      </vt:variant>
      <vt:variant>
        <vt:lpwstr/>
      </vt:variant>
      <vt:variant>
        <vt:lpwstr>_Toc370315252</vt:lpwstr>
      </vt:variant>
      <vt:variant>
        <vt:i4>1245232</vt:i4>
      </vt:variant>
      <vt:variant>
        <vt:i4>902</vt:i4>
      </vt:variant>
      <vt:variant>
        <vt:i4>0</vt:i4>
      </vt:variant>
      <vt:variant>
        <vt:i4>5</vt:i4>
      </vt:variant>
      <vt:variant>
        <vt:lpwstr/>
      </vt:variant>
      <vt:variant>
        <vt:lpwstr>_Toc370315251</vt:lpwstr>
      </vt:variant>
      <vt:variant>
        <vt:i4>1245232</vt:i4>
      </vt:variant>
      <vt:variant>
        <vt:i4>896</vt:i4>
      </vt:variant>
      <vt:variant>
        <vt:i4>0</vt:i4>
      </vt:variant>
      <vt:variant>
        <vt:i4>5</vt:i4>
      </vt:variant>
      <vt:variant>
        <vt:lpwstr/>
      </vt:variant>
      <vt:variant>
        <vt:lpwstr>_Toc370315250</vt:lpwstr>
      </vt:variant>
      <vt:variant>
        <vt:i4>1179696</vt:i4>
      </vt:variant>
      <vt:variant>
        <vt:i4>890</vt:i4>
      </vt:variant>
      <vt:variant>
        <vt:i4>0</vt:i4>
      </vt:variant>
      <vt:variant>
        <vt:i4>5</vt:i4>
      </vt:variant>
      <vt:variant>
        <vt:lpwstr/>
      </vt:variant>
      <vt:variant>
        <vt:lpwstr>_Toc370315249</vt:lpwstr>
      </vt:variant>
      <vt:variant>
        <vt:i4>1179696</vt:i4>
      </vt:variant>
      <vt:variant>
        <vt:i4>884</vt:i4>
      </vt:variant>
      <vt:variant>
        <vt:i4>0</vt:i4>
      </vt:variant>
      <vt:variant>
        <vt:i4>5</vt:i4>
      </vt:variant>
      <vt:variant>
        <vt:lpwstr/>
      </vt:variant>
      <vt:variant>
        <vt:lpwstr>_Toc370315248</vt:lpwstr>
      </vt:variant>
      <vt:variant>
        <vt:i4>1179696</vt:i4>
      </vt:variant>
      <vt:variant>
        <vt:i4>878</vt:i4>
      </vt:variant>
      <vt:variant>
        <vt:i4>0</vt:i4>
      </vt:variant>
      <vt:variant>
        <vt:i4>5</vt:i4>
      </vt:variant>
      <vt:variant>
        <vt:lpwstr/>
      </vt:variant>
      <vt:variant>
        <vt:lpwstr>_Toc370315247</vt:lpwstr>
      </vt:variant>
      <vt:variant>
        <vt:i4>1179696</vt:i4>
      </vt:variant>
      <vt:variant>
        <vt:i4>872</vt:i4>
      </vt:variant>
      <vt:variant>
        <vt:i4>0</vt:i4>
      </vt:variant>
      <vt:variant>
        <vt:i4>5</vt:i4>
      </vt:variant>
      <vt:variant>
        <vt:lpwstr/>
      </vt:variant>
      <vt:variant>
        <vt:lpwstr>_Toc370315246</vt:lpwstr>
      </vt:variant>
      <vt:variant>
        <vt:i4>1179696</vt:i4>
      </vt:variant>
      <vt:variant>
        <vt:i4>866</vt:i4>
      </vt:variant>
      <vt:variant>
        <vt:i4>0</vt:i4>
      </vt:variant>
      <vt:variant>
        <vt:i4>5</vt:i4>
      </vt:variant>
      <vt:variant>
        <vt:lpwstr/>
      </vt:variant>
      <vt:variant>
        <vt:lpwstr>_Toc370315245</vt:lpwstr>
      </vt:variant>
      <vt:variant>
        <vt:i4>1179696</vt:i4>
      </vt:variant>
      <vt:variant>
        <vt:i4>860</vt:i4>
      </vt:variant>
      <vt:variant>
        <vt:i4>0</vt:i4>
      </vt:variant>
      <vt:variant>
        <vt:i4>5</vt:i4>
      </vt:variant>
      <vt:variant>
        <vt:lpwstr/>
      </vt:variant>
      <vt:variant>
        <vt:lpwstr>_Toc370315244</vt:lpwstr>
      </vt:variant>
      <vt:variant>
        <vt:i4>1179696</vt:i4>
      </vt:variant>
      <vt:variant>
        <vt:i4>854</vt:i4>
      </vt:variant>
      <vt:variant>
        <vt:i4>0</vt:i4>
      </vt:variant>
      <vt:variant>
        <vt:i4>5</vt:i4>
      </vt:variant>
      <vt:variant>
        <vt:lpwstr/>
      </vt:variant>
      <vt:variant>
        <vt:lpwstr>_Toc370315243</vt:lpwstr>
      </vt:variant>
      <vt:variant>
        <vt:i4>1179696</vt:i4>
      </vt:variant>
      <vt:variant>
        <vt:i4>848</vt:i4>
      </vt:variant>
      <vt:variant>
        <vt:i4>0</vt:i4>
      </vt:variant>
      <vt:variant>
        <vt:i4>5</vt:i4>
      </vt:variant>
      <vt:variant>
        <vt:lpwstr/>
      </vt:variant>
      <vt:variant>
        <vt:lpwstr>_Toc370315242</vt:lpwstr>
      </vt:variant>
      <vt:variant>
        <vt:i4>1179696</vt:i4>
      </vt:variant>
      <vt:variant>
        <vt:i4>842</vt:i4>
      </vt:variant>
      <vt:variant>
        <vt:i4>0</vt:i4>
      </vt:variant>
      <vt:variant>
        <vt:i4>5</vt:i4>
      </vt:variant>
      <vt:variant>
        <vt:lpwstr/>
      </vt:variant>
      <vt:variant>
        <vt:lpwstr>_Toc370315241</vt:lpwstr>
      </vt:variant>
      <vt:variant>
        <vt:i4>1179696</vt:i4>
      </vt:variant>
      <vt:variant>
        <vt:i4>836</vt:i4>
      </vt:variant>
      <vt:variant>
        <vt:i4>0</vt:i4>
      </vt:variant>
      <vt:variant>
        <vt:i4>5</vt:i4>
      </vt:variant>
      <vt:variant>
        <vt:lpwstr/>
      </vt:variant>
      <vt:variant>
        <vt:lpwstr>_Toc370315240</vt:lpwstr>
      </vt:variant>
      <vt:variant>
        <vt:i4>1376304</vt:i4>
      </vt:variant>
      <vt:variant>
        <vt:i4>830</vt:i4>
      </vt:variant>
      <vt:variant>
        <vt:i4>0</vt:i4>
      </vt:variant>
      <vt:variant>
        <vt:i4>5</vt:i4>
      </vt:variant>
      <vt:variant>
        <vt:lpwstr/>
      </vt:variant>
      <vt:variant>
        <vt:lpwstr>_Toc370315239</vt:lpwstr>
      </vt:variant>
      <vt:variant>
        <vt:i4>1376304</vt:i4>
      </vt:variant>
      <vt:variant>
        <vt:i4>824</vt:i4>
      </vt:variant>
      <vt:variant>
        <vt:i4>0</vt:i4>
      </vt:variant>
      <vt:variant>
        <vt:i4>5</vt:i4>
      </vt:variant>
      <vt:variant>
        <vt:lpwstr/>
      </vt:variant>
      <vt:variant>
        <vt:lpwstr>_Toc370315238</vt:lpwstr>
      </vt:variant>
      <vt:variant>
        <vt:i4>1376304</vt:i4>
      </vt:variant>
      <vt:variant>
        <vt:i4>818</vt:i4>
      </vt:variant>
      <vt:variant>
        <vt:i4>0</vt:i4>
      </vt:variant>
      <vt:variant>
        <vt:i4>5</vt:i4>
      </vt:variant>
      <vt:variant>
        <vt:lpwstr/>
      </vt:variant>
      <vt:variant>
        <vt:lpwstr>_Toc370315237</vt:lpwstr>
      </vt:variant>
      <vt:variant>
        <vt:i4>1376304</vt:i4>
      </vt:variant>
      <vt:variant>
        <vt:i4>812</vt:i4>
      </vt:variant>
      <vt:variant>
        <vt:i4>0</vt:i4>
      </vt:variant>
      <vt:variant>
        <vt:i4>5</vt:i4>
      </vt:variant>
      <vt:variant>
        <vt:lpwstr/>
      </vt:variant>
      <vt:variant>
        <vt:lpwstr>_Toc370315236</vt:lpwstr>
      </vt:variant>
      <vt:variant>
        <vt:i4>1376304</vt:i4>
      </vt:variant>
      <vt:variant>
        <vt:i4>806</vt:i4>
      </vt:variant>
      <vt:variant>
        <vt:i4>0</vt:i4>
      </vt:variant>
      <vt:variant>
        <vt:i4>5</vt:i4>
      </vt:variant>
      <vt:variant>
        <vt:lpwstr/>
      </vt:variant>
      <vt:variant>
        <vt:lpwstr>_Toc370315235</vt:lpwstr>
      </vt:variant>
      <vt:variant>
        <vt:i4>1376304</vt:i4>
      </vt:variant>
      <vt:variant>
        <vt:i4>800</vt:i4>
      </vt:variant>
      <vt:variant>
        <vt:i4>0</vt:i4>
      </vt:variant>
      <vt:variant>
        <vt:i4>5</vt:i4>
      </vt:variant>
      <vt:variant>
        <vt:lpwstr/>
      </vt:variant>
      <vt:variant>
        <vt:lpwstr>_Toc370315234</vt:lpwstr>
      </vt:variant>
      <vt:variant>
        <vt:i4>1376304</vt:i4>
      </vt:variant>
      <vt:variant>
        <vt:i4>794</vt:i4>
      </vt:variant>
      <vt:variant>
        <vt:i4>0</vt:i4>
      </vt:variant>
      <vt:variant>
        <vt:i4>5</vt:i4>
      </vt:variant>
      <vt:variant>
        <vt:lpwstr/>
      </vt:variant>
      <vt:variant>
        <vt:lpwstr>_Toc370315233</vt:lpwstr>
      </vt:variant>
      <vt:variant>
        <vt:i4>1376304</vt:i4>
      </vt:variant>
      <vt:variant>
        <vt:i4>785</vt:i4>
      </vt:variant>
      <vt:variant>
        <vt:i4>0</vt:i4>
      </vt:variant>
      <vt:variant>
        <vt:i4>5</vt:i4>
      </vt:variant>
      <vt:variant>
        <vt:lpwstr/>
      </vt:variant>
      <vt:variant>
        <vt:lpwstr>_Toc370315232</vt:lpwstr>
      </vt:variant>
      <vt:variant>
        <vt:i4>1376304</vt:i4>
      </vt:variant>
      <vt:variant>
        <vt:i4>779</vt:i4>
      </vt:variant>
      <vt:variant>
        <vt:i4>0</vt:i4>
      </vt:variant>
      <vt:variant>
        <vt:i4>5</vt:i4>
      </vt:variant>
      <vt:variant>
        <vt:lpwstr/>
      </vt:variant>
      <vt:variant>
        <vt:lpwstr>_Toc370315231</vt:lpwstr>
      </vt:variant>
      <vt:variant>
        <vt:i4>1376304</vt:i4>
      </vt:variant>
      <vt:variant>
        <vt:i4>773</vt:i4>
      </vt:variant>
      <vt:variant>
        <vt:i4>0</vt:i4>
      </vt:variant>
      <vt:variant>
        <vt:i4>5</vt:i4>
      </vt:variant>
      <vt:variant>
        <vt:lpwstr/>
      </vt:variant>
      <vt:variant>
        <vt:lpwstr>_Toc370315230</vt:lpwstr>
      </vt:variant>
      <vt:variant>
        <vt:i4>1310768</vt:i4>
      </vt:variant>
      <vt:variant>
        <vt:i4>767</vt:i4>
      </vt:variant>
      <vt:variant>
        <vt:i4>0</vt:i4>
      </vt:variant>
      <vt:variant>
        <vt:i4>5</vt:i4>
      </vt:variant>
      <vt:variant>
        <vt:lpwstr/>
      </vt:variant>
      <vt:variant>
        <vt:lpwstr>_Toc370315229</vt:lpwstr>
      </vt:variant>
      <vt:variant>
        <vt:i4>1310768</vt:i4>
      </vt:variant>
      <vt:variant>
        <vt:i4>761</vt:i4>
      </vt:variant>
      <vt:variant>
        <vt:i4>0</vt:i4>
      </vt:variant>
      <vt:variant>
        <vt:i4>5</vt:i4>
      </vt:variant>
      <vt:variant>
        <vt:lpwstr/>
      </vt:variant>
      <vt:variant>
        <vt:lpwstr>_Toc370315228</vt:lpwstr>
      </vt:variant>
      <vt:variant>
        <vt:i4>1310768</vt:i4>
      </vt:variant>
      <vt:variant>
        <vt:i4>755</vt:i4>
      </vt:variant>
      <vt:variant>
        <vt:i4>0</vt:i4>
      </vt:variant>
      <vt:variant>
        <vt:i4>5</vt:i4>
      </vt:variant>
      <vt:variant>
        <vt:lpwstr/>
      </vt:variant>
      <vt:variant>
        <vt:lpwstr>_Toc370315227</vt:lpwstr>
      </vt:variant>
      <vt:variant>
        <vt:i4>1310768</vt:i4>
      </vt:variant>
      <vt:variant>
        <vt:i4>749</vt:i4>
      </vt:variant>
      <vt:variant>
        <vt:i4>0</vt:i4>
      </vt:variant>
      <vt:variant>
        <vt:i4>5</vt:i4>
      </vt:variant>
      <vt:variant>
        <vt:lpwstr/>
      </vt:variant>
      <vt:variant>
        <vt:lpwstr>_Toc370315226</vt:lpwstr>
      </vt:variant>
      <vt:variant>
        <vt:i4>1310768</vt:i4>
      </vt:variant>
      <vt:variant>
        <vt:i4>743</vt:i4>
      </vt:variant>
      <vt:variant>
        <vt:i4>0</vt:i4>
      </vt:variant>
      <vt:variant>
        <vt:i4>5</vt:i4>
      </vt:variant>
      <vt:variant>
        <vt:lpwstr/>
      </vt:variant>
      <vt:variant>
        <vt:lpwstr>_Toc370315225</vt:lpwstr>
      </vt:variant>
      <vt:variant>
        <vt:i4>1310768</vt:i4>
      </vt:variant>
      <vt:variant>
        <vt:i4>737</vt:i4>
      </vt:variant>
      <vt:variant>
        <vt:i4>0</vt:i4>
      </vt:variant>
      <vt:variant>
        <vt:i4>5</vt:i4>
      </vt:variant>
      <vt:variant>
        <vt:lpwstr/>
      </vt:variant>
      <vt:variant>
        <vt:lpwstr>_Toc370315224</vt:lpwstr>
      </vt:variant>
      <vt:variant>
        <vt:i4>1310768</vt:i4>
      </vt:variant>
      <vt:variant>
        <vt:i4>731</vt:i4>
      </vt:variant>
      <vt:variant>
        <vt:i4>0</vt:i4>
      </vt:variant>
      <vt:variant>
        <vt:i4>5</vt:i4>
      </vt:variant>
      <vt:variant>
        <vt:lpwstr/>
      </vt:variant>
      <vt:variant>
        <vt:lpwstr>_Toc370315223</vt:lpwstr>
      </vt:variant>
      <vt:variant>
        <vt:i4>1310768</vt:i4>
      </vt:variant>
      <vt:variant>
        <vt:i4>725</vt:i4>
      </vt:variant>
      <vt:variant>
        <vt:i4>0</vt:i4>
      </vt:variant>
      <vt:variant>
        <vt:i4>5</vt:i4>
      </vt:variant>
      <vt:variant>
        <vt:lpwstr/>
      </vt:variant>
      <vt:variant>
        <vt:lpwstr>_Toc370315222</vt:lpwstr>
      </vt:variant>
      <vt:variant>
        <vt:i4>1310768</vt:i4>
      </vt:variant>
      <vt:variant>
        <vt:i4>719</vt:i4>
      </vt:variant>
      <vt:variant>
        <vt:i4>0</vt:i4>
      </vt:variant>
      <vt:variant>
        <vt:i4>5</vt:i4>
      </vt:variant>
      <vt:variant>
        <vt:lpwstr/>
      </vt:variant>
      <vt:variant>
        <vt:lpwstr>_Toc370315221</vt:lpwstr>
      </vt:variant>
      <vt:variant>
        <vt:i4>1310768</vt:i4>
      </vt:variant>
      <vt:variant>
        <vt:i4>713</vt:i4>
      </vt:variant>
      <vt:variant>
        <vt:i4>0</vt:i4>
      </vt:variant>
      <vt:variant>
        <vt:i4>5</vt:i4>
      </vt:variant>
      <vt:variant>
        <vt:lpwstr/>
      </vt:variant>
      <vt:variant>
        <vt:lpwstr>_Toc370315220</vt:lpwstr>
      </vt:variant>
      <vt:variant>
        <vt:i4>1507376</vt:i4>
      </vt:variant>
      <vt:variant>
        <vt:i4>707</vt:i4>
      </vt:variant>
      <vt:variant>
        <vt:i4>0</vt:i4>
      </vt:variant>
      <vt:variant>
        <vt:i4>5</vt:i4>
      </vt:variant>
      <vt:variant>
        <vt:lpwstr/>
      </vt:variant>
      <vt:variant>
        <vt:lpwstr>_Toc370315219</vt:lpwstr>
      </vt:variant>
      <vt:variant>
        <vt:i4>1507376</vt:i4>
      </vt:variant>
      <vt:variant>
        <vt:i4>701</vt:i4>
      </vt:variant>
      <vt:variant>
        <vt:i4>0</vt:i4>
      </vt:variant>
      <vt:variant>
        <vt:i4>5</vt:i4>
      </vt:variant>
      <vt:variant>
        <vt:lpwstr/>
      </vt:variant>
      <vt:variant>
        <vt:lpwstr>_Toc370315218</vt:lpwstr>
      </vt:variant>
      <vt:variant>
        <vt:i4>1507376</vt:i4>
      </vt:variant>
      <vt:variant>
        <vt:i4>695</vt:i4>
      </vt:variant>
      <vt:variant>
        <vt:i4>0</vt:i4>
      </vt:variant>
      <vt:variant>
        <vt:i4>5</vt:i4>
      </vt:variant>
      <vt:variant>
        <vt:lpwstr/>
      </vt:variant>
      <vt:variant>
        <vt:lpwstr>_Toc370315217</vt:lpwstr>
      </vt:variant>
      <vt:variant>
        <vt:i4>1507376</vt:i4>
      </vt:variant>
      <vt:variant>
        <vt:i4>689</vt:i4>
      </vt:variant>
      <vt:variant>
        <vt:i4>0</vt:i4>
      </vt:variant>
      <vt:variant>
        <vt:i4>5</vt:i4>
      </vt:variant>
      <vt:variant>
        <vt:lpwstr/>
      </vt:variant>
      <vt:variant>
        <vt:lpwstr>_Toc370315216</vt:lpwstr>
      </vt:variant>
      <vt:variant>
        <vt:i4>1507376</vt:i4>
      </vt:variant>
      <vt:variant>
        <vt:i4>683</vt:i4>
      </vt:variant>
      <vt:variant>
        <vt:i4>0</vt:i4>
      </vt:variant>
      <vt:variant>
        <vt:i4>5</vt:i4>
      </vt:variant>
      <vt:variant>
        <vt:lpwstr/>
      </vt:variant>
      <vt:variant>
        <vt:lpwstr>_Toc370315215</vt:lpwstr>
      </vt:variant>
      <vt:variant>
        <vt:i4>1507376</vt:i4>
      </vt:variant>
      <vt:variant>
        <vt:i4>677</vt:i4>
      </vt:variant>
      <vt:variant>
        <vt:i4>0</vt:i4>
      </vt:variant>
      <vt:variant>
        <vt:i4>5</vt:i4>
      </vt:variant>
      <vt:variant>
        <vt:lpwstr/>
      </vt:variant>
      <vt:variant>
        <vt:lpwstr>_Toc370315214</vt:lpwstr>
      </vt:variant>
      <vt:variant>
        <vt:i4>1507376</vt:i4>
      </vt:variant>
      <vt:variant>
        <vt:i4>671</vt:i4>
      </vt:variant>
      <vt:variant>
        <vt:i4>0</vt:i4>
      </vt:variant>
      <vt:variant>
        <vt:i4>5</vt:i4>
      </vt:variant>
      <vt:variant>
        <vt:lpwstr/>
      </vt:variant>
      <vt:variant>
        <vt:lpwstr>_Toc370315213</vt:lpwstr>
      </vt:variant>
      <vt:variant>
        <vt:i4>1507376</vt:i4>
      </vt:variant>
      <vt:variant>
        <vt:i4>665</vt:i4>
      </vt:variant>
      <vt:variant>
        <vt:i4>0</vt:i4>
      </vt:variant>
      <vt:variant>
        <vt:i4>5</vt:i4>
      </vt:variant>
      <vt:variant>
        <vt:lpwstr/>
      </vt:variant>
      <vt:variant>
        <vt:lpwstr>_Toc370315212</vt:lpwstr>
      </vt:variant>
      <vt:variant>
        <vt:i4>1507376</vt:i4>
      </vt:variant>
      <vt:variant>
        <vt:i4>659</vt:i4>
      </vt:variant>
      <vt:variant>
        <vt:i4>0</vt:i4>
      </vt:variant>
      <vt:variant>
        <vt:i4>5</vt:i4>
      </vt:variant>
      <vt:variant>
        <vt:lpwstr/>
      </vt:variant>
      <vt:variant>
        <vt:lpwstr>_Toc370315211</vt:lpwstr>
      </vt:variant>
      <vt:variant>
        <vt:i4>1507376</vt:i4>
      </vt:variant>
      <vt:variant>
        <vt:i4>653</vt:i4>
      </vt:variant>
      <vt:variant>
        <vt:i4>0</vt:i4>
      </vt:variant>
      <vt:variant>
        <vt:i4>5</vt:i4>
      </vt:variant>
      <vt:variant>
        <vt:lpwstr/>
      </vt:variant>
      <vt:variant>
        <vt:lpwstr>_Toc370315210</vt:lpwstr>
      </vt:variant>
      <vt:variant>
        <vt:i4>1441840</vt:i4>
      </vt:variant>
      <vt:variant>
        <vt:i4>647</vt:i4>
      </vt:variant>
      <vt:variant>
        <vt:i4>0</vt:i4>
      </vt:variant>
      <vt:variant>
        <vt:i4>5</vt:i4>
      </vt:variant>
      <vt:variant>
        <vt:lpwstr/>
      </vt:variant>
      <vt:variant>
        <vt:lpwstr>_Toc370315209</vt:lpwstr>
      </vt:variant>
      <vt:variant>
        <vt:i4>1441840</vt:i4>
      </vt:variant>
      <vt:variant>
        <vt:i4>641</vt:i4>
      </vt:variant>
      <vt:variant>
        <vt:i4>0</vt:i4>
      </vt:variant>
      <vt:variant>
        <vt:i4>5</vt:i4>
      </vt:variant>
      <vt:variant>
        <vt:lpwstr/>
      </vt:variant>
      <vt:variant>
        <vt:lpwstr>_Toc370315208</vt:lpwstr>
      </vt:variant>
      <vt:variant>
        <vt:i4>1441840</vt:i4>
      </vt:variant>
      <vt:variant>
        <vt:i4>635</vt:i4>
      </vt:variant>
      <vt:variant>
        <vt:i4>0</vt:i4>
      </vt:variant>
      <vt:variant>
        <vt:i4>5</vt:i4>
      </vt:variant>
      <vt:variant>
        <vt:lpwstr/>
      </vt:variant>
      <vt:variant>
        <vt:lpwstr>_Toc370315207</vt:lpwstr>
      </vt:variant>
      <vt:variant>
        <vt:i4>1441840</vt:i4>
      </vt:variant>
      <vt:variant>
        <vt:i4>629</vt:i4>
      </vt:variant>
      <vt:variant>
        <vt:i4>0</vt:i4>
      </vt:variant>
      <vt:variant>
        <vt:i4>5</vt:i4>
      </vt:variant>
      <vt:variant>
        <vt:lpwstr/>
      </vt:variant>
      <vt:variant>
        <vt:lpwstr>_Toc370315206</vt:lpwstr>
      </vt:variant>
      <vt:variant>
        <vt:i4>1441840</vt:i4>
      </vt:variant>
      <vt:variant>
        <vt:i4>623</vt:i4>
      </vt:variant>
      <vt:variant>
        <vt:i4>0</vt:i4>
      </vt:variant>
      <vt:variant>
        <vt:i4>5</vt:i4>
      </vt:variant>
      <vt:variant>
        <vt:lpwstr/>
      </vt:variant>
      <vt:variant>
        <vt:lpwstr>_Toc370315205</vt:lpwstr>
      </vt:variant>
      <vt:variant>
        <vt:i4>1441840</vt:i4>
      </vt:variant>
      <vt:variant>
        <vt:i4>617</vt:i4>
      </vt:variant>
      <vt:variant>
        <vt:i4>0</vt:i4>
      </vt:variant>
      <vt:variant>
        <vt:i4>5</vt:i4>
      </vt:variant>
      <vt:variant>
        <vt:lpwstr/>
      </vt:variant>
      <vt:variant>
        <vt:lpwstr>_Toc370315204</vt:lpwstr>
      </vt:variant>
      <vt:variant>
        <vt:i4>1441840</vt:i4>
      </vt:variant>
      <vt:variant>
        <vt:i4>611</vt:i4>
      </vt:variant>
      <vt:variant>
        <vt:i4>0</vt:i4>
      </vt:variant>
      <vt:variant>
        <vt:i4>5</vt:i4>
      </vt:variant>
      <vt:variant>
        <vt:lpwstr/>
      </vt:variant>
      <vt:variant>
        <vt:lpwstr>_Toc370315203</vt:lpwstr>
      </vt:variant>
      <vt:variant>
        <vt:i4>1441840</vt:i4>
      </vt:variant>
      <vt:variant>
        <vt:i4>605</vt:i4>
      </vt:variant>
      <vt:variant>
        <vt:i4>0</vt:i4>
      </vt:variant>
      <vt:variant>
        <vt:i4>5</vt:i4>
      </vt:variant>
      <vt:variant>
        <vt:lpwstr/>
      </vt:variant>
      <vt:variant>
        <vt:lpwstr>_Toc370315202</vt:lpwstr>
      </vt:variant>
      <vt:variant>
        <vt:i4>1441840</vt:i4>
      </vt:variant>
      <vt:variant>
        <vt:i4>599</vt:i4>
      </vt:variant>
      <vt:variant>
        <vt:i4>0</vt:i4>
      </vt:variant>
      <vt:variant>
        <vt:i4>5</vt:i4>
      </vt:variant>
      <vt:variant>
        <vt:lpwstr/>
      </vt:variant>
      <vt:variant>
        <vt:lpwstr>_Toc370315201</vt:lpwstr>
      </vt:variant>
      <vt:variant>
        <vt:i4>1441840</vt:i4>
      </vt:variant>
      <vt:variant>
        <vt:i4>593</vt:i4>
      </vt:variant>
      <vt:variant>
        <vt:i4>0</vt:i4>
      </vt:variant>
      <vt:variant>
        <vt:i4>5</vt:i4>
      </vt:variant>
      <vt:variant>
        <vt:lpwstr/>
      </vt:variant>
      <vt:variant>
        <vt:lpwstr>_Toc370315200</vt:lpwstr>
      </vt:variant>
      <vt:variant>
        <vt:i4>2031667</vt:i4>
      </vt:variant>
      <vt:variant>
        <vt:i4>587</vt:i4>
      </vt:variant>
      <vt:variant>
        <vt:i4>0</vt:i4>
      </vt:variant>
      <vt:variant>
        <vt:i4>5</vt:i4>
      </vt:variant>
      <vt:variant>
        <vt:lpwstr/>
      </vt:variant>
      <vt:variant>
        <vt:lpwstr>_Toc370315199</vt:lpwstr>
      </vt:variant>
      <vt:variant>
        <vt:i4>2031667</vt:i4>
      </vt:variant>
      <vt:variant>
        <vt:i4>581</vt:i4>
      </vt:variant>
      <vt:variant>
        <vt:i4>0</vt:i4>
      </vt:variant>
      <vt:variant>
        <vt:i4>5</vt:i4>
      </vt:variant>
      <vt:variant>
        <vt:lpwstr/>
      </vt:variant>
      <vt:variant>
        <vt:lpwstr>_Toc370315198</vt:lpwstr>
      </vt:variant>
      <vt:variant>
        <vt:i4>2031667</vt:i4>
      </vt:variant>
      <vt:variant>
        <vt:i4>575</vt:i4>
      </vt:variant>
      <vt:variant>
        <vt:i4>0</vt:i4>
      </vt:variant>
      <vt:variant>
        <vt:i4>5</vt:i4>
      </vt:variant>
      <vt:variant>
        <vt:lpwstr/>
      </vt:variant>
      <vt:variant>
        <vt:lpwstr>_Toc370315197</vt:lpwstr>
      </vt:variant>
      <vt:variant>
        <vt:i4>2031667</vt:i4>
      </vt:variant>
      <vt:variant>
        <vt:i4>569</vt:i4>
      </vt:variant>
      <vt:variant>
        <vt:i4>0</vt:i4>
      </vt:variant>
      <vt:variant>
        <vt:i4>5</vt:i4>
      </vt:variant>
      <vt:variant>
        <vt:lpwstr/>
      </vt:variant>
      <vt:variant>
        <vt:lpwstr>_Toc370315196</vt:lpwstr>
      </vt:variant>
      <vt:variant>
        <vt:i4>2031667</vt:i4>
      </vt:variant>
      <vt:variant>
        <vt:i4>563</vt:i4>
      </vt:variant>
      <vt:variant>
        <vt:i4>0</vt:i4>
      </vt:variant>
      <vt:variant>
        <vt:i4>5</vt:i4>
      </vt:variant>
      <vt:variant>
        <vt:lpwstr/>
      </vt:variant>
      <vt:variant>
        <vt:lpwstr>_Toc370315195</vt:lpwstr>
      </vt:variant>
      <vt:variant>
        <vt:i4>2031667</vt:i4>
      </vt:variant>
      <vt:variant>
        <vt:i4>557</vt:i4>
      </vt:variant>
      <vt:variant>
        <vt:i4>0</vt:i4>
      </vt:variant>
      <vt:variant>
        <vt:i4>5</vt:i4>
      </vt:variant>
      <vt:variant>
        <vt:lpwstr/>
      </vt:variant>
      <vt:variant>
        <vt:lpwstr>_Toc370315194</vt:lpwstr>
      </vt:variant>
      <vt:variant>
        <vt:i4>2031667</vt:i4>
      </vt:variant>
      <vt:variant>
        <vt:i4>551</vt:i4>
      </vt:variant>
      <vt:variant>
        <vt:i4>0</vt:i4>
      </vt:variant>
      <vt:variant>
        <vt:i4>5</vt:i4>
      </vt:variant>
      <vt:variant>
        <vt:lpwstr/>
      </vt:variant>
      <vt:variant>
        <vt:lpwstr>_Toc370315193</vt:lpwstr>
      </vt:variant>
      <vt:variant>
        <vt:i4>2031667</vt:i4>
      </vt:variant>
      <vt:variant>
        <vt:i4>545</vt:i4>
      </vt:variant>
      <vt:variant>
        <vt:i4>0</vt:i4>
      </vt:variant>
      <vt:variant>
        <vt:i4>5</vt:i4>
      </vt:variant>
      <vt:variant>
        <vt:lpwstr/>
      </vt:variant>
      <vt:variant>
        <vt:lpwstr>_Toc370315192</vt:lpwstr>
      </vt:variant>
      <vt:variant>
        <vt:i4>2031667</vt:i4>
      </vt:variant>
      <vt:variant>
        <vt:i4>539</vt:i4>
      </vt:variant>
      <vt:variant>
        <vt:i4>0</vt:i4>
      </vt:variant>
      <vt:variant>
        <vt:i4>5</vt:i4>
      </vt:variant>
      <vt:variant>
        <vt:lpwstr/>
      </vt:variant>
      <vt:variant>
        <vt:lpwstr>_Toc370315191</vt:lpwstr>
      </vt:variant>
      <vt:variant>
        <vt:i4>2031667</vt:i4>
      </vt:variant>
      <vt:variant>
        <vt:i4>533</vt:i4>
      </vt:variant>
      <vt:variant>
        <vt:i4>0</vt:i4>
      </vt:variant>
      <vt:variant>
        <vt:i4>5</vt:i4>
      </vt:variant>
      <vt:variant>
        <vt:lpwstr/>
      </vt:variant>
      <vt:variant>
        <vt:lpwstr>_Toc370315190</vt:lpwstr>
      </vt:variant>
      <vt:variant>
        <vt:i4>1966131</vt:i4>
      </vt:variant>
      <vt:variant>
        <vt:i4>527</vt:i4>
      </vt:variant>
      <vt:variant>
        <vt:i4>0</vt:i4>
      </vt:variant>
      <vt:variant>
        <vt:i4>5</vt:i4>
      </vt:variant>
      <vt:variant>
        <vt:lpwstr/>
      </vt:variant>
      <vt:variant>
        <vt:lpwstr>_Toc370315189</vt:lpwstr>
      </vt:variant>
      <vt:variant>
        <vt:i4>1966131</vt:i4>
      </vt:variant>
      <vt:variant>
        <vt:i4>521</vt:i4>
      </vt:variant>
      <vt:variant>
        <vt:i4>0</vt:i4>
      </vt:variant>
      <vt:variant>
        <vt:i4>5</vt:i4>
      </vt:variant>
      <vt:variant>
        <vt:lpwstr/>
      </vt:variant>
      <vt:variant>
        <vt:lpwstr>_Toc370315188</vt:lpwstr>
      </vt:variant>
      <vt:variant>
        <vt:i4>1966131</vt:i4>
      </vt:variant>
      <vt:variant>
        <vt:i4>515</vt:i4>
      </vt:variant>
      <vt:variant>
        <vt:i4>0</vt:i4>
      </vt:variant>
      <vt:variant>
        <vt:i4>5</vt:i4>
      </vt:variant>
      <vt:variant>
        <vt:lpwstr/>
      </vt:variant>
      <vt:variant>
        <vt:lpwstr>_Toc370315187</vt:lpwstr>
      </vt:variant>
      <vt:variant>
        <vt:i4>1966131</vt:i4>
      </vt:variant>
      <vt:variant>
        <vt:i4>509</vt:i4>
      </vt:variant>
      <vt:variant>
        <vt:i4>0</vt:i4>
      </vt:variant>
      <vt:variant>
        <vt:i4>5</vt:i4>
      </vt:variant>
      <vt:variant>
        <vt:lpwstr/>
      </vt:variant>
      <vt:variant>
        <vt:lpwstr>_Toc370315186</vt:lpwstr>
      </vt:variant>
      <vt:variant>
        <vt:i4>1966131</vt:i4>
      </vt:variant>
      <vt:variant>
        <vt:i4>503</vt:i4>
      </vt:variant>
      <vt:variant>
        <vt:i4>0</vt:i4>
      </vt:variant>
      <vt:variant>
        <vt:i4>5</vt:i4>
      </vt:variant>
      <vt:variant>
        <vt:lpwstr/>
      </vt:variant>
      <vt:variant>
        <vt:lpwstr>_Toc370315185</vt:lpwstr>
      </vt:variant>
      <vt:variant>
        <vt:i4>1966131</vt:i4>
      </vt:variant>
      <vt:variant>
        <vt:i4>497</vt:i4>
      </vt:variant>
      <vt:variant>
        <vt:i4>0</vt:i4>
      </vt:variant>
      <vt:variant>
        <vt:i4>5</vt:i4>
      </vt:variant>
      <vt:variant>
        <vt:lpwstr/>
      </vt:variant>
      <vt:variant>
        <vt:lpwstr>_Toc370315184</vt:lpwstr>
      </vt:variant>
      <vt:variant>
        <vt:i4>1966131</vt:i4>
      </vt:variant>
      <vt:variant>
        <vt:i4>491</vt:i4>
      </vt:variant>
      <vt:variant>
        <vt:i4>0</vt:i4>
      </vt:variant>
      <vt:variant>
        <vt:i4>5</vt:i4>
      </vt:variant>
      <vt:variant>
        <vt:lpwstr/>
      </vt:variant>
      <vt:variant>
        <vt:lpwstr>_Toc370315183</vt:lpwstr>
      </vt:variant>
      <vt:variant>
        <vt:i4>1966131</vt:i4>
      </vt:variant>
      <vt:variant>
        <vt:i4>485</vt:i4>
      </vt:variant>
      <vt:variant>
        <vt:i4>0</vt:i4>
      </vt:variant>
      <vt:variant>
        <vt:i4>5</vt:i4>
      </vt:variant>
      <vt:variant>
        <vt:lpwstr/>
      </vt:variant>
      <vt:variant>
        <vt:lpwstr>_Toc370315182</vt:lpwstr>
      </vt:variant>
      <vt:variant>
        <vt:i4>1966131</vt:i4>
      </vt:variant>
      <vt:variant>
        <vt:i4>479</vt:i4>
      </vt:variant>
      <vt:variant>
        <vt:i4>0</vt:i4>
      </vt:variant>
      <vt:variant>
        <vt:i4>5</vt:i4>
      </vt:variant>
      <vt:variant>
        <vt:lpwstr/>
      </vt:variant>
      <vt:variant>
        <vt:lpwstr>_Toc370315181</vt:lpwstr>
      </vt:variant>
      <vt:variant>
        <vt:i4>1966131</vt:i4>
      </vt:variant>
      <vt:variant>
        <vt:i4>473</vt:i4>
      </vt:variant>
      <vt:variant>
        <vt:i4>0</vt:i4>
      </vt:variant>
      <vt:variant>
        <vt:i4>5</vt:i4>
      </vt:variant>
      <vt:variant>
        <vt:lpwstr/>
      </vt:variant>
      <vt:variant>
        <vt:lpwstr>_Toc370315180</vt:lpwstr>
      </vt:variant>
      <vt:variant>
        <vt:i4>1114163</vt:i4>
      </vt:variant>
      <vt:variant>
        <vt:i4>467</vt:i4>
      </vt:variant>
      <vt:variant>
        <vt:i4>0</vt:i4>
      </vt:variant>
      <vt:variant>
        <vt:i4>5</vt:i4>
      </vt:variant>
      <vt:variant>
        <vt:lpwstr/>
      </vt:variant>
      <vt:variant>
        <vt:lpwstr>_Toc370315179</vt:lpwstr>
      </vt:variant>
      <vt:variant>
        <vt:i4>1114163</vt:i4>
      </vt:variant>
      <vt:variant>
        <vt:i4>461</vt:i4>
      </vt:variant>
      <vt:variant>
        <vt:i4>0</vt:i4>
      </vt:variant>
      <vt:variant>
        <vt:i4>5</vt:i4>
      </vt:variant>
      <vt:variant>
        <vt:lpwstr/>
      </vt:variant>
      <vt:variant>
        <vt:lpwstr>_Toc370315178</vt:lpwstr>
      </vt:variant>
      <vt:variant>
        <vt:i4>1114163</vt:i4>
      </vt:variant>
      <vt:variant>
        <vt:i4>455</vt:i4>
      </vt:variant>
      <vt:variant>
        <vt:i4>0</vt:i4>
      </vt:variant>
      <vt:variant>
        <vt:i4>5</vt:i4>
      </vt:variant>
      <vt:variant>
        <vt:lpwstr/>
      </vt:variant>
      <vt:variant>
        <vt:lpwstr>_Toc370315177</vt:lpwstr>
      </vt:variant>
      <vt:variant>
        <vt:i4>1114163</vt:i4>
      </vt:variant>
      <vt:variant>
        <vt:i4>449</vt:i4>
      </vt:variant>
      <vt:variant>
        <vt:i4>0</vt:i4>
      </vt:variant>
      <vt:variant>
        <vt:i4>5</vt:i4>
      </vt:variant>
      <vt:variant>
        <vt:lpwstr/>
      </vt:variant>
      <vt:variant>
        <vt:lpwstr>_Toc370315176</vt:lpwstr>
      </vt:variant>
      <vt:variant>
        <vt:i4>1114163</vt:i4>
      </vt:variant>
      <vt:variant>
        <vt:i4>443</vt:i4>
      </vt:variant>
      <vt:variant>
        <vt:i4>0</vt:i4>
      </vt:variant>
      <vt:variant>
        <vt:i4>5</vt:i4>
      </vt:variant>
      <vt:variant>
        <vt:lpwstr/>
      </vt:variant>
      <vt:variant>
        <vt:lpwstr>_Toc370315175</vt:lpwstr>
      </vt:variant>
      <vt:variant>
        <vt:i4>1048627</vt:i4>
      </vt:variant>
      <vt:variant>
        <vt:i4>434</vt:i4>
      </vt:variant>
      <vt:variant>
        <vt:i4>0</vt:i4>
      </vt:variant>
      <vt:variant>
        <vt:i4>5</vt:i4>
      </vt:variant>
      <vt:variant>
        <vt:lpwstr/>
      </vt:variant>
      <vt:variant>
        <vt:lpwstr>_Toc371315062</vt:lpwstr>
      </vt:variant>
      <vt:variant>
        <vt:i4>1048627</vt:i4>
      </vt:variant>
      <vt:variant>
        <vt:i4>428</vt:i4>
      </vt:variant>
      <vt:variant>
        <vt:i4>0</vt:i4>
      </vt:variant>
      <vt:variant>
        <vt:i4>5</vt:i4>
      </vt:variant>
      <vt:variant>
        <vt:lpwstr/>
      </vt:variant>
      <vt:variant>
        <vt:lpwstr>_Toc371315061</vt:lpwstr>
      </vt:variant>
      <vt:variant>
        <vt:i4>1048627</vt:i4>
      </vt:variant>
      <vt:variant>
        <vt:i4>422</vt:i4>
      </vt:variant>
      <vt:variant>
        <vt:i4>0</vt:i4>
      </vt:variant>
      <vt:variant>
        <vt:i4>5</vt:i4>
      </vt:variant>
      <vt:variant>
        <vt:lpwstr/>
      </vt:variant>
      <vt:variant>
        <vt:lpwstr>_Toc371315060</vt:lpwstr>
      </vt:variant>
      <vt:variant>
        <vt:i4>1245235</vt:i4>
      </vt:variant>
      <vt:variant>
        <vt:i4>416</vt:i4>
      </vt:variant>
      <vt:variant>
        <vt:i4>0</vt:i4>
      </vt:variant>
      <vt:variant>
        <vt:i4>5</vt:i4>
      </vt:variant>
      <vt:variant>
        <vt:lpwstr/>
      </vt:variant>
      <vt:variant>
        <vt:lpwstr>_Toc371315059</vt:lpwstr>
      </vt:variant>
      <vt:variant>
        <vt:i4>1245235</vt:i4>
      </vt:variant>
      <vt:variant>
        <vt:i4>410</vt:i4>
      </vt:variant>
      <vt:variant>
        <vt:i4>0</vt:i4>
      </vt:variant>
      <vt:variant>
        <vt:i4>5</vt:i4>
      </vt:variant>
      <vt:variant>
        <vt:lpwstr/>
      </vt:variant>
      <vt:variant>
        <vt:lpwstr>_Toc371315058</vt:lpwstr>
      </vt:variant>
      <vt:variant>
        <vt:i4>1245235</vt:i4>
      </vt:variant>
      <vt:variant>
        <vt:i4>404</vt:i4>
      </vt:variant>
      <vt:variant>
        <vt:i4>0</vt:i4>
      </vt:variant>
      <vt:variant>
        <vt:i4>5</vt:i4>
      </vt:variant>
      <vt:variant>
        <vt:lpwstr/>
      </vt:variant>
      <vt:variant>
        <vt:lpwstr>_Toc371315057</vt:lpwstr>
      </vt:variant>
      <vt:variant>
        <vt:i4>1245235</vt:i4>
      </vt:variant>
      <vt:variant>
        <vt:i4>398</vt:i4>
      </vt:variant>
      <vt:variant>
        <vt:i4>0</vt:i4>
      </vt:variant>
      <vt:variant>
        <vt:i4>5</vt:i4>
      </vt:variant>
      <vt:variant>
        <vt:lpwstr/>
      </vt:variant>
      <vt:variant>
        <vt:lpwstr>_Toc371315056</vt:lpwstr>
      </vt:variant>
      <vt:variant>
        <vt:i4>1245235</vt:i4>
      </vt:variant>
      <vt:variant>
        <vt:i4>392</vt:i4>
      </vt:variant>
      <vt:variant>
        <vt:i4>0</vt:i4>
      </vt:variant>
      <vt:variant>
        <vt:i4>5</vt:i4>
      </vt:variant>
      <vt:variant>
        <vt:lpwstr/>
      </vt:variant>
      <vt:variant>
        <vt:lpwstr>_Toc371315055</vt:lpwstr>
      </vt:variant>
      <vt:variant>
        <vt:i4>1245235</vt:i4>
      </vt:variant>
      <vt:variant>
        <vt:i4>386</vt:i4>
      </vt:variant>
      <vt:variant>
        <vt:i4>0</vt:i4>
      </vt:variant>
      <vt:variant>
        <vt:i4>5</vt:i4>
      </vt:variant>
      <vt:variant>
        <vt:lpwstr/>
      </vt:variant>
      <vt:variant>
        <vt:lpwstr>_Toc371315054</vt:lpwstr>
      </vt:variant>
      <vt:variant>
        <vt:i4>1245235</vt:i4>
      </vt:variant>
      <vt:variant>
        <vt:i4>380</vt:i4>
      </vt:variant>
      <vt:variant>
        <vt:i4>0</vt:i4>
      </vt:variant>
      <vt:variant>
        <vt:i4>5</vt:i4>
      </vt:variant>
      <vt:variant>
        <vt:lpwstr/>
      </vt:variant>
      <vt:variant>
        <vt:lpwstr>_Toc371315053</vt:lpwstr>
      </vt:variant>
      <vt:variant>
        <vt:i4>1245235</vt:i4>
      </vt:variant>
      <vt:variant>
        <vt:i4>374</vt:i4>
      </vt:variant>
      <vt:variant>
        <vt:i4>0</vt:i4>
      </vt:variant>
      <vt:variant>
        <vt:i4>5</vt:i4>
      </vt:variant>
      <vt:variant>
        <vt:lpwstr/>
      </vt:variant>
      <vt:variant>
        <vt:lpwstr>_Toc371315052</vt:lpwstr>
      </vt:variant>
      <vt:variant>
        <vt:i4>1245235</vt:i4>
      </vt:variant>
      <vt:variant>
        <vt:i4>368</vt:i4>
      </vt:variant>
      <vt:variant>
        <vt:i4>0</vt:i4>
      </vt:variant>
      <vt:variant>
        <vt:i4>5</vt:i4>
      </vt:variant>
      <vt:variant>
        <vt:lpwstr/>
      </vt:variant>
      <vt:variant>
        <vt:lpwstr>_Toc371315051</vt:lpwstr>
      </vt:variant>
      <vt:variant>
        <vt:i4>1245235</vt:i4>
      </vt:variant>
      <vt:variant>
        <vt:i4>362</vt:i4>
      </vt:variant>
      <vt:variant>
        <vt:i4>0</vt:i4>
      </vt:variant>
      <vt:variant>
        <vt:i4>5</vt:i4>
      </vt:variant>
      <vt:variant>
        <vt:lpwstr/>
      </vt:variant>
      <vt:variant>
        <vt:lpwstr>_Toc371315050</vt:lpwstr>
      </vt:variant>
      <vt:variant>
        <vt:i4>1179699</vt:i4>
      </vt:variant>
      <vt:variant>
        <vt:i4>356</vt:i4>
      </vt:variant>
      <vt:variant>
        <vt:i4>0</vt:i4>
      </vt:variant>
      <vt:variant>
        <vt:i4>5</vt:i4>
      </vt:variant>
      <vt:variant>
        <vt:lpwstr/>
      </vt:variant>
      <vt:variant>
        <vt:lpwstr>_Toc371315049</vt:lpwstr>
      </vt:variant>
      <vt:variant>
        <vt:i4>1179699</vt:i4>
      </vt:variant>
      <vt:variant>
        <vt:i4>350</vt:i4>
      </vt:variant>
      <vt:variant>
        <vt:i4>0</vt:i4>
      </vt:variant>
      <vt:variant>
        <vt:i4>5</vt:i4>
      </vt:variant>
      <vt:variant>
        <vt:lpwstr/>
      </vt:variant>
      <vt:variant>
        <vt:lpwstr>_Toc371315048</vt:lpwstr>
      </vt:variant>
      <vt:variant>
        <vt:i4>1179699</vt:i4>
      </vt:variant>
      <vt:variant>
        <vt:i4>344</vt:i4>
      </vt:variant>
      <vt:variant>
        <vt:i4>0</vt:i4>
      </vt:variant>
      <vt:variant>
        <vt:i4>5</vt:i4>
      </vt:variant>
      <vt:variant>
        <vt:lpwstr/>
      </vt:variant>
      <vt:variant>
        <vt:lpwstr>_Toc371315047</vt:lpwstr>
      </vt:variant>
      <vt:variant>
        <vt:i4>1179699</vt:i4>
      </vt:variant>
      <vt:variant>
        <vt:i4>338</vt:i4>
      </vt:variant>
      <vt:variant>
        <vt:i4>0</vt:i4>
      </vt:variant>
      <vt:variant>
        <vt:i4>5</vt:i4>
      </vt:variant>
      <vt:variant>
        <vt:lpwstr/>
      </vt:variant>
      <vt:variant>
        <vt:lpwstr>_Toc371315046</vt:lpwstr>
      </vt:variant>
      <vt:variant>
        <vt:i4>1179699</vt:i4>
      </vt:variant>
      <vt:variant>
        <vt:i4>332</vt:i4>
      </vt:variant>
      <vt:variant>
        <vt:i4>0</vt:i4>
      </vt:variant>
      <vt:variant>
        <vt:i4>5</vt:i4>
      </vt:variant>
      <vt:variant>
        <vt:lpwstr/>
      </vt:variant>
      <vt:variant>
        <vt:lpwstr>_Toc371315045</vt:lpwstr>
      </vt:variant>
      <vt:variant>
        <vt:i4>1179699</vt:i4>
      </vt:variant>
      <vt:variant>
        <vt:i4>326</vt:i4>
      </vt:variant>
      <vt:variant>
        <vt:i4>0</vt:i4>
      </vt:variant>
      <vt:variant>
        <vt:i4>5</vt:i4>
      </vt:variant>
      <vt:variant>
        <vt:lpwstr/>
      </vt:variant>
      <vt:variant>
        <vt:lpwstr>_Toc371315044</vt:lpwstr>
      </vt:variant>
      <vt:variant>
        <vt:i4>1179699</vt:i4>
      </vt:variant>
      <vt:variant>
        <vt:i4>320</vt:i4>
      </vt:variant>
      <vt:variant>
        <vt:i4>0</vt:i4>
      </vt:variant>
      <vt:variant>
        <vt:i4>5</vt:i4>
      </vt:variant>
      <vt:variant>
        <vt:lpwstr/>
      </vt:variant>
      <vt:variant>
        <vt:lpwstr>_Toc371315043</vt:lpwstr>
      </vt:variant>
      <vt:variant>
        <vt:i4>1179699</vt:i4>
      </vt:variant>
      <vt:variant>
        <vt:i4>314</vt:i4>
      </vt:variant>
      <vt:variant>
        <vt:i4>0</vt:i4>
      </vt:variant>
      <vt:variant>
        <vt:i4>5</vt:i4>
      </vt:variant>
      <vt:variant>
        <vt:lpwstr/>
      </vt:variant>
      <vt:variant>
        <vt:lpwstr>_Toc371315042</vt:lpwstr>
      </vt:variant>
      <vt:variant>
        <vt:i4>1179699</vt:i4>
      </vt:variant>
      <vt:variant>
        <vt:i4>308</vt:i4>
      </vt:variant>
      <vt:variant>
        <vt:i4>0</vt:i4>
      </vt:variant>
      <vt:variant>
        <vt:i4>5</vt:i4>
      </vt:variant>
      <vt:variant>
        <vt:lpwstr/>
      </vt:variant>
      <vt:variant>
        <vt:lpwstr>_Toc371315041</vt:lpwstr>
      </vt:variant>
      <vt:variant>
        <vt:i4>1179699</vt:i4>
      </vt:variant>
      <vt:variant>
        <vt:i4>302</vt:i4>
      </vt:variant>
      <vt:variant>
        <vt:i4>0</vt:i4>
      </vt:variant>
      <vt:variant>
        <vt:i4>5</vt:i4>
      </vt:variant>
      <vt:variant>
        <vt:lpwstr/>
      </vt:variant>
      <vt:variant>
        <vt:lpwstr>_Toc371315040</vt:lpwstr>
      </vt:variant>
      <vt:variant>
        <vt:i4>1376307</vt:i4>
      </vt:variant>
      <vt:variant>
        <vt:i4>296</vt:i4>
      </vt:variant>
      <vt:variant>
        <vt:i4>0</vt:i4>
      </vt:variant>
      <vt:variant>
        <vt:i4>5</vt:i4>
      </vt:variant>
      <vt:variant>
        <vt:lpwstr/>
      </vt:variant>
      <vt:variant>
        <vt:lpwstr>_Toc371315039</vt:lpwstr>
      </vt:variant>
      <vt:variant>
        <vt:i4>1376307</vt:i4>
      </vt:variant>
      <vt:variant>
        <vt:i4>290</vt:i4>
      </vt:variant>
      <vt:variant>
        <vt:i4>0</vt:i4>
      </vt:variant>
      <vt:variant>
        <vt:i4>5</vt:i4>
      </vt:variant>
      <vt:variant>
        <vt:lpwstr/>
      </vt:variant>
      <vt:variant>
        <vt:lpwstr>_Toc371315038</vt:lpwstr>
      </vt:variant>
      <vt:variant>
        <vt:i4>1376307</vt:i4>
      </vt:variant>
      <vt:variant>
        <vt:i4>284</vt:i4>
      </vt:variant>
      <vt:variant>
        <vt:i4>0</vt:i4>
      </vt:variant>
      <vt:variant>
        <vt:i4>5</vt:i4>
      </vt:variant>
      <vt:variant>
        <vt:lpwstr/>
      </vt:variant>
      <vt:variant>
        <vt:lpwstr>_Toc371315037</vt:lpwstr>
      </vt:variant>
      <vt:variant>
        <vt:i4>1376307</vt:i4>
      </vt:variant>
      <vt:variant>
        <vt:i4>278</vt:i4>
      </vt:variant>
      <vt:variant>
        <vt:i4>0</vt:i4>
      </vt:variant>
      <vt:variant>
        <vt:i4>5</vt:i4>
      </vt:variant>
      <vt:variant>
        <vt:lpwstr/>
      </vt:variant>
      <vt:variant>
        <vt:lpwstr>_Toc371315036</vt:lpwstr>
      </vt:variant>
      <vt:variant>
        <vt:i4>1376307</vt:i4>
      </vt:variant>
      <vt:variant>
        <vt:i4>272</vt:i4>
      </vt:variant>
      <vt:variant>
        <vt:i4>0</vt:i4>
      </vt:variant>
      <vt:variant>
        <vt:i4>5</vt:i4>
      </vt:variant>
      <vt:variant>
        <vt:lpwstr/>
      </vt:variant>
      <vt:variant>
        <vt:lpwstr>_Toc371315035</vt:lpwstr>
      </vt:variant>
      <vt:variant>
        <vt:i4>1376307</vt:i4>
      </vt:variant>
      <vt:variant>
        <vt:i4>266</vt:i4>
      </vt:variant>
      <vt:variant>
        <vt:i4>0</vt:i4>
      </vt:variant>
      <vt:variant>
        <vt:i4>5</vt:i4>
      </vt:variant>
      <vt:variant>
        <vt:lpwstr/>
      </vt:variant>
      <vt:variant>
        <vt:lpwstr>_Toc371315034</vt:lpwstr>
      </vt:variant>
      <vt:variant>
        <vt:i4>1376307</vt:i4>
      </vt:variant>
      <vt:variant>
        <vt:i4>260</vt:i4>
      </vt:variant>
      <vt:variant>
        <vt:i4>0</vt:i4>
      </vt:variant>
      <vt:variant>
        <vt:i4>5</vt:i4>
      </vt:variant>
      <vt:variant>
        <vt:lpwstr/>
      </vt:variant>
      <vt:variant>
        <vt:lpwstr>_Toc371315033</vt:lpwstr>
      </vt:variant>
      <vt:variant>
        <vt:i4>1376307</vt:i4>
      </vt:variant>
      <vt:variant>
        <vt:i4>254</vt:i4>
      </vt:variant>
      <vt:variant>
        <vt:i4>0</vt:i4>
      </vt:variant>
      <vt:variant>
        <vt:i4>5</vt:i4>
      </vt:variant>
      <vt:variant>
        <vt:lpwstr/>
      </vt:variant>
      <vt:variant>
        <vt:lpwstr>_Toc371315032</vt:lpwstr>
      </vt:variant>
      <vt:variant>
        <vt:i4>1376307</vt:i4>
      </vt:variant>
      <vt:variant>
        <vt:i4>248</vt:i4>
      </vt:variant>
      <vt:variant>
        <vt:i4>0</vt:i4>
      </vt:variant>
      <vt:variant>
        <vt:i4>5</vt:i4>
      </vt:variant>
      <vt:variant>
        <vt:lpwstr/>
      </vt:variant>
      <vt:variant>
        <vt:lpwstr>_Toc371315031</vt:lpwstr>
      </vt:variant>
      <vt:variant>
        <vt:i4>1376307</vt:i4>
      </vt:variant>
      <vt:variant>
        <vt:i4>242</vt:i4>
      </vt:variant>
      <vt:variant>
        <vt:i4>0</vt:i4>
      </vt:variant>
      <vt:variant>
        <vt:i4>5</vt:i4>
      </vt:variant>
      <vt:variant>
        <vt:lpwstr/>
      </vt:variant>
      <vt:variant>
        <vt:lpwstr>_Toc371315030</vt:lpwstr>
      </vt:variant>
      <vt:variant>
        <vt:i4>1310771</vt:i4>
      </vt:variant>
      <vt:variant>
        <vt:i4>236</vt:i4>
      </vt:variant>
      <vt:variant>
        <vt:i4>0</vt:i4>
      </vt:variant>
      <vt:variant>
        <vt:i4>5</vt:i4>
      </vt:variant>
      <vt:variant>
        <vt:lpwstr/>
      </vt:variant>
      <vt:variant>
        <vt:lpwstr>_Toc371315029</vt:lpwstr>
      </vt:variant>
      <vt:variant>
        <vt:i4>1310771</vt:i4>
      </vt:variant>
      <vt:variant>
        <vt:i4>230</vt:i4>
      </vt:variant>
      <vt:variant>
        <vt:i4>0</vt:i4>
      </vt:variant>
      <vt:variant>
        <vt:i4>5</vt:i4>
      </vt:variant>
      <vt:variant>
        <vt:lpwstr/>
      </vt:variant>
      <vt:variant>
        <vt:lpwstr>_Toc371315028</vt:lpwstr>
      </vt:variant>
      <vt:variant>
        <vt:i4>1310771</vt:i4>
      </vt:variant>
      <vt:variant>
        <vt:i4>224</vt:i4>
      </vt:variant>
      <vt:variant>
        <vt:i4>0</vt:i4>
      </vt:variant>
      <vt:variant>
        <vt:i4>5</vt:i4>
      </vt:variant>
      <vt:variant>
        <vt:lpwstr/>
      </vt:variant>
      <vt:variant>
        <vt:lpwstr>_Toc371315027</vt:lpwstr>
      </vt:variant>
      <vt:variant>
        <vt:i4>1310771</vt:i4>
      </vt:variant>
      <vt:variant>
        <vt:i4>218</vt:i4>
      </vt:variant>
      <vt:variant>
        <vt:i4>0</vt:i4>
      </vt:variant>
      <vt:variant>
        <vt:i4>5</vt:i4>
      </vt:variant>
      <vt:variant>
        <vt:lpwstr/>
      </vt:variant>
      <vt:variant>
        <vt:lpwstr>_Toc371315026</vt:lpwstr>
      </vt:variant>
      <vt:variant>
        <vt:i4>1310771</vt:i4>
      </vt:variant>
      <vt:variant>
        <vt:i4>212</vt:i4>
      </vt:variant>
      <vt:variant>
        <vt:i4>0</vt:i4>
      </vt:variant>
      <vt:variant>
        <vt:i4>5</vt:i4>
      </vt:variant>
      <vt:variant>
        <vt:lpwstr/>
      </vt:variant>
      <vt:variant>
        <vt:lpwstr>_Toc371315025</vt:lpwstr>
      </vt:variant>
      <vt:variant>
        <vt:i4>1310771</vt:i4>
      </vt:variant>
      <vt:variant>
        <vt:i4>206</vt:i4>
      </vt:variant>
      <vt:variant>
        <vt:i4>0</vt:i4>
      </vt:variant>
      <vt:variant>
        <vt:i4>5</vt:i4>
      </vt:variant>
      <vt:variant>
        <vt:lpwstr/>
      </vt:variant>
      <vt:variant>
        <vt:lpwstr>_Toc371315024</vt:lpwstr>
      </vt:variant>
      <vt:variant>
        <vt:i4>1310771</vt:i4>
      </vt:variant>
      <vt:variant>
        <vt:i4>200</vt:i4>
      </vt:variant>
      <vt:variant>
        <vt:i4>0</vt:i4>
      </vt:variant>
      <vt:variant>
        <vt:i4>5</vt:i4>
      </vt:variant>
      <vt:variant>
        <vt:lpwstr/>
      </vt:variant>
      <vt:variant>
        <vt:lpwstr>_Toc371315023</vt:lpwstr>
      </vt:variant>
      <vt:variant>
        <vt:i4>1310771</vt:i4>
      </vt:variant>
      <vt:variant>
        <vt:i4>194</vt:i4>
      </vt:variant>
      <vt:variant>
        <vt:i4>0</vt:i4>
      </vt:variant>
      <vt:variant>
        <vt:i4>5</vt:i4>
      </vt:variant>
      <vt:variant>
        <vt:lpwstr/>
      </vt:variant>
      <vt:variant>
        <vt:lpwstr>_Toc371315022</vt:lpwstr>
      </vt:variant>
      <vt:variant>
        <vt:i4>1310771</vt:i4>
      </vt:variant>
      <vt:variant>
        <vt:i4>188</vt:i4>
      </vt:variant>
      <vt:variant>
        <vt:i4>0</vt:i4>
      </vt:variant>
      <vt:variant>
        <vt:i4>5</vt:i4>
      </vt:variant>
      <vt:variant>
        <vt:lpwstr/>
      </vt:variant>
      <vt:variant>
        <vt:lpwstr>_Toc371315021</vt:lpwstr>
      </vt:variant>
      <vt:variant>
        <vt:i4>1310771</vt:i4>
      </vt:variant>
      <vt:variant>
        <vt:i4>182</vt:i4>
      </vt:variant>
      <vt:variant>
        <vt:i4>0</vt:i4>
      </vt:variant>
      <vt:variant>
        <vt:i4>5</vt:i4>
      </vt:variant>
      <vt:variant>
        <vt:lpwstr/>
      </vt:variant>
      <vt:variant>
        <vt:lpwstr>_Toc371315020</vt:lpwstr>
      </vt:variant>
      <vt:variant>
        <vt:i4>1507379</vt:i4>
      </vt:variant>
      <vt:variant>
        <vt:i4>176</vt:i4>
      </vt:variant>
      <vt:variant>
        <vt:i4>0</vt:i4>
      </vt:variant>
      <vt:variant>
        <vt:i4>5</vt:i4>
      </vt:variant>
      <vt:variant>
        <vt:lpwstr/>
      </vt:variant>
      <vt:variant>
        <vt:lpwstr>_Toc371315019</vt:lpwstr>
      </vt:variant>
      <vt:variant>
        <vt:i4>1507379</vt:i4>
      </vt:variant>
      <vt:variant>
        <vt:i4>170</vt:i4>
      </vt:variant>
      <vt:variant>
        <vt:i4>0</vt:i4>
      </vt:variant>
      <vt:variant>
        <vt:i4>5</vt:i4>
      </vt:variant>
      <vt:variant>
        <vt:lpwstr/>
      </vt:variant>
      <vt:variant>
        <vt:lpwstr>_Toc371315018</vt:lpwstr>
      </vt:variant>
      <vt:variant>
        <vt:i4>1507379</vt:i4>
      </vt:variant>
      <vt:variant>
        <vt:i4>164</vt:i4>
      </vt:variant>
      <vt:variant>
        <vt:i4>0</vt:i4>
      </vt:variant>
      <vt:variant>
        <vt:i4>5</vt:i4>
      </vt:variant>
      <vt:variant>
        <vt:lpwstr/>
      </vt:variant>
      <vt:variant>
        <vt:lpwstr>_Toc371315017</vt:lpwstr>
      </vt:variant>
      <vt:variant>
        <vt:i4>1507379</vt:i4>
      </vt:variant>
      <vt:variant>
        <vt:i4>158</vt:i4>
      </vt:variant>
      <vt:variant>
        <vt:i4>0</vt:i4>
      </vt:variant>
      <vt:variant>
        <vt:i4>5</vt:i4>
      </vt:variant>
      <vt:variant>
        <vt:lpwstr/>
      </vt:variant>
      <vt:variant>
        <vt:lpwstr>_Toc371315016</vt:lpwstr>
      </vt:variant>
      <vt:variant>
        <vt:i4>1507379</vt:i4>
      </vt:variant>
      <vt:variant>
        <vt:i4>152</vt:i4>
      </vt:variant>
      <vt:variant>
        <vt:i4>0</vt:i4>
      </vt:variant>
      <vt:variant>
        <vt:i4>5</vt:i4>
      </vt:variant>
      <vt:variant>
        <vt:lpwstr/>
      </vt:variant>
      <vt:variant>
        <vt:lpwstr>_Toc371315015</vt:lpwstr>
      </vt:variant>
      <vt:variant>
        <vt:i4>1507379</vt:i4>
      </vt:variant>
      <vt:variant>
        <vt:i4>146</vt:i4>
      </vt:variant>
      <vt:variant>
        <vt:i4>0</vt:i4>
      </vt:variant>
      <vt:variant>
        <vt:i4>5</vt:i4>
      </vt:variant>
      <vt:variant>
        <vt:lpwstr/>
      </vt:variant>
      <vt:variant>
        <vt:lpwstr>_Toc371315014</vt:lpwstr>
      </vt:variant>
      <vt:variant>
        <vt:i4>1507379</vt:i4>
      </vt:variant>
      <vt:variant>
        <vt:i4>140</vt:i4>
      </vt:variant>
      <vt:variant>
        <vt:i4>0</vt:i4>
      </vt:variant>
      <vt:variant>
        <vt:i4>5</vt:i4>
      </vt:variant>
      <vt:variant>
        <vt:lpwstr/>
      </vt:variant>
      <vt:variant>
        <vt:lpwstr>_Toc371315013</vt:lpwstr>
      </vt:variant>
      <vt:variant>
        <vt:i4>1507379</vt:i4>
      </vt:variant>
      <vt:variant>
        <vt:i4>134</vt:i4>
      </vt:variant>
      <vt:variant>
        <vt:i4>0</vt:i4>
      </vt:variant>
      <vt:variant>
        <vt:i4>5</vt:i4>
      </vt:variant>
      <vt:variant>
        <vt:lpwstr/>
      </vt:variant>
      <vt:variant>
        <vt:lpwstr>_Toc371315012</vt:lpwstr>
      </vt:variant>
      <vt:variant>
        <vt:i4>1507379</vt:i4>
      </vt:variant>
      <vt:variant>
        <vt:i4>128</vt:i4>
      </vt:variant>
      <vt:variant>
        <vt:i4>0</vt:i4>
      </vt:variant>
      <vt:variant>
        <vt:i4>5</vt:i4>
      </vt:variant>
      <vt:variant>
        <vt:lpwstr/>
      </vt:variant>
      <vt:variant>
        <vt:lpwstr>_Toc371315011</vt:lpwstr>
      </vt:variant>
      <vt:variant>
        <vt:i4>1507379</vt:i4>
      </vt:variant>
      <vt:variant>
        <vt:i4>122</vt:i4>
      </vt:variant>
      <vt:variant>
        <vt:i4>0</vt:i4>
      </vt:variant>
      <vt:variant>
        <vt:i4>5</vt:i4>
      </vt:variant>
      <vt:variant>
        <vt:lpwstr/>
      </vt:variant>
      <vt:variant>
        <vt:lpwstr>_Toc371315010</vt:lpwstr>
      </vt:variant>
      <vt:variant>
        <vt:i4>1441843</vt:i4>
      </vt:variant>
      <vt:variant>
        <vt:i4>116</vt:i4>
      </vt:variant>
      <vt:variant>
        <vt:i4>0</vt:i4>
      </vt:variant>
      <vt:variant>
        <vt:i4>5</vt:i4>
      </vt:variant>
      <vt:variant>
        <vt:lpwstr/>
      </vt:variant>
      <vt:variant>
        <vt:lpwstr>_Toc371315009</vt:lpwstr>
      </vt:variant>
      <vt:variant>
        <vt:i4>1441843</vt:i4>
      </vt:variant>
      <vt:variant>
        <vt:i4>110</vt:i4>
      </vt:variant>
      <vt:variant>
        <vt:i4>0</vt:i4>
      </vt:variant>
      <vt:variant>
        <vt:i4>5</vt:i4>
      </vt:variant>
      <vt:variant>
        <vt:lpwstr/>
      </vt:variant>
      <vt:variant>
        <vt:lpwstr>_Toc371315008</vt:lpwstr>
      </vt:variant>
      <vt:variant>
        <vt:i4>1441843</vt:i4>
      </vt:variant>
      <vt:variant>
        <vt:i4>104</vt:i4>
      </vt:variant>
      <vt:variant>
        <vt:i4>0</vt:i4>
      </vt:variant>
      <vt:variant>
        <vt:i4>5</vt:i4>
      </vt:variant>
      <vt:variant>
        <vt:lpwstr/>
      </vt:variant>
      <vt:variant>
        <vt:lpwstr>_Toc371315007</vt:lpwstr>
      </vt:variant>
      <vt:variant>
        <vt:i4>1441843</vt:i4>
      </vt:variant>
      <vt:variant>
        <vt:i4>98</vt:i4>
      </vt:variant>
      <vt:variant>
        <vt:i4>0</vt:i4>
      </vt:variant>
      <vt:variant>
        <vt:i4>5</vt:i4>
      </vt:variant>
      <vt:variant>
        <vt:lpwstr/>
      </vt:variant>
      <vt:variant>
        <vt:lpwstr>_Toc371315006</vt:lpwstr>
      </vt:variant>
      <vt:variant>
        <vt:i4>1441843</vt:i4>
      </vt:variant>
      <vt:variant>
        <vt:i4>92</vt:i4>
      </vt:variant>
      <vt:variant>
        <vt:i4>0</vt:i4>
      </vt:variant>
      <vt:variant>
        <vt:i4>5</vt:i4>
      </vt:variant>
      <vt:variant>
        <vt:lpwstr/>
      </vt:variant>
      <vt:variant>
        <vt:lpwstr>_Toc371315005</vt:lpwstr>
      </vt:variant>
      <vt:variant>
        <vt:i4>1441843</vt:i4>
      </vt:variant>
      <vt:variant>
        <vt:i4>86</vt:i4>
      </vt:variant>
      <vt:variant>
        <vt:i4>0</vt:i4>
      </vt:variant>
      <vt:variant>
        <vt:i4>5</vt:i4>
      </vt:variant>
      <vt:variant>
        <vt:lpwstr/>
      </vt:variant>
      <vt:variant>
        <vt:lpwstr>_Toc371315004</vt:lpwstr>
      </vt:variant>
      <vt:variant>
        <vt:i4>1441843</vt:i4>
      </vt:variant>
      <vt:variant>
        <vt:i4>80</vt:i4>
      </vt:variant>
      <vt:variant>
        <vt:i4>0</vt:i4>
      </vt:variant>
      <vt:variant>
        <vt:i4>5</vt:i4>
      </vt:variant>
      <vt:variant>
        <vt:lpwstr/>
      </vt:variant>
      <vt:variant>
        <vt:lpwstr>_Toc371315003</vt:lpwstr>
      </vt:variant>
      <vt:variant>
        <vt:i4>1441843</vt:i4>
      </vt:variant>
      <vt:variant>
        <vt:i4>74</vt:i4>
      </vt:variant>
      <vt:variant>
        <vt:i4>0</vt:i4>
      </vt:variant>
      <vt:variant>
        <vt:i4>5</vt:i4>
      </vt:variant>
      <vt:variant>
        <vt:lpwstr/>
      </vt:variant>
      <vt:variant>
        <vt:lpwstr>_Toc371315002</vt:lpwstr>
      </vt:variant>
      <vt:variant>
        <vt:i4>1441843</vt:i4>
      </vt:variant>
      <vt:variant>
        <vt:i4>68</vt:i4>
      </vt:variant>
      <vt:variant>
        <vt:i4>0</vt:i4>
      </vt:variant>
      <vt:variant>
        <vt:i4>5</vt:i4>
      </vt:variant>
      <vt:variant>
        <vt:lpwstr/>
      </vt:variant>
      <vt:variant>
        <vt:lpwstr>_Toc371315001</vt:lpwstr>
      </vt:variant>
      <vt:variant>
        <vt:i4>1441843</vt:i4>
      </vt:variant>
      <vt:variant>
        <vt:i4>62</vt:i4>
      </vt:variant>
      <vt:variant>
        <vt:i4>0</vt:i4>
      </vt:variant>
      <vt:variant>
        <vt:i4>5</vt:i4>
      </vt:variant>
      <vt:variant>
        <vt:lpwstr/>
      </vt:variant>
      <vt:variant>
        <vt:lpwstr>_Toc371315000</vt:lpwstr>
      </vt:variant>
      <vt:variant>
        <vt:i4>1966138</vt:i4>
      </vt:variant>
      <vt:variant>
        <vt:i4>56</vt:i4>
      </vt:variant>
      <vt:variant>
        <vt:i4>0</vt:i4>
      </vt:variant>
      <vt:variant>
        <vt:i4>5</vt:i4>
      </vt:variant>
      <vt:variant>
        <vt:lpwstr/>
      </vt:variant>
      <vt:variant>
        <vt:lpwstr>_Toc371314999</vt:lpwstr>
      </vt:variant>
      <vt:variant>
        <vt:i4>1966138</vt:i4>
      </vt:variant>
      <vt:variant>
        <vt:i4>50</vt:i4>
      </vt:variant>
      <vt:variant>
        <vt:i4>0</vt:i4>
      </vt:variant>
      <vt:variant>
        <vt:i4>5</vt:i4>
      </vt:variant>
      <vt:variant>
        <vt:lpwstr/>
      </vt:variant>
      <vt:variant>
        <vt:lpwstr>_Toc371314998</vt:lpwstr>
      </vt:variant>
      <vt:variant>
        <vt:i4>1966138</vt:i4>
      </vt:variant>
      <vt:variant>
        <vt:i4>44</vt:i4>
      </vt:variant>
      <vt:variant>
        <vt:i4>0</vt:i4>
      </vt:variant>
      <vt:variant>
        <vt:i4>5</vt:i4>
      </vt:variant>
      <vt:variant>
        <vt:lpwstr/>
      </vt:variant>
      <vt:variant>
        <vt:lpwstr>_Toc371314997</vt:lpwstr>
      </vt:variant>
      <vt:variant>
        <vt:i4>1966138</vt:i4>
      </vt:variant>
      <vt:variant>
        <vt:i4>38</vt:i4>
      </vt:variant>
      <vt:variant>
        <vt:i4>0</vt:i4>
      </vt:variant>
      <vt:variant>
        <vt:i4>5</vt:i4>
      </vt:variant>
      <vt:variant>
        <vt:lpwstr/>
      </vt:variant>
      <vt:variant>
        <vt:lpwstr>_Toc371314996</vt:lpwstr>
      </vt:variant>
      <vt:variant>
        <vt:i4>1966138</vt:i4>
      </vt:variant>
      <vt:variant>
        <vt:i4>32</vt:i4>
      </vt:variant>
      <vt:variant>
        <vt:i4>0</vt:i4>
      </vt:variant>
      <vt:variant>
        <vt:i4>5</vt:i4>
      </vt:variant>
      <vt:variant>
        <vt:lpwstr/>
      </vt:variant>
      <vt:variant>
        <vt:lpwstr>_Toc371314995</vt:lpwstr>
      </vt:variant>
      <vt:variant>
        <vt:i4>1966138</vt:i4>
      </vt:variant>
      <vt:variant>
        <vt:i4>26</vt:i4>
      </vt:variant>
      <vt:variant>
        <vt:i4>0</vt:i4>
      </vt:variant>
      <vt:variant>
        <vt:i4>5</vt:i4>
      </vt:variant>
      <vt:variant>
        <vt:lpwstr/>
      </vt:variant>
      <vt:variant>
        <vt:lpwstr>_Toc371314994</vt:lpwstr>
      </vt:variant>
      <vt:variant>
        <vt:i4>1966138</vt:i4>
      </vt:variant>
      <vt:variant>
        <vt:i4>20</vt:i4>
      </vt:variant>
      <vt:variant>
        <vt:i4>0</vt:i4>
      </vt:variant>
      <vt:variant>
        <vt:i4>5</vt:i4>
      </vt:variant>
      <vt:variant>
        <vt:lpwstr/>
      </vt:variant>
      <vt:variant>
        <vt:lpwstr>_Toc371314993</vt:lpwstr>
      </vt:variant>
      <vt:variant>
        <vt:i4>1966138</vt:i4>
      </vt:variant>
      <vt:variant>
        <vt:i4>14</vt:i4>
      </vt:variant>
      <vt:variant>
        <vt:i4>0</vt:i4>
      </vt:variant>
      <vt:variant>
        <vt:i4>5</vt:i4>
      </vt:variant>
      <vt:variant>
        <vt:lpwstr/>
      </vt:variant>
      <vt:variant>
        <vt:lpwstr>_Toc371314992</vt:lpwstr>
      </vt:variant>
      <vt:variant>
        <vt:i4>1966138</vt:i4>
      </vt:variant>
      <vt:variant>
        <vt:i4>8</vt:i4>
      </vt:variant>
      <vt:variant>
        <vt:i4>0</vt:i4>
      </vt:variant>
      <vt:variant>
        <vt:i4>5</vt:i4>
      </vt:variant>
      <vt:variant>
        <vt:lpwstr/>
      </vt:variant>
      <vt:variant>
        <vt:lpwstr>_Toc371314991</vt:lpwstr>
      </vt:variant>
      <vt:variant>
        <vt:i4>1966138</vt:i4>
      </vt:variant>
      <vt:variant>
        <vt:i4>2</vt:i4>
      </vt:variant>
      <vt:variant>
        <vt:i4>0</vt:i4>
      </vt:variant>
      <vt:variant>
        <vt:i4>5</vt:i4>
      </vt:variant>
      <vt:variant>
        <vt:lpwstr/>
      </vt:variant>
      <vt:variant>
        <vt:lpwstr>_Toc371314990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ZPRÁVA O REALIZACI</dc:title>
  <dc:creator>Miroslava Červená</dc:creator>
  <cp:lastModifiedBy>Zuzana Krochová</cp:lastModifiedBy>
  <cp:revision>44</cp:revision>
  <cp:lastPrinted>2015-05-27T06:39:00Z</cp:lastPrinted>
  <dcterms:created xsi:type="dcterms:W3CDTF">2015-10-27T08:37:00Z</dcterms:created>
  <dcterms:modified xsi:type="dcterms:W3CDTF">2015-11-02T13:50:00Z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1404576582</vt:i4>
  </property>
</Properties>
</file>