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9772B8">
        <w:rPr>
          <w:rFonts w:cs="Arial"/>
          <w:b/>
          <w:sz w:val="36"/>
          <w:szCs w:val="36"/>
        </w:rPr>
        <w:t>14</w:t>
      </w:r>
      <w:r w:rsidR="00A71080">
        <w:rPr>
          <w:rFonts w:cs="Arial"/>
          <w:b/>
          <w:sz w:val="36"/>
          <w:szCs w:val="36"/>
        </w:rPr>
        <w:t>.</w:t>
      </w:r>
      <w:r w:rsidR="002A4161">
        <w:rPr>
          <w:rFonts w:cs="Arial"/>
          <w:b/>
          <w:sz w:val="36"/>
          <w:szCs w:val="36"/>
        </w:rPr>
        <w:t xml:space="preserve"> a 15.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9772B8">
        <w:rPr>
          <w:rFonts w:cs="Arial"/>
          <w:b/>
          <w:sz w:val="36"/>
          <w:szCs w:val="36"/>
        </w:rPr>
        <w:t>Infrastruktura pro předškolní vzdělávání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772B8">
        <w:rPr>
          <w:rFonts w:cs="Arial"/>
          <w:sz w:val="21"/>
          <w:szCs w:val="21"/>
        </w:rPr>
        <w:t>8</w:t>
      </w:r>
      <w:r w:rsidR="00F53FED">
        <w:rPr>
          <w:rFonts w:cs="Arial"/>
          <w:sz w:val="21"/>
          <w:szCs w:val="21"/>
        </w:rPr>
        <w:t xml:space="preserve">. </w:t>
      </w:r>
      <w:r w:rsidR="009772B8">
        <w:rPr>
          <w:rFonts w:cs="Arial"/>
          <w:sz w:val="21"/>
          <w:szCs w:val="21"/>
        </w:rPr>
        <w:t>12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2B77CA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2B77CA" w:rsidRPr="002B77CA">
        <w:rPr>
          <w:rFonts w:eastAsia="Times New Roman" w:cs="Arial"/>
          <w:b/>
          <w:sz w:val="24"/>
          <w:szCs w:val="24"/>
        </w:rPr>
        <w:t>Ministerstvo práce</w:t>
      </w:r>
      <w:r w:rsidR="002A4161">
        <w:rPr>
          <w:rFonts w:eastAsia="Times New Roman" w:cs="Arial"/>
          <w:b/>
          <w:sz w:val="24"/>
          <w:szCs w:val="24"/>
        </w:rPr>
        <w:t xml:space="preserve"> a s</w:t>
      </w:r>
      <w:r w:rsidR="00CC76CA">
        <w:rPr>
          <w:rFonts w:eastAsia="Times New Roman" w:cs="Arial"/>
          <w:b/>
          <w:sz w:val="24"/>
          <w:szCs w:val="24"/>
        </w:rPr>
        <w:t>ociálních věcí, Karlovo náměstí</w:t>
      </w:r>
      <w:r w:rsidR="002B77CA" w:rsidRPr="002B77CA">
        <w:rPr>
          <w:rFonts w:eastAsia="Times New Roman" w:cs="Arial"/>
          <w:b/>
          <w:sz w:val="24"/>
          <w:szCs w:val="24"/>
        </w:rPr>
        <w:t xml:space="preserve"> 1359/1, Praha 2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9772B8">
        <w:rPr>
          <w:rFonts w:cs="Arial"/>
          <w:b/>
          <w:sz w:val="21"/>
          <w:szCs w:val="21"/>
        </w:rPr>
        <w:t>8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</w:t>
      </w:r>
      <w:r w:rsidR="009772B8">
        <w:rPr>
          <w:rFonts w:cs="Arial"/>
          <w:b/>
          <w:sz w:val="21"/>
          <w:szCs w:val="21"/>
        </w:rPr>
        <w:t>2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</w:t>
      </w:r>
      <w:r w:rsidR="002A4161">
        <w:rPr>
          <w:rFonts w:cs="Arial"/>
          <w:b/>
          <w:sz w:val="21"/>
          <w:szCs w:val="21"/>
        </w:rPr>
        <w:t>.</w:t>
      </w:r>
    </w:p>
    <w:p w:rsidR="00A6215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</w:t>
      </w:r>
      <w:r w:rsidR="007349EF">
        <w:rPr>
          <w:rFonts w:cs="Arial"/>
          <w:sz w:val="21"/>
          <w:szCs w:val="21"/>
        </w:rPr>
        <w:t>:</w:t>
      </w:r>
      <w:r w:rsidR="002A4161"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2A4161">
        <w:rPr>
          <w:rFonts w:cs="Arial"/>
          <w:sz w:val="21"/>
          <w:szCs w:val="21"/>
        </w:rPr>
        <w:t>9:45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D56C15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9:4</w:t>
      </w:r>
      <w:r w:rsidR="002A4161">
        <w:rPr>
          <w:rFonts w:cs="Arial"/>
          <w:sz w:val="21"/>
          <w:szCs w:val="21"/>
        </w:rPr>
        <w:t>5</w:t>
      </w:r>
      <w:r w:rsidR="00FD4400">
        <w:rPr>
          <w:rFonts w:cs="Arial"/>
          <w:sz w:val="21"/>
          <w:szCs w:val="21"/>
        </w:rPr>
        <w:t xml:space="preserve"> – 11</w:t>
      </w:r>
      <w:r w:rsidR="00FD4400" w:rsidRPr="00422C61">
        <w:rPr>
          <w:rFonts w:cs="Arial"/>
          <w:sz w:val="21"/>
          <w:szCs w:val="21"/>
        </w:rPr>
        <w:t>:</w:t>
      </w:r>
      <w:r w:rsidR="00FD4400">
        <w:rPr>
          <w:rFonts w:cs="Arial"/>
          <w:sz w:val="21"/>
          <w:szCs w:val="21"/>
        </w:rPr>
        <w:t>0</w:t>
      </w:r>
      <w:r w:rsidR="00FD4400" w:rsidRPr="00422C61">
        <w:rPr>
          <w:rFonts w:cs="Arial"/>
          <w:sz w:val="21"/>
          <w:szCs w:val="21"/>
        </w:rPr>
        <w:t>0</w:t>
      </w:r>
      <w:r w:rsidR="00FD4400" w:rsidRPr="00422C61">
        <w:rPr>
          <w:rFonts w:cs="Arial"/>
          <w:sz w:val="21"/>
          <w:szCs w:val="21"/>
        </w:rPr>
        <w:tab/>
      </w:r>
      <w:r w:rsidR="00D81D45">
        <w:rPr>
          <w:rFonts w:cs="Arial"/>
          <w:b/>
          <w:sz w:val="21"/>
          <w:szCs w:val="21"/>
        </w:rPr>
        <w:t>14. výzva IROP „</w:t>
      </w:r>
      <w:r w:rsidR="00D81D45" w:rsidRPr="00D81D45">
        <w:rPr>
          <w:rFonts w:cs="Arial"/>
          <w:b/>
          <w:sz w:val="21"/>
          <w:szCs w:val="21"/>
        </w:rPr>
        <w:t>Infrastruktura pro předškolní vzdělávání</w:t>
      </w:r>
      <w:r w:rsidR="00B931DF">
        <w:rPr>
          <w:rFonts w:cs="Arial"/>
          <w:b/>
          <w:sz w:val="21"/>
          <w:szCs w:val="21"/>
        </w:rPr>
        <w:t xml:space="preserve">“ </w:t>
      </w:r>
      <w:r w:rsidR="002A4161">
        <w:rPr>
          <w:rFonts w:cs="Arial"/>
          <w:b/>
          <w:sz w:val="21"/>
          <w:szCs w:val="21"/>
        </w:rPr>
        <w:t xml:space="preserve">a 15. </w:t>
      </w:r>
      <w:r w:rsidR="00B931DF">
        <w:rPr>
          <w:rFonts w:cs="Arial"/>
          <w:b/>
          <w:sz w:val="21"/>
          <w:szCs w:val="21"/>
        </w:rPr>
        <w:t>výzva IROP „</w:t>
      </w:r>
      <w:r w:rsidR="00B931DF" w:rsidRPr="00B931DF">
        <w:rPr>
          <w:rFonts w:cs="Arial"/>
          <w:b/>
          <w:sz w:val="21"/>
          <w:szCs w:val="21"/>
        </w:rPr>
        <w:t>Infrastruktura pro předškolní vzdělávání</w:t>
      </w:r>
      <w:r w:rsidR="00B931DF">
        <w:rPr>
          <w:rFonts w:cs="Arial"/>
          <w:b/>
          <w:sz w:val="21"/>
          <w:szCs w:val="21"/>
        </w:rPr>
        <w:t xml:space="preserve"> pro sociálně vyloučené lokality</w:t>
      </w:r>
      <w:r w:rsidR="00D81D45">
        <w:rPr>
          <w:rFonts w:cs="Arial"/>
          <w:b/>
          <w:sz w:val="21"/>
          <w:szCs w:val="21"/>
        </w:rPr>
        <w:t>“ - parametry</w:t>
      </w:r>
      <w:r w:rsidR="00B931DF">
        <w:rPr>
          <w:rFonts w:cs="Arial"/>
          <w:b/>
          <w:sz w:val="21"/>
          <w:szCs w:val="21"/>
        </w:rPr>
        <w:t xml:space="preserve"> výzev</w:t>
      </w:r>
      <w:r w:rsidR="00D81D45">
        <w:rPr>
          <w:rFonts w:cs="Arial"/>
          <w:b/>
          <w:sz w:val="21"/>
          <w:szCs w:val="21"/>
        </w:rPr>
        <w:t>,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</w:p>
    <w:p w:rsidR="00FD4400" w:rsidRPr="00AF3031" w:rsidRDefault="00FD4400" w:rsidP="00D56C15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4568AA92" wp14:editId="5B647D07">
            <wp:simplePos x="0" y="0"/>
            <wp:positionH relativeFrom="margin">
              <wp:posOffset>1954530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5527" wp14:editId="35588A51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E06" w:rsidRDefault="00FD4400" w:rsidP="00D56C15">
      <w:pPr>
        <w:ind w:left="1985" w:hanging="1985"/>
        <w:rPr>
          <w:rFonts w:eastAsia="DINPro" w:cs="Arial"/>
          <w:b/>
          <w:color w:val="231F20"/>
          <w:sz w:val="21"/>
        </w:rPr>
      </w:pPr>
      <w:r w:rsidRPr="00F45F05">
        <w:rPr>
          <w:rFonts w:eastAsia="DINPro" w:cs="Arial"/>
          <w:color w:val="231F20"/>
          <w:sz w:val="21"/>
        </w:rPr>
        <w:t xml:space="preserve">11:00 – </w:t>
      </w:r>
      <w:r w:rsidR="006B2E06">
        <w:rPr>
          <w:rFonts w:eastAsia="DINPro" w:cs="Arial"/>
          <w:color w:val="231F20"/>
          <w:sz w:val="21"/>
        </w:rPr>
        <w:t>11:15</w:t>
      </w:r>
      <w:r w:rsidR="00C754B1">
        <w:rPr>
          <w:rFonts w:eastAsia="DINPro" w:cs="Arial"/>
          <w:b/>
          <w:color w:val="231F20"/>
          <w:sz w:val="21"/>
        </w:rPr>
        <w:tab/>
      </w:r>
      <w:r w:rsidR="006B2E06" w:rsidRPr="006B2E06">
        <w:rPr>
          <w:rFonts w:eastAsia="DINPro" w:cs="Arial"/>
          <w:b/>
          <w:color w:val="231F20"/>
          <w:sz w:val="21"/>
        </w:rPr>
        <w:t xml:space="preserve">Informace k výzvám </w:t>
      </w:r>
      <w:r w:rsidR="00B57BC3">
        <w:rPr>
          <w:rFonts w:eastAsia="DINPro" w:cs="Arial"/>
          <w:b/>
          <w:color w:val="231F20"/>
          <w:sz w:val="21"/>
        </w:rPr>
        <w:t xml:space="preserve">operačního </w:t>
      </w:r>
      <w:bookmarkStart w:id="0" w:name="_GoBack"/>
      <w:bookmarkEnd w:id="0"/>
      <w:r w:rsidR="006B2E06" w:rsidRPr="006B2E06">
        <w:rPr>
          <w:rFonts w:eastAsia="DINPro" w:cs="Arial"/>
          <w:b/>
          <w:color w:val="231F20"/>
          <w:sz w:val="21"/>
        </w:rPr>
        <w:t>programu Výzkum, vývoj a vzdělávání prioritní osa 3, specifický cíl 1 Zvýšení kvality předškolního vzdělávání včetně usnadnění přechodu dětí na ZŠ</w:t>
      </w:r>
    </w:p>
    <w:p w:rsidR="006B2E06" w:rsidRDefault="006B2E06" w:rsidP="00D56C15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99606D" w:rsidRDefault="0099606D" w:rsidP="00D56C15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99606D" w:rsidRPr="0099606D" w:rsidRDefault="006B2E06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11:15</w:t>
      </w:r>
      <w:r w:rsidR="0099606D" w:rsidRPr="0099606D">
        <w:rPr>
          <w:rFonts w:eastAsia="DINPro" w:cs="Arial"/>
          <w:color w:val="231F20"/>
          <w:sz w:val="21"/>
        </w:rPr>
        <w:t xml:space="preserve"> – 12:45</w:t>
      </w:r>
      <w:r w:rsidR="0099606D" w:rsidRPr="0099606D">
        <w:rPr>
          <w:rFonts w:eastAsia="DINPro" w:cs="Arial"/>
          <w:color w:val="231F20"/>
          <w:sz w:val="21"/>
        </w:rPr>
        <w:tab/>
      </w:r>
      <w:r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D56C1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D56C15">
      <w:pPr>
        <w:tabs>
          <w:tab w:val="left" w:pos="2000"/>
        </w:tabs>
        <w:spacing w:line="240" w:lineRule="atLeast"/>
        <w:ind w:left="1985" w:right="-20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Pr="002E0588">
        <w:rPr>
          <w:rFonts w:eastAsia="DINPro" w:cs="Arial"/>
          <w:color w:val="231F20"/>
          <w:sz w:val="21"/>
        </w:rPr>
        <w:t>:</w:t>
      </w:r>
      <w:r w:rsidR="0099606D">
        <w:rPr>
          <w:rFonts w:eastAsia="DINPro" w:cs="Arial"/>
          <w:color w:val="231F20"/>
          <w:sz w:val="21"/>
        </w:rPr>
        <w:t>45</w:t>
      </w:r>
      <w:r w:rsidRPr="002E0588">
        <w:rPr>
          <w:rFonts w:eastAsia="DINPro" w:cs="Arial"/>
          <w:color w:val="231F20"/>
          <w:sz w:val="21"/>
        </w:rPr>
        <w:t xml:space="preserve"> –</w:t>
      </w:r>
      <w:r>
        <w:rPr>
          <w:rFonts w:eastAsia="DINPro" w:cs="Arial"/>
          <w:color w:val="231F20"/>
          <w:sz w:val="21"/>
        </w:rPr>
        <w:t xml:space="preserve"> 13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>
        <w:rPr>
          <w:rFonts w:eastAsia="DINPro" w:cs="Arial"/>
          <w:color w:val="231F20"/>
          <w:sz w:val="21"/>
        </w:rPr>
        <w:tab/>
      </w:r>
      <w:r w:rsidR="00D81D45">
        <w:rPr>
          <w:rFonts w:eastAsia="DINPro" w:cs="Arial"/>
          <w:b/>
          <w:color w:val="231F20"/>
          <w:sz w:val="21"/>
        </w:rPr>
        <w:t>Informace k dalším výzvám ve Specifickém cíli 2</w:t>
      </w:r>
      <w:r w:rsidR="00D81D45" w:rsidRPr="00AA196E">
        <w:rPr>
          <w:rFonts w:eastAsia="DINPro" w:cs="Arial"/>
          <w:b/>
          <w:color w:val="231F20"/>
          <w:sz w:val="21"/>
        </w:rPr>
        <w:t>.</w:t>
      </w:r>
      <w:r w:rsidR="00D81D45">
        <w:rPr>
          <w:rFonts w:eastAsia="DINPro" w:cs="Arial"/>
          <w:b/>
          <w:color w:val="231F20"/>
          <w:sz w:val="21"/>
        </w:rPr>
        <w:t>4</w:t>
      </w:r>
      <w:r w:rsidR="00D81D45" w:rsidRPr="00AA196E">
        <w:rPr>
          <w:rFonts w:eastAsia="DINPro" w:cs="Arial"/>
          <w:b/>
          <w:color w:val="231F20"/>
          <w:sz w:val="21"/>
        </w:rPr>
        <w:t xml:space="preserve"> IROP</w:t>
      </w:r>
      <w:r w:rsidR="00D56C15">
        <w:rPr>
          <w:rFonts w:eastAsia="DINPro" w:cs="Arial"/>
          <w:b/>
          <w:color w:val="231F20"/>
          <w:sz w:val="21"/>
        </w:rPr>
        <w:t xml:space="preserve"> - </w:t>
      </w:r>
      <w:r w:rsidR="00D56C15" w:rsidRPr="00D56C15">
        <w:rPr>
          <w:rFonts w:eastAsia="DINPro" w:cs="Arial"/>
          <w:b/>
          <w:color w:val="231F20"/>
          <w:sz w:val="21"/>
        </w:rPr>
        <w:t>Zvýšení kvality a dostupnosti infrastruktury pro vzdělávání a celoživotní učení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0" w:rsidRDefault="007E4F70">
      <w:pPr>
        <w:spacing w:line="240" w:lineRule="auto"/>
      </w:pPr>
      <w:r>
        <w:separator/>
      </w:r>
    </w:p>
  </w:endnote>
  <w:endnote w:type="continuationSeparator" w:id="0">
    <w:p w:rsidR="007E4F70" w:rsidRDefault="007E4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0" w:rsidRDefault="007E4F70">
      <w:pPr>
        <w:spacing w:line="240" w:lineRule="auto"/>
      </w:pPr>
      <w:r>
        <w:separator/>
      </w:r>
    </w:p>
  </w:footnote>
  <w:footnote w:type="continuationSeparator" w:id="0">
    <w:p w:rsidR="007E4F70" w:rsidRDefault="007E4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4161"/>
    <w:rsid w:val="002A7480"/>
    <w:rsid w:val="002B385D"/>
    <w:rsid w:val="002B77CA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BD8"/>
    <w:rsid w:val="009772B8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7108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C76CA"/>
    <w:rsid w:val="00CE45A6"/>
    <w:rsid w:val="00CF3313"/>
    <w:rsid w:val="00CF669D"/>
    <w:rsid w:val="00D263AF"/>
    <w:rsid w:val="00D32133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6955"/>
    <w:rsid w:val="00F51DD0"/>
    <w:rsid w:val="00F53FED"/>
    <w:rsid w:val="00F61C40"/>
    <w:rsid w:val="00F75230"/>
    <w:rsid w:val="00F847E5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E90-601E-4C07-B20D-8746ECC8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Jakub Horáček</cp:lastModifiedBy>
  <cp:revision>13</cp:revision>
  <cp:lastPrinted>2015-12-01T13:59:00Z</cp:lastPrinted>
  <dcterms:created xsi:type="dcterms:W3CDTF">2015-08-04T15:40:00Z</dcterms:created>
  <dcterms:modified xsi:type="dcterms:W3CDTF">2015-12-03T08:13:00Z</dcterms:modified>
</cp:coreProperties>
</file>